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14968" w14:textId="77777777" w:rsidR="004961A6" w:rsidRPr="00037D1F" w:rsidRDefault="004961A6" w:rsidP="002D03E1">
      <w:pPr>
        <w:jc w:val="center"/>
        <w:rPr>
          <w:rFonts w:ascii="Arial" w:hAnsi="Arial" w:cs="Arial"/>
        </w:rPr>
      </w:pPr>
    </w:p>
    <w:p w14:paraId="7A764118" w14:textId="77777777" w:rsidR="002D03E1" w:rsidRPr="00037D1F" w:rsidRDefault="002511D5" w:rsidP="002D03E1">
      <w:pPr>
        <w:jc w:val="center"/>
        <w:rPr>
          <w:rFonts w:ascii="Arial" w:hAnsi="Arial" w:cs="Arial"/>
          <w:u w:val="single"/>
        </w:rPr>
      </w:pPr>
      <w:r w:rsidRPr="00037D1F">
        <w:rPr>
          <w:rFonts w:ascii="Arial" w:hAnsi="Arial" w:cs="Arial"/>
          <w:u w:val="single"/>
        </w:rPr>
        <w:t>ECAD7003</w:t>
      </w:r>
    </w:p>
    <w:p w14:paraId="48975313" w14:textId="0CF6FDE0" w:rsidR="004961A6" w:rsidRPr="00037D1F" w:rsidRDefault="002511D5" w:rsidP="002D03E1">
      <w:pPr>
        <w:jc w:val="center"/>
        <w:rPr>
          <w:rFonts w:ascii="Arial" w:hAnsi="Arial" w:cs="Arial"/>
        </w:rPr>
      </w:pPr>
      <w:r w:rsidRPr="00037D1F">
        <w:rPr>
          <w:rFonts w:ascii="Arial" w:hAnsi="Arial" w:cs="Arial"/>
        </w:rPr>
        <w:t>How a school develops one aspect of its SDP: a report that critically reflects on the actions, impact and evidence base.</w:t>
      </w:r>
    </w:p>
    <w:p w14:paraId="166B4CC0" w14:textId="6B59E10B" w:rsidR="00E33BE1" w:rsidRPr="00037D1F" w:rsidRDefault="00E33BE1" w:rsidP="002D03E1">
      <w:pPr>
        <w:jc w:val="center"/>
        <w:rPr>
          <w:rFonts w:ascii="Arial" w:hAnsi="Arial" w:cs="Arial"/>
        </w:rPr>
      </w:pPr>
      <w:r w:rsidRPr="00037D1F">
        <w:rPr>
          <w:rFonts w:ascii="Arial" w:hAnsi="Arial" w:cs="Arial"/>
        </w:rPr>
        <w:t>By Lauren Bruton</w:t>
      </w:r>
    </w:p>
    <w:p w14:paraId="1FCD8C72" w14:textId="32709216" w:rsidR="00E33BE1" w:rsidRPr="00037D1F" w:rsidRDefault="00E33BE1" w:rsidP="002D03E1">
      <w:pPr>
        <w:jc w:val="center"/>
        <w:rPr>
          <w:rFonts w:ascii="Arial" w:hAnsi="Arial" w:cs="Arial"/>
        </w:rPr>
      </w:pPr>
      <w:r w:rsidRPr="00037D1F">
        <w:rPr>
          <w:rFonts w:ascii="Arial" w:hAnsi="Arial" w:cs="Arial"/>
        </w:rPr>
        <w:t>2304631</w:t>
      </w:r>
    </w:p>
    <w:p w14:paraId="76CC518B" w14:textId="75AD116B" w:rsidR="00E33BE1" w:rsidRPr="00037D1F" w:rsidRDefault="00E33BE1" w:rsidP="002D03E1">
      <w:pPr>
        <w:jc w:val="center"/>
        <w:rPr>
          <w:rFonts w:ascii="Arial" w:hAnsi="Arial" w:cs="Arial"/>
        </w:rPr>
      </w:pPr>
      <w:r w:rsidRPr="00037D1F">
        <w:rPr>
          <w:rFonts w:ascii="Arial" w:hAnsi="Arial" w:cs="Arial"/>
        </w:rPr>
        <w:t>Word count: 2653</w:t>
      </w:r>
    </w:p>
    <w:p w14:paraId="6906D831" w14:textId="77777777" w:rsidR="004961A6" w:rsidRPr="00037D1F" w:rsidRDefault="004961A6">
      <w:pPr>
        <w:rPr>
          <w:rFonts w:ascii="Arial" w:hAnsi="Arial" w:cs="Arial"/>
        </w:rPr>
      </w:pPr>
    </w:p>
    <w:p w14:paraId="20F41813" w14:textId="77777777" w:rsidR="004961A6" w:rsidRPr="00037D1F" w:rsidRDefault="004961A6">
      <w:pPr>
        <w:rPr>
          <w:rFonts w:ascii="Arial" w:hAnsi="Arial" w:cs="Arial"/>
        </w:rPr>
      </w:pPr>
    </w:p>
    <w:p w14:paraId="3DAE3A7A" w14:textId="77777777" w:rsidR="004961A6" w:rsidRPr="00037D1F" w:rsidRDefault="004961A6">
      <w:pPr>
        <w:rPr>
          <w:rFonts w:ascii="Arial" w:hAnsi="Arial" w:cs="Arial"/>
        </w:rPr>
      </w:pPr>
    </w:p>
    <w:p w14:paraId="6922D988" w14:textId="77777777" w:rsidR="004961A6" w:rsidRPr="00037D1F" w:rsidRDefault="004961A6">
      <w:pPr>
        <w:rPr>
          <w:rFonts w:ascii="Arial" w:hAnsi="Arial" w:cs="Arial"/>
        </w:rPr>
      </w:pPr>
    </w:p>
    <w:p w14:paraId="1339CA07" w14:textId="77777777" w:rsidR="004961A6" w:rsidRPr="00037D1F" w:rsidRDefault="004961A6">
      <w:pPr>
        <w:rPr>
          <w:rFonts w:ascii="Arial" w:hAnsi="Arial" w:cs="Arial"/>
        </w:rPr>
      </w:pPr>
    </w:p>
    <w:p w14:paraId="71787236" w14:textId="77777777" w:rsidR="004961A6" w:rsidRPr="00037D1F" w:rsidRDefault="004961A6">
      <w:pPr>
        <w:rPr>
          <w:rFonts w:ascii="Arial" w:hAnsi="Arial" w:cs="Arial"/>
        </w:rPr>
      </w:pPr>
    </w:p>
    <w:p w14:paraId="2288833B" w14:textId="77777777" w:rsidR="004961A6" w:rsidRPr="00037D1F" w:rsidRDefault="004961A6">
      <w:pPr>
        <w:rPr>
          <w:rFonts w:ascii="Arial" w:hAnsi="Arial" w:cs="Arial"/>
        </w:rPr>
      </w:pPr>
    </w:p>
    <w:p w14:paraId="4AC5F264" w14:textId="77777777" w:rsidR="004961A6" w:rsidRPr="00037D1F" w:rsidRDefault="004961A6">
      <w:pPr>
        <w:rPr>
          <w:rFonts w:ascii="Arial" w:hAnsi="Arial" w:cs="Arial"/>
        </w:rPr>
      </w:pPr>
    </w:p>
    <w:p w14:paraId="7B0C3A2E" w14:textId="77777777" w:rsidR="004961A6" w:rsidRPr="00037D1F" w:rsidRDefault="004961A6">
      <w:pPr>
        <w:rPr>
          <w:rFonts w:ascii="Arial" w:hAnsi="Arial" w:cs="Arial"/>
        </w:rPr>
      </w:pPr>
    </w:p>
    <w:p w14:paraId="4EB0208D" w14:textId="77777777" w:rsidR="004961A6" w:rsidRPr="00037D1F" w:rsidRDefault="004961A6">
      <w:pPr>
        <w:rPr>
          <w:rFonts w:ascii="Arial" w:hAnsi="Arial" w:cs="Arial"/>
        </w:rPr>
      </w:pPr>
    </w:p>
    <w:p w14:paraId="30E32E60" w14:textId="77777777" w:rsidR="004961A6" w:rsidRPr="00037D1F" w:rsidRDefault="004961A6">
      <w:pPr>
        <w:rPr>
          <w:rFonts w:ascii="Arial" w:hAnsi="Arial" w:cs="Arial"/>
        </w:rPr>
      </w:pPr>
    </w:p>
    <w:p w14:paraId="69A6A68B" w14:textId="77777777" w:rsidR="004961A6" w:rsidRPr="00037D1F" w:rsidRDefault="004961A6">
      <w:pPr>
        <w:rPr>
          <w:rFonts w:ascii="Arial" w:hAnsi="Arial" w:cs="Arial"/>
        </w:rPr>
      </w:pPr>
    </w:p>
    <w:p w14:paraId="4DE65186" w14:textId="77777777" w:rsidR="004961A6" w:rsidRPr="00037D1F" w:rsidRDefault="004961A6">
      <w:pPr>
        <w:rPr>
          <w:rFonts w:ascii="Arial" w:hAnsi="Arial" w:cs="Arial"/>
        </w:rPr>
      </w:pPr>
    </w:p>
    <w:p w14:paraId="7D3BA168" w14:textId="77777777" w:rsidR="004961A6" w:rsidRPr="00037D1F" w:rsidRDefault="004961A6">
      <w:pPr>
        <w:rPr>
          <w:rFonts w:ascii="Arial" w:hAnsi="Arial" w:cs="Arial"/>
        </w:rPr>
      </w:pPr>
    </w:p>
    <w:p w14:paraId="29B4D2A4" w14:textId="77777777" w:rsidR="004961A6" w:rsidRPr="00037D1F" w:rsidRDefault="004961A6">
      <w:pPr>
        <w:rPr>
          <w:rFonts w:ascii="Arial" w:hAnsi="Arial" w:cs="Arial"/>
        </w:rPr>
      </w:pPr>
    </w:p>
    <w:p w14:paraId="6E377FF6" w14:textId="77777777" w:rsidR="004961A6" w:rsidRPr="00037D1F" w:rsidRDefault="004961A6">
      <w:pPr>
        <w:rPr>
          <w:rFonts w:ascii="Arial" w:hAnsi="Arial" w:cs="Arial"/>
        </w:rPr>
      </w:pPr>
    </w:p>
    <w:p w14:paraId="21EBA642" w14:textId="77777777" w:rsidR="004961A6" w:rsidRPr="00037D1F" w:rsidRDefault="004961A6">
      <w:pPr>
        <w:rPr>
          <w:rFonts w:ascii="Arial" w:hAnsi="Arial" w:cs="Arial"/>
        </w:rPr>
      </w:pPr>
    </w:p>
    <w:p w14:paraId="47A007A4" w14:textId="77777777" w:rsidR="004961A6" w:rsidRPr="00037D1F" w:rsidRDefault="004961A6">
      <w:pPr>
        <w:rPr>
          <w:rFonts w:ascii="Arial" w:hAnsi="Arial" w:cs="Arial"/>
        </w:rPr>
      </w:pPr>
    </w:p>
    <w:p w14:paraId="21B986C7" w14:textId="77777777" w:rsidR="004961A6" w:rsidRPr="00037D1F" w:rsidRDefault="004961A6">
      <w:pPr>
        <w:rPr>
          <w:rFonts w:ascii="Arial" w:hAnsi="Arial" w:cs="Arial"/>
        </w:rPr>
      </w:pPr>
    </w:p>
    <w:p w14:paraId="372C3025" w14:textId="77777777" w:rsidR="004961A6" w:rsidRPr="00037D1F" w:rsidRDefault="004961A6">
      <w:pPr>
        <w:rPr>
          <w:rFonts w:ascii="Arial" w:hAnsi="Arial" w:cs="Arial"/>
        </w:rPr>
      </w:pPr>
    </w:p>
    <w:p w14:paraId="68C14C8C" w14:textId="77777777" w:rsidR="004961A6" w:rsidRPr="00037D1F" w:rsidRDefault="004961A6">
      <w:pPr>
        <w:rPr>
          <w:rFonts w:ascii="Arial" w:hAnsi="Arial" w:cs="Arial"/>
        </w:rPr>
      </w:pPr>
    </w:p>
    <w:p w14:paraId="28650B30" w14:textId="77777777" w:rsidR="004961A6" w:rsidRPr="00037D1F" w:rsidRDefault="004961A6">
      <w:pPr>
        <w:rPr>
          <w:rFonts w:ascii="Arial" w:hAnsi="Arial" w:cs="Arial"/>
        </w:rPr>
      </w:pPr>
    </w:p>
    <w:p w14:paraId="6D9ED82F" w14:textId="77777777" w:rsidR="004961A6" w:rsidRPr="00037D1F" w:rsidRDefault="004961A6">
      <w:pPr>
        <w:rPr>
          <w:rFonts w:ascii="Arial" w:hAnsi="Arial" w:cs="Arial"/>
        </w:rPr>
      </w:pPr>
    </w:p>
    <w:p w14:paraId="1BABCA55" w14:textId="77777777" w:rsidR="00E33BE1" w:rsidRPr="00037D1F" w:rsidRDefault="00E33BE1">
      <w:pPr>
        <w:rPr>
          <w:rFonts w:ascii="Arial" w:hAnsi="Arial" w:cs="Arial"/>
        </w:rPr>
      </w:pPr>
    </w:p>
    <w:p w14:paraId="165F2727" w14:textId="77777777" w:rsidR="00037D1F" w:rsidRDefault="00037D1F">
      <w:pPr>
        <w:rPr>
          <w:rFonts w:ascii="Arial" w:hAnsi="Arial" w:cs="Arial"/>
          <w:u w:val="single"/>
        </w:rPr>
      </w:pPr>
    </w:p>
    <w:p w14:paraId="1DDBE8E5" w14:textId="77777777" w:rsidR="00037D1F" w:rsidRDefault="00037D1F">
      <w:pPr>
        <w:rPr>
          <w:rFonts w:ascii="Arial" w:hAnsi="Arial" w:cs="Arial"/>
          <w:u w:val="single"/>
        </w:rPr>
      </w:pPr>
    </w:p>
    <w:p w14:paraId="58CF2319" w14:textId="5B6DC999" w:rsidR="003D2EAF" w:rsidRPr="00037D1F" w:rsidRDefault="003D2EAF">
      <w:pPr>
        <w:rPr>
          <w:rFonts w:ascii="Arial" w:hAnsi="Arial" w:cs="Arial"/>
          <w:u w:val="single"/>
        </w:rPr>
      </w:pPr>
      <w:r w:rsidRPr="00037D1F">
        <w:rPr>
          <w:rFonts w:ascii="Arial" w:hAnsi="Arial" w:cs="Arial"/>
          <w:u w:val="single"/>
        </w:rPr>
        <w:lastRenderedPageBreak/>
        <w:t>Intro</w:t>
      </w:r>
      <w:r w:rsidR="00013BF4" w:rsidRPr="00037D1F">
        <w:rPr>
          <w:rFonts w:ascii="Arial" w:hAnsi="Arial" w:cs="Arial"/>
          <w:u w:val="single"/>
        </w:rPr>
        <w:t>duction</w:t>
      </w:r>
    </w:p>
    <w:p w14:paraId="659B60EF" w14:textId="4975E1FD" w:rsidR="007E333E" w:rsidRPr="00037D1F" w:rsidRDefault="007E333E">
      <w:pPr>
        <w:rPr>
          <w:rFonts w:ascii="Arial" w:hAnsi="Arial" w:cs="Arial"/>
        </w:rPr>
      </w:pPr>
      <w:r w:rsidRPr="00037D1F">
        <w:rPr>
          <w:rFonts w:ascii="Arial" w:hAnsi="Arial" w:cs="Arial"/>
        </w:rPr>
        <w:t xml:space="preserve">This assignment will critically reflect on the actions, impacts, and the evidence based on one aspect of School X’s </w:t>
      </w:r>
      <w:r w:rsidR="007D5850" w:rsidRPr="00037D1F">
        <w:rPr>
          <w:rFonts w:ascii="Arial" w:hAnsi="Arial" w:cs="Arial"/>
        </w:rPr>
        <w:t xml:space="preserve">departmental </w:t>
      </w:r>
      <w:r w:rsidRPr="00037D1F">
        <w:rPr>
          <w:rFonts w:ascii="Arial" w:hAnsi="Arial" w:cs="Arial"/>
        </w:rPr>
        <w:t>school development plan, specifically targeting the objective of improving outcomes and raising standards for boys</w:t>
      </w:r>
      <w:r w:rsidR="007D5850" w:rsidRPr="00037D1F">
        <w:rPr>
          <w:rFonts w:ascii="Arial" w:hAnsi="Arial" w:cs="Arial"/>
        </w:rPr>
        <w:t>. The decision to focus on this specific aspect stems from the recognition of a persistent gender-specific attainment gap within the school, particularly evident in data analysis indicating differences in academic achievement between male and female students.</w:t>
      </w:r>
      <w:r w:rsidR="00BC73C1" w:rsidRPr="00037D1F">
        <w:rPr>
          <w:rFonts w:ascii="Arial" w:hAnsi="Arial" w:cs="Arial"/>
        </w:rPr>
        <w:t xml:space="preserve"> School X serves a diverse range of students from the area and surrounding areas, encompassing a range of socio-economic backgrounds. The school has approximately 1,3</w:t>
      </w:r>
      <w:r w:rsidR="00123028" w:rsidRPr="00037D1F">
        <w:rPr>
          <w:rFonts w:ascii="Arial" w:hAnsi="Arial" w:cs="Arial"/>
        </w:rPr>
        <w:t>91</w:t>
      </w:r>
      <w:r w:rsidR="00BC73C1" w:rsidRPr="00037D1F">
        <w:rPr>
          <w:rFonts w:ascii="Arial" w:hAnsi="Arial" w:cs="Arial"/>
        </w:rPr>
        <w:t xml:space="preserve"> students. Despite School X’s commitment to providing equal opportunities for all students, data analysis; both quantitative and qualitative, have revealed a persistent attainment gap between male and female students. Recognising this disparity as a pressing concern, School X has prioritised target strategies to address the specific needs of male students, aiming to enhance their academic performance and overall educational experience. The aim of this assignment is to elucidate how school development plans work, how objectives are decided, and discussing how the chosen aspect is/will be tackled. Through evidence-based framework and a literature review, this assignment will delve into the implementation and outcomes of initiatives undertaken by School X to fulfil this strategic aspect.</w:t>
      </w:r>
    </w:p>
    <w:p w14:paraId="5AAFFBF3" w14:textId="77777777" w:rsidR="00BC73C1" w:rsidRPr="00037D1F" w:rsidRDefault="00BC73C1">
      <w:pPr>
        <w:rPr>
          <w:rFonts w:ascii="Arial" w:hAnsi="Arial" w:cs="Arial"/>
        </w:rPr>
      </w:pPr>
    </w:p>
    <w:p w14:paraId="7AF4BCF4" w14:textId="61F55C57" w:rsidR="00BC73C1" w:rsidRPr="00037D1F" w:rsidRDefault="00BC73C1" w:rsidP="0019712F">
      <w:pPr>
        <w:rPr>
          <w:rFonts w:ascii="Arial" w:hAnsi="Arial" w:cs="Arial"/>
          <w:u w:val="single"/>
        </w:rPr>
      </w:pPr>
      <w:r w:rsidRPr="00037D1F">
        <w:rPr>
          <w:rFonts w:ascii="Arial" w:hAnsi="Arial" w:cs="Arial"/>
          <w:u w:val="single"/>
        </w:rPr>
        <w:t xml:space="preserve">Literature </w:t>
      </w:r>
      <w:r w:rsidR="00013BF4" w:rsidRPr="00037D1F">
        <w:rPr>
          <w:rFonts w:ascii="Arial" w:hAnsi="Arial" w:cs="Arial"/>
          <w:u w:val="single"/>
        </w:rPr>
        <w:t>Review</w:t>
      </w:r>
    </w:p>
    <w:p w14:paraId="23D81AC7" w14:textId="5488C5B9" w:rsidR="0019712F" w:rsidRPr="00037D1F" w:rsidRDefault="0019712F" w:rsidP="0019712F">
      <w:pPr>
        <w:rPr>
          <w:rFonts w:ascii="Arial" w:hAnsi="Arial" w:cs="Arial"/>
        </w:rPr>
      </w:pPr>
      <w:r w:rsidRPr="00037D1F">
        <w:rPr>
          <w:rFonts w:ascii="Arial" w:hAnsi="Arial" w:cs="Arial"/>
        </w:rPr>
        <w:t>In the context of Welsh education, the process of school development is underpinned by various theoretical frameworks and policies outlined by the Welsh Government. One such framework is the National Professional Learning Model (NPLM), which emphasises collaborative learning communities and continuous professional development for educators (Welsh Government, 2017). Additionally, the National Mission for Education in Wales emphasises the importance of equity, excellence, and well-being in shaping school development initiatives (Welsh Government, 2017). Within this framework, the Curriculum for Wales (Welsh Government, 2022) serves as a guiding document, emphasising the principles of progression, coherence, and relevance in curriculum design. Understanding these theoretical</w:t>
      </w:r>
      <w:r w:rsidR="00914EA4" w:rsidRPr="00037D1F">
        <w:rPr>
          <w:rFonts w:ascii="Arial" w:hAnsi="Arial" w:cs="Arial"/>
        </w:rPr>
        <w:t xml:space="preserve"> </w:t>
      </w:r>
      <w:r w:rsidR="00FE0B3C" w:rsidRPr="00037D1F">
        <w:rPr>
          <w:rFonts w:ascii="Arial" w:hAnsi="Arial" w:cs="Arial"/>
        </w:rPr>
        <w:t>foundations</w:t>
      </w:r>
      <w:r w:rsidR="00914EA4" w:rsidRPr="00037D1F">
        <w:rPr>
          <w:rFonts w:ascii="Arial" w:hAnsi="Arial" w:cs="Arial"/>
        </w:rPr>
        <w:t xml:space="preserve"> is crucial for informing effective school development processes, ensuring alignment with national educational priorities and the specific needs of learners within the Welsh context.</w:t>
      </w:r>
    </w:p>
    <w:p w14:paraId="1844E17B" w14:textId="44BB2F02" w:rsidR="00642E91" w:rsidRPr="00037D1F" w:rsidRDefault="00D55013">
      <w:pPr>
        <w:rPr>
          <w:rFonts w:ascii="Arial" w:hAnsi="Arial" w:cs="Arial"/>
        </w:rPr>
      </w:pPr>
      <w:r w:rsidRPr="00037D1F">
        <w:rPr>
          <w:rFonts w:ascii="Arial" w:hAnsi="Arial" w:cs="Arial"/>
        </w:rPr>
        <w:t xml:space="preserve">School improvement and development plans serve as vital instruments for advancing educational quality and student outcomes, aligning with the educational vision set forth by the Welsh Government and the principles outlined in the Curriculum for Wales. Within the field of educational scholarship, several foundational concepts emerge as central </w:t>
      </w:r>
      <w:r w:rsidR="00793E26" w:rsidRPr="00037D1F">
        <w:rPr>
          <w:rFonts w:ascii="Arial" w:hAnsi="Arial" w:cs="Arial"/>
        </w:rPr>
        <w:t>ideas</w:t>
      </w:r>
      <w:r w:rsidRPr="00037D1F">
        <w:rPr>
          <w:rFonts w:ascii="Arial" w:hAnsi="Arial" w:cs="Arial"/>
        </w:rPr>
        <w:t xml:space="preserve"> of these plans.</w:t>
      </w:r>
    </w:p>
    <w:p w14:paraId="682A5046" w14:textId="677596FE" w:rsidR="00642E91" w:rsidRPr="00037D1F" w:rsidRDefault="001A5BD0">
      <w:pPr>
        <w:rPr>
          <w:rFonts w:ascii="Arial" w:hAnsi="Arial" w:cs="Arial"/>
        </w:rPr>
      </w:pPr>
      <w:r w:rsidRPr="00037D1F">
        <w:rPr>
          <w:rFonts w:ascii="Arial" w:hAnsi="Arial" w:cs="Arial"/>
        </w:rPr>
        <w:t>Strategic</w:t>
      </w:r>
      <w:r w:rsidR="00642E91" w:rsidRPr="00037D1F">
        <w:rPr>
          <w:rFonts w:ascii="Arial" w:hAnsi="Arial" w:cs="Arial"/>
        </w:rPr>
        <w:t xml:space="preserve"> planning forms the cornerstone of school improvement initiatives, </w:t>
      </w:r>
      <w:r w:rsidR="00793E26" w:rsidRPr="00037D1F">
        <w:rPr>
          <w:rFonts w:ascii="Arial" w:hAnsi="Arial" w:cs="Arial"/>
        </w:rPr>
        <w:t>reiterating</w:t>
      </w:r>
      <w:r w:rsidR="00642E91" w:rsidRPr="00037D1F">
        <w:rPr>
          <w:rFonts w:ascii="Arial" w:hAnsi="Arial" w:cs="Arial"/>
        </w:rPr>
        <w:t xml:space="preserve"> the strategic direction set by the Welsh </w:t>
      </w:r>
      <w:r w:rsidRPr="00037D1F">
        <w:rPr>
          <w:rFonts w:ascii="Arial" w:hAnsi="Arial" w:cs="Arial"/>
        </w:rPr>
        <w:t>government</w:t>
      </w:r>
      <w:r w:rsidR="00642E91" w:rsidRPr="00037D1F">
        <w:rPr>
          <w:rFonts w:ascii="Arial" w:hAnsi="Arial" w:cs="Arial"/>
        </w:rPr>
        <w:t xml:space="preserve"> for </w:t>
      </w:r>
      <w:r w:rsidRPr="00037D1F">
        <w:rPr>
          <w:rFonts w:ascii="Arial" w:hAnsi="Arial" w:cs="Arial"/>
        </w:rPr>
        <w:t>educational institutions (Welsh Government, 2017)</w:t>
      </w:r>
      <w:r w:rsidR="00B46623" w:rsidRPr="00037D1F">
        <w:rPr>
          <w:rFonts w:ascii="Arial" w:hAnsi="Arial" w:cs="Arial"/>
        </w:rPr>
        <w:t xml:space="preserve">. </w:t>
      </w:r>
      <w:r w:rsidR="00D55013" w:rsidRPr="00037D1F">
        <w:rPr>
          <w:rFonts w:ascii="Arial" w:hAnsi="Arial" w:cs="Arial"/>
        </w:rPr>
        <w:t>While strategic planning is crucial for school improvement, its effectiveness may be hindered by top-down approaches that fail to incorporate the voices of all stakeholders. Donaldson’s “Successful</w:t>
      </w:r>
      <w:r w:rsidR="00B9470A" w:rsidRPr="00037D1F">
        <w:rPr>
          <w:rFonts w:ascii="Arial" w:hAnsi="Arial" w:cs="Arial"/>
        </w:rPr>
        <w:t xml:space="preserve"> Futures” report (2015) advocates for a more inclusive and participatory approach to strategic planning, emphasising the importance of engaging teachers, students, and community members in decision-making processes.</w:t>
      </w:r>
      <w:r w:rsidR="00E04DCD" w:rsidRPr="00037D1F">
        <w:rPr>
          <w:rFonts w:ascii="Arial" w:hAnsi="Arial" w:cs="Arial"/>
        </w:rPr>
        <w:t xml:space="preserve"> Moreover, some scholars argue that strategic plans often lack flexibility to adapt to changing circumstances, leading to implementation challenges and limited success (Spillane et al., 2002).</w:t>
      </w:r>
    </w:p>
    <w:p w14:paraId="10C6D2D6" w14:textId="536C49B3" w:rsidR="00B46623" w:rsidRPr="00037D1F" w:rsidRDefault="00B46623">
      <w:pPr>
        <w:rPr>
          <w:rFonts w:ascii="Arial" w:hAnsi="Arial" w:cs="Arial"/>
        </w:rPr>
      </w:pPr>
      <w:r w:rsidRPr="00037D1F">
        <w:rPr>
          <w:rFonts w:ascii="Arial" w:hAnsi="Arial" w:cs="Arial"/>
        </w:rPr>
        <w:lastRenderedPageBreak/>
        <w:t xml:space="preserve">Data-informed decision making constitutes </w:t>
      </w:r>
      <w:r w:rsidR="00B1053A" w:rsidRPr="00037D1F">
        <w:rPr>
          <w:rFonts w:ascii="Arial" w:hAnsi="Arial" w:cs="Arial"/>
        </w:rPr>
        <w:t xml:space="preserve">a fundamental aspect of effective school improvement efforts, echoing the emphasis on evidence-based practice within the </w:t>
      </w:r>
      <w:r w:rsidR="00CD3E97" w:rsidRPr="00037D1F">
        <w:rPr>
          <w:rFonts w:ascii="Arial" w:hAnsi="Arial" w:cs="Arial"/>
        </w:rPr>
        <w:t>Curriculum</w:t>
      </w:r>
      <w:r w:rsidR="00B1053A" w:rsidRPr="00037D1F">
        <w:rPr>
          <w:rFonts w:ascii="Arial" w:hAnsi="Arial" w:cs="Arial"/>
        </w:rPr>
        <w:t xml:space="preserve"> for Wales (Welsh Government, 2022)</w:t>
      </w:r>
      <w:r w:rsidR="00CD3E97" w:rsidRPr="00037D1F">
        <w:rPr>
          <w:rFonts w:ascii="Arial" w:hAnsi="Arial" w:cs="Arial"/>
        </w:rPr>
        <w:t>.</w:t>
      </w:r>
      <w:r w:rsidR="008B1583" w:rsidRPr="00037D1F">
        <w:rPr>
          <w:rFonts w:ascii="Arial" w:hAnsi="Arial" w:cs="Arial"/>
        </w:rPr>
        <w:t xml:space="preserve"> While data analysis is essential for identifying areas for improvement, there is a need to critically examine the types of data collected</w:t>
      </w:r>
      <w:r w:rsidR="001A61DB" w:rsidRPr="00037D1F">
        <w:rPr>
          <w:rFonts w:ascii="Arial" w:hAnsi="Arial" w:cs="Arial"/>
        </w:rPr>
        <w:t xml:space="preserve"> and how they are interpreted. Donaldson (2015) highlights the importance of a broad and balanced curriculum that goes beyond narrow measures of student achievement, suggesting that schools should consider a wider range of qualitative and quantitative data to assess progress. Additionally, scholars caution against overreliance on standardised testing data, which may not fully capture students’ diverse talents and capabilities (Popham, 2007).</w:t>
      </w:r>
    </w:p>
    <w:p w14:paraId="00060501" w14:textId="4885FE0E" w:rsidR="00CD3E97" w:rsidRPr="00037D1F" w:rsidRDefault="00CD3E97">
      <w:pPr>
        <w:rPr>
          <w:rFonts w:ascii="Arial" w:hAnsi="Arial" w:cs="Arial"/>
        </w:rPr>
      </w:pPr>
      <w:r w:rsidRPr="00037D1F">
        <w:rPr>
          <w:rFonts w:ascii="Arial" w:hAnsi="Arial" w:cs="Arial"/>
        </w:rPr>
        <w:t>Continuous professional development emerges as a cornerstone of school improvement plans, mirroring the commitment to ongoing educator learning articulated by the Welsh Government (Welsh Government, 2017). Desimone (2009) highlights the significance of professional learning opportunities in enhancing teaching effectiveness and fostering pedagogical innovation, in harmony with the Curriculum’s emphasis on teacher professionalism and pedagogical excellence.</w:t>
      </w:r>
      <w:r w:rsidR="00E2085C" w:rsidRPr="00037D1F">
        <w:rPr>
          <w:rFonts w:ascii="Arial" w:hAnsi="Arial" w:cs="Arial"/>
        </w:rPr>
        <w:t xml:space="preserve"> While professional learning opportunities are vi</w:t>
      </w:r>
      <w:r w:rsidR="00F806FD" w:rsidRPr="00037D1F">
        <w:rPr>
          <w:rFonts w:ascii="Arial" w:hAnsi="Arial" w:cs="Arial"/>
        </w:rPr>
        <w:t>t</w:t>
      </w:r>
      <w:r w:rsidR="00E2085C" w:rsidRPr="00037D1F">
        <w:rPr>
          <w:rFonts w:ascii="Arial" w:hAnsi="Arial" w:cs="Arial"/>
        </w:rPr>
        <w:t xml:space="preserve">al for enhancing teaching practice, the quality and relevance of these opportunities vary widely. Donaldson’s (2015) report </w:t>
      </w:r>
      <w:r w:rsidR="00B9797D" w:rsidRPr="00037D1F">
        <w:rPr>
          <w:rFonts w:ascii="Arial" w:hAnsi="Arial" w:cs="Arial"/>
        </w:rPr>
        <w:t>emphasises the need for ongoing professional</w:t>
      </w:r>
      <w:r w:rsidR="00E13A85" w:rsidRPr="00037D1F">
        <w:rPr>
          <w:rFonts w:ascii="Arial" w:hAnsi="Arial" w:cs="Arial"/>
        </w:rPr>
        <w:t xml:space="preserve"> learning that is tailored to the specific needs of teachers and aligned with the principles of </w:t>
      </w:r>
      <w:r w:rsidR="00AE3738" w:rsidRPr="00037D1F">
        <w:rPr>
          <w:rFonts w:ascii="Arial" w:hAnsi="Arial" w:cs="Arial"/>
        </w:rPr>
        <w:t xml:space="preserve">the new curriculum. Moreover, </w:t>
      </w:r>
      <w:r w:rsidR="00DE0553" w:rsidRPr="00037D1F">
        <w:rPr>
          <w:rFonts w:ascii="Arial" w:hAnsi="Arial" w:cs="Arial"/>
        </w:rPr>
        <w:t>scholars argue that professional development should extend beyond individual teachers to foster collaborative learning communities within schools (Hargreaves &amp; Fullan, 2012).</w:t>
      </w:r>
      <w:r w:rsidR="002A2D16" w:rsidRPr="00037D1F">
        <w:rPr>
          <w:rFonts w:ascii="Arial" w:hAnsi="Arial" w:cs="Arial"/>
        </w:rPr>
        <w:t xml:space="preserve"> </w:t>
      </w:r>
    </w:p>
    <w:p w14:paraId="3C75629F" w14:textId="35CA31D2" w:rsidR="00CD3E97" w:rsidRPr="00037D1F" w:rsidRDefault="005F4208">
      <w:pPr>
        <w:rPr>
          <w:rFonts w:ascii="Arial" w:hAnsi="Arial" w:cs="Arial"/>
        </w:rPr>
      </w:pPr>
      <w:r w:rsidRPr="00037D1F">
        <w:rPr>
          <w:rFonts w:ascii="Arial" w:hAnsi="Arial" w:cs="Arial"/>
        </w:rPr>
        <w:t>Accountability and evaluation mechanisms are integral components of school improvement plans, reflecting the Welsh Government’s commitment to accoun</w:t>
      </w:r>
      <w:r w:rsidR="00B17E5F" w:rsidRPr="00037D1F">
        <w:rPr>
          <w:rFonts w:ascii="Arial" w:hAnsi="Arial" w:cs="Arial"/>
        </w:rPr>
        <w:t>tability in education (Welsh Government, 2017).</w:t>
      </w:r>
      <w:r w:rsidR="00F806FD" w:rsidRPr="00037D1F">
        <w:rPr>
          <w:rFonts w:ascii="Arial" w:hAnsi="Arial" w:cs="Arial"/>
        </w:rPr>
        <w:t xml:space="preserve"> While accountability mechanisms are essential</w:t>
      </w:r>
      <w:r w:rsidR="006F1AF3" w:rsidRPr="00037D1F">
        <w:rPr>
          <w:rFonts w:ascii="Arial" w:hAnsi="Arial" w:cs="Arial"/>
        </w:rPr>
        <w:t xml:space="preserve"> for monitoring progress, there is a risk of unintended consequences such as teaching to the test and narrowing of the curriculum. Donaldson (2015) suggests a shift towards a more holistic and formative approach to assessment, </w:t>
      </w:r>
      <w:r w:rsidR="006F090E" w:rsidRPr="00037D1F">
        <w:rPr>
          <w:rFonts w:ascii="Arial" w:hAnsi="Arial" w:cs="Arial"/>
        </w:rPr>
        <w:t>focusing</w:t>
      </w:r>
      <w:r w:rsidR="006F1AF3" w:rsidRPr="00037D1F">
        <w:rPr>
          <w:rFonts w:ascii="Arial" w:hAnsi="Arial" w:cs="Arial"/>
        </w:rPr>
        <w:t xml:space="preserve"> on ongoing feedback and improvement rather than high-stakes testing. Additionally, </w:t>
      </w:r>
      <w:r w:rsidR="0079345A" w:rsidRPr="00037D1F">
        <w:rPr>
          <w:rFonts w:ascii="Arial" w:hAnsi="Arial" w:cs="Arial"/>
        </w:rPr>
        <w:t>there are scholars that advocate for the use of multiple measures of assessment to capture</w:t>
      </w:r>
      <w:r w:rsidR="006F090E" w:rsidRPr="00037D1F">
        <w:rPr>
          <w:rFonts w:ascii="Arial" w:hAnsi="Arial" w:cs="Arial"/>
        </w:rPr>
        <w:t xml:space="preserve"> the complexity of student learning (Stiggings, 2005)</w:t>
      </w:r>
      <w:r w:rsidR="0067000A" w:rsidRPr="00037D1F">
        <w:rPr>
          <w:rFonts w:ascii="Arial" w:hAnsi="Arial" w:cs="Arial"/>
        </w:rPr>
        <w:t>.</w:t>
      </w:r>
    </w:p>
    <w:p w14:paraId="063F50B1" w14:textId="217427A2" w:rsidR="006F090E" w:rsidRPr="00037D1F" w:rsidRDefault="006F090E">
      <w:pPr>
        <w:rPr>
          <w:rFonts w:ascii="Arial" w:hAnsi="Arial" w:cs="Arial"/>
        </w:rPr>
      </w:pPr>
      <w:r w:rsidRPr="00037D1F">
        <w:rPr>
          <w:rFonts w:ascii="Arial" w:hAnsi="Arial" w:cs="Arial"/>
        </w:rPr>
        <w:t>Moreover, comm</w:t>
      </w:r>
      <w:r w:rsidR="0067000A" w:rsidRPr="00037D1F">
        <w:rPr>
          <w:rFonts w:ascii="Arial" w:hAnsi="Arial" w:cs="Arial"/>
        </w:rPr>
        <w:t>unity and stakeholder engagement feature prominently in inclusive school improvement efforts, echoing the Welsh Government’s emphasis</w:t>
      </w:r>
      <w:r w:rsidR="002E7ABA" w:rsidRPr="00037D1F">
        <w:rPr>
          <w:rFonts w:ascii="Arial" w:hAnsi="Arial" w:cs="Arial"/>
        </w:rPr>
        <w:t xml:space="preserve"> on collaboration and partnership in education</w:t>
      </w:r>
      <w:r w:rsidR="004B57A3" w:rsidRPr="00037D1F">
        <w:rPr>
          <w:rFonts w:ascii="Arial" w:hAnsi="Arial" w:cs="Arial"/>
        </w:rPr>
        <w:t xml:space="preserve"> (Welsh Government, 2017). By involving parents, community</w:t>
      </w:r>
      <w:r w:rsidR="00D54597" w:rsidRPr="00037D1F">
        <w:rPr>
          <w:rFonts w:ascii="Arial" w:hAnsi="Arial" w:cs="Arial"/>
        </w:rPr>
        <w:t xml:space="preserve"> members, and local organisations, schools align with the Curriculum’s vision of education as a shared responsibility, enriching the relevance and sustainability of improvement initiatives.</w:t>
      </w:r>
      <w:r w:rsidR="00C340BB" w:rsidRPr="00037D1F">
        <w:rPr>
          <w:rFonts w:ascii="Arial" w:hAnsi="Arial" w:cs="Arial"/>
        </w:rPr>
        <w:t xml:space="preserve"> However, while community engagement is crucial for building trust and collaboration</w:t>
      </w:r>
      <w:r w:rsidR="00182FF8" w:rsidRPr="00037D1F">
        <w:rPr>
          <w:rFonts w:ascii="Arial" w:hAnsi="Arial" w:cs="Arial"/>
        </w:rPr>
        <w:t xml:space="preserve">, it can also pose challenges in terms of power dynamics and representation. Donaldson’s (2015) report emphasises the importance of meaningful partnerships between schools, families, and communities, rooted in mutual respect and shared decision-making. However, scholars </w:t>
      </w:r>
      <w:r w:rsidR="00EF0FEE" w:rsidRPr="00037D1F">
        <w:rPr>
          <w:rFonts w:ascii="Arial" w:hAnsi="Arial" w:cs="Arial"/>
        </w:rPr>
        <w:t>caution</w:t>
      </w:r>
      <w:r w:rsidR="00182FF8" w:rsidRPr="00037D1F">
        <w:rPr>
          <w:rFonts w:ascii="Arial" w:hAnsi="Arial" w:cs="Arial"/>
        </w:rPr>
        <w:t xml:space="preserve"> against </w:t>
      </w:r>
      <w:r w:rsidR="00EF0FEE" w:rsidRPr="00037D1F">
        <w:rPr>
          <w:rFonts w:ascii="Arial" w:hAnsi="Arial" w:cs="Arial"/>
        </w:rPr>
        <w:t>tokenistic</w:t>
      </w:r>
      <w:r w:rsidR="00182FF8" w:rsidRPr="00037D1F">
        <w:rPr>
          <w:rFonts w:ascii="Arial" w:hAnsi="Arial" w:cs="Arial"/>
        </w:rPr>
        <w:t xml:space="preserve"> forms of engagement that fail to empower marginalised voices and address systemic</w:t>
      </w:r>
      <w:r w:rsidR="00EF0FEE" w:rsidRPr="00037D1F">
        <w:rPr>
          <w:rFonts w:ascii="Arial" w:hAnsi="Arial" w:cs="Arial"/>
        </w:rPr>
        <w:t xml:space="preserve"> inequities (Gaventa &amp; Cornwall, 2006).</w:t>
      </w:r>
    </w:p>
    <w:p w14:paraId="4EF35266" w14:textId="74BB7223" w:rsidR="005717A0" w:rsidRPr="00037D1F" w:rsidRDefault="005717A0">
      <w:pPr>
        <w:rPr>
          <w:rFonts w:ascii="Arial" w:hAnsi="Arial" w:cs="Arial"/>
        </w:rPr>
      </w:pPr>
      <w:r w:rsidRPr="00037D1F">
        <w:rPr>
          <w:rFonts w:ascii="Arial" w:hAnsi="Arial" w:cs="Arial"/>
        </w:rPr>
        <w:t xml:space="preserve">In critically analysing these key ideas, it becomes </w:t>
      </w:r>
      <w:r w:rsidR="00947F8A" w:rsidRPr="00037D1F">
        <w:rPr>
          <w:rFonts w:ascii="Arial" w:hAnsi="Arial" w:cs="Arial"/>
        </w:rPr>
        <w:t>evident</w:t>
      </w:r>
      <w:r w:rsidRPr="00037D1F">
        <w:rPr>
          <w:rFonts w:ascii="Arial" w:hAnsi="Arial" w:cs="Arial"/>
        </w:rPr>
        <w:t xml:space="preserve"> that while they form the foundation of school improvement efforts, there are complexities and nuances that require careful consideration. By engaging with additional literature and frameworks such as Donaldson’s  “Successful Futures” report and insights from curriculum scholars, </w:t>
      </w:r>
      <w:r w:rsidR="00947F8A" w:rsidRPr="00037D1F">
        <w:rPr>
          <w:rFonts w:ascii="Arial" w:hAnsi="Arial" w:cs="Arial"/>
        </w:rPr>
        <w:t xml:space="preserve">there is an opportunity </w:t>
      </w:r>
      <w:r w:rsidR="00821205" w:rsidRPr="00037D1F">
        <w:rPr>
          <w:rFonts w:ascii="Arial" w:hAnsi="Arial" w:cs="Arial"/>
        </w:rPr>
        <w:t>to deepen the understanding of these key ideas and their implications for educational practice in Wales.</w:t>
      </w:r>
    </w:p>
    <w:p w14:paraId="6859224E" w14:textId="1DF33FF6" w:rsidR="004D3A32" w:rsidRPr="00037D1F" w:rsidRDefault="00A8311A">
      <w:pPr>
        <w:rPr>
          <w:rFonts w:ascii="Arial" w:hAnsi="Arial" w:cs="Arial"/>
        </w:rPr>
      </w:pPr>
      <w:r w:rsidRPr="00037D1F">
        <w:rPr>
          <w:rFonts w:ascii="Arial" w:hAnsi="Arial" w:cs="Arial"/>
        </w:rPr>
        <w:t>As the assignment focuses on the aspect ‘to improve outcomes and raise standards for boys’, it is important to consider the literature</w:t>
      </w:r>
      <w:r w:rsidR="00BD21BE" w:rsidRPr="00037D1F">
        <w:rPr>
          <w:rFonts w:ascii="Arial" w:hAnsi="Arial" w:cs="Arial"/>
        </w:rPr>
        <w:t xml:space="preserve"> that supports this </w:t>
      </w:r>
      <w:r w:rsidR="00B14C2E" w:rsidRPr="00037D1F">
        <w:rPr>
          <w:rFonts w:ascii="Arial" w:hAnsi="Arial" w:cs="Arial"/>
        </w:rPr>
        <w:t xml:space="preserve">objective within School X’s </w:t>
      </w:r>
      <w:r w:rsidR="00B14C2E" w:rsidRPr="00037D1F">
        <w:rPr>
          <w:rFonts w:ascii="Arial" w:hAnsi="Arial" w:cs="Arial"/>
        </w:rPr>
        <w:lastRenderedPageBreak/>
        <w:t>departmental development plan</w:t>
      </w:r>
      <w:r w:rsidR="00D447A0" w:rsidRPr="00037D1F">
        <w:rPr>
          <w:rFonts w:ascii="Arial" w:hAnsi="Arial" w:cs="Arial"/>
        </w:rPr>
        <w:t>. In addressing the imperative to improve outcomes and raise standards for boys in education, Welsh educational discourse has increasingly emphasised the need for targeted interventions to address the persistent</w:t>
      </w:r>
      <w:r w:rsidR="00052CE3" w:rsidRPr="00037D1F">
        <w:rPr>
          <w:rFonts w:ascii="Arial" w:hAnsi="Arial" w:cs="Arial"/>
        </w:rPr>
        <w:t xml:space="preserve"> gender gap in academic achievement. Research conducted by the Education Policy Institute</w:t>
      </w:r>
      <w:r w:rsidR="008E2E3B" w:rsidRPr="00037D1F">
        <w:rPr>
          <w:rFonts w:ascii="Arial" w:hAnsi="Arial" w:cs="Arial"/>
        </w:rPr>
        <w:t xml:space="preserve"> (EPI) in Wales underscores the significance of this issuer, revealing substantial disparities in attainment between boys and girls across</w:t>
      </w:r>
      <w:r w:rsidR="001533A0" w:rsidRPr="00037D1F">
        <w:rPr>
          <w:rFonts w:ascii="Arial" w:hAnsi="Arial" w:cs="Arial"/>
        </w:rPr>
        <w:t xml:space="preserve"> various academic subjects (Education Policy Institute, 2020). Such findings highlight the urgent need for evidence-based strategies to narrow this gap and ensure equitable outcomes for all learners</w:t>
      </w:r>
      <w:r w:rsidR="005D2A22" w:rsidRPr="00037D1F">
        <w:rPr>
          <w:rFonts w:ascii="Arial" w:hAnsi="Arial" w:cs="Arial"/>
        </w:rPr>
        <w:t>.</w:t>
      </w:r>
    </w:p>
    <w:p w14:paraId="7553E170" w14:textId="2299E936" w:rsidR="005D2A22" w:rsidRPr="00037D1F" w:rsidRDefault="005D2A22">
      <w:pPr>
        <w:rPr>
          <w:rFonts w:ascii="Arial" w:hAnsi="Arial" w:cs="Arial"/>
        </w:rPr>
      </w:pPr>
      <w:r w:rsidRPr="00037D1F">
        <w:rPr>
          <w:rFonts w:ascii="Arial" w:hAnsi="Arial" w:cs="Arial"/>
        </w:rPr>
        <w:t>A key aspect of efforts to improve outcomes for boys in Wales involves the promotion of inclusive teaching practices that cater</w:t>
      </w:r>
      <w:r w:rsidR="00DE1AA5" w:rsidRPr="00037D1F">
        <w:rPr>
          <w:rFonts w:ascii="Arial" w:hAnsi="Arial" w:cs="Arial"/>
        </w:rPr>
        <w:t xml:space="preserve"> to diverse learning needs. The Curriculum for Wales framework emphasises the importance of personalised learning experiences tailored to individual </w:t>
      </w:r>
      <w:r w:rsidR="000D6D1E" w:rsidRPr="00037D1F">
        <w:rPr>
          <w:rFonts w:ascii="Arial" w:hAnsi="Arial" w:cs="Arial"/>
        </w:rPr>
        <w:t>students’ strengths and interest (Welsh Government, 2022). By adopting a holistic approach to education that recognises and accommodates the unique needs of boys, educators can create supportive learning environments conducive to their academic success.</w:t>
      </w:r>
    </w:p>
    <w:p w14:paraId="2D2C7CE8" w14:textId="73D94586" w:rsidR="000D6D1E" w:rsidRPr="00037D1F" w:rsidRDefault="000D6D1E">
      <w:pPr>
        <w:rPr>
          <w:rFonts w:ascii="Arial" w:hAnsi="Arial" w:cs="Arial"/>
        </w:rPr>
      </w:pPr>
      <w:r w:rsidRPr="00037D1F">
        <w:rPr>
          <w:rFonts w:ascii="Arial" w:hAnsi="Arial" w:cs="Arial"/>
        </w:rPr>
        <w:t>Furthermore, initiatives such as the National Professional Learning Model (Welsh Government, 2017) provide educators with opportunities for continuous professional development focused on addressing gender disparities in education. By equipping teachers with the necessary knowledge and skills to implement evidence</w:t>
      </w:r>
      <w:r w:rsidR="00595A28" w:rsidRPr="00037D1F">
        <w:rPr>
          <w:rFonts w:ascii="Arial" w:hAnsi="Arial" w:cs="Arial"/>
        </w:rPr>
        <w:t xml:space="preserve"> - </w:t>
      </w:r>
      <w:r w:rsidR="005A4F3F" w:rsidRPr="00037D1F">
        <w:rPr>
          <w:rFonts w:ascii="Arial" w:hAnsi="Arial" w:cs="Arial"/>
        </w:rPr>
        <w:t>based</w:t>
      </w:r>
      <w:r w:rsidR="001A4C37" w:rsidRPr="00037D1F">
        <w:rPr>
          <w:rFonts w:ascii="Arial" w:hAnsi="Arial" w:cs="Arial"/>
        </w:rPr>
        <w:t xml:space="preserve"> practices that supports boys’ learning, such initiatives</w:t>
      </w:r>
      <w:r w:rsidR="00EB7026" w:rsidRPr="00037D1F">
        <w:rPr>
          <w:rFonts w:ascii="Arial" w:hAnsi="Arial" w:cs="Arial"/>
        </w:rPr>
        <w:t xml:space="preserve"> play a crucial role in driving positive change within the Welsh education system.</w:t>
      </w:r>
    </w:p>
    <w:p w14:paraId="74080DC8" w14:textId="23FC776A" w:rsidR="00EB7026" w:rsidRPr="00037D1F" w:rsidRDefault="00EB7026">
      <w:pPr>
        <w:rPr>
          <w:rFonts w:ascii="Arial" w:hAnsi="Arial" w:cs="Arial"/>
        </w:rPr>
      </w:pPr>
      <w:r w:rsidRPr="00037D1F">
        <w:rPr>
          <w:rFonts w:ascii="Arial" w:hAnsi="Arial" w:cs="Arial"/>
        </w:rPr>
        <w:t>Additionally, scholarly works such as “Learning the Hard Way: Masculinity, Place, and the Gender Gap in Education” offer critical insights into the complex interplay of gender, identity, and educational achievement within the Welsh context (</w:t>
      </w:r>
      <w:r w:rsidR="00881BD8">
        <w:rPr>
          <w:rFonts w:ascii="Arial" w:hAnsi="Arial" w:cs="Arial"/>
        </w:rPr>
        <w:t>Carter</w:t>
      </w:r>
      <w:r w:rsidRPr="00037D1F">
        <w:rPr>
          <w:rFonts w:ascii="Arial" w:hAnsi="Arial" w:cs="Arial"/>
        </w:rPr>
        <w:t>, 2015).</w:t>
      </w:r>
      <w:r w:rsidR="006549BE" w:rsidRPr="00037D1F">
        <w:rPr>
          <w:rFonts w:ascii="Arial" w:hAnsi="Arial" w:cs="Arial"/>
        </w:rPr>
        <w:t xml:space="preserve"> By examining the socio-cultural factors shaping boys’ educational experiences, </w:t>
      </w:r>
      <w:r w:rsidR="000F5D41" w:rsidRPr="00037D1F">
        <w:rPr>
          <w:rFonts w:ascii="Arial" w:hAnsi="Arial" w:cs="Arial"/>
        </w:rPr>
        <w:t>such literature informs targeted interventions aimed at improving outcomes and raising aspirations for boys in Wales.</w:t>
      </w:r>
    </w:p>
    <w:p w14:paraId="71C4437F" w14:textId="777DBF1C" w:rsidR="000F5D41" w:rsidRPr="00037D1F" w:rsidRDefault="000F5D41">
      <w:pPr>
        <w:rPr>
          <w:rFonts w:ascii="Arial" w:hAnsi="Arial" w:cs="Arial"/>
        </w:rPr>
      </w:pPr>
      <w:r w:rsidRPr="00037D1F">
        <w:rPr>
          <w:rFonts w:ascii="Arial" w:hAnsi="Arial" w:cs="Arial"/>
        </w:rPr>
        <w:t>Furthermore, studies by Connolly and Vincent (2018) have highlighted the importance of addressing socio-economic factors in understanding boys’ underachievement in education. Their research emphasises the role of poverty and social disadvantage</w:t>
      </w:r>
      <w:r w:rsidR="00B907C3" w:rsidRPr="00037D1F">
        <w:rPr>
          <w:rFonts w:ascii="Arial" w:hAnsi="Arial" w:cs="Arial"/>
        </w:rPr>
        <w:t xml:space="preserve"> in shaping educational outcomes for boys, suggesting</w:t>
      </w:r>
      <w:r w:rsidR="00126555" w:rsidRPr="00037D1F">
        <w:rPr>
          <w:rFonts w:ascii="Arial" w:hAnsi="Arial" w:cs="Arial"/>
        </w:rPr>
        <w:t xml:space="preserve"> that holistic interventions must address broader societal inequalities to effectively support boys’ academic success.</w:t>
      </w:r>
    </w:p>
    <w:p w14:paraId="25C3BE37" w14:textId="56FD11FE" w:rsidR="00126555" w:rsidRPr="00037D1F" w:rsidRDefault="00126555">
      <w:pPr>
        <w:rPr>
          <w:rFonts w:ascii="Arial" w:hAnsi="Arial" w:cs="Arial"/>
        </w:rPr>
      </w:pPr>
      <w:r w:rsidRPr="00037D1F">
        <w:rPr>
          <w:rFonts w:ascii="Arial" w:hAnsi="Arial" w:cs="Arial"/>
        </w:rPr>
        <w:t>In summary, the literature highlights the multifaceted nature of efforts to improve</w:t>
      </w:r>
      <w:r w:rsidR="004D291C" w:rsidRPr="00037D1F">
        <w:rPr>
          <w:rFonts w:ascii="Arial" w:hAnsi="Arial" w:cs="Arial"/>
        </w:rPr>
        <w:t xml:space="preserve"> outcomes and raise standards for boys</w:t>
      </w:r>
      <w:r w:rsidR="00FA716B" w:rsidRPr="00037D1F">
        <w:rPr>
          <w:rFonts w:ascii="Arial" w:hAnsi="Arial" w:cs="Arial"/>
        </w:rPr>
        <w:t xml:space="preserve"> in Welsh education, underscoring the importance of evidence-based interventions, inclusive teaching practices, and ongoing professional development initiatives tailored to address gender specific disparities and promote equitable educational outcomes.</w:t>
      </w:r>
    </w:p>
    <w:p w14:paraId="4E34C274" w14:textId="77777777" w:rsidR="00037D1F" w:rsidRDefault="00037D1F" w:rsidP="00A95C9A">
      <w:pPr>
        <w:rPr>
          <w:rFonts w:ascii="Arial" w:hAnsi="Arial" w:cs="Arial"/>
        </w:rPr>
      </w:pPr>
    </w:p>
    <w:p w14:paraId="250AC36E" w14:textId="04125432" w:rsidR="00554068" w:rsidRPr="00037D1F" w:rsidRDefault="008705F2" w:rsidP="00A95C9A">
      <w:pPr>
        <w:rPr>
          <w:rFonts w:ascii="Arial" w:hAnsi="Arial" w:cs="Arial"/>
          <w:u w:val="single"/>
        </w:rPr>
      </w:pPr>
      <w:r w:rsidRPr="00037D1F">
        <w:rPr>
          <w:rFonts w:ascii="Arial" w:hAnsi="Arial" w:cs="Arial"/>
          <w:u w:val="single"/>
        </w:rPr>
        <w:t>Developing a</w:t>
      </w:r>
      <w:r w:rsidR="00013BF4" w:rsidRPr="00037D1F">
        <w:rPr>
          <w:rFonts w:ascii="Arial" w:hAnsi="Arial" w:cs="Arial"/>
          <w:u w:val="single"/>
        </w:rPr>
        <w:t>n Action Point</w:t>
      </w:r>
    </w:p>
    <w:p w14:paraId="40B20EB9" w14:textId="388A7773" w:rsidR="00EC40CE" w:rsidRPr="00037D1F" w:rsidRDefault="004A4B5C">
      <w:pPr>
        <w:rPr>
          <w:rFonts w:ascii="Arial" w:hAnsi="Arial" w:cs="Arial"/>
        </w:rPr>
      </w:pPr>
      <w:r w:rsidRPr="00037D1F">
        <w:rPr>
          <w:rFonts w:ascii="Arial" w:hAnsi="Arial" w:cs="Arial"/>
        </w:rPr>
        <w:t>The development of an action plan within the school development framework at School X demands a critical examination of the prevailing educational landscape, particularly concerning the persistent challenges faced in raising standards and improving outcomes for boys. This section critically assesses key steps School X can take in self-evaluation, data analysis, stakeholder involvement, strategic planning, and impact measurement.</w:t>
      </w:r>
    </w:p>
    <w:p w14:paraId="52699E97" w14:textId="32316E8E" w:rsidR="004A4B5C" w:rsidRPr="00037D1F" w:rsidRDefault="004A4B5C">
      <w:pPr>
        <w:rPr>
          <w:rFonts w:ascii="Arial" w:hAnsi="Arial" w:cs="Arial"/>
        </w:rPr>
      </w:pPr>
      <w:r w:rsidRPr="00037D1F">
        <w:rPr>
          <w:rFonts w:ascii="Arial" w:hAnsi="Arial" w:cs="Arial"/>
        </w:rPr>
        <w:t xml:space="preserve">Self-evaluation is crucial for identifying areas of improvement, but School X must adopt a critical lens that goes beyond surface-level assessments. Bennett (2019) emphasises the </w:t>
      </w:r>
      <w:r w:rsidRPr="00037D1F">
        <w:rPr>
          <w:rFonts w:ascii="Arial" w:hAnsi="Arial" w:cs="Arial"/>
        </w:rPr>
        <w:lastRenderedPageBreak/>
        <w:t>need for school to interrogate deeply entrenched beliefs and practices that may perpetuate gendered inequalities in education. Therefore, School X should engage in critical self-reflection, questioning prevailing norms and assumptions about boys’ education, and challenging systemic biases that may undermine their academic success.</w:t>
      </w:r>
    </w:p>
    <w:p w14:paraId="0103FB8C" w14:textId="3318454D" w:rsidR="004A4B5C" w:rsidRPr="00037D1F" w:rsidRDefault="004A4B5C">
      <w:pPr>
        <w:rPr>
          <w:rFonts w:ascii="Arial" w:hAnsi="Arial" w:cs="Arial"/>
        </w:rPr>
      </w:pPr>
      <w:r w:rsidRPr="00037D1F">
        <w:rPr>
          <w:rFonts w:ascii="Arial" w:hAnsi="Arial" w:cs="Arial"/>
        </w:rPr>
        <w:t>Despite the widespread use of data-driven decision-making, Harris (2001) warns against the uncritical acceptance of data without considering its context and limitations. School X must critically interrogate its data, recognising that quantitative metrics alone may not capture the full complexity of boys’ educational experiences. Moreover, a critical analysis of data should include an exploration of intersectional factors such as race, class, and socio-economic status, which may intersect with gender to exacerbate disparities in educational outcomes.</w:t>
      </w:r>
    </w:p>
    <w:p w14:paraId="126087C7" w14:textId="31767533" w:rsidR="004A4B5C" w:rsidRPr="00037D1F" w:rsidRDefault="004A4B5C">
      <w:pPr>
        <w:rPr>
          <w:rFonts w:ascii="Arial" w:hAnsi="Arial" w:cs="Arial"/>
        </w:rPr>
      </w:pPr>
      <w:r w:rsidRPr="00037D1F">
        <w:rPr>
          <w:rFonts w:ascii="Arial" w:hAnsi="Arial" w:cs="Arial"/>
        </w:rPr>
        <w:t xml:space="preserve">While </w:t>
      </w:r>
      <w:r w:rsidR="0040479C" w:rsidRPr="00037D1F">
        <w:rPr>
          <w:rFonts w:ascii="Arial" w:hAnsi="Arial" w:cs="Arial"/>
        </w:rPr>
        <w:t>stakeholder</w:t>
      </w:r>
      <w:r w:rsidRPr="00037D1F">
        <w:rPr>
          <w:rFonts w:ascii="Arial" w:hAnsi="Arial" w:cs="Arial"/>
        </w:rPr>
        <w:t xml:space="preserve"> involvement is essential for </w:t>
      </w:r>
      <w:r w:rsidR="0040479C" w:rsidRPr="00037D1F">
        <w:rPr>
          <w:rFonts w:ascii="Arial" w:hAnsi="Arial" w:cs="Arial"/>
        </w:rPr>
        <w:t>fostering</w:t>
      </w:r>
      <w:r w:rsidRPr="00037D1F">
        <w:rPr>
          <w:rFonts w:ascii="Arial" w:hAnsi="Arial" w:cs="Arial"/>
        </w:rPr>
        <w:t xml:space="preserve"> collaboration, MacBeath and Mortimore (2001) </w:t>
      </w:r>
      <w:r w:rsidR="0040479C" w:rsidRPr="00037D1F">
        <w:rPr>
          <w:rFonts w:ascii="Arial" w:hAnsi="Arial" w:cs="Arial"/>
        </w:rPr>
        <w:t>caution</w:t>
      </w:r>
      <w:r w:rsidRPr="00037D1F">
        <w:rPr>
          <w:rFonts w:ascii="Arial" w:hAnsi="Arial" w:cs="Arial"/>
        </w:rPr>
        <w:t xml:space="preserve"> against tokenistic engagement that fails to address power differentials. School X must critically</w:t>
      </w:r>
      <w:r w:rsidR="00117CE0" w:rsidRPr="00037D1F">
        <w:rPr>
          <w:rFonts w:ascii="Arial" w:hAnsi="Arial" w:cs="Arial"/>
        </w:rPr>
        <w:t xml:space="preserve"> examine the dynamics of stakeholder involvement, ensuring that marginalised voices, including boys from disadvantaged backgrounds, are not only included but empowered to shape decision-making processes. Additionally, stakeholders should be encouraged to challenge prevailing narratives and advocate for strategies that prioritise equity and inclusion.</w:t>
      </w:r>
    </w:p>
    <w:p w14:paraId="40B4B66F" w14:textId="6B5BD6EC" w:rsidR="00117CE0" w:rsidRPr="00037D1F" w:rsidRDefault="00117CE0">
      <w:pPr>
        <w:rPr>
          <w:rFonts w:ascii="Arial" w:hAnsi="Arial" w:cs="Arial"/>
        </w:rPr>
      </w:pPr>
      <w:r w:rsidRPr="00037D1F">
        <w:rPr>
          <w:rFonts w:ascii="Arial" w:hAnsi="Arial" w:cs="Arial"/>
        </w:rPr>
        <w:t xml:space="preserve">Fullan (2001) highlights the importance of critical reflection in strategic planning, urging schools to question conventional wisdom and embrace innovative approaches. School X should critically assess its strategic goals, interrogating whether they adequately </w:t>
      </w:r>
      <w:r w:rsidR="007A5CB2" w:rsidRPr="00037D1F">
        <w:rPr>
          <w:rFonts w:ascii="Arial" w:hAnsi="Arial" w:cs="Arial"/>
        </w:rPr>
        <w:t>address the root causes of boys’ underachievement. Moreover, strategic planning should involve a critical examination of resource allocation, ensuring that interventions are targeted and adequately resourced to address the diverse needs of boys.</w:t>
      </w:r>
    </w:p>
    <w:p w14:paraId="6673D3F0" w14:textId="6F7FF128" w:rsidR="007A5CB2" w:rsidRPr="00037D1F" w:rsidRDefault="007A5CB2">
      <w:pPr>
        <w:rPr>
          <w:rFonts w:ascii="Arial" w:hAnsi="Arial" w:cs="Arial"/>
        </w:rPr>
      </w:pPr>
      <w:r w:rsidRPr="00037D1F">
        <w:rPr>
          <w:rFonts w:ascii="Arial" w:hAnsi="Arial" w:cs="Arial"/>
        </w:rPr>
        <w:t xml:space="preserve">While impact measurement is crucial for assessing the effectiveness of interventions, Creemers and Kyriakides (2008) caution against narrow conceptions of success that prioritise </w:t>
      </w:r>
      <w:r w:rsidR="0040479C" w:rsidRPr="00037D1F">
        <w:rPr>
          <w:rFonts w:ascii="Arial" w:hAnsi="Arial" w:cs="Arial"/>
        </w:rPr>
        <w:t>standardised metrics. School X must critically evaluate its impact measurement practices, recognising the limitations of quantitative data in capturing the holistic outcomes of education. Moreover, impact measurement should be approached with a critical eye towards unintended consequences, ensuring that interventions do not inadvertently perpetuate inequalities or marginalise certain groups of boys.</w:t>
      </w:r>
    </w:p>
    <w:p w14:paraId="128F4038" w14:textId="2F3EA2D5" w:rsidR="0040479C" w:rsidRPr="00037D1F" w:rsidRDefault="0040479C">
      <w:pPr>
        <w:rPr>
          <w:rFonts w:ascii="Arial" w:hAnsi="Arial" w:cs="Arial"/>
        </w:rPr>
      </w:pPr>
      <w:r w:rsidRPr="00037D1F">
        <w:rPr>
          <w:rFonts w:ascii="Arial" w:hAnsi="Arial" w:cs="Arial"/>
        </w:rPr>
        <w:t>In conclusion, developing an action plan for School X to raise standards and improve outcomes for boys requires a critical and reflective approach that challenges prevailing norms and assumptions</w:t>
      </w:r>
      <w:r w:rsidR="00861062" w:rsidRPr="00037D1F">
        <w:rPr>
          <w:rFonts w:ascii="Arial" w:hAnsi="Arial" w:cs="Arial"/>
        </w:rPr>
        <w:t xml:space="preserve"> (Darling-Hammond et al., 2009).</w:t>
      </w:r>
      <w:r w:rsidRPr="00037D1F">
        <w:rPr>
          <w:rFonts w:ascii="Arial" w:hAnsi="Arial" w:cs="Arial"/>
        </w:rPr>
        <w:t xml:space="preserve"> By critically examining its practices, policies, and interventions, School X can identify opportunities for meaningful change and create a more equitable learning environment for all students, particularly boys.</w:t>
      </w:r>
    </w:p>
    <w:p w14:paraId="6C49107E" w14:textId="2D95254A" w:rsidR="0040479C" w:rsidRPr="00037D1F" w:rsidRDefault="0040479C">
      <w:pPr>
        <w:rPr>
          <w:rFonts w:ascii="Arial" w:hAnsi="Arial" w:cs="Arial"/>
        </w:rPr>
      </w:pPr>
      <w:r w:rsidRPr="00037D1F">
        <w:rPr>
          <w:rFonts w:ascii="Arial" w:hAnsi="Arial" w:cs="Arial"/>
        </w:rPr>
        <w:t>To further enhance the action plan, School X consider incorporating proactive measures to address the issues such as gender bias in teaching practices, stereotypical representations in the curriculum, and unequal access to extracurricular opportunities. Additionally, School X could explore innovative pedagogical approaches that cater to diverse learning styles and promote boys’ engagement and motivation</w:t>
      </w:r>
      <w:r w:rsidR="00AB3E50" w:rsidRPr="00037D1F">
        <w:rPr>
          <w:rFonts w:ascii="Arial" w:hAnsi="Arial" w:cs="Arial"/>
        </w:rPr>
        <w:t xml:space="preserve"> (Hargreaves &amp; Fullan, 2012).</w:t>
      </w:r>
      <w:r w:rsidRPr="00037D1F">
        <w:rPr>
          <w:rFonts w:ascii="Arial" w:hAnsi="Arial" w:cs="Arial"/>
        </w:rPr>
        <w:t xml:space="preserve"> By embracing a critical stance towards existing practices and embracing inclusive strategies, School X can work towards fostering a more equitable and empowering educational experience for all male students.</w:t>
      </w:r>
    </w:p>
    <w:p w14:paraId="7737A5BB" w14:textId="2460FD7B" w:rsidR="00842934" w:rsidRPr="00037D1F" w:rsidRDefault="00842934">
      <w:pPr>
        <w:rPr>
          <w:rFonts w:ascii="Arial" w:hAnsi="Arial" w:cs="Arial"/>
        </w:rPr>
      </w:pPr>
      <w:r w:rsidRPr="00037D1F">
        <w:rPr>
          <w:rFonts w:ascii="Arial" w:hAnsi="Arial" w:cs="Arial"/>
        </w:rPr>
        <w:t>Moreover, it’s essential for School X to prioritise professional development for teachers and staff, providing them with necessary training and resources to implement evidence-based strategies effectively</w:t>
      </w:r>
      <w:r w:rsidR="00AB3E50" w:rsidRPr="00037D1F">
        <w:rPr>
          <w:rFonts w:ascii="Arial" w:hAnsi="Arial" w:cs="Arial"/>
        </w:rPr>
        <w:t xml:space="preserve"> (Leithwood et al., 2008). Creating a culture of continuous learning and improvement is vital for sustaining progress and ensuring that the action plan remains </w:t>
      </w:r>
      <w:r w:rsidR="00AB3E50" w:rsidRPr="00037D1F">
        <w:rPr>
          <w:rFonts w:ascii="Arial" w:hAnsi="Arial" w:cs="Arial"/>
        </w:rPr>
        <w:lastRenderedPageBreak/>
        <w:t>responsive to the evolving needs of students. Through collaborative efforts and a commitment to equity and inclusion, School X can cultivate a supportive learning environment where all male students have the opportunity to thrive academically and personally.</w:t>
      </w:r>
    </w:p>
    <w:p w14:paraId="52A1E592" w14:textId="77777777" w:rsidR="0025796A" w:rsidRPr="00037D1F" w:rsidRDefault="0025796A">
      <w:pPr>
        <w:rPr>
          <w:rFonts w:ascii="Arial" w:hAnsi="Arial" w:cs="Arial"/>
        </w:rPr>
      </w:pPr>
    </w:p>
    <w:p w14:paraId="63C09AF1" w14:textId="1CC8C0F3" w:rsidR="0025796A" w:rsidRPr="00037D1F" w:rsidRDefault="0025796A">
      <w:pPr>
        <w:rPr>
          <w:rFonts w:ascii="Arial" w:hAnsi="Arial" w:cs="Arial"/>
          <w:u w:val="single"/>
        </w:rPr>
      </w:pPr>
      <w:r w:rsidRPr="00037D1F">
        <w:rPr>
          <w:rFonts w:ascii="Arial" w:hAnsi="Arial" w:cs="Arial"/>
          <w:u w:val="single"/>
        </w:rPr>
        <w:t>Reflection and Evaluation</w:t>
      </w:r>
    </w:p>
    <w:p w14:paraId="20A57E77" w14:textId="30697818" w:rsidR="0025796A" w:rsidRPr="00037D1F" w:rsidRDefault="0055292B">
      <w:pPr>
        <w:rPr>
          <w:rFonts w:ascii="Arial" w:hAnsi="Arial" w:cs="Arial"/>
        </w:rPr>
      </w:pPr>
      <w:r w:rsidRPr="00037D1F">
        <w:rPr>
          <w:rFonts w:ascii="Arial" w:hAnsi="Arial" w:cs="Arial"/>
        </w:rPr>
        <w:t>Reflecting on the development and potential implementation of the action plan at School X, it is crucial to critically assess its effectiveness and identify areas for improvement. While the plan outcomes commendable strategies to address the gender gap in academic achievement, there are opportunities to enhance its impact and ensure it aligns with the overarching goal of improving outcomes and raising standards for boys</w:t>
      </w:r>
      <w:r w:rsidR="00946BDC" w:rsidRPr="00037D1F">
        <w:rPr>
          <w:rFonts w:ascii="Arial" w:hAnsi="Arial" w:cs="Arial"/>
        </w:rPr>
        <w:t>.</w:t>
      </w:r>
    </w:p>
    <w:p w14:paraId="47A2F650" w14:textId="18614D22" w:rsidR="00946BDC" w:rsidRPr="00037D1F" w:rsidRDefault="00946BDC">
      <w:pPr>
        <w:rPr>
          <w:rFonts w:ascii="Arial" w:hAnsi="Arial" w:cs="Arial"/>
        </w:rPr>
      </w:pPr>
      <w:r w:rsidRPr="00037D1F">
        <w:rPr>
          <w:rFonts w:ascii="Arial" w:hAnsi="Arial" w:cs="Arial"/>
        </w:rPr>
        <w:t>Firstly, a critical evaluation of the action plan’s overarching goals and objectives is essential to ensure they accurately reflect the complexities of the gender gap in education. Bennett (2019</w:t>
      </w:r>
      <w:r w:rsidR="004667B7" w:rsidRPr="00037D1F">
        <w:rPr>
          <w:rFonts w:ascii="Arial" w:hAnsi="Arial" w:cs="Arial"/>
        </w:rPr>
        <w:t>)</w:t>
      </w:r>
      <w:r w:rsidR="004A1FD2" w:rsidRPr="00037D1F">
        <w:rPr>
          <w:rFonts w:ascii="Arial" w:hAnsi="Arial" w:cs="Arial"/>
        </w:rPr>
        <w:t xml:space="preserve"> emphasises the importance of interrogating deeply entrenched beliefs and practices that may perpetuate gendered inequalities, suggesting that School X should adopt a more nuanced understanding of the socio-cultural factors shaping boys’ educational experiences. Therefore, the action plan could benefit from a more comprehensive analysis of systemic barriers and the intersectional dynamics influencing boys’ academic performance.</w:t>
      </w:r>
    </w:p>
    <w:p w14:paraId="019C4F59" w14:textId="4CBC063D" w:rsidR="004A1FD2" w:rsidRPr="00037D1F" w:rsidRDefault="004A1FD2">
      <w:pPr>
        <w:rPr>
          <w:rFonts w:ascii="Arial" w:hAnsi="Arial" w:cs="Arial"/>
        </w:rPr>
      </w:pPr>
      <w:r w:rsidRPr="00037D1F">
        <w:rPr>
          <w:rFonts w:ascii="Arial" w:hAnsi="Arial" w:cs="Arial"/>
        </w:rPr>
        <w:t>Furthermore, the reliance on quantitative metrics in data analysis raises questions about comprehensive and inclusivity of the evaluation process. Harris (2001) stresses the need for contextualised data that considers</w:t>
      </w:r>
      <w:r w:rsidR="004B78E6" w:rsidRPr="00037D1F">
        <w:rPr>
          <w:rFonts w:ascii="Arial" w:hAnsi="Arial" w:cs="Arial"/>
        </w:rPr>
        <w:t xml:space="preserve"> intersectional factors, such as race, class, and socio-economic backgrounds. Therefore, School X should incorporate qualitative data and student voice into its evaluation framework to provide a more holistic understanding of boys’ experiences and inform targeted interventions.</w:t>
      </w:r>
    </w:p>
    <w:p w14:paraId="42DAAA7F" w14:textId="64A05C79" w:rsidR="004B78E6" w:rsidRPr="00037D1F" w:rsidRDefault="004B78E6">
      <w:pPr>
        <w:rPr>
          <w:rFonts w:ascii="Arial" w:hAnsi="Arial" w:cs="Arial"/>
        </w:rPr>
      </w:pPr>
      <w:r w:rsidRPr="00037D1F">
        <w:rPr>
          <w:rFonts w:ascii="Arial" w:hAnsi="Arial" w:cs="Arial"/>
        </w:rPr>
        <w:t xml:space="preserve">Stakeholder involvement is another critical aspect that warrants reflection and refinement. MacBeath and Mortimore (2001) caution </w:t>
      </w:r>
      <w:r w:rsidR="006714FC" w:rsidRPr="00037D1F">
        <w:rPr>
          <w:rFonts w:ascii="Arial" w:hAnsi="Arial" w:cs="Arial"/>
        </w:rPr>
        <w:t>against tokenistic engagement and emphasise the importance of empowering all stakeholders to shape educational initiatives, as mentioned in the action plan. Therefore, School X should strive to create opportunities for meaningful collaboration and amplify the voices of marginalised groups, including boys from disadvantaged backgrounds.</w:t>
      </w:r>
    </w:p>
    <w:p w14:paraId="1F6FBFAD" w14:textId="6D49BC7B" w:rsidR="009534C9" w:rsidRPr="00037D1F" w:rsidRDefault="009534C9">
      <w:pPr>
        <w:rPr>
          <w:rFonts w:ascii="Arial" w:hAnsi="Arial" w:cs="Arial"/>
        </w:rPr>
      </w:pPr>
      <w:r w:rsidRPr="00037D1F">
        <w:rPr>
          <w:rFonts w:ascii="Arial" w:hAnsi="Arial" w:cs="Arial"/>
        </w:rPr>
        <w:t xml:space="preserve">Strategic planning and impact measurement are integral components of the action plan, yet they require ongoing evaluation and adjustment to ensure they remain responsive to the evolving needs of the students. School X </w:t>
      </w:r>
      <w:r w:rsidR="00481427" w:rsidRPr="00037D1F">
        <w:rPr>
          <w:rFonts w:ascii="Arial" w:hAnsi="Arial" w:cs="Arial"/>
        </w:rPr>
        <w:t>has provided that</w:t>
      </w:r>
      <w:r w:rsidRPr="00037D1F">
        <w:rPr>
          <w:rFonts w:ascii="Arial" w:hAnsi="Arial" w:cs="Arial"/>
        </w:rPr>
        <w:t xml:space="preserve"> they evaluate this aspect every term.</w:t>
      </w:r>
      <w:r w:rsidR="00481427" w:rsidRPr="00037D1F">
        <w:rPr>
          <w:rFonts w:ascii="Arial" w:hAnsi="Arial" w:cs="Arial"/>
        </w:rPr>
        <w:t xml:space="preserve"> Fullan (2001) underscores the importance of questioning conventional wisdom and embracing innovative approaches in strategic planning, while Creemers and Kyriakides (2008) advocate for a nuanced understanding of impact measurement beyond standardised metrics, as explained in the action plan</w:t>
      </w:r>
      <w:r w:rsidR="00223E4C" w:rsidRPr="00037D1F">
        <w:rPr>
          <w:rFonts w:ascii="Arial" w:hAnsi="Arial" w:cs="Arial"/>
        </w:rPr>
        <w:t>. Therefore, School X should engage in continuous reflection and evaluation to refine its strategic</w:t>
      </w:r>
      <w:r w:rsidR="0080270F" w:rsidRPr="00037D1F">
        <w:rPr>
          <w:rFonts w:ascii="Arial" w:hAnsi="Arial" w:cs="Arial"/>
        </w:rPr>
        <w:t xml:space="preserve"> goals and assessment practices, ensuring they are aligned with equity and inclusion goals.</w:t>
      </w:r>
    </w:p>
    <w:p w14:paraId="1E45FA30" w14:textId="17A2DFA3" w:rsidR="0080270F" w:rsidRPr="00037D1F" w:rsidRDefault="0051544F">
      <w:pPr>
        <w:rPr>
          <w:rFonts w:ascii="Arial" w:hAnsi="Arial" w:cs="Arial"/>
        </w:rPr>
      </w:pPr>
      <w:r w:rsidRPr="00037D1F">
        <w:rPr>
          <w:rFonts w:ascii="Arial" w:hAnsi="Arial" w:cs="Arial"/>
        </w:rPr>
        <w:t>Ultimately</w:t>
      </w:r>
      <w:r w:rsidR="0080270F" w:rsidRPr="00037D1F">
        <w:rPr>
          <w:rFonts w:ascii="Arial" w:hAnsi="Arial" w:cs="Arial"/>
        </w:rPr>
        <w:t xml:space="preserve">, reflecting on the development and potential implementation of the action plan at School X </w:t>
      </w:r>
      <w:r w:rsidR="00CC30A2" w:rsidRPr="00037D1F">
        <w:rPr>
          <w:rFonts w:ascii="Arial" w:hAnsi="Arial" w:cs="Arial"/>
        </w:rPr>
        <w:t>highlights</w:t>
      </w:r>
      <w:r w:rsidR="0080270F" w:rsidRPr="00037D1F">
        <w:rPr>
          <w:rFonts w:ascii="Arial" w:hAnsi="Arial" w:cs="Arial"/>
        </w:rPr>
        <w:t xml:space="preserve"> the importance of criticality in driving meaningful chance. By embracing a reflective stance and actively engaging with diverse perspectives, School X can </w:t>
      </w:r>
      <w:proofErr w:type="spellStart"/>
      <w:r w:rsidR="00493495" w:rsidRPr="00037D1F">
        <w:rPr>
          <w:rFonts w:ascii="Arial" w:hAnsi="Arial" w:cs="Arial"/>
        </w:rPr>
        <w:t>enahnce</w:t>
      </w:r>
      <w:proofErr w:type="spellEnd"/>
      <w:r w:rsidR="0080270F" w:rsidRPr="00037D1F">
        <w:rPr>
          <w:rFonts w:ascii="Arial" w:hAnsi="Arial" w:cs="Arial"/>
        </w:rPr>
        <w:t xml:space="preserve"> the effectiveness and </w:t>
      </w:r>
      <w:r w:rsidR="00C162D8" w:rsidRPr="00037D1F">
        <w:rPr>
          <w:rFonts w:ascii="Arial" w:hAnsi="Arial" w:cs="Arial"/>
        </w:rPr>
        <w:t>inclusivity</w:t>
      </w:r>
      <w:r w:rsidR="0080270F" w:rsidRPr="00037D1F">
        <w:rPr>
          <w:rFonts w:ascii="Arial" w:hAnsi="Arial" w:cs="Arial"/>
        </w:rPr>
        <w:t xml:space="preserve"> </w:t>
      </w:r>
      <w:r w:rsidR="00C162D8" w:rsidRPr="00037D1F">
        <w:rPr>
          <w:rFonts w:ascii="Arial" w:hAnsi="Arial" w:cs="Arial"/>
        </w:rPr>
        <w:t>of its efforts to improve outcomes and raise standards for boys in education.</w:t>
      </w:r>
    </w:p>
    <w:p w14:paraId="500154D5" w14:textId="5D5034BE" w:rsidR="006A0D29" w:rsidRPr="00037D1F" w:rsidRDefault="006A0D29">
      <w:pPr>
        <w:rPr>
          <w:rFonts w:ascii="Arial" w:hAnsi="Arial" w:cs="Arial"/>
          <w:u w:val="single"/>
        </w:rPr>
      </w:pPr>
    </w:p>
    <w:p w14:paraId="651DA6E6" w14:textId="5C9EE58C" w:rsidR="0016063C" w:rsidRPr="00037D1F" w:rsidRDefault="0016063C">
      <w:pPr>
        <w:rPr>
          <w:rFonts w:ascii="Arial" w:hAnsi="Arial" w:cs="Arial"/>
          <w:u w:val="single"/>
        </w:rPr>
      </w:pPr>
      <w:r w:rsidRPr="00037D1F">
        <w:rPr>
          <w:rFonts w:ascii="Arial" w:hAnsi="Arial" w:cs="Arial"/>
          <w:u w:val="single"/>
        </w:rPr>
        <w:lastRenderedPageBreak/>
        <w:t>Conclusion</w:t>
      </w:r>
    </w:p>
    <w:p w14:paraId="42D1C30C" w14:textId="0181BB47" w:rsidR="0016063C" w:rsidRPr="00037D1F" w:rsidRDefault="000A371B">
      <w:pPr>
        <w:rPr>
          <w:rFonts w:ascii="Arial" w:hAnsi="Arial" w:cs="Arial"/>
        </w:rPr>
      </w:pPr>
      <w:r w:rsidRPr="00037D1F">
        <w:rPr>
          <w:rFonts w:ascii="Arial" w:hAnsi="Arial" w:cs="Arial"/>
        </w:rPr>
        <w:t>In conclusion, the exploration</w:t>
      </w:r>
      <w:r w:rsidR="007B3628" w:rsidRPr="00037D1F">
        <w:rPr>
          <w:rFonts w:ascii="Arial" w:hAnsi="Arial" w:cs="Arial"/>
        </w:rPr>
        <w:t xml:space="preserve"> of School X’s efforts to improve outcomes and raise standards for boys has underscored the complexities inherent in addressing gender disparities in education. Through critical reflection on theoretical frameworks, policy directives, and scholarly insights, the assignment has highlighted the multifaceted nature of school development processes and the importance of evidence-based interventions. As a student teacher, the insights gained from this assignment will inform future practice by emphasising the need for continuous reflection, collaboration, and responsiveness to diverse student needs. By aligning with the professional standards such as those outline by General Teaching Council for Wales (Welsh Government, 2022), </w:t>
      </w:r>
      <w:r w:rsidR="00460E44" w:rsidRPr="00037D1F">
        <w:rPr>
          <w:rFonts w:ascii="Arial" w:hAnsi="Arial" w:cs="Arial"/>
        </w:rPr>
        <w:t>the student teacher can strive to create inclusive learning environments that empower all students to succeed academically and personally. Ultimately, the journey towards educational equity requires a commitment to critical inquiry and ongoing professional learning, ensuring that every student, regardless of gender or background, has the opportunity to fulfil their potential.</w:t>
      </w:r>
    </w:p>
    <w:p w14:paraId="07F03C2F" w14:textId="77777777" w:rsidR="00B40BE4" w:rsidRPr="00037D1F" w:rsidRDefault="00B40BE4">
      <w:pPr>
        <w:rPr>
          <w:rFonts w:ascii="Arial" w:hAnsi="Arial" w:cs="Arial"/>
        </w:rPr>
      </w:pPr>
    </w:p>
    <w:p w14:paraId="7144B7C1" w14:textId="77777777" w:rsidR="000E44AA" w:rsidRPr="00037D1F" w:rsidRDefault="000E44AA">
      <w:pPr>
        <w:rPr>
          <w:rFonts w:ascii="Arial" w:hAnsi="Arial" w:cs="Arial"/>
        </w:rPr>
      </w:pPr>
    </w:p>
    <w:p w14:paraId="64BDE7EE" w14:textId="77777777" w:rsidR="000E44AA" w:rsidRPr="00037D1F" w:rsidRDefault="000E44AA">
      <w:pPr>
        <w:rPr>
          <w:rFonts w:ascii="Arial" w:hAnsi="Arial" w:cs="Arial"/>
        </w:rPr>
      </w:pPr>
    </w:p>
    <w:p w14:paraId="588205C7" w14:textId="77777777" w:rsidR="000E44AA" w:rsidRPr="00037D1F" w:rsidRDefault="000E44AA">
      <w:pPr>
        <w:rPr>
          <w:rFonts w:ascii="Arial" w:hAnsi="Arial" w:cs="Arial"/>
        </w:rPr>
      </w:pPr>
    </w:p>
    <w:p w14:paraId="0620902F" w14:textId="77777777" w:rsidR="000E44AA" w:rsidRPr="00037D1F" w:rsidRDefault="000E44AA">
      <w:pPr>
        <w:rPr>
          <w:rFonts w:ascii="Arial" w:hAnsi="Arial" w:cs="Arial"/>
        </w:rPr>
      </w:pPr>
    </w:p>
    <w:p w14:paraId="273B21BA" w14:textId="77777777" w:rsidR="000E44AA" w:rsidRPr="00037D1F" w:rsidRDefault="000E44AA">
      <w:pPr>
        <w:rPr>
          <w:rFonts w:ascii="Arial" w:hAnsi="Arial" w:cs="Arial"/>
        </w:rPr>
      </w:pPr>
    </w:p>
    <w:p w14:paraId="15EE856D" w14:textId="77777777" w:rsidR="000E44AA" w:rsidRPr="00037D1F" w:rsidRDefault="000E44AA">
      <w:pPr>
        <w:rPr>
          <w:rFonts w:ascii="Arial" w:hAnsi="Arial" w:cs="Arial"/>
        </w:rPr>
      </w:pPr>
    </w:p>
    <w:p w14:paraId="50E4CB81" w14:textId="77777777" w:rsidR="000E44AA" w:rsidRPr="00037D1F" w:rsidRDefault="000E44AA">
      <w:pPr>
        <w:rPr>
          <w:rFonts w:ascii="Arial" w:hAnsi="Arial" w:cs="Arial"/>
        </w:rPr>
      </w:pPr>
    </w:p>
    <w:p w14:paraId="1E1AF07B" w14:textId="77777777" w:rsidR="000E44AA" w:rsidRPr="00037D1F" w:rsidRDefault="000E44AA">
      <w:pPr>
        <w:rPr>
          <w:rFonts w:ascii="Arial" w:hAnsi="Arial" w:cs="Arial"/>
        </w:rPr>
      </w:pPr>
    </w:p>
    <w:p w14:paraId="2C852C65" w14:textId="77777777" w:rsidR="000E44AA" w:rsidRPr="00037D1F" w:rsidRDefault="000E44AA">
      <w:pPr>
        <w:rPr>
          <w:rFonts w:ascii="Arial" w:hAnsi="Arial" w:cs="Arial"/>
        </w:rPr>
      </w:pPr>
    </w:p>
    <w:p w14:paraId="3152BE09" w14:textId="77777777" w:rsidR="000E44AA" w:rsidRPr="00037D1F" w:rsidRDefault="000E44AA">
      <w:pPr>
        <w:rPr>
          <w:rFonts w:ascii="Arial" w:hAnsi="Arial" w:cs="Arial"/>
        </w:rPr>
      </w:pPr>
    </w:p>
    <w:p w14:paraId="1914E65E" w14:textId="77777777" w:rsidR="000E44AA" w:rsidRPr="00037D1F" w:rsidRDefault="000E44AA">
      <w:pPr>
        <w:rPr>
          <w:rFonts w:ascii="Arial" w:hAnsi="Arial" w:cs="Arial"/>
        </w:rPr>
      </w:pPr>
    </w:p>
    <w:p w14:paraId="09B5F9F2" w14:textId="77777777" w:rsidR="00037D1F" w:rsidRDefault="00037D1F">
      <w:pPr>
        <w:rPr>
          <w:rFonts w:ascii="Arial" w:hAnsi="Arial" w:cs="Arial"/>
          <w:u w:val="single"/>
        </w:rPr>
      </w:pPr>
    </w:p>
    <w:p w14:paraId="026171B1" w14:textId="77777777" w:rsidR="00037D1F" w:rsidRDefault="00037D1F">
      <w:pPr>
        <w:rPr>
          <w:rFonts w:ascii="Arial" w:hAnsi="Arial" w:cs="Arial"/>
          <w:u w:val="single"/>
        </w:rPr>
      </w:pPr>
    </w:p>
    <w:p w14:paraId="679E5FAC" w14:textId="77777777" w:rsidR="00037D1F" w:rsidRDefault="00037D1F">
      <w:pPr>
        <w:rPr>
          <w:rFonts w:ascii="Arial" w:hAnsi="Arial" w:cs="Arial"/>
          <w:u w:val="single"/>
        </w:rPr>
      </w:pPr>
    </w:p>
    <w:p w14:paraId="61FA3829" w14:textId="77777777" w:rsidR="00037D1F" w:rsidRDefault="00037D1F">
      <w:pPr>
        <w:rPr>
          <w:rFonts w:ascii="Arial" w:hAnsi="Arial" w:cs="Arial"/>
          <w:u w:val="single"/>
        </w:rPr>
      </w:pPr>
    </w:p>
    <w:p w14:paraId="3529699B" w14:textId="77777777" w:rsidR="00037D1F" w:rsidRDefault="00037D1F">
      <w:pPr>
        <w:rPr>
          <w:rFonts w:ascii="Arial" w:hAnsi="Arial" w:cs="Arial"/>
          <w:u w:val="single"/>
        </w:rPr>
      </w:pPr>
    </w:p>
    <w:p w14:paraId="77A74A10" w14:textId="77777777" w:rsidR="00037D1F" w:rsidRDefault="00037D1F">
      <w:pPr>
        <w:rPr>
          <w:rFonts w:ascii="Arial" w:hAnsi="Arial" w:cs="Arial"/>
          <w:u w:val="single"/>
        </w:rPr>
      </w:pPr>
    </w:p>
    <w:p w14:paraId="60746DD7" w14:textId="77777777" w:rsidR="00037D1F" w:rsidRDefault="00037D1F">
      <w:pPr>
        <w:rPr>
          <w:rFonts w:ascii="Arial" w:hAnsi="Arial" w:cs="Arial"/>
          <w:u w:val="single"/>
        </w:rPr>
      </w:pPr>
    </w:p>
    <w:p w14:paraId="2FB0A3CD" w14:textId="77777777" w:rsidR="00037D1F" w:rsidRDefault="00037D1F">
      <w:pPr>
        <w:rPr>
          <w:rFonts w:ascii="Arial" w:hAnsi="Arial" w:cs="Arial"/>
          <w:u w:val="single"/>
        </w:rPr>
      </w:pPr>
    </w:p>
    <w:p w14:paraId="66107138" w14:textId="77777777" w:rsidR="00037D1F" w:rsidRDefault="00037D1F">
      <w:pPr>
        <w:rPr>
          <w:rFonts w:ascii="Arial" w:hAnsi="Arial" w:cs="Arial"/>
          <w:u w:val="single"/>
        </w:rPr>
      </w:pPr>
    </w:p>
    <w:p w14:paraId="31183BEF" w14:textId="77777777" w:rsidR="00037D1F" w:rsidRDefault="00037D1F">
      <w:pPr>
        <w:rPr>
          <w:rFonts w:ascii="Arial" w:hAnsi="Arial" w:cs="Arial"/>
          <w:u w:val="single"/>
        </w:rPr>
      </w:pPr>
    </w:p>
    <w:p w14:paraId="27217D67" w14:textId="77777777" w:rsidR="00037D1F" w:rsidRDefault="00037D1F">
      <w:pPr>
        <w:rPr>
          <w:rFonts w:ascii="Arial" w:hAnsi="Arial" w:cs="Arial"/>
          <w:u w:val="single"/>
        </w:rPr>
      </w:pPr>
    </w:p>
    <w:p w14:paraId="3939AE3E" w14:textId="09C008E2" w:rsidR="00B40BE4" w:rsidRPr="00037D1F" w:rsidRDefault="00B40BE4">
      <w:pPr>
        <w:rPr>
          <w:rFonts w:ascii="Arial" w:hAnsi="Arial" w:cs="Arial"/>
          <w:u w:val="single"/>
        </w:rPr>
      </w:pPr>
      <w:r w:rsidRPr="00037D1F">
        <w:rPr>
          <w:rFonts w:ascii="Arial" w:hAnsi="Arial" w:cs="Arial"/>
          <w:u w:val="single"/>
        </w:rPr>
        <w:lastRenderedPageBreak/>
        <w:t>References</w:t>
      </w:r>
    </w:p>
    <w:p w14:paraId="58FD5B49" w14:textId="77777777" w:rsidR="00796094" w:rsidRPr="00037D1F" w:rsidRDefault="00796094">
      <w:pPr>
        <w:rPr>
          <w:rFonts w:ascii="Arial" w:hAnsi="Arial" w:cs="Arial"/>
        </w:rPr>
      </w:pPr>
      <w:r w:rsidRPr="00037D1F">
        <w:rPr>
          <w:rFonts w:ascii="Arial" w:hAnsi="Arial" w:cs="Arial"/>
        </w:rPr>
        <w:t xml:space="preserve">Bennett, T. (2019) </w:t>
      </w:r>
      <w:r w:rsidRPr="001D4F98">
        <w:rPr>
          <w:rFonts w:ascii="Arial" w:hAnsi="Arial" w:cs="Arial"/>
          <w:i/>
          <w:iCs/>
        </w:rPr>
        <w:t>Equity and Education in Wales. A Critical Analysis. Educational Review</w:t>
      </w:r>
      <w:r w:rsidRPr="00037D1F">
        <w:rPr>
          <w:rFonts w:ascii="Arial" w:hAnsi="Arial" w:cs="Arial"/>
        </w:rPr>
        <w:t>, 71(3), 347-363.</w:t>
      </w:r>
    </w:p>
    <w:p w14:paraId="5CBCD6C4" w14:textId="77777777" w:rsidR="00796094" w:rsidRPr="00037D1F" w:rsidRDefault="00796094">
      <w:pPr>
        <w:rPr>
          <w:rFonts w:ascii="Arial" w:hAnsi="Arial" w:cs="Arial"/>
        </w:rPr>
      </w:pPr>
    </w:p>
    <w:p w14:paraId="0AA3EBCB" w14:textId="77777777" w:rsidR="00796094" w:rsidRPr="00037D1F" w:rsidRDefault="00796094">
      <w:pPr>
        <w:rPr>
          <w:rFonts w:ascii="Arial" w:hAnsi="Arial" w:cs="Arial"/>
        </w:rPr>
      </w:pPr>
      <w:r w:rsidRPr="00037D1F">
        <w:rPr>
          <w:rFonts w:ascii="Arial" w:hAnsi="Arial" w:cs="Arial"/>
        </w:rPr>
        <w:t xml:space="preserve">Connolly, P., &amp; Vincent, C. (2018). </w:t>
      </w:r>
      <w:r w:rsidRPr="001D4F98">
        <w:rPr>
          <w:rFonts w:ascii="Arial" w:hAnsi="Arial" w:cs="Arial"/>
          <w:i/>
          <w:iCs/>
        </w:rPr>
        <w:t>The social and economic determinants of boys’ educational under-achievement: A review of the literature. Educational Review</w:t>
      </w:r>
      <w:r w:rsidRPr="00037D1F">
        <w:rPr>
          <w:rFonts w:ascii="Arial" w:hAnsi="Arial" w:cs="Arial"/>
        </w:rPr>
        <w:t>, 70(4), 472-490.</w:t>
      </w:r>
    </w:p>
    <w:p w14:paraId="24959638" w14:textId="77777777" w:rsidR="00796094" w:rsidRPr="00037D1F" w:rsidRDefault="00796094">
      <w:pPr>
        <w:rPr>
          <w:rFonts w:ascii="Arial" w:hAnsi="Arial" w:cs="Arial"/>
        </w:rPr>
      </w:pPr>
    </w:p>
    <w:p w14:paraId="4D999047" w14:textId="77777777" w:rsidR="00796094" w:rsidRPr="001D4F98" w:rsidRDefault="00796094">
      <w:pPr>
        <w:rPr>
          <w:rFonts w:ascii="Arial" w:hAnsi="Arial" w:cs="Arial"/>
          <w:i/>
          <w:iCs/>
        </w:rPr>
      </w:pPr>
      <w:r w:rsidRPr="00037D1F">
        <w:rPr>
          <w:rFonts w:ascii="Arial" w:hAnsi="Arial" w:cs="Arial"/>
        </w:rPr>
        <w:t xml:space="preserve">Creemers, B. P., &amp; Kyriakides, L. (2008). </w:t>
      </w:r>
      <w:r w:rsidRPr="001D4F98">
        <w:rPr>
          <w:rFonts w:ascii="Arial" w:hAnsi="Arial" w:cs="Arial"/>
          <w:i/>
          <w:iCs/>
        </w:rPr>
        <w:t>The Dynamics of Educational Effectiveness: A Contribution to Policy, Practice and Theory in Contemporary Schools. Routledge.</w:t>
      </w:r>
    </w:p>
    <w:p w14:paraId="287B936D" w14:textId="77777777" w:rsidR="00796094" w:rsidRPr="00037D1F" w:rsidRDefault="00796094">
      <w:pPr>
        <w:rPr>
          <w:rFonts w:ascii="Arial" w:hAnsi="Arial" w:cs="Arial"/>
        </w:rPr>
      </w:pPr>
    </w:p>
    <w:p w14:paraId="1740E337" w14:textId="77777777" w:rsidR="00796094" w:rsidRPr="00037D1F" w:rsidRDefault="00796094">
      <w:pPr>
        <w:rPr>
          <w:rFonts w:ascii="Arial" w:hAnsi="Arial" w:cs="Arial"/>
        </w:rPr>
      </w:pPr>
      <w:r w:rsidRPr="00037D1F">
        <w:rPr>
          <w:rFonts w:ascii="Arial" w:hAnsi="Arial" w:cs="Arial"/>
        </w:rPr>
        <w:t xml:space="preserve">Darling-Hammond, L., Wei, R. C., Andree, A., Richardson, N., &amp; Orphanos, S. (2009). </w:t>
      </w:r>
      <w:r w:rsidRPr="006E5B6A">
        <w:rPr>
          <w:rFonts w:ascii="Arial" w:hAnsi="Arial" w:cs="Arial"/>
          <w:i/>
          <w:iCs/>
        </w:rPr>
        <w:t>Professional learning in the learning profession: A status report on teacher development in the United States and abroad. Standford University.</w:t>
      </w:r>
    </w:p>
    <w:p w14:paraId="77A68719" w14:textId="77777777" w:rsidR="00805D89" w:rsidRPr="00037D1F" w:rsidRDefault="00805D89">
      <w:pPr>
        <w:rPr>
          <w:rFonts w:ascii="Arial" w:hAnsi="Arial" w:cs="Arial"/>
        </w:rPr>
      </w:pPr>
    </w:p>
    <w:p w14:paraId="2F596C47" w14:textId="77777777" w:rsidR="00796094" w:rsidRPr="00037D1F" w:rsidRDefault="00796094">
      <w:pPr>
        <w:rPr>
          <w:rFonts w:ascii="Arial" w:hAnsi="Arial" w:cs="Arial"/>
        </w:rPr>
      </w:pPr>
      <w:r w:rsidRPr="00037D1F">
        <w:rPr>
          <w:rFonts w:ascii="Arial" w:hAnsi="Arial" w:cs="Arial"/>
        </w:rPr>
        <w:t xml:space="preserve">Desimone, L. M. (2009). </w:t>
      </w:r>
      <w:r w:rsidRPr="006E5B6A">
        <w:rPr>
          <w:rFonts w:ascii="Arial" w:hAnsi="Arial" w:cs="Arial"/>
          <w:i/>
          <w:iCs/>
        </w:rPr>
        <w:t>Improving impact studies of teachers’ professional development: Toward better conceptualisations and measures. Educational Researcher</w:t>
      </w:r>
      <w:r w:rsidRPr="00037D1F">
        <w:rPr>
          <w:rFonts w:ascii="Arial" w:hAnsi="Arial" w:cs="Arial"/>
        </w:rPr>
        <w:t>, 38(3), 181-199.</w:t>
      </w:r>
    </w:p>
    <w:p w14:paraId="78033D9A" w14:textId="77777777" w:rsidR="00796094" w:rsidRPr="00037D1F" w:rsidRDefault="00796094">
      <w:pPr>
        <w:rPr>
          <w:rFonts w:ascii="Arial" w:hAnsi="Arial" w:cs="Arial"/>
        </w:rPr>
      </w:pPr>
    </w:p>
    <w:p w14:paraId="149BBB95" w14:textId="1655CB2A" w:rsidR="00796094" w:rsidRPr="00037D1F" w:rsidRDefault="00796094">
      <w:pPr>
        <w:rPr>
          <w:rFonts w:ascii="Arial" w:hAnsi="Arial" w:cs="Arial"/>
        </w:rPr>
      </w:pPr>
      <w:r w:rsidRPr="00037D1F">
        <w:rPr>
          <w:rFonts w:ascii="Arial" w:hAnsi="Arial" w:cs="Arial"/>
        </w:rPr>
        <w:t xml:space="preserve">Donaldson, G. (2015). </w:t>
      </w:r>
      <w:r w:rsidRPr="006E5B6A">
        <w:rPr>
          <w:rFonts w:ascii="Arial" w:hAnsi="Arial" w:cs="Arial"/>
          <w:i/>
          <w:iCs/>
        </w:rPr>
        <w:t>Successful Futures</w:t>
      </w:r>
      <w:r w:rsidR="006E5B6A" w:rsidRPr="006E5B6A">
        <w:rPr>
          <w:rFonts w:ascii="Arial" w:hAnsi="Arial" w:cs="Arial"/>
          <w:i/>
          <w:iCs/>
        </w:rPr>
        <w:t>:</w:t>
      </w:r>
      <w:r w:rsidRPr="006E5B6A">
        <w:rPr>
          <w:rFonts w:ascii="Arial" w:hAnsi="Arial" w:cs="Arial"/>
          <w:i/>
          <w:iCs/>
        </w:rPr>
        <w:t xml:space="preserve"> Independent review of curriculum and assessment arrangements in Wales. Welsh Government. </w:t>
      </w:r>
      <w:r w:rsidRPr="00037D1F">
        <w:rPr>
          <w:rFonts w:ascii="Arial" w:hAnsi="Arial" w:cs="Arial"/>
        </w:rPr>
        <w:t xml:space="preserve">Retrieved from </w:t>
      </w:r>
      <w:hyperlink r:id="rId7" w:history="1">
        <w:r w:rsidRPr="00037D1F">
          <w:rPr>
            <w:rStyle w:val="Hyperlink"/>
            <w:rFonts w:ascii="Arial" w:hAnsi="Arial" w:cs="Arial"/>
          </w:rPr>
          <w:t>https://gov.wales/sites/default/files/publications/2019-04/140625-successful-futures-en.pdf</w:t>
        </w:r>
      </w:hyperlink>
    </w:p>
    <w:p w14:paraId="734C7177" w14:textId="77777777" w:rsidR="00796094" w:rsidRPr="00037D1F" w:rsidRDefault="00796094">
      <w:pPr>
        <w:rPr>
          <w:rFonts w:ascii="Arial" w:hAnsi="Arial" w:cs="Arial"/>
        </w:rPr>
      </w:pPr>
    </w:p>
    <w:p w14:paraId="35780A29" w14:textId="77777777" w:rsidR="00796094" w:rsidRPr="00037D1F" w:rsidRDefault="00796094">
      <w:pPr>
        <w:rPr>
          <w:rFonts w:ascii="Arial" w:hAnsi="Arial" w:cs="Arial"/>
        </w:rPr>
      </w:pPr>
      <w:r w:rsidRPr="00037D1F">
        <w:rPr>
          <w:rFonts w:ascii="Arial" w:hAnsi="Arial" w:cs="Arial"/>
        </w:rPr>
        <w:t xml:space="preserve">Educational Policy Institute. (2020). </w:t>
      </w:r>
      <w:r w:rsidRPr="006E5B6A">
        <w:rPr>
          <w:rFonts w:ascii="Arial" w:hAnsi="Arial" w:cs="Arial"/>
          <w:i/>
          <w:iCs/>
        </w:rPr>
        <w:t>Gender and education in Wales: Key trends and patterns.</w:t>
      </w:r>
      <w:r w:rsidRPr="00037D1F">
        <w:rPr>
          <w:rFonts w:ascii="Arial" w:hAnsi="Arial" w:cs="Arial"/>
        </w:rPr>
        <w:t xml:space="preserve"> Retrieved from </w:t>
      </w:r>
      <w:hyperlink r:id="rId8" w:history="1">
        <w:r w:rsidRPr="00037D1F">
          <w:rPr>
            <w:rStyle w:val="Hyperlink"/>
            <w:rFonts w:ascii="Arial" w:hAnsi="Arial" w:cs="Arial"/>
          </w:rPr>
          <w:t>https://epi.org.uk/publications-and-research/gender-and-education-in-wales/</w:t>
        </w:r>
      </w:hyperlink>
    </w:p>
    <w:p w14:paraId="4A139F87" w14:textId="77777777" w:rsidR="00796094" w:rsidRPr="00037D1F" w:rsidRDefault="00796094">
      <w:pPr>
        <w:rPr>
          <w:rFonts w:ascii="Arial" w:hAnsi="Arial" w:cs="Arial"/>
        </w:rPr>
      </w:pPr>
    </w:p>
    <w:p w14:paraId="26B6621C" w14:textId="36BBDE79" w:rsidR="00796094" w:rsidRDefault="0094399E">
      <w:pPr>
        <w:rPr>
          <w:rFonts w:ascii="Arial" w:hAnsi="Arial" w:cs="Arial"/>
          <w:color w:val="222222"/>
          <w:shd w:val="clear" w:color="auto" w:fill="FFFFFF"/>
        </w:rPr>
      </w:pPr>
      <w:r w:rsidRPr="0094399E">
        <w:rPr>
          <w:rFonts w:ascii="Arial" w:hAnsi="Arial" w:cs="Arial"/>
          <w:color w:val="222222"/>
          <w:shd w:val="clear" w:color="auto" w:fill="FFFFFF"/>
        </w:rPr>
        <w:t>Fullan, M., 2007. </w:t>
      </w:r>
      <w:r w:rsidRPr="0094399E">
        <w:rPr>
          <w:rFonts w:ascii="Arial" w:hAnsi="Arial" w:cs="Arial"/>
          <w:i/>
          <w:iCs/>
          <w:color w:val="222222"/>
          <w:shd w:val="clear" w:color="auto" w:fill="FFFFFF"/>
        </w:rPr>
        <w:t>Leading in a culture of change</w:t>
      </w:r>
      <w:r w:rsidRPr="0094399E">
        <w:rPr>
          <w:rFonts w:ascii="Arial" w:hAnsi="Arial" w:cs="Arial"/>
          <w:color w:val="222222"/>
          <w:shd w:val="clear" w:color="auto" w:fill="FFFFFF"/>
        </w:rPr>
        <w:t>. John Wiley &amp; Sons.</w:t>
      </w:r>
    </w:p>
    <w:p w14:paraId="559A0F89" w14:textId="77777777" w:rsidR="0094399E" w:rsidRPr="0094399E" w:rsidRDefault="0094399E">
      <w:pPr>
        <w:rPr>
          <w:rFonts w:ascii="Arial" w:hAnsi="Arial" w:cs="Arial"/>
          <w:sz w:val="24"/>
          <w:szCs w:val="24"/>
        </w:rPr>
      </w:pPr>
    </w:p>
    <w:p w14:paraId="54849109" w14:textId="745FC453" w:rsidR="00796094" w:rsidRPr="00037D1F" w:rsidRDefault="00796094">
      <w:pPr>
        <w:rPr>
          <w:rFonts w:ascii="Arial" w:hAnsi="Arial" w:cs="Arial"/>
        </w:rPr>
      </w:pPr>
      <w:proofErr w:type="spellStart"/>
      <w:r w:rsidRPr="00037D1F">
        <w:rPr>
          <w:rFonts w:ascii="Arial" w:hAnsi="Arial" w:cs="Arial"/>
        </w:rPr>
        <w:t>Gaventa</w:t>
      </w:r>
      <w:proofErr w:type="spellEnd"/>
      <w:r w:rsidRPr="00037D1F">
        <w:rPr>
          <w:rFonts w:ascii="Arial" w:hAnsi="Arial" w:cs="Arial"/>
        </w:rPr>
        <w:t xml:space="preserve">, J., &amp; Cornwall, A. (2006). </w:t>
      </w:r>
      <w:r w:rsidRPr="006E5B6A">
        <w:rPr>
          <w:rFonts w:ascii="Arial" w:hAnsi="Arial" w:cs="Arial"/>
          <w:i/>
          <w:iCs/>
        </w:rPr>
        <w:t>Power and knowledge. In D. K. Muller (Ed.), The Ashgate research companion to political anthropology</w:t>
      </w:r>
      <w:r w:rsidR="006E5B6A">
        <w:rPr>
          <w:rFonts w:ascii="Arial" w:hAnsi="Arial" w:cs="Arial"/>
          <w:i/>
          <w:iCs/>
        </w:rPr>
        <w:t>,</w:t>
      </w:r>
      <w:r w:rsidRPr="00037D1F">
        <w:rPr>
          <w:rFonts w:ascii="Arial" w:hAnsi="Arial" w:cs="Arial"/>
        </w:rPr>
        <w:t xml:space="preserve"> (pp. 157-174). Ashgate.</w:t>
      </w:r>
    </w:p>
    <w:p w14:paraId="2062E079" w14:textId="77777777" w:rsidR="00796094" w:rsidRPr="00037D1F" w:rsidRDefault="00796094">
      <w:pPr>
        <w:rPr>
          <w:rFonts w:ascii="Arial" w:hAnsi="Arial" w:cs="Arial"/>
        </w:rPr>
      </w:pPr>
    </w:p>
    <w:p w14:paraId="18189C2B" w14:textId="11FE647B" w:rsidR="00796094" w:rsidRDefault="00CF7300">
      <w:pPr>
        <w:rPr>
          <w:rFonts w:ascii="Arial" w:hAnsi="Arial" w:cs="Arial"/>
          <w:color w:val="222222"/>
          <w:shd w:val="clear" w:color="auto" w:fill="FFFFFF"/>
        </w:rPr>
      </w:pPr>
      <w:r w:rsidRPr="00CF7300">
        <w:rPr>
          <w:rFonts w:ascii="Arial" w:hAnsi="Arial" w:cs="Arial"/>
          <w:color w:val="222222"/>
          <w:shd w:val="clear" w:color="auto" w:fill="FFFFFF"/>
        </w:rPr>
        <w:t>Hargreaves, A. and Fullan, M., 2015. </w:t>
      </w:r>
      <w:r w:rsidRPr="00CF7300">
        <w:rPr>
          <w:rFonts w:ascii="Arial" w:hAnsi="Arial" w:cs="Arial"/>
          <w:i/>
          <w:iCs/>
          <w:color w:val="222222"/>
          <w:shd w:val="clear" w:color="auto" w:fill="FFFFFF"/>
        </w:rPr>
        <w:t>Professional capital: Transform</w:t>
      </w:r>
      <w:r>
        <w:rPr>
          <w:rFonts w:ascii="Arial" w:hAnsi="Arial" w:cs="Arial"/>
          <w:i/>
          <w:iCs/>
          <w:color w:val="222222"/>
          <w:shd w:val="clear" w:color="auto" w:fill="FFFFFF"/>
        </w:rPr>
        <w:t>i</w:t>
      </w:r>
      <w:r w:rsidRPr="00CF7300">
        <w:rPr>
          <w:rFonts w:ascii="Arial" w:hAnsi="Arial" w:cs="Arial"/>
          <w:i/>
          <w:iCs/>
          <w:color w:val="222222"/>
          <w:shd w:val="clear" w:color="auto" w:fill="FFFFFF"/>
        </w:rPr>
        <w:t>ng teaching in every school</w:t>
      </w:r>
      <w:r w:rsidRPr="00CF7300">
        <w:rPr>
          <w:rFonts w:ascii="Arial" w:hAnsi="Arial" w:cs="Arial"/>
          <w:color w:val="222222"/>
          <w:shd w:val="clear" w:color="auto" w:fill="FFFFFF"/>
        </w:rPr>
        <w:t>. Teachers College Press.</w:t>
      </w:r>
    </w:p>
    <w:p w14:paraId="016B6DED" w14:textId="77777777" w:rsidR="00F9448C" w:rsidRPr="00CF7300" w:rsidRDefault="00F9448C">
      <w:pPr>
        <w:rPr>
          <w:rFonts w:ascii="Arial" w:hAnsi="Arial" w:cs="Arial"/>
          <w:sz w:val="24"/>
          <w:szCs w:val="24"/>
        </w:rPr>
      </w:pPr>
    </w:p>
    <w:p w14:paraId="3F214D15" w14:textId="77777777" w:rsidR="00796094" w:rsidRPr="00037D1F" w:rsidRDefault="00796094">
      <w:pPr>
        <w:rPr>
          <w:rFonts w:ascii="Arial" w:hAnsi="Arial" w:cs="Arial"/>
        </w:rPr>
      </w:pPr>
      <w:r w:rsidRPr="00037D1F">
        <w:rPr>
          <w:rFonts w:ascii="Arial" w:hAnsi="Arial" w:cs="Arial"/>
        </w:rPr>
        <w:t xml:space="preserve">Harris, A. (2001). </w:t>
      </w:r>
      <w:r w:rsidRPr="00AE52E6">
        <w:rPr>
          <w:rFonts w:ascii="Arial" w:hAnsi="Arial" w:cs="Arial"/>
          <w:i/>
          <w:iCs/>
        </w:rPr>
        <w:t>Using Data for School Improvement: A Practical Guide. Routledge.</w:t>
      </w:r>
    </w:p>
    <w:p w14:paraId="451825B3" w14:textId="77777777" w:rsidR="00796094" w:rsidRPr="00037D1F" w:rsidRDefault="00796094">
      <w:pPr>
        <w:rPr>
          <w:rFonts w:ascii="Arial" w:hAnsi="Arial" w:cs="Arial"/>
        </w:rPr>
      </w:pPr>
    </w:p>
    <w:p w14:paraId="0A7135CF" w14:textId="0A9B834B" w:rsidR="00796094" w:rsidRPr="00881BD8" w:rsidRDefault="00490154">
      <w:pPr>
        <w:rPr>
          <w:rFonts w:ascii="Arial" w:hAnsi="Arial" w:cs="Arial"/>
          <w:i/>
          <w:iCs/>
          <w:color w:val="222222"/>
          <w:shd w:val="clear" w:color="auto" w:fill="FFFFFF"/>
        </w:rPr>
      </w:pPr>
      <w:r w:rsidRPr="00490154">
        <w:rPr>
          <w:rFonts w:ascii="Arial" w:hAnsi="Arial" w:cs="Arial"/>
          <w:color w:val="222222"/>
          <w:shd w:val="clear" w:color="auto" w:fill="FFFFFF"/>
        </w:rPr>
        <w:lastRenderedPageBreak/>
        <w:t xml:space="preserve">Carter, P.L., 2015. </w:t>
      </w:r>
      <w:r w:rsidRPr="00881BD8">
        <w:rPr>
          <w:rFonts w:ascii="Arial" w:hAnsi="Arial" w:cs="Arial"/>
          <w:i/>
          <w:iCs/>
          <w:color w:val="222222"/>
          <w:shd w:val="clear" w:color="auto" w:fill="FFFFFF"/>
        </w:rPr>
        <w:t>Learning the hard way: Masculinity, place, and the gender gap in education.</w:t>
      </w:r>
    </w:p>
    <w:p w14:paraId="1755D5D9" w14:textId="5A23C48B" w:rsidR="00490154" w:rsidRPr="00490154" w:rsidRDefault="00490154">
      <w:pPr>
        <w:rPr>
          <w:rFonts w:ascii="Arial" w:hAnsi="Arial" w:cs="Arial"/>
          <w:sz w:val="24"/>
          <w:szCs w:val="24"/>
        </w:rPr>
      </w:pPr>
    </w:p>
    <w:p w14:paraId="695F69EB" w14:textId="77777777" w:rsidR="00796094" w:rsidRPr="00AE52E6" w:rsidRDefault="00796094">
      <w:pPr>
        <w:rPr>
          <w:rFonts w:ascii="Arial" w:hAnsi="Arial" w:cs="Arial"/>
          <w:i/>
          <w:iCs/>
        </w:rPr>
      </w:pPr>
      <w:r w:rsidRPr="00037D1F">
        <w:rPr>
          <w:rFonts w:ascii="Arial" w:hAnsi="Arial" w:cs="Arial"/>
        </w:rPr>
        <w:t xml:space="preserve">Leithwood, K., Harris, A., &amp; Hopkins, D. (2008). </w:t>
      </w:r>
      <w:r w:rsidRPr="00AE52E6">
        <w:rPr>
          <w:rFonts w:ascii="Arial" w:hAnsi="Arial" w:cs="Arial"/>
          <w:i/>
          <w:iCs/>
        </w:rPr>
        <w:t>Seven strong claims about successful school leadership. National College for School Leadership.</w:t>
      </w:r>
    </w:p>
    <w:p w14:paraId="4B367E2E" w14:textId="77777777" w:rsidR="00796094" w:rsidRPr="00037D1F" w:rsidRDefault="00796094">
      <w:pPr>
        <w:rPr>
          <w:rFonts w:ascii="Arial" w:hAnsi="Arial" w:cs="Arial"/>
        </w:rPr>
      </w:pPr>
    </w:p>
    <w:p w14:paraId="2BD4F570" w14:textId="2034FF54" w:rsidR="00796094" w:rsidRDefault="00D5305B">
      <w:pPr>
        <w:rPr>
          <w:rFonts w:ascii="Arial" w:hAnsi="Arial" w:cs="Arial"/>
          <w:color w:val="222222"/>
          <w:shd w:val="clear" w:color="auto" w:fill="FFFFFF"/>
        </w:rPr>
      </w:pPr>
      <w:r w:rsidRPr="00D5305B">
        <w:rPr>
          <w:rFonts w:ascii="Arial" w:hAnsi="Arial" w:cs="Arial"/>
          <w:color w:val="222222"/>
          <w:shd w:val="clear" w:color="auto" w:fill="FFFFFF"/>
        </w:rPr>
        <w:t>MacBeath, J. and Mortimore, P., 2001. </w:t>
      </w:r>
      <w:r w:rsidRPr="00D5305B">
        <w:rPr>
          <w:rFonts w:ascii="Arial" w:hAnsi="Arial" w:cs="Arial"/>
          <w:i/>
          <w:iCs/>
          <w:color w:val="222222"/>
          <w:shd w:val="clear" w:color="auto" w:fill="FFFFFF"/>
        </w:rPr>
        <w:t>Improving school effectiveness</w:t>
      </w:r>
      <w:r w:rsidRPr="00D5305B">
        <w:rPr>
          <w:rFonts w:ascii="Arial" w:hAnsi="Arial" w:cs="Arial"/>
          <w:color w:val="222222"/>
          <w:shd w:val="clear" w:color="auto" w:fill="FFFFFF"/>
        </w:rPr>
        <w:t>. McGraw-Hill Education (UK).</w:t>
      </w:r>
    </w:p>
    <w:p w14:paraId="40B81B2B" w14:textId="77777777" w:rsidR="00D5305B" w:rsidRPr="00D5305B" w:rsidRDefault="00D5305B">
      <w:pPr>
        <w:rPr>
          <w:rFonts w:ascii="Arial" w:hAnsi="Arial" w:cs="Arial"/>
          <w:sz w:val="24"/>
          <w:szCs w:val="24"/>
        </w:rPr>
      </w:pPr>
    </w:p>
    <w:p w14:paraId="26704E63" w14:textId="77777777" w:rsidR="00796094" w:rsidRPr="00037D1F" w:rsidRDefault="00796094">
      <w:pPr>
        <w:rPr>
          <w:rFonts w:ascii="Arial" w:hAnsi="Arial" w:cs="Arial"/>
        </w:rPr>
      </w:pPr>
      <w:r w:rsidRPr="00037D1F">
        <w:rPr>
          <w:rFonts w:ascii="Arial" w:hAnsi="Arial" w:cs="Arial"/>
        </w:rPr>
        <w:t xml:space="preserve">Popham, W. J. (2007). </w:t>
      </w:r>
      <w:r w:rsidRPr="00AE52E6">
        <w:rPr>
          <w:rFonts w:ascii="Arial" w:hAnsi="Arial" w:cs="Arial"/>
          <w:i/>
          <w:iCs/>
        </w:rPr>
        <w:t>Instructional validity: A cautionary tale. Educational Measurement: Issues and Practice</w:t>
      </w:r>
      <w:r w:rsidRPr="00037D1F">
        <w:rPr>
          <w:rFonts w:ascii="Arial" w:hAnsi="Arial" w:cs="Arial"/>
        </w:rPr>
        <w:t>, 26(2), 16-25.</w:t>
      </w:r>
    </w:p>
    <w:p w14:paraId="461245BA" w14:textId="77777777" w:rsidR="00796094" w:rsidRPr="00037D1F" w:rsidRDefault="00796094">
      <w:pPr>
        <w:rPr>
          <w:rFonts w:ascii="Arial" w:hAnsi="Arial" w:cs="Arial"/>
        </w:rPr>
      </w:pPr>
    </w:p>
    <w:p w14:paraId="3D7BFB2A" w14:textId="77777777" w:rsidR="00796094" w:rsidRPr="00037D1F" w:rsidRDefault="00796094">
      <w:pPr>
        <w:rPr>
          <w:rFonts w:ascii="Arial" w:hAnsi="Arial" w:cs="Arial"/>
        </w:rPr>
      </w:pPr>
      <w:r w:rsidRPr="00037D1F">
        <w:rPr>
          <w:rFonts w:ascii="Arial" w:hAnsi="Arial" w:cs="Arial"/>
        </w:rPr>
        <w:t xml:space="preserve">Spillane, J. P., Halverson, R., &amp; Diamond, J. B. (2002). </w:t>
      </w:r>
      <w:r w:rsidRPr="00AE52E6">
        <w:rPr>
          <w:rFonts w:ascii="Arial" w:hAnsi="Arial" w:cs="Arial"/>
          <w:i/>
          <w:iCs/>
        </w:rPr>
        <w:t>Towards a theory of leadership practice: A distributed perspective. Journal of Curriculum Studies</w:t>
      </w:r>
      <w:r w:rsidRPr="00037D1F">
        <w:rPr>
          <w:rFonts w:ascii="Arial" w:hAnsi="Arial" w:cs="Arial"/>
        </w:rPr>
        <w:t>, 34(1), 3-34.</w:t>
      </w:r>
    </w:p>
    <w:p w14:paraId="02087FEA" w14:textId="77777777" w:rsidR="00796094" w:rsidRPr="00037D1F" w:rsidRDefault="00796094">
      <w:pPr>
        <w:rPr>
          <w:rFonts w:ascii="Arial" w:hAnsi="Arial" w:cs="Arial"/>
        </w:rPr>
      </w:pPr>
    </w:p>
    <w:p w14:paraId="585F53DF" w14:textId="77777777" w:rsidR="00796094" w:rsidRPr="00037D1F" w:rsidRDefault="00796094">
      <w:pPr>
        <w:rPr>
          <w:rFonts w:ascii="Arial" w:hAnsi="Arial" w:cs="Arial"/>
        </w:rPr>
      </w:pPr>
      <w:r w:rsidRPr="00037D1F">
        <w:rPr>
          <w:rFonts w:ascii="Arial" w:hAnsi="Arial" w:cs="Arial"/>
        </w:rPr>
        <w:t xml:space="preserve">Stiggins, R. J. (2005). </w:t>
      </w:r>
      <w:r w:rsidRPr="00AE52E6">
        <w:rPr>
          <w:rFonts w:ascii="Arial" w:hAnsi="Arial" w:cs="Arial"/>
          <w:i/>
          <w:iCs/>
        </w:rPr>
        <w:t>From formative assessment to assessment for learning: A path to success in standards-based schools. Phi Delta Kappan</w:t>
      </w:r>
      <w:r w:rsidRPr="00037D1F">
        <w:rPr>
          <w:rFonts w:ascii="Arial" w:hAnsi="Arial" w:cs="Arial"/>
        </w:rPr>
        <w:t>, 87(4), 324-328.</w:t>
      </w:r>
    </w:p>
    <w:p w14:paraId="30B5C098" w14:textId="77777777" w:rsidR="00796094" w:rsidRPr="00037D1F" w:rsidRDefault="00796094">
      <w:pPr>
        <w:rPr>
          <w:rFonts w:ascii="Arial" w:hAnsi="Arial" w:cs="Arial"/>
        </w:rPr>
      </w:pPr>
    </w:p>
    <w:p w14:paraId="5C217524" w14:textId="77777777" w:rsidR="00796094" w:rsidRPr="00037D1F" w:rsidRDefault="00796094">
      <w:pPr>
        <w:rPr>
          <w:rFonts w:ascii="Arial" w:hAnsi="Arial" w:cs="Arial"/>
        </w:rPr>
      </w:pPr>
      <w:r w:rsidRPr="00037D1F">
        <w:rPr>
          <w:rFonts w:ascii="Arial" w:hAnsi="Arial" w:cs="Arial"/>
        </w:rPr>
        <w:t xml:space="preserve">Welsh Government. (2017). </w:t>
      </w:r>
      <w:r w:rsidRPr="00AE52E6">
        <w:rPr>
          <w:rFonts w:ascii="Arial" w:hAnsi="Arial" w:cs="Arial"/>
          <w:i/>
          <w:iCs/>
        </w:rPr>
        <w:t>National Mission for Education in Wales.</w:t>
      </w:r>
      <w:r w:rsidRPr="00037D1F">
        <w:rPr>
          <w:rFonts w:ascii="Arial" w:hAnsi="Arial" w:cs="Arial"/>
        </w:rPr>
        <w:t xml:space="preserve"> Retrieved from </w:t>
      </w:r>
      <w:hyperlink r:id="rId9" w:history="1">
        <w:r w:rsidRPr="00037D1F">
          <w:rPr>
            <w:rStyle w:val="Hyperlink"/>
            <w:rFonts w:ascii="Arial" w:hAnsi="Arial" w:cs="Arial"/>
          </w:rPr>
          <w:t>https://gov.wales/national-mission-education-wales</w:t>
        </w:r>
      </w:hyperlink>
    </w:p>
    <w:p w14:paraId="6E041200" w14:textId="77777777" w:rsidR="00796094" w:rsidRPr="00037D1F" w:rsidRDefault="00796094">
      <w:pPr>
        <w:rPr>
          <w:rFonts w:ascii="Arial" w:hAnsi="Arial" w:cs="Arial"/>
        </w:rPr>
      </w:pPr>
    </w:p>
    <w:p w14:paraId="0A97CBD6" w14:textId="77777777" w:rsidR="00796094" w:rsidRPr="00037D1F" w:rsidRDefault="00796094">
      <w:pPr>
        <w:rPr>
          <w:rFonts w:ascii="Arial" w:hAnsi="Arial" w:cs="Arial"/>
        </w:rPr>
      </w:pPr>
      <w:r w:rsidRPr="00037D1F">
        <w:rPr>
          <w:rFonts w:ascii="Arial" w:hAnsi="Arial" w:cs="Arial"/>
        </w:rPr>
        <w:t xml:space="preserve">Welsh Government. (2017). </w:t>
      </w:r>
      <w:r w:rsidRPr="00AE52E6">
        <w:rPr>
          <w:rFonts w:ascii="Arial" w:hAnsi="Arial" w:cs="Arial"/>
          <w:i/>
          <w:iCs/>
        </w:rPr>
        <w:t>National Professional Learning Model.</w:t>
      </w:r>
      <w:r w:rsidRPr="00037D1F">
        <w:rPr>
          <w:rFonts w:ascii="Arial" w:hAnsi="Arial" w:cs="Arial"/>
        </w:rPr>
        <w:t xml:space="preserve"> Retrieved from </w:t>
      </w:r>
      <w:hyperlink r:id="rId10" w:history="1">
        <w:r w:rsidRPr="00037D1F">
          <w:rPr>
            <w:rStyle w:val="Hyperlink"/>
            <w:rFonts w:ascii="Arial" w:hAnsi="Arial" w:cs="Arial"/>
          </w:rPr>
          <w:t>https://gov.wales/national-professional-learning-model</w:t>
        </w:r>
      </w:hyperlink>
    </w:p>
    <w:p w14:paraId="28C072E3" w14:textId="77777777" w:rsidR="00796094" w:rsidRPr="00037D1F" w:rsidRDefault="00796094">
      <w:pPr>
        <w:rPr>
          <w:rFonts w:ascii="Arial" w:hAnsi="Arial" w:cs="Arial"/>
        </w:rPr>
      </w:pPr>
    </w:p>
    <w:p w14:paraId="74BB8000" w14:textId="77777777" w:rsidR="00796094" w:rsidRPr="00037D1F" w:rsidRDefault="00796094">
      <w:pPr>
        <w:rPr>
          <w:rFonts w:ascii="Arial" w:hAnsi="Arial" w:cs="Arial"/>
        </w:rPr>
      </w:pPr>
      <w:r w:rsidRPr="00037D1F">
        <w:rPr>
          <w:rFonts w:ascii="Arial" w:hAnsi="Arial" w:cs="Arial"/>
        </w:rPr>
        <w:t xml:space="preserve">Welsh Government. (2022). </w:t>
      </w:r>
      <w:r w:rsidRPr="00AE52E6">
        <w:rPr>
          <w:rFonts w:ascii="Arial" w:hAnsi="Arial" w:cs="Arial"/>
          <w:i/>
          <w:iCs/>
        </w:rPr>
        <w:t>Curriculum for Wales.</w:t>
      </w:r>
      <w:r w:rsidRPr="00037D1F">
        <w:rPr>
          <w:rFonts w:ascii="Arial" w:hAnsi="Arial" w:cs="Arial"/>
        </w:rPr>
        <w:t xml:space="preserve"> Retrieved from </w:t>
      </w:r>
      <w:hyperlink r:id="rId11" w:history="1">
        <w:r w:rsidRPr="00037D1F">
          <w:rPr>
            <w:rStyle w:val="Hyperlink"/>
            <w:rFonts w:ascii="Arial" w:hAnsi="Arial" w:cs="Arial"/>
          </w:rPr>
          <w:t>https://gov.wales/curriculum-wales</w:t>
        </w:r>
      </w:hyperlink>
    </w:p>
    <w:p w14:paraId="4C91C361" w14:textId="77777777" w:rsidR="007C7E01" w:rsidRPr="00FB74F0" w:rsidRDefault="007C7E01"/>
    <w:p w14:paraId="16F0AEA1" w14:textId="77777777" w:rsidR="006A0D29" w:rsidRDefault="006A0D29"/>
    <w:p w14:paraId="7777F630" w14:textId="77777777" w:rsidR="006A0D29" w:rsidRDefault="006A0D29"/>
    <w:sectPr w:rsidR="006A0D2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1CAAC" w14:textId="77777777" w:rsidR="00D90CC2" w:rsidRDefault="00D90CC2" w:rsidP="00EF60A1">
      <w:pPr>
        <w:spacing w:after="0" w:line="240" w:lineRule="auto"/>
      </w:pPr>
      <w:r>
        <w:separator/>
      </w:r>
    </w:p>
  </w:endnote>
  <w:endnote w:type="continuationSeparator" w:id="0">
    <w:p w14:paraId="68050A6B" w14:textId="77777777" w:rsidR="00D90CC2" w:rsidRDefault="00D90CC2" w:rsidP="00EF6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19527" w14:textId="77777777" w:rsidR="00D90CC2" w:rsidRDefault="00D90CC2" w:rsidP="00EF60A1">
      <w:pPr>
        <w:spacing w:after="0" w:line="240" w:lineRule="auto"/>
      </w:pPr>
      <w:r>
        <w:separator/>
      </w:r>
    </w:p>
  </w:footnote>
  <w:footnote w:type="continuationSeparator" w:id="0">
    <w:p w14:paraId="4D360271" w14:textId="77777777" w:rsidR="00D90CC2" w:rsidRDefault="00D90CC2" w:rsidP="00EF60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175D3" w14:textId="3D3F06BC" w:rsidR="00EF60A1" w:rsidRDefault="00E33BE1">
    <w:pPr>
      <w:pStyle w:val="Header"/>
    </w:pPr>
    <w:r>
      <w:t>ECAD7003</w:t>
    </w:r>
    <w:r>
      <w:tab/>
    </w:r>
    <w:r>
      <w:tab/>
      <w:t>Student Number:</w:t>
    </w:r>
    <w:r w:rsidR="00E90F2C">
      <w:t xml:space="preserve"> </w:t>
    </w:r>
    <w:r>
      <w:t>2304631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C0BF4"/>
    <w:multiLevelType w:val="hybridMultilevel"/>
    <w:tmpl w:val="492EE1A8"/>
    <w:lvl w:ilvl="0" w:tplc="A85AFCE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C77A60"/>
    <w:multiLevelType w:val="hybridMultilevel"/>
    <w:tmpl w:val="A074EBF2"/>
    <w:lvl w:ilvl="0" w:tplc="50842FF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803316">
    <w:abstractNumId w:val="0"/>
  </w:num>
  <w:num w:numId="2" w16cid:durableId="1859538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EAF"/>
    <w:rsid w:val="000074B8"/>
    <w:rsid w:val="00013BF4"/>
    <w:rsid w:val="00037D1F"/>
    <w:rsid w:val="00052CE3"/>
    <w:rsid w:val="00060A2B"/>
    <w:rsid w:val="0009243A"/>
    <w:rsid w:val="000A371B"/>
    <w:rsid w:val="000C48FA"/>
    <w:rsid w:val="000D0819"/>
    <w:rsid w:val="000D6D1E"/>
    <w:rsid w:val="000E44AA"/>
    <w:rsid w:val="000F5D41"/>
    <w:rsid w:val="00117CE0"/>
    <w:rsid w:val="00123028"/>
    <w:rsid w:val="00123B37"/>
    <w:rsid w:val="00126555"/>
    <w:rsid w:val="0012721D"/>
    <w:rsid w:val="00135C96"/>
    <w:rsid w:val="0014239D"/>
    <w:rsid w:val="001533A0"/>
    <w:rsid w:val="0016063C"/>
    <w:rsid w:val="00182FF8"/>
    <w:rsid w:val="0019712F"/>
    <w:rsid w:val="001A4C37"/>
    <w:rsid w:val="001A5BD0"/>
    <w:rsid w:val="001A61DB"/>
    <w:rsid w:val="001D4F98"/>
    <w:rsid w:val="0021538D"/>
    <w:rsid w:val="00223E4C"/>
    <w:rsid w:val="002335A9"/>
    <w:rsid w:val="0024325A"/>
    <w:rsid w:val="002511D5"/>
    <w:rsid w:val="0025796A"/>
    <w:rsid w:val="0027362E"/>
    <w:rsid w:val="002A2D16"/>
    <w:rsid w:val="002D03E1"/>
    <w:rsid w:val="002E577A"/>
    <w:rsid w:val="002E7ABA"/>
    <w:rsid w:val="00326AC1"/>
    <w:rsid w:val="00330FA2"/>
    <w:rsid w:val="00382492"/>
    <w:rsid w:val="003C2543"/>
    <w:rsid w:val="003D2EAF"/>
    <w:rsid w:val="003E70BD"/>
    <w:rsid w:val="0040479C"/>
    <w:rsid w:val="004153DC"/>
    <w:rsid w:val="00441FE0"/>
    <w:rsid w:val="00460E44"/>
    <w:rsid w:val="004667B7"/>
    <w:rsid w:val="0046746F"/>
    <w:rsid w:val="00481427"/>
    <w:rsid w:val="00487461"/>
    <w:rsid w:val="00490154"/>
    <w:rsid w:val="00493495"/>
    <w:rsid w:val="004961A6"/>
    <w:rsid w:val="004A1FD2"/>
    <w:rsid w:val="004A4B5C"/>
    <w:rsid w:val="004B57A3"/>
    <w:rsid w:val="004B78E6"/>
    <w:rsid w:val="004C21AE"/>
    <w:rsid w:val="004D291C"/>
    <w:rsid w:val="004D3A32"/>
    <w:rsid w:val="004D4BE4"/>
    <w:rsid w:val="0051544F"/>
    <w:rsid w:val="00526C47"/>
    <w:rsid w:val="0055292B"/>
    <w:rsid w:val="00554068"/>
    <w:rsid w:val="005717A0"/>
    <w:rsid w:val="00581068"/>
    <w:rsid w:val="005930F4"/>
    <w:rsid w:val="00595A28"/>
    <w:rsid w:val="005A345C"/>
    <w:rsid w:val="005A4F3F"/>
    <w:rsid w:val="005B322C"/>
    <w:rsid w:val="005D2A22"/>
    <w:rsid w:val="005F0FDF"/>
    <w:rsid w:val="005F4208"/>
    <w:rsid w:val="006049EA"/>
    <w:rsid w:val="00623771"/>
    <w:rsid w:val="00642E91"/>
    <w:rsid w:val="006549BE"/>
    <w:rsid w:val="0067000A"/>
    <w:rsid w:val="006714FC"/>
    <w:rsid w:val="006956A8"/>
    <w:rsid w:val="006A0D29"/>
    <w:rsid w:val="006B72F8"/>
    <w:rsid w:val="006E5B6A"/>
    <w:rsid w:val="006F090E"/>
    <w:rsid w:val="006F1AF3"/>
    <w:rsid w:val="00725DB8"/>
    <w:rsid w:val="00750E69"/>
    <w:rsid w:val="0079345A"/>
    <w:rsid w:val="00793E26"/>
    <w:rsid w:val="00796094"/>
    <w:rsid w:val="007A5CB2"/>
    <w:rsid w:val="007B3628"/>
    <w:rsid w:val="007C7E01"/>
    <w:rsid w:val="007D5850"/>
    <w:rsid w:val="007E3262"/>
    <w:rsid w:val="007E333E"/>
    <w:rsid w:val="007E3B1A"/>
    <w:rsid w:val="0080270F"/>
    <w:rsid w:val="00804709"/>
    <w:rsid w:val="00805D89"/>
    <w:rsid w:val="0080699A"/>
    <w:rsid w:val="00821205"/>
    <w:rsid w:val="00842934"/>
    <w:rsid w:val="00861062"/>
    <w:rsid w:val="008705F2"/>
    <w:rsid w:val="008734E6"/>
    <w:rsid w:val="00881BD8"/>
    <w:rsid w:val="008B1583"/>
    <w:rsid w:val="008E2E3B"/>
    <w:rsid w:val="008F1ECF"/>
    <w:rsid w:val="00914EA4"/>
    <w:rsid w:val="00924725"/>
    <w:rsid w:val="0092577A"/>
    <w:rsid w:val="0094399E"/>
    <w:rsid w:val="00946BDC"/>
    <w:rsid w:val="00947F8A"/>
    <w:rsid w:val="009534C9"/>
    <w:rsid w:val="0098113A"/>
    <w:rsid w:val="009F28D6"/>
    <w:rsid w:val="00A5543D"/>
    <w:rsid w:val="00A8311A"/>
    <w:rsid w:val="00A95C9A"/>
    <w:rsid w:val="00AB3E50"/>
    <w:rsid w:val="00AE3738"/>
    <w:rsid w:val="00AE52E6"/>
    <w:rsid w:val="00B1053A"/>
    <w:rsid w:val="00B14C2E"/>
    <w:rsid w:val="00B17E5F"/>
    <w:rsid w:val="00B40BE4"/>
    <w:rsid w:val="00B43155"/>
    <w:rsid w:val="00B46623"/>
    <w:rsid w:val="00B907C3"/>
    <w:rsid w:val="00B9470A"/>
    <w:rsid w:val="00B9797D"/>
    <w:rsid w:val="00BC73C1"/>
    <w:rsid w:val="00BD0FEC"/>
    <w:rsid w:val="00BD154A"/>
    <w:rsid w:val="00BD21BE"/>
    <w:rsid w:val="00BE3A08"/>
    <w:rsid w:val="00C162D8"/>
    <w:rsid w:val="00C26A9C"/>
    <w:rsid w:val="00C32B11"/>
    <w:rsid w:val="00C340BB"/>
    <w:rsid w:val="00C6229B"/>
    <w:rsid w:val="00C72B24"/>
    <w:rsid w:val="00C96333"/>
    <w:rsid w:val="00CC30A2"/>
    <w:rsid w:val="00CD3E97"/>
    <w:rsid w:val="00CF05B9"/>
    <w:rsid w:val="00CF7300"/>
    <w:rsid w:val="00D447A0"/>
    <w:rsid w:val="00D5092B"/>
    <w:rsid w:val="00D5305B"/>
    <w:rsid w:val="00D54597"/>
    <w:rsid w:val="00D55013"/>
    <w:rsid w:val="00D55933"/>
    <w:rsid w:val="00D90CC2"/>
    <w:rsid w:val="00DE0553"/>
    <w:rsid w:val="00DE1AA5"/>
    <w:rsid w:val="00E007B6"/>
    <w:rsid w:val="00E01C63"/>
    <w:rsid w:val="00E04DCD"/>
    <w:rsid w:val="00E13A85"/>
    <w:rsid w:val="00E2085C"/>
    <w:rsid w:val="00E33BE1"/>
    <w:rsid w:val="00E378BA"/>
    <w:rsid w:val="00E656D9"/>
    <w:rsid w:val="00E90F2C"/>
    <w:rsid w:val="00EA06F5"/>
    <w:rsid w:val="00EB7026"/>
    <w:rsid w:val="00EC40CE"/>
    <w:rsid w:val="00EF0FEE"/>
    <w:rsid w:val="00EF60A1"/>
    <w:rsid w:val="00F02C74"/>
    <w:rsid w:val="00F806FD"/>
    <w:rsid w:val="00F85DE5"/>
    <w:rsid w:val="00F9448C"/>
    <w:rsid w:val="00FA4C12"/>
    <w:rsid w:val="00FA716B"/>
    <w:rsid w:val="00FB74F0"/>
    <w:rsid w:val="00FE0B3C"/>
    <w:rsid w:val="00FE6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ED218"/>
  <w15:chartTrackingRefBased/>
  <w15:docId w15:val="{BAA06575-961E-4C8B-98A9-8A2F445D8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E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2E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2E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2E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2E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2E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2E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2E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2E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E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2E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2E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2E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2E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2E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E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E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EAF"/>
    <w:rPr>
      <w:rFonts w:eastAsiaTheme="majorEastAsia" w:cstheme="majorBidi"/>
      <w:color w:val="272727" w:themeColor="text1" w:themeTint="D8"/>
    </w:rPr>
  </w:style>
  <w:style w:type="paragraph" w:styleId="Title">
    <w:name w:val="Title"/>
    <w:basedOn w:val="Normal"/>
    <w:next w:val="Normal"/>
    <w:link w:val="TitleChar"/>
    <w:uiPriority w:val="10"/>
    <w:qFormat/>
    <w:rsid w:val="003D2E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E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E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E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EAF"/>
    <w:pPr>
      <w:spacing w:before="160"/>
      <w:jc w:val="center"/>
    </w:pPr>
    <w:rPr>
      <w:i/>
      <w:iCs/>
      <w:color w:val="404040" w:themeColor="text1" w:themeTint="BF"/>
    </w:rPr>
  </w:style>
  <w:style w:type="character" w:customStyle="1" w:styleId="QuoteChar">
    <w:name w:val="Quote Char"/>
    <w:basedOn w:val="DefaultParagraphFont"/>
    <w:link w:val="Quote"/>
    <w:uiPriority w:val="29"/>
    <w:rsid w:val="003D2EAF"/>
    <w:rPr>
      <w:i/>
      <w:iCs/>
      <w:color w:val="404040" w:themeColor="text1" w:themeTint="BF"/>
    </w:rPr>
  </w:style>
  <w:style w:type="paragraph" w:styleId="ListParagraph">
    <w:name w:val="List Paragraph"/>
    <w:basedOn w:val="Normal"/>
    <w:uiPriority w:val="34"/>
    <w:qFormat/>
    <w:rsid w:val="003D2EAF"/>
    <w:pPr>
      <w:ind w:left="720"/>
      <w:contextualSpacing/>
    </w:pPr>
  </w:style>
  <w:style w:type="character" w:styleId="IntenseEmphasis">
    <w:name w:val="Intense Emphasis"/>
    <w:basedOn w:val="DefaultParagraphFont"/>
    <w:uiPriority w:val="21"/>
    <w:qFormat/>
    <w:rsid w:val="003D2EAF"/>
    <w:rPr>
      <w:i/>
      <w:iCs/>
      <w:color w:val="0F4761" w:themeColor="accent1" w:themeShade="BF"/>
    </w:rPr>
  </w:style>
  <w:style w:type="paragraph" w:styleId="IntenseQuote">
    <w:name w:val="Intense Quote"/>
    <w:basedOn w:val="Normal"/>
    <w:next w:val="Normal"/>
    <w:link w:val="IntenseQuoteChar"/>
    <w:uiPriority w:val="30"/>
    <w:qFormat/>
    <w:rsid w:val="003D2E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2EAF"/>
    <w:rPr>
      <w:i/>
      <w:iCs/>
      <w:color w:val="0F4761" w:themeColor="accent1" w:themeShade="BF"/>
    </w:rPr>
  </w:style>
  <w:style w:type="character" w:styleId="IntenseReference">
    <w:name w:val="Intense Reference"/>
    <w:basedOn w:val="DefaultParagraphFont"/>
    <w:uiPriority w:val="32"/>
    <w:qFormat/>
    <w:rsid w:val="003D2EAF"/>
    <w:rPr>
      <w:b/>
      <w:bCs/>
      <w:smallCaps/>
      <w:color w:val="0F4761" w:themeColor="accent1" w:themeShade="BF"/>
      <w:spacing w:val="5"/>
    </w:rPr>
  </w:style>
  <w:style w:type="paragraph" w:styleId="NormalWeb">
    <w:name w:val="Normal (Web)"/>
    <w:basedOn w:val="Normal"/>
    <w:uiPriority w:val="99"/>
    <w:semiHidden/>
    <w:unhideWhenUsed/>
    <w:rsid w:val="006A0D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B74F0"/>
    <w:rPr>
      <w:color w:val="467886" w:themeColor="hyperlink"/>
      <w:u w:val="single"/>
    </w:rPr>
  </w:style>
  <w:style w:type="character" w:styleId="UnresolvedMention">
    <w:name w:val="Unresolved Mention"/>
    <w:basedOn w:val="DefaultParagraphFont"/>
    <w:uiPriority w:val="99"/>
    <w:semiHidden/>
    <w:unhideWhenUsed/>
    <w:rsid w:val="00FB74F0"/>
    <w:rPr>
      <w:color w:val="605E5C"/>
      <w:shd w:val="clear" w:color="auto" w:fill="E1DFDD"/>
    </w:rPr>
  </w:style>
  <w:style w:type="paragraph" w:styleId="Header">
    <w:name w:val="header"/>
    <w:basedOn w:val="Normal"/>
    <w:link w:val="HeaderChar"/>
    <w:uiPriority w:val="99"/>
    <w:unhideWhenUsed/>
    <w:rsid w:val="00EF6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0A1"/>
  </w:style>
  <w:style w:type="paragraph" w:styleId="Footer">
    <w:name w:val="footer"/>
    <w:basedOn w:val="Normal"/>
    <w:link w:val="FooterChar"/>
    <w:uiPriority w:val="99"/>
    <w:unhideWhenUsed/>
    <w:rsid w:val="00EF6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118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i.org.uk/publications-and-research/gender-and-education-in-wal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sites/default/files/publications/2019-04/140625-successful-futures-en.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curriculum-wales" TargetMode="External"/><Relationship Id="rId5" Type="http://schemas.openxmlformats.org/officeDocument/2006/relationships/footnotes" Target="footnotes.xml"/><Relationship Id="rId10" Type="http://schemas.openxmlformats.org/officeDocument/2006/relationships/hyperlink" Target="https://gov.wales/national-professional-learning-model" TargetMode="External"/><Relationship Id="rId4" Type="http://schemas.openxmlformats.org/officeDocument/2006/relationships/webSettings" Target="webSettings.xml"/><Relationship Id="rId9" Type="http://schemas.openxmlformats.org/officeDocument/2006/relationships/hyperlink" Target="https://gov.wales/national-mission-education-wa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3483</Words>
  <Characters>19859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Bruton</dc:creator>
  <cp:keywords/>
  <dc:description/>
  <cp:lastModifiedBy>laurenbruton .</cp:lastModifiedBy>
  <cp:revision>177</cp:revision>
  <dcterms:created xsi:type="dcterms:W3CDTF">2024-02-18T14:55:00Z</dcterms:created>
  <dcterms:modified xsi:type="dcterms:W3CDTF">2024-03-03T19:36:00Z</dcterms:modified>
</cp:coreProperties>
</file>