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9B4833" w14:textId="552221C3" w:rsidR="40AB1032" w:rsidRDefault="40AB1032" w:rsidP="40AB1032">
      <w:pPr>
        <w:spacing w:after="0" w:line="240" w:lineRule="auto"/>
        <w:jc w:val="center"/>
        <w:rPr>
          <w:rFonts w:ascii="Arial" w:eastAsia="Arial" w:hAnsi="Arial" w:cs="Arial"/>
          <w:b/>
          <w:bCs/>
          <w:color w:val="000000" w:themeColor="text1"/>
          <w:sz w:val="40"/>
          <w:szCs w:val="40"/>
        </w:rPr>
      </w:pPr>
    </w:p>
    <w:p w14:paraId="7B7B6F71" w14:textId="3909FCA8" w:rsidR="40AB1032" w:rsidRDefault="40AB1032" w:rsidP="40AB1032">
      <w:pPr>
        <w:spacing w:after="0" w:line="240" w:lineRule="auto"/>
        <w:jc w:val="center"/>
        <w:rPr>
          <w:rFonts w:ascii="Arial" w:eastAsia="Arial" w:hAnsi="Arial" w:cs="Arial"/>
          <w:color w:val="000000" w:themeColor="text1"/>
          <w:sz w:val="40"/>
          <w:szCs w:val="40"/>
        </w:rPr>
      </w:pPr>
      <w:r w:rsidRPr="40AB1032">
        <w:rPr>
          <w:rFonts w:ascii="Arial" w:eastAsia="Arial" w:hAnsi="Arial" w:cs="Arial"/>
          <w:b/>
          <w:bCs/>
          <w:color w:val="000000" w:themeColor="text1"/>
          <w:sz w:val="40"/>
          <w:szCs w:val="40"/>
        </w:rPr>
        <w:t xml:space="preserve">Qualification: </w:t>
      </w:r>
      <w:r w:rsidRPr="40AB1032">
        <w:rPr>
          <w:rFonts w:ascii="Arial" w:eastAsia="Arial" w:hAnsi="Arial" w:cs="Arial"/>
          <w:color w:val="000000" w:themeColor="text1"/>
          <w:sz w:val="40"/>
          <w:szCs w:val="40"/>
        </w:rPr>
        <w:t>Postgraduate Diploma in Strategic People Management</w:t>
      </w:r>
    </w:p>
    <w:p w14:paraId="0D3CEBFE" w14:textId="0CC54397" w:rsidR="40AB1032" w:rsidRDefault="40AB1032" w:rsidP="40AB1032">
      <w:pPr>
        <w:spacing w:after="0" w:line="240" w:lineRule="auto"/>
        <w:jc w:val="center"/>
        <w:rPr>
          <w:rFonts w:ascii="Arial" w:eastAsia="Arial" w:hAnsi="Arial" w:cs="Arial"/>
          <w:color w:val="000000" w:themeColor="text1"/>
          <w:sz w:val="40"/>
          <w:szCs w:val="40"/>
        </w:rPr>
      </w:pPr>
    </w:p>
    <w:p w14:paraId="41893F45" w14:textId="3A90E497" w:rsidR="40AB1032" w:rsidRDefault="40AB1032" w:rsidP="40AB1032">
      <w:pPr>
        <w:spacing w:after="0" w:line="240" w:lineRule="auto"/>
        <w:jc w:val="center"/>
        <w:rPr>
          <w:rFonts w:ascii="Arial" w:eastAsia="Arial" w:hAnsi="Arial" w:cs="Arial"/>
          <w:color w:val="000000" w:themeColor="text1"/>
          <w:sz w:val="40"/>
          <w:szCs w:val="40"/>
        </w:rPr>
      </w:pPr>
    </w:p>
    <w:p w14:paraId="1B3F3FE7" w14:textId="5B6F35E9" w:rsidR="40AB1032" w:rsidRDefault="40AB1032" w:rsidP="40AB1032">
      <w:pPr>
        <w:pStyle w:val="Heading1"/>
        <w:shd w:val="clear" w:color="auto" w:fill="FFFFFF" w:themeFill="background1"/>
        <w:spacing w:before="0" w:afterAutospacing="1" w:line="240" w:lineRule="auto"/>
        <w:jc w:val="center"/>
        <w:rPr>
          <w:rFonts w:ascii="Arial" w:eastAsia="Arial" w:hAnsi="Arial" w:cs="Arial"/>
          <w:color w:val="000000" w:themeColor="text1"/>
        </w:rPr>
      </w:pPr>
      <w:r w:rsidRPr="40AB1032">
        <w:rPr>
          <w:rFonts w:ascii="Arial" w:eastAsia="Arial" w:hAnsi="Arial" w:cs="Arial"/>
          <w:b/>
          <w:bCs/>
          <w:color w:val="000000" w:themeColor="text1"/>
        </w:rPr>
        <w:t xml:space="preserve">Module Name: </w:t>
      </w:r>
      <w:r w:rsidRPr="40AB1032">
        <w:rPr>
          <w:rFonts w:ascii="Arial" w:eastAsia="Arial" w:hAnsi="Arial" w:cs="Arial"/>
          <w:color w:val="000000" w:themeColor="text1"/>
        </w:rPr>
        <w:t>Driving Performance (BMHR7016)</w:t>
      </w:r>
      <w:r>
        <w:br/>
      </w:r>
      <w:r>
        <w:br/>
      </w:r>
      <w:r>
        <w:br/>
      </w:r>
      <w:r w:rsidRPr="40AB1032">
        <w:rPr>
          <w:rFonts w:ascii="Arial" w:eastAsia="Arial" w:hAnsi="Arial" w:cs="Arial"/>
          <w:b/>
          <w:bCs/>
          <w:color w:val="000000" w:themeColor="text1"/>
        </w:rPr>
        <w:t xml:space="preserve">Assessment: </w:t>
      </w:r>
      <w:r w:rsidRPr="40AB1032">
        <w:rPr>
          <w:rFonts w:ascii="Arial" w:eastAsia="Arial" w:hAnsi="Arial" w:cs="Arial"/>
          <w:color w:val="000000" w:themeColor="text1"/>
        </w:rPr>
        <w:t>Report</w:t>
      </w:r>
    </w:p>
    <w:p w14:paraId="7DB849CB" w14:textId="12F9FBF8" w:rsidR="40AB1032" w:rsidRDefault="40AB1032" w:rsidP="40AB1032">
      <w:pPr>
        <w:spacing w:after="0" w:line="240" w:lineRule="auto"/>
        <w:rPr>
          <w:rFonts w:ascii="Arial" w:eastAsia="Arial" w:hAnsi="Arial" w:cs="Arial"/>
          <w:color w:val="000000" w:themeColor="text1"/>
          <w:sz w:val="40"/>
          <w:szCs w:val="40"/>
        </w:rPr>
      </w:pPr>
    </w:p>
    <w:p w14:paraId="2FB661AB" w14:textId="463C7B82" w:rsidR="40AB1032" w:rsidRDefault="40AB1032" w:rsidP="40AB1032">
      <w:pPr>
        <w:spacing w:after="0" w:line="240" w:lineRule="auto"/>
        <w:rPr>
          <w:rFonts w:ascii="Arial" w:eastAsia="Arial" w:hAnsi="Arial" w:cs="Arial"/>
          <w:color w:val="000000" w:themeColor="text1"/>
          <w:sz w:val="40"/>
          <w:szCs w:val="40"/>
        </w:rPr>
      </w:pPr>
    </w:p>
    <w:p w14:paraId="681B0CE5" w14:textId="5E435AFC" w:rsidR="40AB1032" w:rsidRDefault="40AB1032" w:rsidP="40AB1032">
      <w:pPr>
        <w:spacing w:after="0" w:line="240" w:lineRule="auto"/>
        <w:jc w:val="center"/>
        <w:rPr>
          <w:rFonts w:ascii="Arial" w:eastAsia="Arial" w:hAnsi="Arial" w:cs="Arial"/>
          <w:color w:val="000000" w:themeColor="text1"/>
          <w:sz w:val="40"/>
          <w:szCs w:val="40"/>
        </w:rPr>
      </w:pPr>
      <w:r w:rsidRPr="40AB1032">
        <w:rPr>
          <w:rFonts w:ascii="Arial" w:eastAsia="Arial" w:hAnsi="Arial" w:cs="Arial"/>
          <w:b/>
          <w:bCs/>
          <w:color w:val="000000" w:themeColor="text1"/>
          <w:sz w:val="40"/>
          <w:szCs w:val="40"/>
        </w:rPr>
        <w:t xml:space="preserve">Student Name: </w:t>
      </w:r>
      <w:r w:rsidRPr="40AB1032">
        <w:rPr>
          <w:rFonts w:ascii="Arial" w:eastAsia="Arial" w:hAnsi="Arial" w:cs="Arial"/>
          <w:color w:val="000000" w:themeColor="text1"/>
          <w:sz w:val="40"/>
          <w:szCs w:val="40"/>
        </w:rPr>
        <w:t>Jessica Rainbow</w:t>
      </w:r>
    </w:p>
    <w:p w14:paraId="348CDFC3" w14:textId="4AAD1FC7" w:rsidR="40AB1032" w:rsidRDefault="40AB1032" w:rsidP="40AB1032">
      <w:pPr>
        <w:spacing w:after="0" w:line="240" w:lineRule="auto"/>
        <w:jc w:val="center"/>
        <w:rPr>
          <w:rFonts w:ascii="Arial" w:eastAsia="Arial" w:hAnsi="Arial" w:cs="Arial"/>
          <w:color w:val="000000" w:themeColor="text1"/>
          <w:sz w:val="40"/>
          <w:szCs w:val="40"/>
        </w:rPr>
      </w:pPr>
    </w:p>
    <w:p w14:paraId="0AB1906C" w14:textId="253687DC" w:rsidR="40AB1032" w:rsidRDefault="40AB1032" w:rsidP="40AB1032">
      <w:pPr>
        <w:spacing w:after="0" w:line="240" w:lineRule="auto"/>
        <w:jc w:val="center"/>
        <w:rPr>
          <w:rFonts w:ascii="Arial" w:eastAsia="Arial" w:hAnsi="Arial" w:cs="Arial"/>
          <w:color w:val="000000" w:themeColor="text1"/>
          <w:sz w:val="40"/>
          <w:szCs w:val="40"/>
        </w:rPr>
      </w:pPr>
    </w:p>
    <w:p w14:paraId="4E21109B" w14:textId="5256A2A5" w:rsidR="40AB1032" w:rsidRDefault="40AB1032" w:rsidP="40AB1032">
      <w:pPr>
        <w:spacing w:after="0" w:line="240" w:lineRule="auto"/>
        <w:jc w:val="center"/>
        <w:rPr>
          <w:rFonts w:ascii="Arial" w:eastAsia="Arial" w:hAnsi="Arial" w:cs="Arial"/>
          <w:color w:val="000000" w:themeColor="text1"/>
          <w:sz w:val="40"/>
          <w:szCs w:val="40"/>
        </w:rPr>
      </w:pPr>
      <w:r w:rsidRPr="40AB1032">
        <w:rPr>
          <w:rFonts w:ascii="Arial" w:eastAsia="Arial" w:hAnsi="Arial" w:cs="Arial"/>
          <w:b/>
          <w:bCs/>
          <w:color w:val="000000" w:themeColor="text1"/>
          <w:sz w:val="40"/>
          <w:szCs w:val="40"/>
        </w:rPr>
        <w:t xml:space="preserve">Student Number: </w:t>
      </w:r>
      <w:r w:rsidRPr="40AB1032">
        <w:rPr>
          <w:rFonts w:ascii="Arial" w:eastAsia="Arial" w:hAnsi="Arial" w:cs="Arial"/>
          <w:color w:val="000000" w:themeColor="text1"/>
          <w:sz w:val="40"/>
          <w:szCs w:val="40"/>
        </w:rPr>
        <w:t>1904613</w:t>
      </w:r>
    </w:p>
    <w:p w14:paraId="4DE0ACA5" w14:textId="62C6DB81" w:rsidR="40AB1032" w:rsidRDefault="40AB1032" w:rsidP="40AB1032">
      <w:pPr>
        <w:spacing w:after="0" w:line="240" w:lineRule="auto"/>
        <w:jc w:val="center"/>
        <w:rPr>
          <w:rFonts w:ascii="Arial" w:eastAsia="Arial" w:hAnsi="Arial" w:cs="Arial"/>
          <w:color w:val="000000" w:themeColor="text1"/>
          <w:sz w:val="40"/>
          <w:szCs w:val="40"/>
        </w:rPr>
      </w:pPr>
    </w:p>
    <w:p w14:paraId="03B623C6" w14:textId="10EC9947" w:rsidR="40AB1032" w:rsidRDefault="40AB1032" w:rsidP="40AB1032">
      <w:pPr>
        <w:spacing w:after="0" w:line="240" w:lineRule="auto"/>
        <w:jc w:val="center"/>
        <w:rPr>
          <w:rFonts w:ascii="Arial" w:eastAsia="Arial" w:hAnsi="Arial" w:cs="Arial"/>
          <w:color w:val="000000" w:themeColor="text1"/>
          <w:sz w:val="40"/>
          <w:szCs w:val="40"/>
        </w:rPr>
      </w:pPr>
    </w:p>
    <w:p w14:paraId="4FB148A4" w14:textId="00100A9F" w:rsidR="40AB1032" w:rsidRDefault="40AB1032" w:rsidP="40AB1032">
      <w:pPr>
        <w:spacing w:after="0" w:line="240" w:lineRule="auto"/>
        <w:jc w:val="center"/>
        <w:rPr>
          <w:rFonts w:ascii="Arial" w:eastAsia="Arial" w:hAnsi="Arial" w:cs="Arial"/>
          <w:color w:val="000000" w:themeColor="text1"/>
          <w:sz w:val="40"/>
          <w:szCs w:val="40"/>
        </w:rPr>
      </w:pPr>
      <w:r w:rsidRPr="40AB1032">
        <w:rPr>
          <w:rFonts w:ascii="Arial" w:eastAsia="Arial" w:hAnsi="Arial" w:cs="Arial"/>
          <w:b/>
          <w:bCs/>
          <w:color w:val="000000" w:themeColor="text1"/>
          <w:sz w:val="40"/>
          <w:szCs w:val="40"/>
        </w:rPr>
        <w:t xml:space="preserve">CIPD Membership Number: </w:t>
      </w:r>
      <w:r w:rsidRPr="40AB1032">
        <w:rPr>
          <w:rFonts w:ascii="Arial" w:eastAsia="Arial" w:hAnsi="Arial" w:cs="Arial"/>
          <w:color w:val="000000" w:themeColor="text1"/>
          <w:sz w:val="40"/>
          <w:szCs w:val="40"/>
        </w:rPr>
        <w:t>54071923</w:t>
      </w:r>
    </w:p>
    <w:p w14:paraId="496F52DE" w14:textId="21BB2E92" w:rsidR="40AB1032" w:rsidRDefault="40AB1032" w:rsidP="40AB1032">
      <w:pPr>
        <w:spacing w:after="0" w:line="240" w:lineRule="auto"/>
        <w:jc w:val="center"/>
        <w:rPr>
          <w:rFonts w:ascii="Arial" w:eastAsia="Arial" w:hAnsi="Arial" w:cs="Arial"/>
          <w:color w:val="000000" w:themeColor="text1"/>
          <w:sz w:val="40"/>
          <w:szCs w:val="40"/>
        </w:rPr>
      </w:pPr>
    </w:p>
    <w:p w14:paraId="4017EE5F" w14:textId="5EC260A7" w:rsidR="40AB1032" w:rsidRDefault="40AB1032" w:rsidP="40AB1032">
      <w:pPr>
        <w:spacing w:after="0" w:line="240" w:lineRule="auto"/>
        <w:jc w:val="center"/>
        <w:rPr>
          <w:rFonts w:ascii="Arial" w:eastAsia="Arial" w:hAnsi="Arial" w:cs="Arial"/>
          <w:color w:val="000000" w:themeColor="text1"/>
          <w:sz w:val="40"/>
          <w:szCs w:val="40"/>
        </w:rPr>
      </w:pPr>
    </w:p>
    <w:p w14:paraId="11757891" w14:textId="1D09E968" w:rsidR="40AB1032" w:rsidRDefault="40AB1032" w:rsidP="40AB1032">
      <w:pPr>
        <w:spacing w:line="360" w:lineRule="auto"/>
        <w:jc w:val="center"/>
        <w:rPr>
          <w:rFonts w:ascii="Arial" w:eastAsia="Arial" w:hAnsi="Arial" w:cs="Arial"/>
          <w:b/>
          <w:bCs/>
        </w:rPr>
      </w:pPr>
      <w:r w:rsidRPr="40AB1032">
        <w:rPr>
          <w:rFonts w:ascii="Arial" w:eastAsia="Arial" w:hAnsi="Arial" w:cs="Arial"/>
          <w:b/>
          <w:bCs/>
          <w:color w:val="000000" w:themeColor="text1"/>
          <w:sz w:val="40"/>
          <w:szCs w:val="40"/>
        </w:rPr>
        <w:t xml:space="preserve">Word Count: </w:t>
      </w:r>
      <w:r w:rsidRPr="40AB1032">
        <w:rPr>
          <w:color w:val="000000" w:themeColor="text1"/>
          <w:sz w:val="40"/>
          <w:szCs w:val="40"/>
        </w:rPr>
        <w:t>164</w:t>
      </w:r>
      <w:r w:rsidR="00003A5A">
        <w:rPr>
          <w:color w:val="000000" w:themeColor="text1"/>
          <w:sz w:val="40"/>
          <w:szCs w:val="40"/>
        </w:rPr>
        <w:t>6</w:t>
      </w:r>
    </w:p>
    <w:p w14:paraId="3CEF000F" w14:textId="76EDBD89" w:rsidR="40AB1032" w:rsidRDefault="40AB1032" w:rsidP="40AB1032">
      <w:pPr>
        <w:spacing w:after="0" w:line="240" w:lineRule="auto"/>
        <w:jc w:val="center"/>
        <w:rPr>
          <w:rFonts w:ascii="Arial" w:eastAsia="Arial" w:hAnsi="Arial" w:cs="Arial"/>
          <w:b/>
          <w:bCs/>
          <w:color w:val="000000" w:themeColor="text1"/>
          <w:sz w:val="40"/>
          <w:szCs w:val="40"/>
        </w:rPr>
      </w:pPr>
    </w:p>
    <w:p w14:paraId="38D6303D" w14:textId="240373CC" w:rsidR="40AB1032" w:rsidRDefault="40AB1032" w:rsidP="40AB1032">
      <w:pPr>
        <w:spacing w:after="0" w:line="240" w:lineRule="auto"/>
        <w:jc w:val="center"/>
        <w:rPr>
          <w:rFonts w:ascii="Arial" w:eastAsia="Arial" w:hAnsi="Arial" w:cs="Arial"/>
          <w:b/>
          <w:bCs/>
          <w:color w:val="000000" w:themeColor="text1"/>
          <w:sz w:val="40"/>
          <w:szCs w:val="40"/>
        </w:rPr>
      </w:pPr>
    </w:p>
    <w:p w14:paraId="12F76C8B" w14:textId="1CD4D86B" w:rsidR="40AB1032" w:rsidRDefault="40AB1032" w:rsidP="40AB1032">
      <w:pPr>
        <w:spacing w:after="0" w:line="240" w:lineRule="auto"/>
        <w:jc w:val="center"/>
        <w:rPr>
          <w:rFonts w:ascii="Arial" w:eastAsia="Arial" w:hAnsi="Arial" w:cs="Arial"/>
          <w:b/>
          <w:bCs/>
          <w:color w:val="000000" w:themeColor="text1"/>
          <w:sz w:val="40"/>
          <w:szCs w:val="40"/>
        </w:rPr>
      </w:pPr>
    </w:p>
    <w:p w14:paraId="47C5FED3" w14:textId="5892ABE9" w:rsidR="40AB1032" w:rsidRDefault="40AB1032" w:rsidP="40AB1032">
      <w:pPr>
        <w:spacing w:after="0" w:line="240" w:lineRule="auto"/>
        <w:jc w:val="center"/>
        <w:rPr>
          <w:rFonts w:ascii="Arial" w:eastAsia="Arial" w:hAnsi="Arial" w:cs="Arial"/>
          <w:b/>
          <w:bCs/>
          <w:color w:val="000000" w:themeColor="text1"/>
          <w:sz w:val="40"/>
          <w:szCs w:val="40"/>
        </w:rPr>
      </w:pPr>
    </w:p>
    <w:p w14:paraId="752E764D" w14:textId="4EBCB018" w:rsidR="40AB1032" w:rsidRDefault="40AB1032" w:rsidP="40AB1032">
      <w:pPr>
        <w:spacing w:after="0" w:line="240" w:lineRule="auto"/>
        <w:jc w:val="center"/>
        <w:rPr>
          <w:rFonts w:ascii="Arial" w:eastAsia="Arial" w:hAnsi="Arial" w:cs="Arial"/>
          <w:b/>
          <w:bCs/>
          <w:color w:val="000000" w:themeColor="text1"/>
          <w:sz w:val="40"/>
          <w:szCs w:val="40"/>
        </w:rPr>
      </w:pPr>
    </w:p>
    <w:p w14:paraId="3B57592A" w14:textId="085B7CCD" w:rsidR="40AB1032" w:rsidRDefault="40AB1032" w:rsidP="40AB1032">
      <w:pPr>
        <w:spacing w:after="0" w:line="240" w:lineRule="auto"/>
        <w:jc w:val="center"/>
        <w:rPr>
          <w:rFonts w:ascii="Arial" w:eastAsia="Arial" w:hAnsi="Arial" w:cs="Arial"/>
          <w:b/>
          <w:bCs/>
          <w:color w:val="000000" w:themeColor="text1"/>
          <w:sz w:val="40"/>
          <w:szCs w:val="40"/>
        </w:rPr>
      </w:pPr>
    </w:p>
    <w:p w14:paraId="4B747DCB" w14:textId="720F9B17" w:rsidR="40AB1032" w:rsidRDefault="40AB1032" w:rsidP="40AB1032">
      <w:pPr>
        <w:spacing w:after="0" w:line="240" w:lineRule="auto"/>
        <w:jc w:val="center"/>
        <w:rPr>
          <w:rFonts w:ascii="Arial" w:eastAsia="Arial" w:hAnsi="Arial" w:cs="Arial"/>
          <w:b/>
          <w:bCs/>
          <w:color w:val="000000" w:themeColor="text1"/>
          <w:sz w:val="40"/>
          <w:szCs w:val="40"/>
        </w:rPr>
      </w:pPr>
    </w:p>
    <w:p w14:paraId="7DC070A5" w14:textId="747D4326" w:rsidR="40AB1032" w:rsidRDefault="40AB1032" w:rsidP="40AB1032">
      <w:pPr>
        <w:spacing w:after="0" w:line="240" w:lineRule="auto"/>
        <w:jc w:val="center"/>
        <w:rPr>
          <w:rFonts w:ascii="Arial" w:eastAsia="Arial" w:hAnsi="Arial" w:cs="Arial"/>
          <w:b/>
          <w:bCs/>
          <w:color w:val="000000" w:themeColor="text1"/>
          <w:sz w:val="40"/>
          <w:szCs w:val="40"/>
        </w:rPr>
      </w:pPr>
    </w:p>
    <w:tbl>
      <w:tblPr>
        <w:tblStyle w:val="TableGrid"/>
        <w:tblpPr w:leftFromText="180" w:rightFromText="180" w:vertAnchor="page" w:horzAnchor="margin" w:tblpY="1309"/>
        <w:tblW w:w="10489"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0489"/>
      </w:tblGrid>
      <w:tr w:rsidR="40AB1032" w14:paraId="1A8C6D3D" w14:textId="77777777" w:rsidTr="00990CB8">
        <w:trPr>
          <w:trHeight w:val="269"/>
        </w:trPr>
        <w:tc>
          <w:tcPr>
            <w:tcW w:w="10489" w:type="dxa"/>
            <w:tcMar>
              <w:left w:w="105" w:type="dxa"/>
              <w:right w:w="105" w:type="dxa"/>
            </w:tcMar>
          </w:tcPr>
          <w:p w14:paraId="7B43019E" w14:textId="77B33C3C" w:rsidR="40AB1032" w:rsidRDefault="40AB1032" w:rsidP="00990CB8">
            <w:pPr>
              <w:jc w:val="center"/>
              <w:rPr>
                <w:rFonts w:ascii="Arial" w:eastAsia="Arial" w:hAnsi="Arial" w:cs="Arial"/>
                <w:color w:val="000000" w:themeColor="text1"/>
              </w:rPr>
            </w:pPr>
            <w:r>
              <w:rPr>
                <w:noProof/>
              </w:rPr>
              <w:lastRenderedPageBreak/>
              <w:drawing>
                <wp:inline distT="0" distB="0" distL="0" distR="0" wp14:anchorId="39E7120B" wp14:editId="0E3000BF">
                  <wp:extent cx="2800350" cy="742950"/>
                  <wp:effectExtent l="0" t="0" r="0" b="0"/>
                  <wp:docPr id="355148687" name="Picture 3551486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800350" cy="742950"/>
                          </a:xfrm>
                          <a:prstGeom prst="rect">
                            <a:avLst/>
                          </a:prstGeom>
                        </pic:spPr>
                      </pic:pic>
                    </a:graphicData>
                  </a:graphic>
                </wp:inline>
              </w:drawing>
            </w:r>
          </w:p>
        </w:tc>
      </w:tr>
      <w:tr w:rsidR="40AB1032" w14:paraId="06C44081" w14:textId="77777777" w:rsidTr="00990CB8">
        <w:trPr>
          <w:trHeight w:val="1893"/>
        </w:trPr>
        <w:tc>
          <w:tcPr>
            <w:tcW w:w="10489" w:type="dxa"/>
            <w:tcMar>
              <w:left w:w="105" w:type="dxa"/>
              <w:right w:w="105" w:type="dxa"/>
            </w:tcMar>
          </w:tcPr>
          <w:p w14:paraId="20180310" w14:textId="2D8C2C5C" w:rsidR="40AB1032" w:rsidRDefault="40AB1032" w:rsidP="00990CB8">
            <w:pPr>
              <w:rPr>
                <w:rFonts w:ascii="Arial" w:eastAsia="Arial" w:hAnsi="Arial" w:cs="Arial"/>
                <w:color w:val="000000" w:themeColor="text1"/>
              </w:rPr>
            </w:pPr>
          </w:p>
          <w:p w14:paraId="1BCD5B7E" w14:textId="12FBF323" w:rsidR="40AB1032" w:rsidRPr="00003A5A" w:rsidRDefault="40AB1032" w:rsidP="00990CB8">
            <w:pPr>
              <w:spacing w:line="360" w:lineRule="auto"/>
              <w:jc w:val="center"/>
              <w:rPr>
                <w:rFonts w:ascii="Arial" w:eastAsia="Arial" w:hAnsi="Arial" w:cs="Arial"/>
                <w:b/>
                <w:bCs/>
                <w:sz w:val="48"/>
                <w:szCs w:val="48"/>
              </w:rPr>
            </w:pPr>
            <w:r w:rsidRPr="00003A5A">
              <w:rPr>
                <w:rFonts w:ascii="Arial" w:eastAsia="Arial" w:hAnsi="Arial" w:cs="Arial"/>
                <w:b/>
                <w:bCs/>
                <w:sz w:val="48"/>
                <w:szCs w:val="48"/>
              </w:rPr>
              <w:t xml:space="preserve">Enhancing organisational performance through team-based goal setting: </w:t>
            </w:r>
          </w:p>
          <w:p w14:paraId="4BF405D9" w14:textId="6B552E9F" w:rsidR="40AB1032" w:rsidRPr="0030492B" w:rsidRDefault="40AB1032" w:rsidP="00990CB8">
            <w:pPr>
              <w:spacing w:line="360" w:lineRule="auto"/>
              <w:jc w:val="center"/>
              <w:rPr>
                <w:rFonts w:ascii="Arial" w:eastAsia="Arial" w:hAnsi="Arial" w:cs="Arial"/>
                <w:b/>
                <w:bCs/>
                <w:sz w:val="32"/>
                <w:szCs w:val="32"/>
              </w:rPr>
            </w:pPr>
            <w:r w:rsidRPr="00003A5A">
              <w:rPr>
                <w:rFonts w:ascii="Arial" w:eastAsia="Arial" w:hAnsi="Arial" w:cs="Arial"/>
                <w:b/>
                <w:bCs/>
                <w:sz w:val="48"/>
                <w:szCs w:val="48"/>
              </w:rPr>
              <w:t>A strategic approach for Dimensions</w:t>
            </w:r>
          </w:p>
        </w:tc>
      </w:tr>
    </w:tbl>
    <w:p w14:paraId="6B86CA19" w14:textId="77777777" w:rsidR="00990CB8" w:rsidRDefault="00990CB8" w:rsidP="40AB1032">
      <w:pPr>
        <w:spacing w:line="360" w:lineRule="auto"/>
        <w:jc w:val="both"/>
      </w:pPr>
    </w:p>
    <w:p w14:paraId="2FE95D63" w14:textId="77777777" w:rsidR="00003A5A" w:rsidRDefault="00003A5A" w:rsidP="40AB1032">
      <w:pPr>
        <w:spacing w:line="360" w:lineRule="auto"/>
        <w:jc w:val="both"/>
      </w:pPr>
    </w:p>
    <w:p w14:paraId="5EF36044" w14:textId="53A7D82C" w:rsidR="00003A5A" w:rsidRPr="00003A5A" w:rsidRDefault="00003A5A" w:rsidP="40AB1032">
      <w:pPr>
        <w:spacing w:line="360" w:lineRule="auto"/>
        <w:jc w:val="both"/>
        <w:rPr>
          <w:b/>
          <w:bCs/>
          <w:sz w:val="32"/>
          <w:szCs w:val="32"/>
        </w:rPr>
      </w:pPr>
      <w:r w:rsidRPr="00003A5A">
        <w:rPr>
          <w:b/>
          <w:bCs/>
          <w:sz w:val="32"/>
          <w:szCs w:val="32"/>
        </w:rPr>
        <w:t>Contents</w:t>
      </w:r>
      <w:r>
        <w:rPr>
          <w:b/>
          <w:bCs/>
          <w:sz w:val="32"/>
          <w:szCs w:val="32"/>
        </w:rPr>
        <w:br/>
      </w:r>
    </w:p>
    <w:p w14:paraId="21E4DA5D" w14:textId="61DE06C1" w:rsidR="00003A5A" w:rsidRDefault="00003A5A" w:rsidP="40AB1032">
      <w:pPr>
        <w:spacing w:line="360" w:lineRule="auto"/>
        <w:jc w:val="both"/>
        <w:rPr>
          <w:b/>
          <w:bCs/>
        </w:rPr>
      </w:pPr>
      <w:r w:rsidRPr="00003A5A">
        <w:rPr>
          <w:b/>
          <w:bCs/>
        </w:rPr>
        <w:t>Executive Summary</w:t>
      </w:r>
      <w:r w:rsidRPr="00003A5A">
        <w:t>………………………………………………………</w:t>
      </w:r>
      <w:proofErr w:type="gramStart"/>
      <w:r>
        <w:t>…..</w:t>
      </w:r>
      <w:proofErr w:type="gramEnd"/>
      <w:r w:rsidRPr="00003A5A">
        <w:t>…………………………………………………</w:t>
      </w:r>
      <w:r w:rsidRPr="00003A5A">
        <w:rPr>
          <w:b/>
          <w:bCs/>
        </w:rPr>
        <w:t>3</w:t>
      </w:r>
    </w:p>
    <w:p w14:paraId="285B1E46" w14:textId="77777777" w:rsidR="00003A5A" w:rsidRPr="00003A5A" w:rsidRDefault="00003A5A" w:rsidP="40AB1032">
      <w:pPr>
        <w:spacing w:line="360" w:lineRule="auto"/>
        <w:jc w:val="both"/>
        <w:rPr>
          <w:b/>
          <w:bCs/>
        </w:rPr>
      </w:pPr>
    </w:p>
    <w:p w14:paraId="1A6B1E27" w14:textId="17B8A81D" w:rsidR="00003A5A" w:rsidRDefault="00003A5A" w:rsidP="40AB1032">
      <w:pPr>
        <w:spacing w:line="360" w:lineRule="auto"/>
        <w:jc w:val="both"/>
        <w:rPr>
          <w:b/>
          <w:bCs/>
        </w:rPr>
      </w:pPr>
      <w:r w:rsidRPr="00003A5A">
        <w:rPr>
          <w:b/>
          <w:bCs/>
        </w:rPr>
        <w:t>Introduction</w:t>
      </w:r>
      <w:r w:rsidRPr="00003A5A">
        <w:t>……</w:t>
      </w:r>
      <w:r>
        <w:t>……………………………………………………………………………………………………………….</w:t>
      </w:r>
      <w:r w:rsidRPr="00003A5A">
        <w:t>….</w:t>
      </w:r>
      <w:r w:rsidRPr="00003A5A">
        <w:rPr>
          <w:b/>
          <w:bCs/>
        </w:rPr>
        <w:t>4</w:t>
      </w:r>
    </w:p>
    <w:p w14:paraId="3B6C6872" w14:textId="77777777" w:rsidR="00003A5A" w:rsidRPr="00003A5A" w:rsidRDefault="00003A5A" w:rsidP="40AB1032">
      <w:pPr>
        <w:spacing w:line="360" w:lineRule="auto"/>
        <w:jc w:val="both"/>
        <w:rPr>
          <w:b/>
          <w:bCs/>
        </w:rPr>
      </w:pPr>
    </w:p>
    <w:p w14:paraId="6F486B05" w14:textId="61BF1CC5" w:rsidR="00003A5A" w:rsidRDefault="00003A5A" w:rsidP="40AB1032">
      <w:pPr>
        <w:spacing w:line="360" w:lineRule="auto"/>
        <w:jc w:val="both"/>
        <w:rPr>
          <w:b/>
          <w:bCs/>
        </w:rPr>
      </w:pPr>
      <w:r w:rsidRPr="00003A5A">
        <w:rPr>
          <w:b/>
          <w:bCs/>
        </w:rPr>
        <w:t>Main Body</w:t>
      </w:r>
      <w:r w:rsidRPr="00003A5A">
        <w:t>…………………………</w:t>
      </w:r>
      <w:r>
        <w:t>…………………………………………………………………………………………</w:t>
      </w:r>
      <w:r w:rsidRPr="00003A5A">
        <w:t>…</w:t>
      </w:r>
      <w:proofErr w:type="gramStart"/>
      <w:r w:rsidRPr="00003A5A">
        <w:t>…..</w:t>
      </w:r>
      <w:proofErr w:type="gramEnd"/>
      <w:r w:rsidRPr="00003A5A">
        <w:rPr>
          <w:b/>
          <w:bCs/>
        </w:rPr>
        <w:t>5</w:t>
      </w:r>
    </w:p>
    <w:p w14:paraId="2C0BD02E" w14:textId="77777777" w:rsidR="00003A5A" w:rsidRPr="00003A5A" w:rsidRDefault="00003A5A" w:rsidP="40AB1032">
      <w:pPr>
        <w:spacing w:line="360" w:lineRule="auto"/>
        <w:jc w:val="both"/>
        <w:rPr>
          <w:b/>
          <w:bCs/>
        </w:rPr>
      </w:pPr>
    </w:p>
    <w:p w14:paraId="0293AB9F" w14:textId="419DC94E" w:rsidR="00003A5A" w:rsidRDefault="00003A5A" w:rsidP="40AB1032">
      <w:pPr>
        <w:spacing w:line="360" w:lineRule="auto"/>
        <w:jc w:val="both"/>
        <w:rPr>
          <w:b/>
          <w:bCs/>
        </w:rPr>
      </w:pPr>
      <w:r w:rsidRPr="00003A5A">
        <w:rPr>
          <w:b/>
          <w:bCs/>
        </w:rPr>
        <w:t>Conclusion</w:t>
      </w:r>
      <w:r w:rsidRPr="00003A5A">
        <w:t>……………………</w:t>
      </w:r>
      <w:r>
        <w:t>……………………………………………………………………………………………</w:t>
      </w:r>
      <w:r w:rsidRPr="00003A5A">
        <w:t>………</w:t>
      </w:r>
      <w:r w:rsidRPr="00003A5A">
        <w:rPr>
          <w:b/>
          <w:bCs/>
        </w:rPr>
        <w:t>7</w:t>
      </w:r>
    </w:p>
    <w:p w14:paraId="5A41CC75" w14:textId="77777777" w:rsidR="00003A5A" w:rsidRPr="00003A5A" w:rsidRDefault="00003A5A" w:rsidP="40AB1032">
      <w:pPr>
        <w:spacing w:line="360" w:lineRule="auto"/>
        <w:jc w:val="both"/>
        <w:rPr>
          <w:b/>
          <w:bCs/>
        </w:rPr>
      </w:pPr>
    </w:p>
    <w:p w14:paraId="6B1ADA6A" w14:textId="784F0EE7" w:rsidR="00003A5A" w:rsidRDefault="00003A5A" w:rsidP="40AB1032">
      <w:pPr>
        <w:spacing w:line="360" w:lineRule="auto"/>
        <w:jc w:val="both"/>
        <w:rPr>
          <w:b/>
          <w:bCs/>
        </w:rPr>
      </w:pPr>
      <w:r w:rsidRPr="00003A5A">
        <w:rPr>
          <w:b/>
          <w:bCs/>
        </w:rPr>
        <w:t>Recommendations</w:t>
      </w:r>
      <w:r w:rsidRPr="00003A5A">
        <w:t>……</w:t>
      </w:r>
      <w:r>
        <w:t>……………………………………………………………………………………………………</w:t>
      </w:r>
      <w:r w:rsidRPr="00003A5A">
        <w:t>……</w:t>
      </w:r>
      <w:r w:rsidRPr="00003A5A">
        <w:rPr>
          <w:b/>
          <w:bCs/>
        </w:rPr>
        <w:t>8</w:t>
      </w:r>
    </w:p>
    <w:p w14:paraId="1FFFC498" w14:textId="77777777" w:rsidR="00003A5A" w:rsidRPr="00003A5A" w:rsidRDefault="00003A5A" w:rsidP="40AB1032">
      <w:pPr>
        <w:spacing w:line="360" w:lineRule="auto"/>
        <w:jc w:val="both"/>
        <w:rPr>
          <w:b/>
          <w:bCs/>
        </w:rPr>
      </w:pPr>
    </w:p>
    <w:p w14:paraId="4085A67C" w14:textId="6FB65A44" w:rsidR="00003A5A" w:rsidRPr="00003A5A" w:rsidRDefault="00003A5A" w:rsidP="40AB1032">
      <w:pPr>
        <w:spacing w:line="360" w:lineRule="auto"/>
        <w:jc w:val="both"/>
        <w:rPr>
          <w:b/>
          <w:bCs/>
        </w:rPr>
      </w:pPr>
      <w:r w:rsidRPr="00003A5A">
        <w:rPr>
          <w:b/>
          <w:bCs/>
        </w:rPr>
        <w:t>References</w:t>
      </w:r>
      <w:r w:rsidRPr="00003A5A">
        <w:t>……………</w:t>
      </w:r>
      <w:r>
        <w:t>……………………………………………………………………………………………………</w:t>
      </w:r>
      <w:r w:rsidRPr="00003A5A">
        <w:t>…….</w:t>
      </w:r>
      <w:r w:rsidRPr="00003A5A">
        <w:rPr>
          <w:b/>
          <w:bCs/>
        </w:rPr>
        <w:t>10</w:t>
      </w:r>
    </w:p>
    <w:p w14:paraId="629A1CF4" w14:textId="77777777" w:rsidR="00990CB8" w:rsidRDefault="00990CB8" w:rsidP="40AB1032">
      <w:pPr>
        <w:spacing w:line="360" w:lineRule="auto"/>
        <w:jc w:val="both"/>
      </w:pPr>
    </w:p>
    <w:p w14:paraId="77AB5229" w14:textId="77777777" w:rsidR="00990CB8" w:rsidRDefault="00990CB8" w:rsidP="40AB1032">
      <w:pPr>
        <w:spacing w:line="360" w:lineRule="auto"/>
        <w:jc w:val="both"/>
      </w:pPr>
    </w:p>
    <w:p w14:paraId="765CDC4D" w14:textId="43491447" w:rsidR="00B43C2F" w:rsidRDefault="40AB1032" w:rsidP="40AB1032">
      <w:pPr>
        <w:spacing w:line="360" w:lineRule="auto"/>
        <w:jc w:val="both"/>
        <w:rPr>
          <w:rFonts w:ascii="Arial" w:eastAsia="Arial" w:hAnsi="Arial" w:cs="Arial"/>
          <w:b/>
          <w:bCs/>
        </w:rPr>
      </w:pPr>
      <w:r w:rsidRPr="40AB1032">
        <w:rPr>
          <w:rFonts w:ascii="Arial" w:eastAsia="Arial" w:hAnsi="Arial" w:cs="Arial"/>
          <w:b/>
          <w:bCs/>
        </w:rPr>
        <w:lastRenderedPageBreak/>
        <w:t>Executive summary</w:t>
      </w:r>
    </w:p>
    <w:p w14:paraId="0D03BD2F" w14:textId="748B7FB9" w:rsidR="00B43C2F" w:rsidRDefault="40AB1032" w:rsidP="40AB1032">
      <w:pPr>
        <w:spacing w:line="360" w:lineRule="auto"/>
        <w:jc w:val="both"/>
        <w:rPr>
          <w:rFonts w:ascii="Arial" w:eastAsia="Arial" w:hAnsi="Arial" w:cs="Arial"/>
        </w:rPr>
      </w:pPr>
      <w:r w:rsidRPr="40AB1032">
        <w:rPr>
          <w:rFonts w:ascii="Arial" w:eastAsia="Arial" w:hAnsi="Arial" w:cs="Arial"/>
        </w:rPr>
        <w:t>Performance management is essential for organisational success, encompassing elements such as goal setting, feedback, motivation, and leadership (CIPD, 2022). Individual performance assessment provides clarity and direction, but challenges exist in establishing a direct link between individual performance and organisational outcomes (Armstrong, 2021). Traditional methods like annual reviews are deemed ineffective, promoting a shift towards team-oriented strategies to enhance collaboration and performance (Woolston, 2019; Capelli &amp; Tavis, 2016). Research indicates that setting challenging team goals leads to better performance outcomes compared to individual goals (CIPD, 2023).</w:t>
      </w:r>
    </w:p>
    <w:p w14:paraId="7C0289AF" w14:textId="0D1F2435" w:rsidR="40AB1032" w:rsidRDefault="40AB1032" w:rsidP="40AB1032">
      <w:pPr>
        <w:spacing w:line="360" w:lineRule="auto"/>
        <w:jc w:val="both"/>
        <w:rPr>
          <w:rFonts w:ascii="Arial" w:eastAsia="Arial" w:hAnsi="Arial" w:cs="Arial"/>
        </w:rPr>
      </w:pPr>
      <w:r w:rsidRPr="40AB1032">
        <w:rPr>
          <w:rFonts w:ascii="Arial" w:eastAsia="Arial" w:hAnsi="Arial" w:cs="Arial"/>
        </w:rPr>
        <w:t>Team-based goal setting fosters collaboration, communication, and shared commitment among team members, driving higher productivity and innovation (Thomas, 2023). Effective teams are characterised by shared purposes and clear goals, ensuring mutual accountability (</w:t>
      </w:r>
      <w:proofErr w:type="spellStart"/>
      <w:r w:rsidRPr="40AB1032">
        <w:rPr>
          <w:rFonts w:ascii="Arial" w:eastAsia="Arial" w:hAnsi="Arial" w:cs="Arial"/>
        </w:rPr>
        <w:t>Biech</w:t>
      </w:r>
      <w:proofErr w:type="spellEnd"/>
      <w:r w:rsidRPr="40AB1032">
        <w:rPr>
          <w:rFonts w:ascii="Arial" w:eastAsia="Arial" w:hAnsi="Arial" w:cs="Arial"/>
        </w:rPr>
        <w:t xml:space="preserve">, 2001). Interdisciplinary collaboration within teams leverages diverse skills and experiences, promoting effective decision-making processes (Shah et al., 2023). Training and development initiatives are crucial for enhancing teamwork, communication, and leadership skills within the organisation (CIPD, 2022). </w:t>
      </w:r>
    </w:p>
    <w:p w14:paraId="0D782A1F" w14:textId="35CC334E" w:rsidR="40AB1032" w:rsidRDefault="40AB1032" w:rsidP="40AB1032">
      <w:pPr>
        <w:spacing w:line="360" w:lineRule="auto"/>
        <w:jc w:val="both"/>
        <w:rPr>
          <w:rFonts w:ascii="Arial" w:eastAsia="Arial" w:hAnsi="Arial" w:cs="Arial"/>
        </w:rPr>
      </w:pPr>
      <w:r w:rsidRPr="40AB1032">
        <w:rPr>
          <w:rFonts w:ascii="Arial" w:eastAsia="Arial" w:hAnsi="Arial" w:cs="Arial"/>
        </w:rPr>
        <w:t>Establishing performance metrics that assess both individual contributions and team outcomes is essential for evaluating team performance (CIPD, 2022; Marriage &amp; Kinnear, 2016). Recognising and rewarding collaborative efforts reinforce a culture of teamwork and mutual support (Gifford, 2024; Thomas, 2023). Continuous feedback and improvement foster a culture of learning and development within teams (Woolston, 2019; CIPD, 2022).</w:t>
      </w:r>
    </w:p>
    <w:p w14:paraId="43191225" w14:textId="06B89C81" w:rsidR="40AB1032" w:rsidRDefault="40AB1032" w:rsidP="40AB1032">
      <w:pPr>
        <w:spacing w:line="360" w:lineRule="auto"/>
        <w:jc w:val="both"/>
        <w:rPr>
          <w:rFonts w:ascii="Arial" w:eastAsia="Arial" w:hAnsi="Arial" w:cs="Arial"/>
        </w:rPr>
      </w:pPr>
      <w:r w:rsidRPr="40AB1032">
        <w:rPr>
          <w:rFonts w:ascii="Arial" w:eastAsia="Arial" w:hAnsi="Arial" w:cs="Arial"/>
        </w:rPr>
        <w:t xml:space="preserve">Aligning team goals with patient-centred care ensures that efforts contribute to patience satisfaction and service effectiveness (Hodder Education, </w:t>
      </w:r>
      <w:proofErr w:type="spellStart"/>
      <w:r w:rsidRPr="40AB1032">
        <w:rPr>
          <w:rFonts w:ascii="Arial" w:eastAsia="Arial" w:hAnsi="Arial" w:cs="Arial"/>
        </w:rPr>
        <w:t>n.d</w:t>
      </w:r>
      <w:proofErr w:type="spellEnd"/>
      <w:r w:rsidRPr="40AB1032">
        <w:rPr>
          <w:rFonts w:ascii="Arial" w:eastAsia="Arial" w:hAnsi="Arial" w:cs="Arial"/>
        </w:rPr>
        <w:t>; CIPD, 2022). Regular evaluation and adjustment of team goals based on feedback and performance data are crucial for maintaining relevant and achievability in dynamic social care environments (CIPD. 2022; Shah et al., 2023; Baldwin, 2020).</w:t>
      </w:r>
    </w:p>
    <w:p w14:paraId="7B23FE67" w14:textId="5A0A4831" w:rsidR="40AB1032" w:rsidRDefault="40AB1032" w:rsidP="40AB1032">
      <w:pPr>
        <w:spacing w:line="360" w:lineRule="auto"/>
        <w:jc w:val="both"/>
        <w:rPr>
          <w:rFonts w:ascii="Arial" w:eastAsia="Arial" w:hAnsi="Arial" w:cs="Arial"/>
          <w:b/>
          <w:bCs/>
        </w:rPr>
      </w:pPr>
    </w:p>
    <w:p w14:paraId="73C79B3F" w14:textId="77777777" w:rsidR="00003A5A" w:rsidRDefault="00003A5A" w:rsidP="40AB1032">
      <w:pPr>
        <w:spacing w:line="360" w:lineRule="auto"/>
        <w:jc w:val="both"/>
        <w:rPr>
          <w:rFonts w:ascii="Arial" w:eastAsia="Arial" w:hAnsi="Arial" w:cs="Arial"/>
          <w:b/>
          <w:bCs/>
        </w:rPr>
      </w:pPr>
    </w:p>
    <w:p w14:paraId="2D0EB32E" w14:textId="77777777" w:rsidR="00003A5A" w:rsidRDefault="00003A5A" w:rsidP="40AB1032">
      <w:pPr>
        <w:spacing w:line="360" w:lineRule="auto"/>
        <w:jc w:val="both"/>
        <w:rPr>
          <w:rFonts w:ascii="Arial" w:eastAsia="Arial" w:hAnsi="Arial" w:cs="Arial"/>
          <w:b/>
          <w:bCs/>
        </w:rPr>
      </w:pPr>
    </w:p>
    <w:p w14:paraId="23035423" w14:textId="77777777" w:rsidR="00003A5A" w:rsidRDefault="00003A5A" w:rsidP="40AB1032">
      <w:pPr>
        <w:spacing w:line="360" w:lineRule="auto"/>
        <w:jc w:val="both"/>
        <w:rPr>
          <w:rFonts w:ascii="Arial" w:eastAsia="Arial" w:hAnsi="Arial" w:cs="Arial"/>
          <w:b/>
          <w:bCs/>
        </w:rPr>
      </w:pPr>
    </w:p>
    <w:p w14:paraId="397963B9" w14:textId="77777777" w:rsidR="00003A5A" w:rsidRDefault="00003A5A" w:rsidP="40AB1032">
      <w:pPr>
        <w:spacing w:line="360" w:lineRule="auto"/>
        <w:jc w:val="both"/>
        <w:rPr>
          <w:rFonts w:ascii="Arial" w:eastAsia="Arial" w:hAnsi="Arial" w:cs="Arial"/>
          <w:b/>
          <w:bCs/>
        </w:rPr>
      </w:pPr>
    </w:p>
    <w:p w14:paraId="0D8B4196" w14:textId="5CACCA83" w:rsidR="00B43C2F" w:rsidRDefault="40AB1032" w:rsidP="40AB1032">
      <w:pPr>
        <w:spacing w:line="360" w:lineRule="auto"/>
        <w:jc w:val="both"/>
        <w:rPr>
          <w:rFonts w:ascii="Arial" w:eastAsia="Arial" w:hAnsi="Arial" w:cs="Arial"/>
          <w:b/>
          <w:bCs/>
        </w:rPr>
      </w:pPr>
      <w:r w:rsidRPr="40AB1032">
        <w:rPr>
          <w:rFonts w:ascii="Arial" w:eastAsia="Arial" w:hAnsi="Arial" w:cs="Arial"/>
          <w:b/>
          <w:bCs/>
        </w:rPr>
        <w:lastRenderedPageBreak/>
        <w:t xml:space="preserve">Introduction </w:t>
      </w:r>
    </w:p>
    <w:p w14:paraId="513F67DD" w14:textId="1D23A551" w:rsidR="00B43C2F" w:rsidRDefault="40AB1032" w:rsidP="40AB1032">
      <w:pPr>
        <w:spacing w:line="360" w:lineRule="auto"/>
        <w:jc w:val="both"/>
        <w:rPr>
          <w:rFonts w:ascii="Arial" w:eastAsia="Arial" w:hAnsi="Arial" w:cs="Arial"/>
        </w:rPr>
      </w:pPr>
      <w:r w:rsidRPr="40AB1032">
        <w:rPr>
          <w:rFonts w:ascii="Arial" w:eastAsia="Arial" w:hAnsi="Arial" w:cs="Arial"/>
        </w:rPr>
        <w:t xml:space="preserve">Performance management is pivotal for organisational success, encompassing various elements such as goal setting, feedback, motivation, and leadership (CIPD, 2022). Gifford (2024) asserts that individual performance assessment serves as a cornerstone, offering clarity and direction by setting out performance expectations and enabling feedback, development, recognition, and accountability. At </w:t>
      </w:r>
      <w:proofErr w:type="spellStart"/>
      <w:r w:rsidRPr="40AB1032">
        <w:rPr>
          <w:rFonts w:ascii="Arial" w:eastAsia="Arial" w:hAnsi="Arial" w:cs="Arial"/>
        </w:rPr>
        <w:t>it’s</w:t>
      </w:r>
      <w:proofErr w:type="spellEnd"/>
      <w:r w:rsidRPr="40AB1032">
        <w:rPr>
          <w:rFonts w:ascii="Arial" w:eastAsia="Arial" w:hAnsi="Arial" w:cs="Arial"/>
        </w:rPr>
        <w:t xml:space="preserve"> core, individual performance management aims to refine performance by defining standards, setting </w:t>
      </w:r>
      <w:proofErr w:type="gramStart"/>
      <w:r w:rsidRPr="40AB1032">
        <w:rPr>
          <w:rFonts w:ascii="Arial" w:eastAsia="Arial" w:hAnsi="Arial" w:cs="Arial"/>
        </w:rPr>
        <w:t>objectives</w:t>
      </w:r>
      <w:proofErr w:type="gramEnd"/>
      <w:r w:rsidRPr="40AB1032">
        <w:rPr>
          <w:rFonts w:ascii="Arial" w:eastAsia="Arial" w:hAnsi="Arial" w:cs="Arial"/>
        </w:rPr>
        <w:t xml:space="preserve"> and facilitating skill development (Armstrong, 2021).</w:t>
      </w:r>
    </w:p>
    <w:p w14:paraId="4A01078E" w14:textId="728DDBAC" w:rsidR="40AB1032" w:rsidRDefault="40AB1032" w:rsidP="40AB1032">
      <w:pPr>
        <w:spacing w:line="360" w:lineRule="auto"/>
        <w:jc w:val="both"/>
        <w:rPr>
          <w:rFonts w:ascii="Arial" w:eastAsia="Arial" w:hAnsi="Arial" w:cs="Arial"/>
        </w:rPr>
      </w:pPr>
      <w:r w:rsidRPr="40AB1032">
        <w:rPr>
          <w:rFonts w:ascii="Arial" w:eastAsia="Arial" w:hAnsi="Arial" w:cs="Arial"/>
        </w:rPr>
        <w:t xml:space="preserve">However, despite the emphasis on individual performance, challenges persist in establishing a direct link between performance management practices and organisational outcomes (Armstrong, 2021). Woolston (2019) highlights the limited success of traditional methods like annual reviews in driving productivity, advocating instead for ongoing feedback as a </w:t>
      </w:r>
      <w:r w:rsidR="0030492B" w:rsidRPr="40AB1032">
        <w:rPr>
          <w:rFonts w:ascii="Arial" w:eastAsia="Arial" w:hAnsi="Arial" w:cs="Arial"/>
        </w:rPr>
        <w:t>foundation</w:t>
      </w:r>
      <w:r w:rsidRPr="40AB1032">
        <w:rPr>
          <w:rFonts w:ascii="Arial" w:eastAsia="Arial" w:hAnsi="Arial" w:cs="Arial"/>
        </w:rPr>
        <w:t xml:space="preserve"> </w:t>
      </w:r>
      <w:r w:rsidR="0030492B">
        <w:rPr>
          <w:rFonts w:ascii="Arial" w:eastAsia="Arial" w:hAnsi="Arial" w:cs="Arial"/>
        </w:rPr>
        <w:t>for</w:t>
      </w:r>
      <w:r w:rsidRPr="40AB1032">
        <w:rPr>
          <w:rFonts w:ascii="Arial" w:eastAsia="Arial" w:hAnsi="Arial" w:cs="Arial"/>
        </w:rPr>
        <w:t xml:space="preserve"> effective management.</w:t>
      </w:r>
    </w:p>
    <w:p w14:paraId="39895EEB" w14:textId="6D9CDC2F" w:rsidR="40AB1032" w:rsidRDefault="40AB1032" w:rsidP="40AB1032">
      <w:pPr>
        <w:spacing w:line="360" w:lineRule="auto"/>
        <w:jc w:val="both"/>
        <w:rPr>
          <w:rFonts w:ascii="Arial" w:eastAsia="Arial" w:hAnsi="Arial" w:cs="Arial"/>
        </w:rPr>
      </w:pPr>
      <w:r w:rsidRPr="40AB1032">
        <w:rPr>
          <w:rFonts w:ascii="Arial" w:eastAsia="Arial" w:hAnsi="Arial" w:cs="Arial"/>
        </w:rPr>
        <w:t xml:space="preserve">Transitioning away from individual-centric approaches, such as forced ranking, towards team-oriented strategies is advocated to foster collaboration and enhance performance (Capelli &amp; Tavis, 2016). Gambill (2023) underscores the importance of aligning individual goals with team objectives for enhanced engagement and performance. </w:t>
      </w:r>
    </w:p>
    <w:p w14:paraId="27FE062E" w14:textId="65FB2BA0" w:rsidR="40AB1032" w:rsidRDefault="40AB1032" w:rsidP="40AB1032">
      <w:pPr>
        <w:spacing w:line="360" w:lineRule="auto"/>
        <w:jc w:val="both"/>
        <w:rPr>
          <w:rFonts w:ascii="Arial" w:eastAsia="Arial" w:hAnsi="Arial" w:cs="Arial"/>
        </w:rPr>
      </w:pPr>
      <w:r w:rsidRPr="40AB1032">
        <w:rPr>
          <w:rFonts w:ascii="Arial" w:eastAsia="Arial" w:hAnsi="Arial" w:cs="Arial"/>
        </w:rPr>
        <w:t xml:space="preserve">Moreover, team performance emerges as a critical determinant of organisational success (Marriage &amp; Kinnear, 2016). This underscores the significance of evaluating team performance to identify areas for improvement (Marriage &amp; Kinnear, 2016). CIPD (2023) emphasises the effectiveness of setting challenging team goals in improving performance, noting that team-level goals can lead to even greater performance outcomes compared to individual goals. </w:t>
      </w:r>
      <w:r>
        <w:br/>
      </w:r>
    </w:p>
    <w:p w14:paraId="1B658327" w14:textId="77777777" w:rsidR="0030492B" w:rsidRDefault="0030492B" w:rsidP="40AB1032">
      <w:pPr>
        <w:spacing w:line="360" w:lineRule="auto"/>
        <w:jc w:val="both"/>
        <w:rPr>
          <w:rFonts w:ascii="Arial" w:eastAsia="Arial" w:hAnsi="Arial" w:cs="Arial"/>
        </w:rPr>
      </w:pPr>
    </w:p>
    <w:p w14:paraId="649292BB" w14:textId="77777777" w:rsidR="0030492B" w:rsidRDefault="0030492B" w:rsidP="40AB1032">
      <w:pPr>
        <w:spacing w:line="360" w:lineRule="auto"/>
        <w:jc w:val="both"/>
        <w:rPr>
          <w:rFonts w:ascii="Arial" w:eastAsia="Arial" w:hAnsi="Arial" w:cs="Arial"/>
        </w:rPr>
      </w:pPr>
    </w:p>
    <w:p w14:paraId="26BC8E6E" w14:textId="77777777" w:rsidR="0030492B" w:rsidRDefault="0030492B" w:rsidP="40AB1032">
      <w:pPr>
        <w:spacing w:line="360" w:lineRule="auto"/>
        <w:jc w:val="both"/>
        <w:rPr>
          <w:rFonts w:ascii="Arial" w:eastAsia="Arial" w:hAnsi="Arial" w:cs="Arial"/>
        </w:rPr>
      </w:pPr>
    </w:p>
    <w:p w14:paraId="5BE65C19" w14:textId="77777777" w:rsidR="0030492B" w:rsidRDefault="0030492B" w:rsidP="40AB1032">
      <w:pPr>
        <w:spacing w:line="360" w:lineRule="auto"/>
        <w:jc w:val="both"/>
        <w:rPr>
          <w:rFonts w:ascii="Arial" w:eastAsia="Arial" w:hAnsi="Arial" w:cs="Arial"/>
        </w:rPr>
      </w:pPr>
    </w:p>
    <w:p w14:paraId="465D8EB7" w14:textId="77777777" w:rsidR="0030492B" w:rsidRDefault="0030492B" w:rsidP="40AB1032">
      <w:pPr>
        <w:spacing w:line="360" w:lineRule="auto"/>
        <w:jc w:val="both"/>
        <w:rPr>
          <w:rFonts w:ascii="Arial" w:eastAsia="Arial" w:hAnsi="Arial" w:cs="Arial"/>
        </w:rPr>
      </w:pPr>
    </w:p>
    <w:p w14:paraId="3543D4A7" w14:textId="77777777" w:rsidR="0030492B" w:rsidRDefault="0030492B" w:rsidP="40AB1032">
      <w:pPr>
        <w:spacing w:line="360" w:lineRule="auto"/>
        <w:jc w:val="both"/>
        <w:rPr>
          <w:rFonts w:ascii="Arial" w:eastAsia="Arial" w:hAnsi="Arial" w:cs="Arial"/>
        </w:rPr>
      </w:pPr>
    </w:p>
    <w:p w14:paraId="2897A485" w14:textId="77777777" w:rsidR="0030492B" w:rsidRDefault="0030492B" w:rsidP="40AB1032">
      <w:pPr>
        <w:spacing w:line="360" w:lineRule="auto"/>
        <w:jc w:val="both"/>
        <w:rPr>
          <w:rFonts w:ascii="Arial" w:eastAsia="Arial" w:hAnsi="Arial" w:cs="Arial"/>
        </w:rPr>
      </w:pPr>
    </w:p>
    <w:p w14:paraId="02C97C77" w14:textId="77777777" w:rsidR="0030492B" w:rsidRDefault="0030492B" w:rsidP="40AB1032">
      <w:pPr>
        <w:spacing w:line="360" w:lineRule="auto"/>
        <w:jc w:val="both"/>
        <w:rPr>
          <w:rFonts w:ascii="Arial" w:eastAsia="Arial" w:hAnsi="Arial" w:cs="Arial"/>
        </w:rPr>
      </w:pPr>
    </w:p>
    <w:p w14:paraId="6512F909" w14:textId="71C91FB6" w:rsidR="40AB1032" w:rsidRDefault="40AB1032" w:rsidP="40AB1032">
      <w:pPr>
        <w:spacing w:line="360" w:lineRule="auto"/>
        <w:jc w:val="both"/>
        <w:rPr>
          <w:rFonts w:ascii="Arial" w:eastAsia="Arial" w:hAnsi="Arial" w:cs="Arial"/>
          <w:b/>
          <w:bCs/>
        </w:rPr>
      </w:pPr>
      <w:r w:rsidRPr="40AB1032">
        <w:rPr>
          <w:rFonts w:ascii="Arial" w:eastAsia="Arial" w:hAnsi="Arial" w:cs="Arial"/>
          <w:b/>
          <w:bCs/>
        </w:rPr>
        <w:lastRenderedPageBreak/>
        <w:t xml:space="preserve">Main Findings </w:t>
      </w:r>
    </w:p>
    <w:p w14:paraId="42EF655B" w14:textId="541858D1" w:rsidR="40AB1032" w:rsidRDefault="40AB1032" w:rsidP="40AB1032">
      <w:pPr>
        <w:spacing w:line="360" w:lineRule="auto"/>
        <w:jc w:val="both"/>
        <w:rPr>
          <w:rFonts w:ascii="Arial" w:eastAsia="Arial" w:hAnsi="Arial" w:cs="Arial"/>
        </w:rPr>
      </w:pPr>
      <w:r w:rsidRPr="40AB1032">
        <w:rPr>
          <w:rFonts w:ascii="Arial" w:eastAsia="Arial" w:hAnsi="Arial" w:cs="Arial"/>
        </w:rPr>
        <w:t xml:space="preserve">Employee performance is a critical factor in organisational success, alongside aspects such as goal setting, feedback, </w:t>
      </w:r>
      <w:proofErr w:type="gramStart"/>
      <w:r w:rsidRPr="40AB1032">
        <w:rPr>
          <w:rFonts w:ascii="Arial" w:eastAsia="Arial" w:hAnsi="Arial" w:cs="Arial"/>
        </w:rPr>
        <w:t>motivation</w:t>
      </w:r>
      <w:proofErr w:type="gramEnd"/>
      <w:r w:rsidRPr="40AB1032">
        <w:rPr>
          <w:rFonts w:ascii="Arial" w:eastAsia="Arial" w:hAnsi="Arial" w:cs="Arial"/>
        </w:rPr>
        <w:t xml:space="preserve"> and leadership (CIPD, 2022). Gifford (2024) continues that assessing individual performance provides clarity and direction by outlining performance expectations, facilitates feedback and development, enables recognition and reward, and promotes accountability and transparency.</w:t>
      </w:r>
    </w:p>
    <w:p w14:paraId="6259BB89" w14:textId="52C68BE6" w:rsidR="40AB1032" w:rsidRDefault="40AB1032" w:rsidP="40AB1032">
      <w:pPr>
        <w:spacing w:line="360" w:lineRule="auto"/>
        <w:jc w:val="both"/>
        <w:rPr>
          <w:rFonts w:ascii="Arial" w:eastAsia="Arial" w:hAnsi="Arial" w:cs="Arial"/>
        </w:rPr>
      </w:pPr>
      <w:r w:rsidRPr="40AB1032">
        <w:rPr>
          <w:rFonts w:ascii="Arial" w:eastAsia="Arial" w:hAnsi="Arial" w:cs="Arial"/>
        </w:rPr>
        <w:t xml:space="preserve">At an individual level, performance management aims to enhance performance by defining standards for excellence, establishing objectives, facilitating skill development, pinpointing areas for improvement, and devising strategies for enhancement through performance improvement plans, personal development plans, and coaching (Armstrong, 2021). However, Armstrong (2021) argues that the issue with individual performance management lies in its difficulty to establish a clear link between performance management practices and organisational performance. Armstrong (2021) continues that despite efforts to define standards, set goals, and facilitate skill development, determining the direct impact of performance management on organisational performance is problematic due to challenges in establishing a </w:t>
      </w:r>
      <w:proofErr w:type="gramStart"/>
      <w:r w:rsidRPr="40AB1032">
        <w:rPr>
          <w:rFonts w:ascii="Arial" w:eastAsia="Arial" w:hAnsi="Arial" w:cs="Arial"/>
        </w:rPr>
        <w:t>cause and effect</w:t>
      </w:r>
      <w:proofErr w:type="gramEnd"/>
      <w:r w:rsidRPr="40AB1032">
        <w:rPr>
          <w:rFonts w:ascii="Arial" w:eastAsia="Arial" w:hAnsi="Arial" w:cs="Arial"/>
        </w:rPr>
        <w:t xml:space="preserve"> relationship. </w:t>
      </w:r>
    </w:p>
    <w:p w14:paraId="57D6E831" w14:textId="0C912277" w:rsidR="40AB1032" w:rsidRDefault="40AB1032" w:rsidP="40AB1032">
      <w:pPr>
        <w:spacing w:line="360" w:lineRule="auto"/>
        <w:jc w:val="both"/>
        <w:rPr>
          <w:rFonts w:ascii="Arial" w:eastAsia="Arial" w:hAnsi="Arial" w:cs="Arial"/>
        </w:rPr>
      </w:pPr>
      <w:r w:rsidRPr="40AB1032">
        <w:rPr>
          <w:rFonts w:ascii="Arial" w:eastAsia="Arial" w:hAnsi="Arial" w:cs="Arial"/>
        </w:rPr>
        <w:t xml:space="preserve">Despite the renowned emphasis on individual performance assessment through methods like annual reviews, studies suggest their limited effectiveness in driving productivity (Woolston, 2019). Consequently, experts advocate for everyday management practices, prioritising ongoing feedback (Woolston, 2019). In addition, shifting away from forced ranking and from the traditional emphasis on individual accountability facilitates the cultivation of teamwork, as these outdated appraisal systems do not contribute to improved team performance or effectively monitor collaboration (Capelli &amp; Tavis, 2016). Gambill (2023) argues that aligning </w:t>
      </w:r>
      <w:r w:rsidR="00990CB8">
        <w:rPr>
          <w:rFonts w:ascii="Arial" w:eastAsia="Arial" w:hAnsi="Arial" w:cs="Arial"/>
        </w:rPr>
        <w:t>i</w:t>
      </w:r>
      <w:r w:rsidR="00990CB8" w:rsidRPr="40AB1032">
        <w:rPr>
          <w:rFonts w:ascii="Arial" w:eastAsia="Arial" w:hAnsi="Arial" w:cs="Arial"/>
        </w:rPr>
        <w:t>ndividual</w:t>
      </w:r>
      <w:r w:rsidRPr="40AB1032">
        <w:rPr>
          <w:rFonts w:ascii="Arial" w:eastAsia="Arial" w:hAnsi="Arial" w:cs="Arial"/>
        </w:rPr>
        <w:t xml:space="preserve"> goals with team objectives is pivotal for employee engagement and performance. </w:t>
      </w:r>
    </w:p>
    <w:p w14:paraId="78675C6D" w14:textId="1BAF3274" w:rsidR="40AB1032" w:rsidRDefault="40AB1032" w:rsidP="40AB1032">
      <w:pPr>
        <w:spacing w:line="360" w:lineRule="auto"/>
        <w:jc w:val="both"/>
        <w:rPr>
          <w:rFonts w:ascii="Arial" w:eastAsia="Arial" w:hAnsi="Arial" w:cs="Arial"/>
          <w:b/>
          <w:bCs/>
        </w:rPr>
      </w:pPr>
      <w:r w:rsidRPr="40AB1032">
        <w:rPr>
          <w:rFonts w:ascii="Arial" w:eastAsia="Arial" w:hAnsi="Arial" w:cs="Arial"/>
        </w:rPr>
        <w:t xml:space="preserve">Team performance has emerged as a crucial determinant of organisational outcomes, with systemic failures often implicated in adverse events (Marriage &amp; Kinnear, 2016). This underscores the significance of evaluating team performance to identify areas for improvement (Marriage &amp; Kinnear, 2016). CIPD (2023) adds that research in various fields confirms that setting </w:t>
      </w:r>
      <w:proofErr w:type="gramStart"/>
      <w:r w:rsidRPr="40AB1032">
        <w:rPr>
          <w:rFonts w:ascii="Arial" w:eastAsia="Arial" w:hAnsi="Arial" w:cs="Arial"/>
        </w:rPr>
        <w:t>challenging</w:t>
      </w:r>
      <w:proofErr w:type="gramEnd"/>
      <w:r w:rsidRPr="40AB1032">
        <w:rPr>
          <w:rFonts w:ascii="Arial" w:eastAsia="Arial" w:hAnsi="Arial" w:cs="Arial"/>
        </w:rPr>
        <w:t xml:space="preserve"> and specific goals generally improves performance, whereby setting goals at a team level can lead to even better performance compared to individual goals.</w:t>
      </w:r>
    </w:p>
    <w:p w14:paraId="711CDE8C" w14:textId="60CD5C4B" w:rsidR="40AB1032" w:rsidRDefault="40AB1032" w:rsidP="40AB1032">
      <w:pPr>
        <w:spacing w:line="360" w:lineRule="auto"/>
        <w:jc w:val="both"/>
        <w:rPr>
          <w:rFonts w:ascii="Arial" w:eastAsia="Arial" w:hAnsi="Arial" w:cs="Arial"/>
        </w:rPr>
      </w:pPr>
      <w:r w:rsidRPr="40AB1032">
        <w:rPr>
          <w:rFonts w:ascii="Arial" w:eastAsia="Arial" w:hAnsi="Arial" w:cs="Arial"/>
        </w:rPr>
        <w:t xml:space="preserve">Objectives and Key Results (OKRs) provide a structured framework for goal coordination, proven effective in organisations like Google (Hennigan &amp; Main, 2023). However, OKRs face limitations when applied individually, emphasising outputs over outcomes (Gothelf, 2020). Instead, team-based </w:t>
      </w:r>
      <w:r w:rsidRPr="40AB1032">
        <w:rPr>
          <w:rFonts w:ascii="Arial" w:eastAsia="Arial" w:hAnsi="Arial" w:cs="Arial"/>
        </w:rPr>
        <w:lastRenderedPageBreak/>
        <w:t>goal setting, where success is measured collectively, is advocated for (Gothelf, 2020). Setting clear team goals fosters collaboration, communication, and shared commitment among team members, leading to higher productivity and innovation (Thomas, 2023). Team-level goals also improve social and cognitive processes such as planning, cooperation, and morale (CIPD, 2023). This approach aligns with research findings highlighting the role of goal clarity in enhancing organisational performance (Gambill, 2023). Misaligned goals often lead to conflict, underscoring the importance of synergy and alignment achieved from team objectives (Gambill, 2023). Effective teams are characterised by members committed to shared purposes and clear goals, ensuring mutual accountability (</w:t>
      </w:r>
      <w:proofErr w:type="spellStart"/>
      <w:r w:rsidRPr="40AB1032">
        <w:rPr>
          <w:rFonts w:ascii="Arial" w:eastAsia="Arial" w:hAnsi="Arial" w:cs="Arial"/>
        </w:rPr>
        <w:t>Biech</w:t>
      </w:r>
      <w:proofErr w:type="spellEnd"/>
      <w:r w:rsidRPr="40AB1032">
        <w:rPr>
          <w:rFonts w:ascii="Arial" w:eastAsia="Arial" w:hAnsi="Arial" w:cs="Arial"/>
        </w:rPr>
        <w:t xml:space="preserve">, 2001). </w:t>
      </w:r>
    </w:p>
    <w:p w14:paraId="07600D3E" w14:textId="4E7C70D5" w:rsidR="40AB1032" w:rsidRDefault="40AB1032" w:rsidP="40AB1032">
      <w:pPr>
        <w:spacing w:line="360" w:lineRule="auto"/>
        <w:jc w:val="both"/>
        <w:rPr>
          <w:rFonts w:ascii="Arial" w:eastAsia="Arial" w:hAnsi="Arial" w:cs="Arial"/>
        </w:rPr>
      </w:pPr>
      <w:r w:rsidRPr="40AB1032">
        <w:rPr>
          <w:rFonts w:ascii="Arial" w:eastAsia="Arial" w:hAnsi="Arial" w:cs="Arial"/>
        </w:rPr>
        <w:t xml:space="preserve">Research </w:t>
      </w:r>
      <w:r w:rsidR="00990CB8">
        <w:rPr>
          <w:rFonts w:ascii="Arial" w:eastAsia="Arial" w:hAnsi="Arial" w:cs="Arial"/>
        </w:rPr>
        <w:t xml:space="preserve">further </w:t>
      </w:r>
      <w:r w:rsidRPr="40AB1032">
        <w:rPr>
          <w:rFonts w:ascii="Arial" w:eastAsia="Arial" w:hAnsi="Arial" w:cs="Arial"/>
        </w:rPr>
        <w:t xml:space="preserve">underscores the benefits of organising work around teams, enabling organisations to optimise workforce utilisation and enhance efficiency (Shah et al., 2023). Team-based ultimately drive improved customer satisfaction and organisational success (Thomas, 2023). Shared goals serve as guiding principles that unify the efforts of individuals within the organisation, promoting alignment and focus (Beslagic, 2023). When employees collectively work towards a common </w:t>
      </w:r>
      <w:r w:rsidR="00990CB8" w:rsidRPr="40AB1032">
        <w:rPr>
          <w:rFonts w:ascii="Arial" w:eastAsia="Arial" w:hAnsi="Arial" w:cs="Arial"/>
        </w:rPr>
        <w:t>goal, every</w:t>
      </w:r>
      <w:r w:rsidRPr="40AB1032">
        <w:rPr>
          <w:rFonts w:ascii="Arial" w:eastAsia="Arial" w:hAnsi="Arial" w:cs="Arial"/>
        </w:rPr>
        <w:t xml:space="preserve"> individual’s actions are directed towards achieving the overarching objectives (Beslagic, 2023). </w:t>
      </w:r>
    </w:p>
    <w:p w14:paraId="6A39FE37" w14:textId="7D01F9F1" w:rsidR="40AB1032" w:rsidRDefault="40AB1032" w:rsidP="40AB1032">
      <w:pPr>
        <w:spacing w:line="360" w:lineRule="auto"/>
        <w:jc w:val="both"/>
        <w:rPr>
          <w:rFonts w:ascii="Arial" w:eastAsia="Arial" w:hAnsi="Arial" w:cs="Arial"/>
        </w:rPr>
      </w:pPr>
      <w:r w:rsidRPr="40AB1032">
        <w:rPr>
          <w:rFonts w:ascii="Arial" w:eastAsia="Arial" w:hAnsi="Arial" w:cs="Arial"/>
        </w:rPr>
        <w:t>Teams, as distinguished from mere groups or work units, are characterised by interdependence, shared responsibility, and common goals (Hoek et al., 2018). Goal setting theory, developed by Locke and Latham, emphasises the importance of clear, specific, and challenging goals in stimulating performance (Hoek et al., 2018). Setting clear and challenging goals is essential for success whether individually or as part of a team, however, in a team setting, collaborative goal setting fosters a shared sense of purpose and direction among members, aligning individual efforts with team objectives (Locke &amp; Latham, 1990). At the team level, clear goals activate motivational mechanisms such as direction, effort, perseverance, and strategy, leading to improved performance (Hoek et al., 2018).</w:t>
      </w:r>
    </w:p>
    <w:p w14:paraId="7CE66E06" w14:textId="0B8A3B7C" w:rsidR="40AB1032" w:rsidRDefault="40AB1032" w:rsidP="40AB1032">
      <w:pPr>
        <w:spacing w:line="360" w:lineRule="auto"/>
        <w:jc w:val="both"/>
        <w:rPr>
          <w:rFonts w:ascii="Arial" w:eastAsia="Arial" w:hAnsi="Arial" w:cs="Arial"/>
        </w:rPr>
      </w:pPr>
      <w:r w:rsidRPr="40AB1032">
        <w:rPr>
          <w:rFonts w:ascii="Arial" w:eastAsia="Arial" w:hAnsi="Arial" w:cs="Arial"/>
        </w:rPr>
        <w:t xml:space="preserve">Within a team, members can provide valuable feedback and support to one another, creating a feedback loop that enables progress monitoring and adjustment (Locke et al., 1981). Peer feedback enhances accountability and motivation, driving individuals to strive for higher performance levels (Locke et al., 1981). Complex tasks in a team environment often require coordination and collaboration among members (Locke &amp; Latham, 1990). By breaking down goals into smaller tasks, teams can distribute work effectively and leverage diverse skills, increasing efficiency and the likelihood of success (Locke &amp; Latham, 1990). Social dynamics within teams provide motivation and support as members draw inspiration from each other, share best practices, and celebrate milestones, which boosts morale and sustains motivation, even in challenging times (Locke &amp; </w:t>
      </w:r>
      <w:r w:rsidRPr="40AB1032">
        <w:rPr>
          <w:rFonts w:ascii="Arial" w:eastAsia="Arial" w:hAnsi="Arial" w:cs="Arial"/>
        </w:rPr>
        <w:lastRenderedPageBreak/>
        <w:t>Latham, 1990). Self-management, which allows the team members to influence decision making and organise their own work, can</w:t>
      </w:r>
      <w:r w:rsidR="00990CB8">
        <w:rPr>
          <w:rFonts w:ascii="Arial" w:eastAsia="Arial" w:hAnsi="Arial" w:cs="Arial"/>
        </w:rPr>
        <w:t xml:space="preserve"> also</w:t>
      </w:r>
      <w:r w:rsidRPr="40AB1032">
        <w:rPr>
          <w:rFonts w:ascii="Arial" w:eastAsia="Arial" w:hAnsi="Arial" w:cs="Arial"/>
        </w:rPr>
        <w:t xml:space="preserve"> influence performance (Hoek et al., 2018). When team members </w:t>
      </w:r>
      <w:proofErr w:type="gramStart"/>
      <w:r w:rsidRPr="40AB1032">
        <w:rPr>
          <w:rFonts w:ascii="Arial" w:eastAsia="Arial" w:hAnsi="Arial" w:cs="Arial"/>
        </w:rPr>
        <w:t>have the ability to</w:t>
      </w:r>
      <w:proofErr w:type="gramEnd"/>
      <w:r w:rsidRPr="40AB1032">
        <w:rPr>
          <w:rFonts w:ascii="Arial" w:eastAsia="Arial" w:hAnsi="Arial" w:cs="Arial"/>
        </w:rPr>
        <w:t xml:space="preserve"> exert influence, they gain greater control over the methods to achieve set objectives and determine the necessary actions, thus reinforcing motivational mechanisms which enhance commitment and confidence (Hoek et al., 2018).</w:t>
      </w:r>
    </w:p>
    <w:p w14:paraId="15DA4699" w14:textId="3D0038F2" w:rsidR="40AB1032" w:rsidRDefault="00990CB8" w:rsidP="40AB1032">
      <w:pPr>
        <w:spacing w:line="360" w:lineRule="auto"/>
        <w:jc w:val="both"/>
        <w:rPr>
          <w:rFonts w:ascii="Arial" w:eastAsia="Arial" w:hAnsi="Arial" w:cs="Arial"/>
        </w:rPr>
      </w:pPr>
      <w:r w:rsidRPr="40AB1032">
        <w:rPr>
          <w:rFonts w:ascii="Arial" w:eastAsia="Arial" w:hAnsi="Arial" w:cs="Arial"/>
        </w:rPr>
        <w:t>Teamwork</w:t>
      </w:r>
      <w:r w:rsidR="40AB1032" w:rsidRPr="40AB1032">
        <w:rPr>
          <w:rFonts w:ascii="Arial" w:eastAsia="Arial" w:hAnsi="Arial" w:cs="Arial"/>
        </w:rPr>
        <w:t xml:space="preserve"> is essential in social care, requiring individuals to pool together using diverse skills, </w:t>
      </w:r>
      <w:proofErr w:type="gramStart"/>
      <w:r w:rsidR="40AB1032" w:rsidRPr="40AB1032">
        <w:rPr>
          <w:rFonts w:ascii="Arial" w:eastAsia="Arial" w:hAnsi="Arial" w:cs="Arial"/>
        </w:rPr>
        <w:t>experiences</w:t>
      </w:r>
      <w:proofErr w:type="gramEnd"/>
      <w:r w:rsidR="40AB1032" w:rsidRPr="40AB1032">
        <w:rPr>
          <w:rFonts w:ascii="Arial" w:eastAsia="Arial" w:hAnsi="Arial" w:cs="Arial"/>
        </w:rPr>
        <w:t xml:space="preserve"> and disciplines to assist the people using the services (Hodder Education, </w:t>
      </w:r>
      <w:proofErr w:type="spellStart"/>
      <w:r w:rsidR="40AB1032" w:rsidRPr="40AB1032">
        <w:rPr>
          <w:rFonts w:ascii="Arial" w:eastAsia="Arial" w:hAnsi="Arial" w:cs="Arial"/>
        </w:rPr>
        <w:t>n.d</w:t>
      </w:r>
      <w:proofErr w:type="spellEnd"/>
      <w:r w:rsidR="40AB1032" w:rsidRPr="40AB1032">
        <w:rPr>
          <w:rFonts w:ascii="Arial" w:eastAsia="Arial" w:hAnsi="Arial" w:cs="Arial"/>
        </w:rPr>
        <w:t xml:space="preserve">; Baldwin, 2020). Unlike on an individual basis, teams are united by a shared commitment to achieve common goals, which are crucial for enhancing service effectiveness, where clear and shared objectives are essential for teams to function effectively (Hodder Education, </w:t>
      </w:r>
      <w:proofErr w:type="spellStart"/>
      <w:r w:rsidR="40AB1032" w:rsidRPr="40AB1032">
        <w:rPr>
          <w:rFonts w:ascii="Arial" w:eastAsia="Arial" w:hAnsi="Arial" w:cs="Arial"/>
        </w:rPr>
        <w:t>n.d</w:t>
      </w:r>
      <w:proofErr w:type="spellEnd"/>
      <w:r w:rsidR="40AB1032" w:rsidRPr="40AB1032">
        <w:rPr>
          <w:rFonts w:ascii="Arial" w:eastAsia="Arial" w:hAnsi="Arial" w:cs="Arial"/>
        </w:rPr>
        <w:t xml:space="preserve">). </w:t>
      </w:r>
    </w:p>
    <w:p w14:paraId="1E1563A9" w14:textId="77777777" w:rsidR="00003A5A" w:rsidRDefault="00003A5A" w:rsidP="40AB1032">
      <w:pPr>
        <w:spacing w:line="360" w:lineRule="auto"/>
        <w:jc w:val="both"/>
        <w:rPr>
          <w:rFonts w:ascii="Arial" w:eastAsia="Arial" w:hAnsi="Arial" w:cs="Arial"/>
        </w:rPr>
      </w:pPr>
    </w:p>
    <w:p w14:paraId="570823E9" w14:textId="4C9575FA" w:rsidR="00B43C2F" w:rsidRDefault="40AB1032" w:rsidP="40AB1032">
      <w:pPr>
        <w:spacing w:line="360" w:lineRule="auto"/>
        <w:jc w:val="both"/>
        <w:rPr>
          <w:rFonts w:ascii="Arial" w:eastAsia="Arial" w:hAnsi="Arial" w:cs="Arial"/>
          <w:b/>
          <w:bCs/>
        </w:rPr>
      </w:pPr>
      <w:r w:rsidRPr="40AB1032">
        <w:rPr>
          <w:rFonts w:ascii="Arial" w:eastAsia="Arial" w:hAnsi="Arial" w:cs="Arial"/>
          <w:b/>
          <w:bCs/>
        </w:rPr>
        <w:t xml:space="preserve">Conclusion </w:t>
      </w:r>
    </w:p>
    <w:p w14:paraId="2234A7DA" w14:textId="485F4C83" w:rsidR="40AB1032" w:rsidRDefault="40AB1032" w:rsidP="40AB1032">
      <w:pPr>
        <w:spacing w:line="360" w:lineRule="auto"/>
        <w:jc w:val="both"/>
        <w:rPr>
          <w:rFonts w:ascii="Arial" w:eastAsia="Arial" w:hAnsi="Arial" w:cs="Arial"/>
        </w:rPr>
      </w:pPr>
      <w:r w:rsidRPr="40AB1032">
        <w:rPr>
          <w:rFonts w:ascii="Arial" w:eastAsia="Arial" w:hAnsi="Arial" w:cs="Arial"/>
        </w:rPr>
        <w:t xml:space="preserve">In conclusion, the review of performance management underscores its critical role in organisational success, emphasising elements such as goal setting, </w:t>
      </w:r>
      <w:proofErr w:type="gramStart"/>
      <w:r w:rsidRPr="40AB1032">
        <w:rPr>
          <w:rFonts w:ascii="Arial" w:eastAsia="Arial" w:hAnsi="Arial" w:cs="Arial"/>
        </w:rPr>
        <w:t>feedback</w:t>
      </w:r>
      <w:proofErr w:type="gramEnd"/>
      <w:r w:rsidRPr="40AB1032">
        <w:rPr>
          <w:rFonts w:ascii="Arial" w:eastAsia="Arial" w:hAnsi="Arial" w:cs="Arial"/>
        </w:rPr>
        <w:t xml:space="preserve"> and leadership (CIPD, 2022). While individual performance assessment remains important for providing clarity and direction (Gifford, 2024), its impact on organisational outcomes is challenged by difficulties in establishing a direct link (Armstrong, 2021). Traditional methods like annual reviews are deemed ineffective in driving productivity (Woolston, 2019), prompting a shift towards team-oriented strategies to foster collaboration and enhance performance (Cappelli &amp; Tavis, 2016). Research confirms that setting challenging team goals generally leads to better performance outcomes compared to individual goals (CIPD, 2023), highlighting the significance of teamwork in achieving organisational objectives. Moreover, team-based goals promote a culture of collaboration and drives improved customer satisfaction and organisational success (Thomas, 2023). Despite the benefits identified from assessing individual performance, they do not outweigh those of team performance, as the synergy and alignment achieved from team objectives ultimately contribute more significantly to organisational effectiveness (Beslagic, 2023). In addition, the findings from social care highlight the indispensable role of teamwork in providing effective services, emphasising the necessity for individuals to collaborate and pool together diverse skills and experience to support service users (Hodder Education, </w:t>
      </w:r>
      <w:proofErr w:type="spellStart"/>
      <w:r w:rsidRPr="40AB1032">
        <w:rPr>
          <w:rFonts w:ascii="Arial" w:eastAsia="Arial" w:hAnsi="Arial" w:cs="Arial"/>
        </w:rPr>
        <w:t>n.d</w:t>
      </w:r>
      <w:proofErr w:type="spellEnd"/>
      <w:r w:rsidRPr="40AB1032">
        <w:rPr>
          <w:rFonts w:ascii="Arial" w:eastAsia="Arial" w:hAnsi="Arial" w:cs="Arial"/>
        </w:rPr>
        <w:t xml:space="preserve">). </w:t>
      </w:r>
    </w:p>
    <w:p w14:paraId="39EFBC15" w14:textId="77777777" w:rsidR="00990CB8" w:rsidRDefault="00990CB8" w:rsidP="40AB1032">
      <w:pPr>
        <w:spacing w:line="360" w:lineRule="auto"/>
        <w:jc w:val="both"/>
        <w:rPr>
          <w:rFonts w:ascii="Arial" w:eastAsia="Arial" w:hAnsi="Arial" w:cs="Arial"/>
          <w:b/>
          <w:bCs/>
        </w:rPr>
      </w:pPr>
    </w:p>
    <w:p w14:paraId="0D3C9E60" w14:textId="77777777" w:rsidR="00990CB8" w:rsidRDefault="00990CB8" w:rsidP="40AB1032">
      <w:pPr>
        <w:spacing w:line="360" w:lineRule="auto"/>
        <w:jc w:val="both"/>
        <w:rPr>
          <w:rFonts w:ascii="Arial" w:eastAsia="Arial" w:hAnsi="Arial" w:cs="Arial"/>
          <w:b/>
          <w:bCs/>
        </w:rPr>
      </w:pPr>
    </w:p>
    <w:p w14:paraId="08117978" w14:textId="69947D66" w:rsidR="40AB1032" w:rsidRDefault="40AB1032" w:rsidP="40AB1032">
      <w:pPr>
        <w:spacing w:line="360" w:lineRule="auto"/>
        <w:jc w:val="both"/>
        <w:rPr>
          <w:rFonts w:ascii="Arial" w:eastAsia="Arial" w:hAnsi="Arial" w:cs="Arial"/>
          <w:b/>
          <w:bCs/>
        </w:rPr>
      </w:pPr>
      <w:r w:rsidRPr="40AB1032">
        <w:rPr>
          <w:rFonts w:ascii="Arial" w:eastAsia="Arial" w:hAnsi="Arial" w:cs="Arial"/>
          <w:b/>
          <w:bCs/>
        </w:rPr>
        <w:lastRenderedPageBreak/>
        <w:t xml:space="preserve">Recommendations </w:t>
      </w:r>
    </w:p>
    <w:tbl>
      <w:tblPr>
        <w:tblStyle w:val="TableGrid"/>
        <w:tblW w:w="10485" w:type="dxa"/>
        <w:tblLayout w:type="fixed"/>
        <w:tblLook w:val="06A0" w:firstRow="1" w:lastRow="0" w:firstColumn="1" w:lastColumn="0" w:noHBand="1" w:noVBand="1"/>
      </w:tblPr>
      <w:tblGrid>
        <w:gridCol w:w="2830"/>
        <w:gridCol w:w="7655"/>
      </w:tblGrid>
      <w:tr w:rsidR="40AB1032" w14:paraId="398AF95A" w14:textId="77777777" w:rsidTr="00990CB8">
        <w:trPr>
          <w:trHeight w:val="300"/>
        </w:trPr>
        <w:tc>
          <w:tcPr>
            <w:tcW w:w="2830" w:type="dxa"/>
          </w:tcPr>
          <w:p w14:paraId="71742542" w14:textId="4701A67D" w:rsidR="40AB1032" w:rsidRPr="00990CB8" w:rsidRDefault="40AB1032" w:rsidP="00990CB8">
            <w:pPr>
              <w:pStyle w:val="ListParagraph"/>
              <w:numPr>
                <w:ilvl w:val="0"/>
                <w:numId w:val="3"/>
              </w:numPr>
              <w:spacing w:line="360" w:lineRule="auto"/>
              <w:rPr>
                <w:rFonts w:ascii="Arial" w:eastAsia="Arial" w:hAnsi="Arial" w:cs="Arial"/>
                <w:b/>
                <w:bCs/>
              </w:rPr>
            </w:pPr>
            <w:r w:rsidRPr="00990CB8">
              <w:rPr>
                <w:rFonts w:ascii="Arial" w:eastAsia="Arial" w:hAnsi="Arial" w:cs="Arial"/>
                <w:b/>
                <w:bCs/>
              </w:rPr>
              <w:t>Implement team-based goal setting</w:t>
            </w:r>
          </w:p>
        </w:tc>
        <w:tc>
          <w:tcPr>
            <w:tcW w:w="7655" w:type="dxa"/>
          </w:tcPr>
          <w:p w14:paraId="7D8805CA" w14:textId="730EA3D8" w:rsidR="40AB1032" w:rsidRDefault="40AB1032" w:rsidP="40AB1032">
            <w:pPr>
              <w:spacing w:line="360" w:lineRule="auto"/>
              <w:rPr>
                <w:rFonts w:ascii="Arial" w:eastAsia="Arial" w:hAnsi="Arial" w:cs="Arial"/>
              </w:rPr>
            </w:pPr>
            <w:r w:rsidRPr="40AB1032">
              <w:rPr>
                <w:rFonts w:ascii="Arial" w:eastAsia="Arial" w:hAnsi="Arial" w:cs="Arial"/>
              </w:rPr>
              <w:t>Encourage the adoption of team-based goal setting processes where objectives are aligned with Dimensions’ strategy (Baldwin, 2020; Dimensions, 2022). Team goals should be SMART, ensuring clarity and accountability (Thomas, 2023).</w:t>
            </w:r>
          </w:p>
        </w:tc>
      </w:tr>
      <w:tr w:rsidR="40AB1032" w14:paraId="54473B5D" w14:textId="77777777" w:rsidTr="00990CB8">
        <w:trPr>
          <w:trHeight w:val="300"/>
        </w:trPr>
        <w:tc>
          <w:tcPr>
            <w:tcW w:w="2830" w:type="dxa"/>
          </w:tcPr>
          <w:p w14:paraId="0DE8EC56" w14:textId="237E9BCC" w:rsidR="40AB1032" w:rsidRPr="00990CB8" w:rsidRDefault="40AB1032" w:rsidP="00990CB8">
            <w:pPr>
              <w:pStyle w:val="ListParagraph"/>
              <w:numPr>
                <w:ilvl w:val="0"/>
                <w:numId w:val="3"/>
              </w:numPr>
              <w:spacing w:line="360" w:lineRule="auto"/>
              <w:rPr>
                <w:rFonts w:ascii="Arial" w:eastAsia="Arial" w:hAnsi="Arial" w:cs="Arial"/>
                <w:b/>
                <w:bCs/>
              </w:rPr>
            </w:pPr>
            <w:r w:rsidRPr="00990CB8">
              <w:rPr>
                <w:rFonts w:ascii="Arial" w:eastAsia="Arial" w:hAnsi="Arial" w:cs="Arial"/>
                <w:b/>
                <w:bCs/>
              </w:rPr>
              <w:t>Provide training and development opportunities</w:t>
            </w:r>
          </w:p>
        </w:tc>
        <w:tc>
          <w:tcPr>
            <w:tcW w:w="7655" w:type="dxa"/>
          </w:tcPr>
          <w:p w14:paraId="34096BF4" w14:textId="3130ECC0" w:rsidR="40AB1032" w:rsidRDefault="40AB1032" w:rsidP="40AB1032">
            <w:pPr>
              <w:spacing w:line="360" w:lineRule="auto"/>
              <w:rPr>
                <w:rFonts w:ascii="Arial" w:eastAsia="Arial" w:hAnsi="Arial" w:cs="Arial"/>
              </w:rPr>
            </w:pPr>
            <w:r w:rsidRPr="40AB1032">
              <w:rPr>
                <w:rFonts w:ascii="Arial" w:eastAsia="Arial" w:hAnsi="Arial" w:cs="Arial"/>
              </w:rPr>
              <w:t>Invest in training and development initiatives that foster teamwork, communication, and leadership skills within the organisation (CIPD, 2022). Offer workshops on effective team dynamics, conflict resolution, and problem-solving techniques to enhance team performance (CIPD, 2023).</w:t>
            </w:r>
          </w:p>
        </w:tc>
      </w:tr>
      <w:tr w:rsidR="40AB1032" w14:paraId="4BF7A4BA" w14:textId="77777777" w:rsidTr="00990CB8">
        <w:trPr>
          <w:trHeight w:val="300"/>
        </w:trPr>
        <w:tc>
          <w:tcPr>
            <w:tcW w:w="2830" w:type="dxa"/>
          </w:tcPr>
          <w:p w14:paraId="276E2A3D" w14:textId="748AB6F4" w:rsidR="40AB1032" w:rsidRPr="00990CB8" w:rsidRDefault="40AB1032" w:rsidP="00990CB8">
            <w:pPr>
              <w:pStyle w:val="ListParagraph"/>
              <w:numPr>
                <w:ilvl w:val="0"/>
                <w:numId w:val="3"/>
              </w:numPr>
              <w:spacing w:line="360" w:lineRule="auto"/>
              <w:rPr>
                <w:rFonts w:ascii="Arial" w:eastAsia="Arial" w:hAnsi="Arial" w:cs="Arial"/>
                <w:b/>
                <w:bCs/>
              </w:rPr>
            </w:pPr>
            <w:r w:rsidRPr="00990CB8">
              <w:rPr>
                <w:rFonts w:ascii="Arial" w:eastAsia="Arial" w:hAnsi="Arial" w:cs="Arial"/>
                <w:b/>
                <w:bCs/>
              </w:rPr>
              <w:t>Establish performance metrics</w:t>
            </w:r>
          </w:p>
        </w:tc>
        <w:tc>
          <w:tcPr>
            <w:tcW w:w="7655" w:type="dxa"/>
          </w:tcPr>
          <w:p w14:paraId="38C2EA57" w14:textId="7BF9E7FE" w:rsidR="40AB1032" w:rsidRDefault="40AB1032" w:rsidP="40AB1032">
            <w:pPr>
              <w:spacing w:line="360" w:lineRule="auto"/>
              <w:rPr>
                <w:rFonts w:ascii="Arial" w:eastAsia="Arial" w:hAnsi="Arial" w:cs="Arial"/>
              </w:rPr>
            </w:pPr>
            <w:r w:rsidRPr="40AB1032">
              <w:rPr>
                <w:rFonts w:ascii="Arial" w:eastAsia="Arial" w:hAnsi="Arial" w:cs="Arial"/>
              </w:rPr>
              <w:t>Develop performance metrics that assess individual contributions and team outcomes (CIPD, 2022). Evaluate team performance based on key performance indicators (KPI’s) related to quality of care, patien</w:t>
            </w:r>
            <w:r w:rsidR="00990CB8">
              <w:rPr>
                <w:rFonts w:ascii="Arial" w:eastAsia="Arial" w:hAnsi="Arial" w:cs="Arial"/>
              </w:rPr>
              <w:t>t</w:t>
            </w:r>
            <w:r w:rsidRPr="40AB1032">
              <w:rPr>
                <w:rFonts w:ascii="Arial" w:eastAsia="Arial" w:hAnsi="Arial" w:cs="Arial"/>
              </w:rPr>
              <w:t xml:space="preserve"> satisfaction, and efficiency in service delivery (Marriage &amp; Kinnear, 2016; Baldwin, 2020).</w:t>
            </w:r>
          </w:p>
        </w:tc>
      </w:tr>
      <w:tr w:rsidR="40AB1032" w14:paraId="0A99842B" w14:textId="77777777" w:rsidTr="00990CB8">
        <w:trPr>
          <w:trHeight w:val="300"/>
        </w:trPr>
        <w:tc>
          <w:tcPr>
            <w:tcW w:w="2830" w:type="dxa"/>
          </w:tcPr>
          <w:p w14:paraId="0104ED3E" w14:textId="1F770F18" w:rsidR="40AB1032" w:rsidRPr="00990CB8" w:rsidRDefault="40AB1032" w:rsidP="00990CB8">
            <w:pPr>
              <w:pStyle w:val="ListParagraph"/>
              <w:numPr>
                <w:ilvl w:val="0"/>
                <w:numId w:val="3"/>
              </w:numPr>
              <w:spacing w:line="360" w:lineRule="auto"/>
              <w:rPr>
                <w:rFonts w:ascii="Arial" w:eastAsia="Arial" w:hAnsi="Arial" w:cs="Arial"/>
                <w:b/>
                <w:bCs/>
              </w:rPr>
            </w:pPr>
            <w:r w:rsidRPr="00990CB8">
              <w:rPr>
                <w:rFonts w:ascii="Arial" w:eastAsia="Arial" w:hAnsi="Arial" w:cs="Arial"/>
                <w:b/>
                <w:bCs/>
              </w:rPr>
              <w:t>Reward collaboration and team achievement</w:t>
            </w:r>
          </w:p>
        </w:tc>
        <w:tc>
          <w:tcPr>
            <w:tcW w:w="7655" w:type="dxa"/>
          </w:tcPr>
          <w:p w14:paraId="521EC4D8" w14:textId="1AD13D37" w:rsidR="40AB1032" w:rsidRDefault="40AB1032" w:rsidP="40AB1032">
            <w:pPr>
              <w:spacing w:line="360" w:lineRule="auto"/>
              <w:rPr>
                <w:rFonts w:ascii="Arial" w:eastAsia="Arial" w:hAnsi="Arial" w:cs="Arial"/>
              </w:rPr>
            </w:pPr>
            <w:r w:rsidRPr="40AB1032">
              <w:rPr>
                <w:rFonts w:ascii="Arial" w:eastAsia="Arial" w:hAnsi="Arial" w:cs="Arial"/>
              </w:rPr>
              <w:t>Recognise and reward collaborative efforts and team achievements to reinforce a culture of teamwork and mutual support (Gifford, 2024). Implement incentive or recognition schemes that acknowledge successful team outcomes and contributions (Thomas, 2023).</w:t>
            </w:r>
          </w:p>
        </w:tc>
      </w:tr>
      <w:tr w:rsidR="40AB1032" w14:paraId="0E39949F" w14:textId="77777777" w:rsidTr="00990CB8">
        <w:trPr>
          <w:trHeight w:val="300"/>
        </w:trPr>
        <w:tc>
          <w:tcPr>
            <w:tcW w:w="2830" w:type="dxa"/>
          </w:tcPr>
          <w:p w14:paraId="23C6F9E2" w14:textId="35C3905F" w:rsidR="40AB1032" w:rsidRPr="00990CB8" w:rsidRDefault="40AB1032" w:rsidP="00990CB8">
            <w:pPr>
              <w:pStyle w:val="ListParagraph"/>
              <w:numPr>
                <w:ilvl w:val="0"/>
                <w:numId w:val="3"/>
              </w:numPr>
              <w:spacing w:line="360" w:lineRule="auto"/>
              <w:rPr>
                <w:rFonts w:ascii="Arial" w:eastAsia="Arial" w:hAnsi="Arial" w:cs="Arial"/>
                <w:b/>
                <w:bCs/>
              </w:rPr>
            </w:pPr>
            <w:r w:rsidRPr="00990CB8">
              <w:rPr>
                <w:rFonts w:ascii="Arial" w:eastAsia="Arial" w:hAnsi="Arial" w:cs="Arial"/>
                <w:b/>
                <w:bCs/>
              </w:rPr>
              <w:t xml:space="preserve">Encourage continuous feedback </w:t>
            </w:r>
          </w:p>
        </w:tc>
        <w:tc>
          <w:tcPr>
            <w:tcW w:w="7655" w:type="dxa"/>
          </w:tcPr>
          <w:p w14:paraId="3FC1A89C" w14:textId="530DA229" w:rsidR="40AB1032" w:rsidRDefault="40AB1032" w:rsidP="40AB1032">
            <w:pPr>
              <w:spacing w:line="360" w:lineRule="auto"/>
              <w:rPr>
                <w:rFonts w:ascii="Arial" w:eastAsia="Arial" w:hAnsi="Arial" w:cs="Arial"/>
              </w:rPr>
            </w:pPr>
            <w:r w:rsidRPr="40AB1032">
              <w:rPr>
                <w:rFonts w:ascii="Arial" w:eastAsia="Arial" w:hAnsi="Arial" w:cs="Arial"/>
              </w:rPr>
              <w:t xml:space="preserve">Foster a culture of continuous feedback and improvement where team members are encouraged to provide constructive feedback to each other and reflect on performance collectively (Woolston, 2019). Use feedback mechanisms to identify areas for improvement and implement strategies for enhancement (CIPD, 2022). </w:t>
            </w:r>
          </w:p>
        </w:tc>
      </w:tr>
      <w:tr w:rsidR="40AB1032" w14:paraId="0FE3B917" w14:textId="77777777" w:rsidTr="00990CB8">
        <w:trPr>
          <w:trHeight w:val="300"/>
        </w:trPr>
        <w:tc>
          <w:tcPr>
            <w:tcW w:w="2830" w:type="dxa"/>
          </w:tcPr>
          <w:p w14:paraId="798A42CB" w14:textId="5A3A730C" w:rsidR="40AB1032" w:rsidRPr="00990CB8" w:rsidRDefault="40AB1032" w:rsidP="00990CB8">
            <w:pPr>
              <w:pStyle w:val="ListParagraph"/>
              <w:numPr>
                <w:ilvl w:val="0"/>
                <w:numId w:val="3"/>
              </w:numPr>
              <w:spacing w:line="360" w:lineRule="auto"/>
              <w:rPr>
                <w:rFonts w:ascii="Arial" w:eastAsia="Arial" w:hAnsi="Arial" w:cs="Arial"/>
                <w:b/>
                <w:bCs/>
              </w:rPr>
            </w:pPr>
            <w:r w:rsidRPr="00990CB8">
              <w:rPr>
                <w:rFonts w:ascii="Arial" w:eastAsia="Arial" w:hAnsi="Arial" w:cs="Arial"/>
                <w:b/>
                <w:bCs/>
              </w:rPr>
              <w:t>Emphasise patient-centred care</w:t>
            </w:r>
          </w:p>
        </w:tc>
        <w:tc>
          <w:tcPr>
            <w:tcW w:w="7655" w:type="dxa"/>
          </w:tcPr>
          <w:p w14:paraId="3346AAEA" w14:textId="74F703AB" w:rsidR="40AB1032" w:rsidRDefault="40AB1032" w:rsidP="40AB1032">
            <w:pPr>
              <w:spacing w:line="360" w:lineRule="auto"/>
              <w:rPr>
                <w:rFonts w:ascii="Arial" w:eastAsia="Arial" w:hAnsi="Arial" w:cs="Arial"/>
                <w:b/>
                <w:bCs/>
              </w:rPr>
            </w:pPr>
            <w:r w:rsidRPr="40AB1032">
              <w:rPr>
                <w:rFonts w:ascii="Arial" w:eastAsia="Arial" w:hAnsi="Arial" w:cs="Arial"/>
              </w:rPr>
              <w:t xml:space="preserve">Align team goals with the overarching goal of delivering patient-centred care (Hodder Education, </w:t>
            </w:r>
            <w:proofErr w:type="spellStart"/>
            <w:r w:rsidRPr="40AB1032">
              <w:rPr>
                <w:rFonts w:ascii="Arial" w:eastAsia="Arial" w:hAnsi="Arial" w:cs="Arial"/>
              </w:rPr>
              <w:t>n.d</w:t>
            </w:r>
            <w:proofErr w:type="spellEnd"/>
            <w:r w:rsidRPr="40AB1032">
              <w:rPr>
                <w:rFonts w:ascii="Arial" w:eastAsia="Arial" w:hAnsi="Arial" w:cs="Arial"/>
              </w:rPr>
              <w:t>; Baldwin, 2020). Ensure consideration of the needs and preferences of stakeholders in setting team objectives, ensuring that efforts contribute to improving the satisfaction of people supported (CIPD, 2022, Baldwin, 2020; Dimensions, 2022)</w:t>
            </w:r>
          </w:p>
        </w:tc>
      </w:tr>
      <w:tr w:rsidR="40AB1032" w14:paraId="5FB3BCBD" w14:textId="77777777" w:rsidTr="00990CB8">
        <w:trPr>
          <w:trHeight w:val="300"/>
        </w:trPr>
        <w:tc>
          <w:tcPr>
            <w:tcW w:w="2830" w:type="dxa"/>
          </w:tcPr>
          <w:p w14:paraId="297594C8" w14:textId="737CA454" w:rsidR="40AB1032" w:rsidRPr="00990CB8" w:rsidRDefault="40AB1032" w:rsidP="00990CB8">
            <w:pPr>
              <w:pStyle w:val="ListParagraph"/>
              <w:numPr>
                <w:ilvl w:val="0"/>
                <w:numId w:val="3"/>
              </w:numPr>
              <w:spacing w:line="360" w:lineRule="auto"/>
              <w:rPr>
                <w:rFonts w:ascii="Arial" w:eastAsia="Arial" w:hAnsi="Arial" w:cs="Arial"/>
                <w:b/>
                <w:bCs/>
              </w:rPr>
            </w:pPr>
            <w:r w:rsidRPr="00990CB8">
              <w:rPr>
                <w:rFonts w:ascii="Arial" w:eastAsia="Arial" w:hAnsi="Arial" w:cs="Arial"/>
                <w:b/>
                <w:bCs/>
              </w:rPr>
              <w:t>Evaluate and adjust team goals regularly</w:t>
            </w:r>
          </w:p>
        </w:tc>
        <w:tc>
          <w:tcPr>
            <w:tcW w:w="7655" w:type="dxa"/>
          </w:tcPr>
          <w:p w14:paraId="19BBF407" w14:textId="15C1CEF8" w:rsidR="40AB1032" w:rsidRDefault="40AB1032" w:rsidP="40AB1032">
            <w:pPr>
              <w:spacing w:line="360" w:lineRule="auto"/>
              <w:rPr>
                <w:rFonts w:ascii="Arial" w:eastAsia="Arial" w:hAnsi="Arial" w:cs="Arial"/>
              </w:rPr>
            </w:pPr>
            <w:r w:rsidRPr="40AB1032">
              <w:rPr>
                <w:rFonts w:ascii="Arial" w:eastAsia="Arial" w:hAnsi="Arial" w:cs="Arial"/>
              </w:rPr>
              <w:t xml:space="preserve">Regularly evaluate the effectiveness of team goals and </w:t>
            </w:r>
            <w:proofErr w:type="gramStart"/>
            <w:r w:rsidRPr="40AB1032">
              <w:rPr>
                <w:rFonts w:ascii="Arial" w:eastAsia="Arial" w:hAnsi="Arial" w:cs="Arial"/>
              </w:rPr>
              <w:t>make adjustments</w:t>
            </w:r>
            <w:proofErr w:type="gramEnd"/>
            <w:r w:rsidRPr="40AB1032">
              <w:rPr>
                <w:rFonts w:ascii="Arial" w:eastAsia="Arial" w:hAnsi="Arial" w:cs="Arial"/>
              </w:rPr>
              <w:t xml:space="preserve"> based on feedback and performance data (CIPD, 2022). Flexibility and adaptability are key to ensuring that team goals remain </w:t>
            </w:r>
            <w:r w:rsidRPr="40AB1032">
              <w:rPr>
                <w:rFonts w:ascii="Arial" w:eastAsia="Arial" w:hAnsi="Arial" w:cs="Arial"/>
              </w:rPr>
              <w:lastRenderedPageBreak/>
              <w:t>relevant and achievable in dynamic social care environments (Shah et al., 2023)</w:t>
            </w:r>
          </w:p>
        </w:tc>
      </w:tr>
    </w:tbl>
    <w:p w14:paraId="6DD9C4F2" w14:textId="1FA6273C" w:rsidR="40AB1032" w:rsidRDefault="40AB1032" w:rsidP="40AB1032">
      <w:pPr>
        <w:spacing w:line="360" w:lineRule="auto"/>
        <w:jc w:val="both"/>
        <w:rPr>
          <w:rFonts w:ascii="Arial" w:eastAsia="Arial" w:hAnsi="Arial" w:cs="Arial"/>
        </w:rPr>
      </w:pPr>
    </w:p>
    <w:p w14:paraId="5E5787A5" w14:textId="43FA7106" w:rsidR="00B43C2F" w:rsidRDefault="40AB1032" w:rsidP="40AB1032">
      <w:pPr>
        <w:spacing w:line="360" w:lineRule="auto"/>
        <w:jc w:val="both"/>
        <w:rPr>
          <w:rFonts w:ascii="Arial" w:eastAsia="Arial" w:hAnsi="Arial" w:cs="Arial"/>
        </w:rPr>
      </w:pPr>
      <w:r w:rsidRPr="40AB1032">
        <w:rPr>
          <w:rFonts w:ascii="Arial" w:eastAsia="Arial" w:hAnsi="Arial" w:cs="Arial"/>
        </w:rPr>
        <w:t xml:space="preserve">By prioritising team goals over individual goals, Dimensions as a social care organisation, can foster a collaborative and patient-centred approach to service delivery, ultimately enhancing the quality and effectiveness of care provided (Hodder Education, </w:t>
      </w:r>
      <w:proofErr w:type="spellStart"/>
      <w:r w:rsidRPr="40AB1032">
        <w:rPr>
          <w:rFonts w:ascii="Arial" w:eastAsia="Arial" w:hAnsi="Arial" w:cs="Arial"/>
        </w:rPr>
        <w:t>n.d</w:t>
      </w:r>
      <w:proofErr w:type="spellEnd"/>
      <w:r w:rsidRPr="40AB1032">
        <w:rPr>
          <w:rFonts w:ascii="Arial" w:eastAsia="Arial" w:hAnsi="Arial" w:cs="Arial"/>
        </w:rPr>
        <w:t>; Baldwin, 2020).</w:t>
      </w:r>
    </w:p>
    <w:p w14:paraId="4329DE28" w14:textId="500FE350" w:rsidR="40AB1032" w:rsidRDefault="40AB1032" w:rsidP="40AB1032">
      <w:pPr>
        <w:spacing w:line="360" w:lineRule="auto"/>
        <w:jc w:val="both"/>
        <w:rPr>
          <w:rFonts w:ascii="Arial" w:eastAsia="Arial" w:hAnsi="Arial" w:cs="Arial"/>
        </w:rPr>
      </w:pPr>
    </w:p>
    <w:p w14:paraId="1A3A6817" w14:textId="4F52A3EA" w:rsidR="40AB1032" w:rsidRDefault="40AB1032" w:rsidP="40AB1032">
      <w:pPr>
        <w:spacing w:line="360" w:lineRule="auto"/>
        <w:jc w:val="both"/>
        <w:rPr>
          <w:rFonts w:ascii="Arial" w:eastAsia="Arial" w:hAnsi="Arial" w:cs="Arial"/>
        </w:rPr>
      </w:pPr>
    </w:p>
    <w:p w14:paraId="24AB316D" w14:textId="554F66C4" w:rsidR="40AB1032" w:rsidRDefault="40AB1032" w:rsidP="40AB1032">
      <w:pPr>
        <w:spacing w:line="360" w:lineRule="auto"/>
        <w:jc w:val="both"/>
        <w:rPr>
          <w:rFonts w:ascii="Arial" w:eastAsia="Arial" w:hAnsi="Arial" w:cs="Arial"/>
        </w:rPr>
      </w:pPr>
    </w:p>
    <w:p w14:paraId="6F04BB6A" w14:textId="4715917A" w:rsidR="40AB1032" w:rsidRDefault="40AB1032" w:rsidP="40AB1032">
      <w:pPr>
        <w:spacing w:line="360" w:lineRule="auto"/>
        <w:jc w:val="both"/>
        <w:rPr>
          <w:rFonts w:ascii="Arial" w:eastAsia="Arial" w:hAnsi="Arial" w:cs="Arial"/>
        </w:rPr>
      </w:pPr>
    </w:p>
    <w:p w14:paraId="2E90D16C" w14:textId="1DCE64DA" w:rsidR="40AB1032" w:rsidRDefault="40AB1032" w:rsidP="40AB1032">
      <w:pPr>
        <w:spacing w:line="360" w:lineRule="auto"/>
        <w:jc w:val="both"/>
        <w:rPr>
          <w:rFonts w:ascii="Arial" w:eastAsia="Arial" w:hAnsi="Arial" w:cs="Arial"/>
        </w:rPr>
      </w:pPr>
    </w:p>
    <w:p w14:paraId="597B1777" w14:textId="15746604" w:rsidR="40AB1032" w:rsidRDefault="40AB1032" w:rsidP="40AB1032">
      <w:pPr>
        <w:spacing w:line="360" w:lineRule="auto"/>
        <w:jc w:val="both"/>
        <w:rPr>
          <w:rFonts w:ascii="Arial" w:eastAsia="Arial" w:hAnsi="Arial" w:cs="Arial"/>
        </w:rPr>
      </w:pPr>
    </w:p>
    <w:p w14:paraId="4E0B1BCF" w14:textId="4BBD821E" w:rsidR="40AB1032" w:rsidRDefault="40AB1032" w:rsidP="40AB1032">
      <w:pPr>
        <w:spacing w:line="360" w:lineRule="auto"/>
        <w:jc w:val="both"/>
        <w:rPr>
          <w:rFonts w:ascii="Arial" w:eastAsia="Arial" w:hAnsi="Arial" w:cs="Arial"/>
        </w:rPr>
      </w:pPr>
    </w:p>
    <w:p w14:paraId="406EA5AE" w14:textId="382B546C" w:rsidR="40AB1032" w:rsidRDefault="40AB1032" w:rsidP="40AB1032">
      <w:pPr>
        <w:spacing w:line="360" w:lineRule="auto"/>
        <w:jc w:val="both"/>
        <w:rPr>
          <w:rFonts w:ascii="Arial" w:eastAsia="Arial" w:hAnsi="Arial" w:cs="Arial"/>
        </w:rPr>
      </w:pPr>
    </w:p>
    <w:p w14:paraId="136A1591" w14:textId="0EF6003F" w:rsidR="40AB1032" w:rsidRDefault="40AB1032" w:rsidP="40AB1032">
      <w:pPr>
        <w:spacing w:line="360" w:lineRule="auto"/>
        <w:jc w:val="both"/>
        <w:rPr>
          <w:rFonts w:ascii="Arial" w:eastAsia="Arial" w:hAnsi="Arial" w:cs="Arial"/>
        </w:rPr>
      </w:pPr>
    </w:p>
    <w:p w14:paraId="7595BBC5" w14:textId="10400D99" w:rsidR="40AB1032" w:rsidRDefault="40AB1032" w:rsidP="40AB1032">
      <w:pPr>
        <w:spacing w:line="360" w:lineRule="auto"/>
        <w:jc w:val="both"/>
        <w:rPr>
          <w:rFonts w:ascii="Arial" w:eastAsia="Arial" w:hAnsi="Arial" w:cs="Arial"/>
        </w:rPr>
      </w:pPr>
    </w:p>
    <w:p w14:paraId="3BE8F391" w14:textId="0F88B1A6" w:rsidR="40AB1032" w:rsidRDefault="40AB1032" w:rsidP="40AB1032">
      <w:pPr>
        <w:spacing w:line="360" w:lineRule="auto"/>
        <w:jc w:val="both"/>
        <w:rPr>
          <w:rFonts w:ascii="Arial" w:eastAsia="Arial" w:hAnsi="Arial" w:cs="Arial"/>
        </w:rPr>
      </w:pPr>
    </w:p>
    <w:p w14:paraId="3F071D80" w14:textId="77777777" w:rsidR="00990CB8" w:rsidRDefault="00990CB8" w:rsidP="40AB1032">
      <w:pPr>
        <w:spacing w:line="360" w:lineRule="auto"/>
        <w:jc w:val="both"/>
        <w:rPr>
          <w:rFonts w:ascii="Arial" w:eastAsia="Arial" w:hAnsi="Arial" w:cs="Arial"/>
        </w:rPr>
      </w:pPr>
    </w:p>
    <w:p w14:paraId="17BD5ED7" w14:textId="77777777" w:rsidR="00990CB8" w:rsidRDefault="00990CB8" w:rsidP="40AB1032">
      <w:pPr>
        <w:spacing w:line="360" w:lineRule="auto"/>
        <w:jc w:val="both"/>
        <w:rPr>
          <w:rFonts w:ascii="Arial" w:eastAsia="Arial" w:hAnsi="Arial" w:cs="Arial"/>
        </w:rPr>
      </w:pPr>
    </w:p>
    <w:p w14:paraId="3A42E91A" w14:textId="77777777" w:rsidR="00990CB8" w:rsidRDefault="00990CB8" w:rsidP="40AB1032">
      <w:pPr>
        <w:spacing w:line="360" w:lineRule="auto"/>
        <w:jc w:val="both"/>
        <w:rPr>
          <w:rFonts w:ascii="Arial" w:eastAsia="Arial" w:hAnsi="Arial" w:cs="Arial"/>
        </w:rPr>
      </w:pPr>
    </w:p>
    <w:p w14:paraId="67B07AB7" w14:textId="77777777" w:rsidR="00990CB8" w:rsidRDefault="00990CB8" w:rsidP="40AB1032">
      <w:pPr>
        <w:spacing w:line="360" w:lineRule="auto"/>
        <w:jc w:val="both"/>
        <w:rPr>
          <w:rFonts w:ascii="Arial" w:eastAsia="Arial" w:hAnsi="Arial" w:cs="Arial"/>
        </w:rPr>
      </w:pPr>
    </w:p>
    <w:p w14:paraId="310D41EE" w14:textId="77777777" w:rsidR="00990CB8" w:rsidRDefault="00990CB8" w:rsidP="40AB1032">
      <w:pPr>
        <w:spacing w:line="360" w:lineRule="auto"/>
        <w:jc w:val="both"/>
        <w:rPr>
          <w:rFonts w:ascii="Arial" w:eastAsia="Arial" w:hAnsi="Arial" w:cs="Arial"/>
        </w:rPr>
      </w:pPr>
    </w:p>
    <w:p w14:paraId="79D522BB" w14:textId="77777777" w:rsidR="00990CB8" w:rsidRDefault="00990CB8" w:rsidP="40AB1032">
      <w:pPr>
        <w:spacing w:line="360" w:lineRule="auto"/>
        <w:jc w:val="both"/>
        <w:rPr>
          <w:rFonts w:ascii="Arial" w:eastAsia="Arial" w:hAnsi="Arial" w:cs="Arial"/>
        </w:rPr>
      </w:pPr>
    </w:p>
    <w:p w14:paraId="6CAB9A5C" w14:textId="77777777" w:rsidR="00990CB8" w:rsidRDefault="00990CB8" w:rsidP="40AB1032">
      <w:pPr>
        <w:spacing w:line="360" w:lineRule="auto"/>
        <w:jc w:val="both"/>
        <w:rPr>
          <w:rFonts w:ascii="Arial" w:eastAsia="Arial" w:hAnsi="Arial" w:cs="Arial"/>
        </w:rPr>
      </w:pPr>
    </w:p>
    <w:p w14:paraId="0619A854" w14:textId="63306F3A" w:rsidR="40AB1032" w:rsidRDefault="40AB1032" w:rsidP="40AB1032">
      <w:pPr>
        <w:spacing w:line="360" w:lineRule="auto"/>
        <w:jc w:val="both"/>
        <w:rPr>
          <w:rFonts w:ascii="Arial" w:eastAsia="Arial" w:hAnsi="Arial" w:cs="Arial"/>
        </w:rPr>
      </w:pPr>
    </w:p>
    <w:p w14:paraId="6192DFD2" w14:textId="13D1980A" w:rsidR="40AB1032" w:rsidRDefault="40AB1032" w:rsidP="40AB1032">
      <w:pPr>
        <w:spacing w:line="360" w:lineRule="auto"/>
        <w:jc w:val="both"/>
        <w:rPr>
          <w:rFonts w:ascii="Arial" w:eastAsia="Arial" w:hAnsi="Arial" w:cs="Arial"/>
        </w:rPr>
      </w:pPr>
    </w:p>
    <w:p w14:paraId="276F310B" w14:textId="008190D1" w:rsidR="00990CB8" w:rsidRPr="00990CB8" w:rsidRDefault="00990CB8" w:rsidP="40AB1032">
      <w:pPr>
        <w:spacing w:line="360" w:lineRule="auto"/>
        <w:jc w:val="both"/>
        <w:rPr>
          <w:rFonts w:ascii="Arial" w:eastAsia="Arial" w:hAnsi="Arial" w:cs="Arial"/>
          <w:b/>
          <w:bCs/>
        </w:rPr>
      </w:pPr>
      <w:r w:rsidRPr="00990CB8">
        <w:rPr>
          <w:rFonts w:ascii="Arial" w:eastAsia="Arial" w:hAnsi="Arial" w:cs="Arial"/>
          <w:b/>
          <w:bCs/>
        </w:rPr>
        <w:lastRenderedPageBreak/>
        <w:t>References</w:t>
      </w:r>
    </w:p>
    <w:p w14:paraId="3DB30DD8" w14:textId="7CE69B26"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Armstrong, M. (2021) </w:t>
      </w:r>
      <w:r w:rsidRPr="40AB1032">
        <w:rPr>
          <w:rFonts w:ascii="Arial" w:eastAsia="Arial" w:hAnsi="Arial" w:cs="Arial"/>
          <w:i/>
          <w:iCs/>
          <w:color w:val="000000" w:themeColor="text1"/>
        </w:rPr>
        <w:t>Armstrong’s Handbook of Performance Management: An Evidence-Based Guide to Performance Leadership</w:t>
      </w:r>
      <w:r w:rsidRPr="40AB1032">
        <w:rPr>
          <w:rFonts w:ascii="Arial" w:eastAsia="Arial" w:hAnsi="Arial" w:cs="Arial"/>
          <w:color w:val="000000" w:themeColor="text1"/>
        </w:rPr>
        <w:t xml:space="preserve">. 7th </w:t>
      </w:r>
      <w:proofErr w:type="spellStart"/>
      <w:r w:rsidRPr="40AB1032">
        <w:rPr>
          <w:rFonts w:ascii="Arial" w:eastAsia="Arial" w:hAnsi="Arial" w:cs="Arial"/>
          <w:color w:val="000000" w:themeColor="text1"/>
        </w:rPr>
        <w:t>edn</w:t>
      </w:r>
      <w:proofErr w:type="spellEnd"/>
      <w:r w:rsidRPr="40AB1032">
        <w:rPr>
          <w:rFonts w:ascii="Arial" w:eastAsia="Arial" w:hAnsi="Arial" w:cs="Arial"/>
          <w:color w:val="000000" w:themeColor="text1"/>
        </w:rPr>
        <w:t>. London: Kogan Page.</w:t>
      </w:r>
    </w:p>
    <w:p w14:paraId="429D73A2" w14:textId="0E4DBAA8" w:rsidR="40AB1032" w:rsidRDefault="40AB1032" w:rsidP="00990CB8">
      <w:pPr>
        <w:ind w:left="567" w:right="-20" w:hanging="587"/>
        <w:rPr>
          <w:rFonts w:ascii="Arial" w:eastAsia="Arial" w:hAnsi="Arial" w:cs="Arial"/>
        </w:rPr>
      </w:pPr>
      <w:r w:rsidRPr="40AB1032">
        <w:rPr>
          <w:rFonts w:ascii="Arial" w:eastAsia="Arial" w:hAnsi="Arial" w:cs="Arial"/>
          <w:color w:val="000000" w:themeColor="text1"/>
        </w:rPr>
        <w:t xml:space="preserve">Baldwin, N. (2020) </w:t>
      </w:r>
      <w:r w:rsidRPr="40AB1032">
        <w:rPr>
          <w:rFonts w:ascii="Arial" w:eastAsia="Arial" w:hAnsi="Arial" w:cs="Arial"/>
          <w:i/>
          <w:iCs/>
          <w:color w:val="000000" w:themeColor="text1"/>
        </w:rPr>
        <w:t>Better Lives for More People: Our Group Strategy 2020-2025</w:t>
      </w:r>
      <w:r w:rsidRPr="40AB1032">
        <w:rPr>
          <w:rFonts w:ascii="Arial" w:eastAsia="Arial" w:hAnsi="Arial" w:cs="Arial"/>
          <w:color w:val="000000" w:themeColor="text1"/>
        </w:rPr>
        <w:t xml:space="preserve">. </w:t>
      </w:r>
      <w:r>
        <w:tab/>
      </w:r>
      <w:r w:rsidRPr="40AB1032">
        <w:rPr>
          <w:rFonts w:ascii="Arial" w:eastAsia="Arial" w:hAnsi="Arial" w:cs="Arial"/>
          <w:color w:val="000000" w:themeColor="text1"/>
        </w:rPr>
        <w:t>Reading: Dimensions UK Ltd.</w:t>
      </w:r>
    </w:p>
    <w:p w14:paraId="1CAAE103" w14:textId="27C2FE54"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Beslagic, A. (2023) </w:t>
      </w:r>
      <w:r w:rsidRPr="40AB1032">
        <w:rPr>
          <w:rFonts w:ascii="Arial" w:eastAsia="Arial" w:hAnsi="Arial" w:cs="Arial"/>
          <w:i/>
          <w:iCs/>
          <w:color w:val="000000" w:themeColor="text1"/>
        </w:rPr>
        <w:t>The Power of Teamwork and Common Goals Within a Company</w:t>
      </w:r>
      <w:r w:rsidRPr="40AB1032">
        <w:rPr>
          <w:rFonts w:ascii="Arial" w:eastAsia="Arial" w:hAnsi="Arial" w:cs="Arial"/>
          <w:color w:val="000000" w:themeColor="text1"/>
        </w:rPr>
        <w:t xml:space="preserve">, </w:t>
      </w:r>
      <w:r w:rsidRPr="40AB1032">
        <w:rPr>
          <w:rFonts w:ascii="Arial" w:eastAsia="Arial" w:hAnsi="Arial" w:cs="Arial"/>
          <w:i/>
          <w:iCs/>
          <w:color w:val="000000" w:themeColor="text1"/>
        </w:rPr>
        <w:t>LinkedIn</w:t>
      </w:r>
      <w:r w:rsidRPr="40AB1032">
        <w:rPr>
          <w:rFonts w:ascii="Arial" w:eastAsia="Arial" w:hAnsi="Arial" w:cs="Arial"/>
          <w:color w:val="000000" w:themeColor="text1"/>
        </w:rPr>
        <w:t xml:space="preserve">. Available at: </w:t>
      </w:r>
      <w:hyperlink r:id="rId8">
        <w:r w:rsidRPr="40AB1032">
          <w:rPr>
            <w:rStyle w:val="Hyperlink"/>
            <w:rFonts w:ascii="Arial" w:eastAsia="Arial" w:hAnsi="Arial" w:cs="Arial"/>
          </w:rPr>
          <w:t>https://www.linkedin.com/pulse/power-teamwork-common-goals-within-company-aldin-beslagic/</w:t>
        </w:r>
      </w:hyperlink>
      <w:r w:rsidRPr="40AB1032">
        <w:rPr>
          <w:rFonts w:ascii="Arial" w:eastAsia="Arial" w:hAnsi="Arial" w:cs="Arial"/>
          <w:color w:val="000000" w:themeColor="text1"/>
        </w:rPr>
        <w:t xml:space="preserve"> (Accessed: 04 May 2024).</w:t>
      </w:r>
    </w:p>
    <w:p w14:paraId="24AF265D" w14:textId="49D6BC0A" w:rsidR="40AB1032" w:rsidRDefault="40AB1032" w:rsidP="40AB1032">
      <w:pPr>
        <w:spacing w:before="240" w:after="240"/>
        <w:ind w:left="567" w:hanging="567"/>
        <w:rPr>
          <w:rFonts w:ascii="Arial" w:eastAsia="Arial" w:hAnsi="Arial" w:cs="Arial"/>
          <w:color w:val="000000" w:themeColor="text1"/>
        </w:rPr>
      </w:pPr>
      <w:proofErr w:type="spellStart"/>
      <w:r w:rsidRPr="40AB1032">
        <w:rPr>
          <w:rFonts w:ascii="Arial" w:eastAsia="Arial" w:hAnsi="Arial" w:cs="Arial"/>
          <w:color w:val="000000" w:themeColor="text1"/>
        </w:rPr>
        <w:t>Biech</w:t>
      </w:r>
      <w:proofErr w:type="spellEnd"/>
      <w:r w:rsidRPr="40AB1032">
        <w:rPr>
          <w:rFonts w:ascii="Arial" w:eastAsia="Arial" w:hAnsi="Arial" w:cs="Arial"/>
          <w:color w:val="000000" w:themeColor="text1"/>
        </w:rPr>
        <w:t>, E. (2001), “A model for building teamwork”, The Pfeiffer Book of Successful Teambuilding Tools, Jossey-Bass/</w:t>
      </w:r>
      <w:proofErr w:type="spellStart"/>
      <w:r w:rsidRPr="40AB1032">
        <w:rPr>
          <w:rFonts w:ascii="Arial" w:eastAsia="Arial" w:hAnsi="Arial" w:cs="Arial"/>
          <w:color w:val="000000" w:themeColor="text1"/>
        </w:rPr>
        <w:t>Pfeiffe</w:t>
      </w:r>
      <w:proofErr w:type="spellEnd"/>
      <w:r w:rsidRPr="40AB1032">
        <w:rPr>
          <w:rFonts w:ascii="Arial" w:eastAsia="Arial" w:hAnsi="Arial" w:cs="Arial"/>
          <w:color w:val="000000" w:themeColor="text1"/>
        </w:rPr>
        <w:t>, San Francisco, pp. 13-26.</w:t>
      </w:r>
    </w:p>
    <w:p w14:paraId="4A72672B" w14:textId="70C5190B"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Cappelli, P. and Tavis, A. (2016) </w:t>
      </w:r>
      <w:r w:rsidRPr="40AB1032">
        <w:rPr>
          <w:rFonts w:ascii="Arial" w:eastAsia="Arial" w:hAnsi="Arial" w:cs="Arial"/>
          <w:i/>
          <w:iCs/>
          <w:color w:val="000000" w:themeColor="text1"/>
        </w:rPr>
        <w:t>The Future of Performance Reviews</w:t>
      </w:r>
      <w:r w:rsidRPr="40AB1032">
        <w:rPr>
          <w:rFonts w:ascii="Arial" w:eastAsia="Arial" w:hAnsi="Arial" w:cs="Arial"/>
          <w:color w:val="000000" w:themeColor="text1"/>
        </w:rPr>
        <w:t xml:space="preserve">, </w:t>
      </w:r>
      <w:r w:rsidRPr="40AB1032">
        <w:rPr>
          <w:rFonts w:ascii="Arial" w:eastAsia="Arial" w:hAnsi="Arial" w:cs="Arial"/>
          <w:i/>
          <w:iCs/>
          <w:color w:val="000000" w:themeColor="text1"/>
        </w:rPr>
        <w:t>Harvard Business Review</w:t>
      </w:r>
      <w:r w:rsidRPr="40AB1032">
        <w:rPr>
          <w:rFonts w:ascii="Arial" w:eastAsia="Arial" w:hAnsi="Arial" w:cs="Arial"/>
          <w:color w:val="000000" w:themeColor="text1"/>
        </w:rPr>
        <w:t xml:space="preserve">. Available at: </w:t>
      </w:r>
      <w:hyperlink r:id="rId9">
        <w:r w:rsidRPr="40AB1032">
          <w:rPr>
            <w:rStyle w:val="Hyperlink"/>
            <w:rFonts w:ascii="Arial" w:eastAsia="Arial" w:hAnsi="Arial" w:cs="Arial"/>
          </w:rPr>
          <w:t>https://hbr.org/2016/10/the-performance-management-revolution</w:t>
        </w:r>
      </w:hyperlink>
      <w:r w:rsidRPr="40AB1032">
        <w:rPr>
          <w:rFonts w:ascii="Arial" w:eastAsia="Arial" w:hAnsi="Arial" w:cs="Arial"/>
          <w:color w:val="000000" w:themeColor="text1"/>
        </w:rPr>
        <w:t xml:space="preserve"> (Accessed: 04 May 2024).</w:t>
      </w:r>
    </w:p>
    <w:p w14:paraId="5A2DD540" w14:textId="070D0867"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CIPD (2022) </w:t>
      </w:r>
      <w:r w:rsidRPr="40AB1032">
        <w:rPr>
          <w:rFonts w:ascii="Arial" w:eastAsia="Arial" w:hAnsi="Arial" w:cs="Arial"/>
          <w:i/>
          <w:iCs/>
          <w:color w:val="000000" w:themeColor="text1"/>
        </w:rPr>
        <w:t>People Performance: An Evidence Review</w:t>
      </w:r>
      <w:r w:rsidRPr="40AB1032">
        <w:rPr>
          <w:rFonts w:ascii="Arial" w:eastAsia="Arial" w:hAnsi="Arial" w:cs="Arial"/>
          <w:color w:val="000000" w:themeColor="text1"/>
        </w:rPr>
        <w:t xml:space="preserve">. Available at: </w:t>
      </w:r>
      <w:hyperlink r:id="rId10">
        <w:r w:rsidRPr="40AB1032">
          <w:rPr>
            <w:rStyle w:val="Hyperlink"/>
            <w:rFonts w:ascii="Arial" w:eastAsia="Arial" w:hAnsi="Arial" w:cs="Arial"/>
          </w:rPr>
          <w:t>https://www.cipd.org/globalassets/media/knowledge/knowledge-hub/evidence-reviews/people-performance-practice-summary_tcm18-109854.pdf</w:t>
        </w:r>
      </w:hyperlink>
      <w:r w:rsidRPr="40AB1032">
        <w:rPr>
          <w:rFonts w:ascii="Arial" w:eastAsia="Arial" w:hAnsi="Arial" w:cs="Arial"/>
          <w:color w:val="000000" w:themeColor="text1"/>
        </w:rPr>
        <w:t xml:space="preserve"> (Accessed: 04 May 2024).</w:t>
      </w:r>
    </w:p>
    <w:p w14:paraId="0B80ED68" w14:textId="4799C223"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CIPD (2023) </w:t>
      </w:r>
      <w:r w:rsidRPr="40AB1032">
        <w:rPr>
          <w:rFonts w:ascii="Arial" w:eastAsia="Arial" w:hAnsi="Arial" w:cs="Arial"/>
          <w:i/>
          <w:iCs/>
          <w:color w:val="000000" w:themeColor="text1"/>
        </w:rPr>
        <w:t>High-Performing Teams: An Evidence Review</w:t>
      </w:r>
      <w:r w:rsidRPr="40AB1032">
        <w:rPr>
          <w:rFonts w:ascii="Arial" w:eastAsia="Arial" w:hAnsi="Arial" w:cs="Arial"/>
          <w:color w:val="000000" w:themeColor="text1"/>
        </w:rPr>
        <w:t xml:space="preserve">. Available at: </w:t>
      </w:r>
      <w:hyperlink r:id="rId11">
        <w:r w:rsidRPr="40AB1032">
          <w:rPr>
            <w:rStyle w:val="Hyperlink"/>
            <w:rFonts w:ascii="Arial" w:eastAsia="Arial" w:hAnsi="Arial" w:cs="Arial"/>
          </w:rPr>
          <w:t>https://www.cipd.org/globalassets/media/knowledge/knowledge-hub/evidence-reviews/2023-pdfs/8388-high-performing-teams-practice-summary.pdf</w:t>
        </w:r>
      </w:hyperlink>
      <w:r w:rsidRPr="40AB1032">
        <w:rPr>
          <w:rFonts w:ascii="Arial" w:eastAsia="Arial" w:hAnsi="Arial" w:cs="Arial"/>
          <w:color w:val="000000" w:themeColor="text1"/>
        </w:rPr>
        <w:t xml:space="preserve"> (Accessed: 04 May 2024).</w:t>
      </w:r>
    </w:p>
    <w:p w14:paraId="4C5EF7BD" w14:textId="28A28641" w:rsidR="40AB1032" w:rsidRDefault="40AB1032" w:rsidP="40AB1032">
      <w:pPr>
        <w:ind w:left="-20" w:right="-20"/>
        <w:rPr>
          <w:rFonts w:ascii="Arial" w:eastAsia="Arial" w:hAnsi="Arial" w:cs="Arial"/>
        </w:rPr>
      </w:pPr>
      <w:r w:rsidRPr="40AB1032">
        <w:rPr>
          <w:rFonts w:ascii="Arial" w:eastAsia="Arial" w:hAnsi="Arial" w:cs="Arial"/>
          <w:color w:val="000000" w:themeColor="text1"/>
        </w:rPr>
        <w:t xml:space="preserve">Dimensions (UK) Ltd (2022) </w:t>
      </w:r>
      <w:r w:rsidRPr="40AB1032">
        <w:rPr>
          <w:rFonts w:ascii="Arial" w:eastAsia="Arial" w:hAnsi="Arial" w:cs="Arial"/>
          <w:i/>
          <w:iCs/>
          <w:color w:val="000000" w:themeColor="text1"/>
        </w:rPr>
        <w:t xml:space="preserve">About learning disability and autism support provider, </w:t>
      </w:r>
      <w:r>
        <w:tab/>
      </w:r>
      <w:r>
        <w:tab/>
      </w:r>
      <w:r w:rsidR="00990CB8">
        <w:tab/>
      </w:r>
      <w:r w:rsidR="00990CB8">
        <w:tab/>
      </w:r>
      <w:r w:rsidRPr="40AB1032">
        <w:rPr>
          <w:rFonts w:ascii="Arial" w:eastAsia="Arial" w:hAnsi="Arial" w:cs="Arial"/>
          <w:i/>
          <w:iCs/>
          <w:color w:val="000000" w:themeColor="text1"/>
        </w:rPr>
        <w:t>Dimensions</w:t>
      </w:r>
      <w:r w:rsidRPr="40AB1032">
        <w:rPr>
          <w:rFonts w:ascii="Arial" w:eastAsia="Arial" w:hAnsi="Arial" w:cs="Arial"/>
          <w:color w:val="000000" w:themeColor="text1"/>
        </w:rPr>
        <w:t xml:space="preserve">, </w:t>
      </w:r>
      <w:r w:rsidRPr="40AB1032">
        <w:rPr>
          <w:rFonts w:ascii="Arial" w:eastAsia="Arial" w:hAnsi="Arial" w:cs="Arial"/>
          <w:i/>
          <w:iCs/>
          <w:color w:val="000000" w:themeColor="text1"/>
        </w:rPr>
        <w:t>Dimensions</w:t>
      </w:r>
      <w:r w:rsidRPr="40AB1032">
        <w:rPr>
          <w:rFonts w:ascii="Arial" w:eastAsia="Arial" w:hAnsi="Arial" w:cs="Arial"/>
          <w:color w:val="000000" w:themeColor="text1"/>
        </w:rPr>
        <w:t xml:space="preserve">. Available at: </w:t>
      </w:r>
      <w:hyperlink r:id="rId12">
        <w:r w:rsidRPr="40AB1032">
          <w:rPr>
            <w:rStyle w:val="Hyperlink"/>
            <w:rFonts w:ascii="Arial" w:eastAsia="Arial" w:hAnsi="Arial" w:cs="Arial"/>
          </w:rPr>
          <w:t>https://dimensions-uk.org/about/</w:t>
        </w:r>
      </w:hyperlink>
      <w:r w:rsidRPr="40AB1032">
        <w:rPr>
          <w:rFonts w:ascii="Arial" w:eastAsia="Arial" w:hAnsi="Arial" w:cs="Arial"/>
          <w:color w:val="000000" w:themeColor="text1"/>
        </w:rPr>
        <w:t xml:space="preserve"> </w:t>
      </w:r>
      <w:r>
        <w:tab/>
      </w:r>
      <w:r>
        <w:br/>
      </w:r>
      <w:r>
        <w:tab/>
      </w:r>
      <w:r w:rsidR="00990CB8">
        <w:tab/>
      </w:r>
      <w:r w:rsidRPr="40AB1032">
        <w:rPr>
          <w:rFonts w:ascii="Arial" w:eastAsia="Arial" w:hAnsi="Arial" w:cs="Arial"/>
          <w:color w:val="000000" w:themeColor="text1"/>
        </w:rPr>
        <w:t>(Accessed: 04 May 2024).</w:t>
      </w:r>
    </w:p>
    <w:p w14:paraId="227EBB76" w14:textId="37AC81ED"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Gambill, T. (2023) </w:t>
      </w:r>
      <w:r w:rsidRPr="40AB1032">
        <w:rPr>
          <w:rFonts w:ascii="Arial" w:eastAsia="Arial" w:hAnsi="Arial" w:cs="Arial"/>
          <w:i/>
          <w:iCs/>
          <w:color w:val="000000" w:themeColor="text1"/>
        </w:rPr>
        <w:t>5 Levels of Goal Clarity Needed for Team Success</w:t>
      </w:r>
      <w:r w:rsidRPr="40AB1032">
        <w:rPr>
          <w:rFonts w:ascii="Arial" w:eastAsia="Arial" w:hAnsi="Arial" w:cs="Arial"/>
          <w:color w:val="000000" w:themeColor="text1"/>
        </w:rPr>
        <w:t xml:space="preserve">, </w:t>
      </w:r>
      <w:r w:rsidRPr="40AB1032">
        <w:rPr>
          <w:rFonts w:ascii="Arial" w:eastAsia="Arial" w:hAnsi="Arial" w:cs="Arial"/>
          <w:i/>
          <w:iCs/>
          <w:color w:val="000000" w:themeColor="text1"/>
        </w:rPr>
        <w:t>Forbes</w:t>
      </w:r>
      <w:r w:rsidRPr="40AB1032">
        <w:rPr>
          <w:rFonts w:ascii="Arial" w:eastAsia="Arial" w:hAnsi="Arial" w:cs="Arial"/>
          <w:color w:val="000000" w:themeColor="text1"/>
        </w:rPr>
        <w:t xml:space="preserve">. Available at: </w:t>
      </w:r>
      <w:hyperlink r:id="rId13">
        <w:r w:rsidRPr="40AB1032">
          <w:rPr>
            <w:rStyle w:val="Hyperlink"/>
            <w:rFonts w:ascii="Arial" w:eastAsia="Arial" w:hAnsi="Arial" w:cs="Arial"/>
          </w:rPr>
          <w:t>https://www.forbes.com/sites/tonygambill/2023/06/13/5-levels-of-goal-clarity-needed-for-team-success/</w:t>
        </w:r>
      </w:hyperlink>
      <w:r w:rsidRPr="40AB1032">
        <w:rPr>
          <w:rFonts w:ascii="Arial" w:eastAsia="Arial" w:hAnsi="Arial" w:cs="Arial"/>
          <w:color w:val="000000" w:themeColor="text1"/>
        </w:rPr>
        <w:t xml:space="preserve"> (Accessed: 04 May 2024).</w:t>
      </w:r>
    </w:p>
    <w:p w14:paraId="286D2766" w14:textId="62D38CAF"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Gifford, J. (2024) </w:t>
      </w:r>
      <w:r w:rsidRPr="40AB1032">
        <w:rPr>
          <w:rFonts w:ascii="Arial" w:eastAsia="Arial" w:hAnsi="Arial" w:cs="Arial"/>
          <w:i/>
          <w:iCs/>
          <w:color w:val="000000" w:themeColor="text1"/>
        </w:rPr>
        <w:t>Performance Management: Factsheets</w:t>
      </w:r>
      <w:r w:rsidRPr="40AB1032">
        <w:rPr>
          <w:rFonts w:ascii="Arial" w:eastAsia="Arial" w:hAnsi="Arial" w:cs="Arial"/>
          <w:color w:val="000000" w:themeColor="text1"/>
        </w:rPr>
        <w:t xml:space="preserve">, </w:t>
      </w:r>
      <w:r w:rsidRPr="40AB1032">
        <w:rPr>
          <w:rFonts w:ascii="Arial" w:eastAsia="Arial" w:hAnsi="Arial" w:cs="Arial"/>
          <w:i/>
          <w:iCs/>
          <w:color w:val="000000" w:themeColor="text1"/>
        </w:rPr>
        <w:t>CIPD</w:t>
      </w:r>
      <w:r w:rsidRPr="40AB1032">
        <w:rPr>
          <w:rFonts w:ascii="Arial" w:eastAsia="Arial" w:hAnsi="Arial" w:cs="Arial"/>
          <w:color w:val="000000" w:themeColor="text1"/>
        </w:rPr>
        <w:t xml:space="preserve">. Available at: </w:t>
      </w:r>
      <w:hyperlink r:id="rId14" w:anchor="one">
        <w:r w:rsidRPr="40AB1032">
          <w:rPr>
            <w:rStyle w:val="Hyperlink"/>
            <w:rFonts w:ascii="Arial" w:eastAsia="Arial" w:hAnsi="Arial" w:cs="Arial"/>
          </w:rPr>
          <w:t>https://www.cipd.org/uk/knowledge/factsheets/performance-factsheet/#one</w:t>
        </w:r>
      </w:hyperlink>
      <w:r w:rsidRPr="40AB1032">
        <w:rPr>
          <w:rFonts w:ascii="Arial" w:eastAsia="Arial" w:hAnsi="Arial" w:cs="Arial"/>
          <w:color w:val="000000" w:themeColor="text1"/>
        </w:rPr>
        <w:t xml:space="preserve"> (Accessed: 04 May 2024).</w:t>
      </w:r>
    </w:p>
    <w:p w14:paraId="597FAE4F" w14:textId="67D8FC58"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Gothelf, J. (2020) </w:t>
      </w:r>
      <w:r w:rsidRPr="40AB1032">
        <w:rPr>
          <w:rFonts w:ascii="Arial" w:eastAsia="Arial" w:hAnsi="Arial" w:cs="Arial"/>
          <w:i/>
          <w:iCs/>
          <w:color w:val="000000" w:themeColor="text1"/>
        </w:rPr>
        <w:t xml:space="preserve">Use </w:t>
      </w:r>
      <w:proofErr w:type="spellStart"/>
      <w:r w:rsidRPr="40AB1032">
        <w:rPr>
          <w:rFonts w:ascii="Arial" w:eastAsia="Arial" w:hAnsi="Arial" w:cs="Arial"/>
          <w:i/>
          <w:iCs/>
          <w:color w:val="000000" w:themeColor="text1"/>
        </w:rPr>
        <w:t>Okrs</w:t>
      </w:r>
      <w:proofErr w:type="spellEnd"/>
      <w:r w:rsidRPr="40AB1032">
        <w:rPr>
          <w:rFonts w:ascii="Arial" w:eastAsia="Arial" w:hAnsi="Arial" w:cs="Arial"/>
          <w:i/>
          <w:iCs/>
          <w:color w:val="000000" w:themeColor="text1"/>
        </w:rPr>
        <w:t xml:space="preserve"> to set Goals for Teams, Not Individuals</w:t>
      </w:r>
      <w:r w:rsidRPr="40AB1032">
        <w:rPr>
          <w:rFonts w:ascii="Arial" w:eastAsia="Arial" w:hAnsi="Arial" w:cs="Arial"/>
          <w:color w:val="000000" w:themeColor="text1"/>
        </w:rPr>
        <w:t xml:space="preserve">, </w:t>
      </w:r>
      <w:r w:rsidRPr="40AB1032">
        <w:rPr>
          <w:rFonts w:ascii="Arial" w:eastAsia="Arial" w:hAnsi="Arial" w:cs="Arial"/>
          <w:i/>
          <w:iCs/>
          <w:color w:val="000000" w:themeColor="text1"/>
        </w:rPr>
        <w:t>Harvard Business Review</w:t>
      </w:r>
      <w:r w:rsidRPr="40AB1032">
        <w:rPr>
          <w:rFonts w:ascii="Arial" w:eastAsia="Arial" w:hAnsi="Arial" w:cs="Arial"/>
          <w:color w:val="000000" w:themeColor="text1"/>
        </w:rPr>
        <w:t xml:space="preserve">. Available at: </w:t>
      </w:r>
      <w:hyperlink r:id="rId15">
        <w:r w:rsidRPr="40AB1032">
          <w:rPr>
            <w:rStyle w:val="Hyperlink"/>
            <w:rFonts w:ascii="Arial" w:eastAsia="Arial" w:hAnsi="Arial" w:cs="Arial"/>
          </w:rPr>
          <w:t>https://hbr.org/2020/12/use-okrs-to-set-goals-for-teams-not-individuals</w:t>
        </w:r>
      </w:hyperlink>
      <w:r w:rsidRPr="40AB1032">
        <w:rPr>
          <w:rFonts w:ascii="Arial" w:eastAsia="Arial" w:hAnsi="Arial" w:cs="Arial"/>
          <w:color w:val="000000" w:themeColor="text1"/>
        </w:rPr>
        <w:t xml:space="preserve"> (Accessed: 04 May 2024).</w:t>
      </w:r>
    </w:p>
    <w:p w14:paraId="00F3656C" w14:textId="5325F5FD"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Hennigan, L. and Main, K. (2023) </w:t>
      </w:r>
      <w:r w:rsidRPr="40AB1032">
        <w:rPr>
          <w:rFonts w:ascii="Arial" w:eastAsia="Arial" w:hAnsi="Arial" w:cs="Arial"/>
          <w:i/>
          <w:iCs/>
          <w:color w:val="000000" w:themeColor="text1"/>
        </w:rPr>
        <w:t>What is an OKR? Definition &amp; Examples</w:t>
      </w:r>
      <w:r w:rsidRPr="40AB1032">
        <w:rPr>
          <w:rFonts w:ascii="Arial" w:eastAsia="Arial" w:hAnsi="Arial" w:cs="Arial"/>
          <w:color w:val="000000" w:themeColor="text1"/>
        </w:rPr>
        <w:t xml:space="preserve">, </w:t>
      </w:r>
      <w:r w:rsidRPr="40AB1032">
        <w:rPr>
          <w:rFonts w:ascii="Arial" w:eastAsia="Arial" w:hAnsi="Arial" w:cs="Arial"/>
          <w:i/>
          <w:iCs/>
          <w:color w:val="000000" w:themeColor="text1"/>
        </w:rPr>
        <w:t>Forbes</w:t>
      </w:r>
      <w:r w:rsidRPr="40AB1032">
        <w:rPr>
          <w:rFonts w:ascii="Arial" w:eastAsia="Arial" w:hAnsi="Arial" w:cs="Arial"/>
          <w:color w:val="000000" w:themeColor="text1"/>
        </w:rPr>
        <w:t xml:space="preserve">. Available at: </w:t>
      </w:r>
      <w:hyperlink r:id="rId16">
        <w:r w:rsidRPr="40AB1032">
          <w:rPr>
            <w:rStyle w:val="Hyperlink"/>
            <w:rFonts w:ascii="Arial" w:eastAsia="Arial" w:hAnsi="Arial" w:cs="Arial"/>
          </w:rPr>
          <w:t>https://www.forbes.com/advisor/business/what-is-an-okr-definition-examples/</w:t>
        </w:r>
      </w:hyperlink>
      <w:r w:rsidRPr="40AB1032">
        <w:rPr>
          <w:rFonts w:ascii="Arial" w:eastAsia="Arial" w:hAnsi="Arial" w:cs="Arial"/>
          <w:color w:val="000000" w:themeColor="text1"/>
        </w:rPr>
        <w:t xml:space="preserve"> (Accessed: 04 May 2024).</w:t>
      </w:r>
    </w:p>
    <w:p w14:paraId="7A772027" w14:textId="27C5BD17"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lastRenderedPageBreak/>
        <w:t xml:space="preserve">Hodder Education (no date) </w:t>
      </w:r>
      <w:r w:rsidRPr="40AB1032">
        <w:rPr>
          <w:rFonts w:ascii="Arial" w:eastAsia="Arial" w:hAnsi="Arial" w:cs="Arial"/>
          <w:i/>
          <w:iCs/>
          <w:color w:val="000000" w:themeColor="text1"/>
        </w:rPr>
        <w:t>Working as Part of a Team in Health and Social Care</w:t>
      </w:r>
      <w:r w:rsidRPr="40AB1032">
        <w:rPr>
          <w:rFonts w:ascii="Arial" w:eastAsia="Arial" w:hAnsi="Arial" w:cs="Arial"/>
          <w:color w:val="000000" w:themeColor="text1"/>
        </w:rPr>
        <w:t xml:space="preserve">. Available at: </w:t>
      </w:r>
      <w:hyperlink r:id="rId17">
        <w:r w:rsidRPr="40AB1032">
          <w:rPr>
            <w:rStyle w:val="Hyperlink"/>
            <w:rFonts w:ascii="Arial" w:eastAsia="Arial" w:hAnsi="Arial" w:cs="Arial"/>
          </w:rPr>
          <w:t>https://www.hoddereducation.com/media/Documents/Health%20and%20Social%20Care/9871471806605_HSC_L2_Ch21_online.pdf</w:t>
        </w:r>
      </w:hyperlink>
      <w:r w:rsidRPr="40AB1032">
        <w:rPr>
          <w:rFonts w:ascii="Arial" w:eastAsia="Arial" w:hAnsi="Arial" w:cs="Arial"/>
          <w:color w:val="000000" w:themeColor="text1"/>
        </w:rPr>
        <w:t xml:space="preserve"> (Accessed: 04 May 2024).</w:t>
      </w:r>
    </w:p>
    <w:p w14:paraId="71D2677B" w14:textId="18928A85"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Hoek, M., Groeneveld, S. and Kuipers, B. (2018) ‘Goal Setting in Teams: Goal Clarity and Team Performance in the Public Sector’, </w:t>
      </w:r>
      <w:r w:rsidRPr="40AB1032">
        <w:rPr>
          <w:rFonts w:ascii="Arial" w:eastAsia="Arial" w:hAnsi="Arial" w:cs="Arial"/>
          <w:i/>
          <w:iCs/>
          <w:color w:val="000000" w:themeColor="text1"/>
        </w:rPr>
        <w:t>Review of Public Personnel Administration</w:t>
      </w:r>
      <w:r w:rsidRPr="40AB1032">
        <w:rPr>
          <w:rFonts w:ascii="Arial" w:eastAsia="Arial" w:hAnsi="Arial" w:cs="Arial"/>
          <w:color w:val="000000" w:themeColor="text1"/>
        </w:rPr>
        <w:t>, 38(4), pp. 472–493. doi:10.1177/0734371x16682815.</w:t>
      </w:r>
    </w:p>
    <w:p w14:paraId="3023FEDE" w14:textId="732519E7"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Locke, E.A. (1968) ‘Toward a Theory of Task Motivation and Incentives’, </w:t>
      </w:r>
      <w:r w:rsidRPr="40AB1032">
        <w:rPr>
          <w:rFonts w:ascii="Arial" w:eastAsia="Arial" w:hAnsi="Arial" w:cs="Arial"/>
          <w:i/>
          <w:iCs/>
          <w:color w:val="000000" w:themeColor="text1"/>
        </w:rPr>
        <w:t xml:space="preserve">Organizational </w:t>
      </w:r>
      <w:proofErr w:type="spellStart"/>
      <w:r w:rsidRPr="40AB1032">
        <w:rPr>
          <w:rFonts w:ascii="Arial" w:eastAsia="Arial" w:hAnsi="Arial" w:cs="Arial"/>
          <w:i/>
          <w:iCs/>
          <w:color w:val="000000" w:themeColor="text1"/>
        </w:rPr>
        <w:t>Behavior</w:t>
      </w:r>
      <w:proofErr w:type="spellEnd"/>
      <w:r w:rsidRPr="40AB1032">
        <w:rPr>
          <w:rFonts w:ascii="Arial" w:eastAsia="Arial" w:hAnsi="Arial" w:cs="Arial"/>
          <w:i/>
          <w:iCs/>
          <w:color w:val="000000" w:themeColor="text1"/>
        </w:rPr>
        <w:t xml:space="preserve"> and Human Performance</w:t>
      </w:r>
      <w:r w:rsidRPr="40AB1032">
        <w:rPr>
          <w:rFonts w:ascii="Arial" w:eastAsia="Arial" w:hAnsi="Arial" w:cs="Arial"/>
          <w:color w:val="000000" w:themeColor="text1"/>
        </w:rPr>
        <w:t>, 3(2), pp. 157–189. doi:10.1016/0030-5073(68)90004-4.</w:t>
      </w:r>
    </w:p>
    <w:p w14:paraId="16B924A5" w14:textId="3E64F0D4"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Locke, E.A. </w:t>
      </w:r>
      <w:r w:rsidRPr="40AB1032">
        <w:rPr>
          <w:rFonts w:ascii="Arial" w:eastAsia="Arial" w:hAnsi="Arial" w:cs="Arial"/>
          <w:i/>
          <w:iCs/>
          <w:color w:val="000000" w:themeColor="text1"/>
        </w:rPr>
        <w:t>et al.</w:t>
      </w:r>
      <w:r w:rsidRPr="40AB1032">
        <w:rPr>
          <w:rFonts w:ascii="Arial" w:eastAsia="Arial" w:hAnsi="Arial" w:cs="Arial"/>
          <w:color w:val="000000" w:themeColor="text1"/>
        </w:rPr>
        <w:t xml:space="preserve"> (1981) ‘Goal Setting and Task Performance: 1969–1980.’, </w:t>
      </w:r>
      <w:r w:rsidRPr="40AB1032">
        <w:rPr>
          <w:rFonts w:ascii="Arial" w:eastAsia="Arial" w:hAnsi="Arial" w:cs="Arial"/>
          <w:i/>
          <w:iCs/>
          <w:color w:val="000000" w:themeColor="text1"/>
        </w:rPr>
        <w:t>Psychological Bulletin</w:t>
      </w:r>
      <w:r w:rsidRPr="40AB1032">
        <w:rPr>
          <w:rFonts w:ascii="Arial" w:eastAsia="Arial" w:hAnsi="Arial" w:cs="Arial"/>
          <w:color w:val="000000" w:themeColor="text1"/>
        </w:rPr>
        <w:t>, 90(1), pp. 125–152. doi:10.1037/0033-2909.90.1.125.</w:t>
      </w:r>
    </w:p>
    <w:p w14:paraId="4AF835AF" w14:textId="0CBC6712"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Locke, E.A. and Latham, G.P. (1990) </w:t>
      </w:r>
      <w:r w:rsidRPr="40AB1032">
        <w:rPr>
          <w:rFonts w:ascii="Arial" w:eastAsia="Arial" w:hAnsi="Arial" w:cs="Arial"/>
          <w:i/>
          <w:iCs/>
          <w:color w:val="000000" w:themeColor="text1"/>
        </w:rPr>
        <w:t>A theory of goal setting &amp; task performance</w:t>
      </w:r>
      <w:r w:rsidRPr="40AB1032">
        <w:rPr>
          <w:rFonts w:ascii="Arial" w:eastAsia="Arial" w:hAnsi="Arial" w:cs="Arial"/>
          <w:color w:val="000000" w:themeColor="text1"/>
        </w:rPr>
        <w:t>. Englewood Cliffs: Prentice Hall.</w:t>
      </w:r>
    </w:p>
    <w:p w14:paraId="4F2BA097" w14:textId="6A2A4B65"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Marriage, B. and Kinnear, J. (2016) ‘Assessing Team Performance - Markers and Methods’, </w:t>
      </w:r>
      <w:r w:rsidRPr="40AB1032">
        <w:rPr>
          <w:rFonts w:ascii="Arial" w:eastAsia="Arial" w:hAnsi="Arial" w:cs="Arial"/>
          <w:i/>
          <w:iCs/>
          <w:color w:val="000000" w:themeColor="text1"/>
        </w:rPr>
        <w:t>Trends in Anaesthesia and Critical Care</w:t>
      </w:r>
      <w:r w:rsidRPr="40AB1032">
        <w:rPr>
          <w:rFonts w:ascii="Arial" w:eastAsia="Arial" w:hAnsi="Arial" w:cs="Arial"/>
          <w:color w:val="000000" w:themeColor="text1"/>
        </w:rPr>
        <w:t xml:space="preserve">, 7–8(11–16). </w:t>
      </w:r>
      <w:proofErr w:type="gramStart"/>
      <w:r w:rsidRPr="40AB1032">
        <w:rPr>
          <w:rFonts w:ascii="Arial" w:eastAsia="Arial" w:hAnsi="Arial" w:cs="Arial"/>
          <w:color w:val="000000" w:themeColor="text1"/>
        </w:rPr>
        <w:t>doi:https://doi-org.ezproxy.uwtsd.ac.uk/10.1016/j.tacc.2016.05.002</w:t>
      </w:r>
      <w:proofErr w:type="gramEnd"/>
      <w:r w:rsidRPr="40AB1032">
        <w:rPr>
          <w:rFonts w:ascii="Arial" w:eastAsia="Arial" w:hAnsi="Arial" w:cs="Arial"/>
          <w:color w:val="000000" w:themeColor="text1"/>
        </w:rPr>
        <w:t>.</w:t>
      </w:r>
    </w:p>
    <w:p w14:paraId="4FF9CAD1" w14:textId="357A2571"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Shah, H., Jain, S. and Jain, V. (2023) ‘Can Organization Team Culture Benchmark Effective Teams – Performance Management Concerns, Insights and HR Implications’, </w:t>
      </w:r>
      <w:r w:rsidRPr="40AB1032">
        <w:rPr>
          <w:rFonts w:ascii="Arial" w:eastAsia="Arial" w:hAnsi="Arial" w:cs="Arial"/>
          <w:i/>
          <w:iCs/>
          <w:color w:val="000000" w:themeColor="text1"/>
        </w:rPr>
        <w:t>Benchmarking: An International Journal</w:t>
      </w:r>
      <w:r w:rsidRPr="40AB1032">
        <w:rPr>
          <w:rFonts w:ascii="Arial" w:eastAsia="Arial" w:hAnsi="Arial" w:cs="Arial"/>
          <w:color w:val="000000" w:themeColor="text1"/>
        </w:rPr>
        <w:t>, 30(3), pp. 766–787. doi:10.1108/bij-11-2020-0581.</w:t>
      </w:r>
    </w:p>
    <w:p w14:paraId="504EDF11" w14:textId="303B981E"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Thomas (2023) </w:t>
      </w:r>
      <w:r w:rsidRPr="40AB1032">
        <w:rPr>
          <w:rFonts w:ascii="Arial" w:eastAsia="Arial" w:hAnsi="Arial" w:cs="Arial"/>
          <w:i/>
          <w:iCs/>
          <w:color w:val="000000" w:themeColor="text1"/>
        </w:rPr>
        <w:t>The Benefits of High Performing Teams: Why Investing in Your Team Yields Success</w:t>
      </w:r>
      <w:r w:rsidRPr="40AB1032">
        <w:rPr>
          <w:rFonts w:ascii="Arial" w:eastAsia="Arial" w:hAnsi="Arial" w:cs="Arial"/>
          <w:color w:val="000000" w:themeColor="text1"/>
        </w:rPr>
        <w:t xml:space="preserve">, </w:t>
      </w:r>
      <w:r w:rsidRPr="40AB1032">
        <w:rPr>
          <w:rFonts w:ascii="Arial" w:eastAsia="Arial" w:hAnsi="Arial" w:cs="Arial"/>
          <w:i/>
          <w:iCs/>
          <w:color w:val="000000" w:themeColor="text1"/>
        </w:rPr>
        <w:t>Thomas International</w:t>
      </w:r>
      <w:r w:rsidRPr="40AB1032">
        <w:rPr>
          <w:rFonts w:ascii="Arial" w:eastAsia="Arial" w:hAnsi="Arial" w:cs="Arial"/>
          <w:color w:val="000000" w:themeColor="text1"/>
        </w:rPr>
        <w:t xml:space="preserve">. Available at: </w:t>
      </w:r>
      <w:hyperlink r:id="rId18">
        <w:r w:rsidRPr="40AB1032">
          <w:rPr>
            <w:rStyle w:val="Hyperlink"/>
            <w:rFonts w:ascii="Arial" w:eastAsia="Arial" w:hAnsi="Arial" w:cs="Arial"/>
          </w:rPr>
          <w:t>https://www.thomas.co/resources/type/hr-blog/benefits-high-performing-teams-why-investing-your-team-yields-success</w:t>
        </w:r>
      </w:hyperlink>
      <w:r w:rsidRPr="40AB1032">
        <w:rPr>
          <w:rFonts w:ascii="Arial" w:eastAsia="Arial" w:hAnsi="Arial" w:cs="Arial"/>
          <w:color w:val="000000" w:themeColor="text1"/>
        </w:rPr>
        <w:t xml:space="preserve"> (Accessed: 04 May 2024).</w:t>
      </w:r>
    </w:p>
    <w:p w14:paraId="085D898C" w14:textId="1D9748E3" w:rsidR="40AB1032" w:rsidRDefault="40AB1032" w:rsidP="40AB1032">
      <w:pPr>
        <w:spacing w:before="240" w:after="240"/>
        <w:ind w:left="567" w:hanging="567"/>
        <w:rPr>
          <w:rFonts w:ascii="Arial" w:eastAsia="Arial" w:hAnsi="Arial" w:cs="Arial"/>
          <w:color w:val="000000" w:themeColor="text1"/>
        </w:rPr>
      </w:pPr>
      <w:r w:rsidRPr="40AB1032">
        <w:rPr>
          <w:rFonts w:ascii="Arial" w:eastAsia="Arial" w:hAnsi="Arial" w:cs="Arial"/>
          <w:color w:val="000000" w:themeColor="text1"/>
        </w:rPr>
        <w:t xml:space="preserve">Woolston, C. (2019) </w:t>
      </w:r>
      <w:r w:rsidRPr="40AB1032">
        <w:rPr>
          <w:rFonts w:ascii="Arial" w:eastAsia="Arial" w:hAnsi="Arial" w:cs="Arial"/>
          <w:i/>
          <w:iCs/>
          <w:color w:val="000000" w:themeColor="text1"/>
        </w:rPr>
        <w:t>Why Appraisals are Pointless for Most People</w:t>
      </w:r>
      <w:r w:rsidRPr="40AB1032">
        <w:rPr>
          <w:rFonts w:ascii="Arial" w:eastAsia="Arial" w:hAnsi="Arial" w:cs="Arial"/>
          <w:color w:val="000000" w:themeColor="text1"/>
        </w:rPr>
        <w:t xml:space="preserve">, </w:t>
      </w:r>
      <w:r w:rsidRPr="40AB1032">
        <w:rPr>
          <w:rFonts w:ascii="Arial" w:eastAsia="Arial" w:hAnsi="Arial" w:cs="Arial"/>
          <w:i/>
          <w:iCs/>
          <w:color w:val="000000" w:themeColor="text1"/>
        </w:rPr>
        <w:t>BBC News</w:t>
      </w:r>
      <w:r w:rsidRPr="40AB1032">
        <w:rPr>
          <w:rFonts w:ascii="Arial" w:eastAsia="Arial" w:hAnsi="Arial" w:cs="Arial"/>
          <w:color w:val="000000" w:themeColor="text1"/>
        </w:rPr>
        <w:t xml:space="preserve">. Available at: </w:t>
      </w:r>
      <w:hyperlink r:id="rId19" w:anchor=":~:text=The%20growing%20body%20of%20research%20questioning%20the%20value,at%20times%20fanfared%20in%20press%20releases%20and%20headlines">
        <w:r w:rsidRPr="40AB1032">
          <w:rPr>
            <w:rStyle w:val="Hyperlink"/>
            <w:rFonts w:ascii="Arial" w:eastAsia="Arial" w:hAnsi="Arial" w:cs="Arial"/>
          </w:rPr>
          <w:t>https://www.bbc.com/worklife/article/20190501-why-appraisals-are-pointless-for-most-people#:~:text=The%20growing%20body%20of%20research%20questioning%20the%20value,at%20times%20fanfared%20in%20press%20releases%20and%20headlines</w:t>
        </w:r>
      </w:hyperlink>
      <w:r w:rsidRPr="40AB1032">
        <w:rPr>
          <w:rFonts w:ascii="Arial" w:eastAsia="Arial" w:hAnsi="Arial" w:cs="Arial"/>
          <w:color w:val="000000" w:themeColor="text1"/>
        </w:rPr>
        <w:t xml:space="preserve"> (Accessed: 04 May 2024).</w:t>
      </w:r>
    </w:p>
    <w:p w14:paraId="67637B12" w14:textId="0D573025" w:rsidR="40AB1032" w:rsidRDefault="40AB1032" w:rsidP="40AB1032">
      <w:pPr>
        <w:rPr>
          <w:rFonts w:ascii="Arial" w:eastAsia="Arial" w:hAnsi="Arial" w:cs="Arial"/>
          <w:color w:val="000000" w:themeColor="text1"/>
        </w:rPr>
      </w:pPr>
    </w:p>
    <w:p w14:paraId="4B881954" w14:textId="5439E3F4" w:rsidR="40AB1032" w:rsidRDefault="40AB1032" w:rsidP="40AB1032">
      <w:pPr>
        <w:spacing w:line="360" w:lineRule="auto"/>
        <w:jc w:val="both"/>
        <w:rPr>
          <w:rFonts w:ascii="Arial" w:eastAsia="Arial" w:hAnsi="Arial" w:cs="Arial"/>
        </w:rPr>
      </w:pPr>
    </w:p>
    <w:sectPr w:rsidR="40AB1032" w:rsidSect="0030492B">
      <w:headerReference w:type="default" r:id="rId20"/>
      <w:footerReference w:type="default" r:id="rId21"/>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A97D91" w14:textId="77777777" w:rsidR="00003A5A" w:rsidRDefault="00003A5A">
      <w:pPr>
        <w:spacing w:after="0" w:line="240" w:lineRule="auto"/>
      </w:pPr>
      <w:r>
        <w:separator/>
      </w:r>
    </w:p>
  </w:endnote>
  <w:endnote w:type="continuationSeparator" w:id="0">
    <w:p w14:paraId="6DEE3051" w14:textId="77777777" w:rsidR="00003A5A" w:rsidRDefault="00003A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40AB1032" w14:paraId="074C6FA4" w14:textId="77777777" w:rsidTr="40AB1032">
      <w:trPr>
        <w:trHeight w:val="300"/>
      </w:trPr>
      <w:tc>
        <w:tcPr>
          <w:tcW w:w="3005" w:type="dxa"/>
        </w:tcPr>
        <w:p w14:paraId="69262037" w14:textId="0F7317C3" w:rsidR="40AB1032" w:rsidRDefault="40AB1032" w:rsidP="40AB1032">
          <w:pPr>
            <w:pStyle w:val="Header"/>
            <w:ind w:left="-115"/>
          </w:pPr>
        </w:p>
      </w:tc>
      <w:tc>
        <w:tcPr>
          <w:tcW w:w="3005" w:type="dxa"/>
        </w:tcPr>
        <w:p w14:paraId="75C23A18" w14:textId="0D21AB1D" w:rsidR="40AB1032" w:rsidRDefault="40AB1032" w:rsidP="40AB1032">
          <w:pPr>
            <w:pStyle w:val="Header"/>
            <w:jc w:val="center"/>
          </w:pPr>
        </w:p>
      </w:tc>
      <w:tc>
        <w:tcPr>
          <w:tcW w:w="3005" w:type="dxa"/>
        </w:tcPr>
        <w:p w14:paraId="489D8468" w14:textId="27065034" w:rsidR="40AB1032" w:rsidRDefault="40AB1032" w:rsidP="40AB1032">
          <w:pPr>
            <w:pStyle w:val="Header"/>
            <w:ind w:right="-115"/>
            <w:jc w:val="right"/>
          </w:pPr>
        </w:p>
      </w:tc>
    </w:tr>
  </w:tbl>
  <w:p w14:paraId="2F14E4B9" w14:textId="280A35A5" w:rsidR="40AB1032" w:rsidRDefault="40AB1032" w:rsidP="40AB10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1CED21" w14:textId="77777777" w:rsidR="00003A5A" w:rsidRDefault="00003A5A">
      <w:pPr>
        <w:spacing w:after="0" w:line="240" w:lineRule="auto"/>
      </w:pPr>
      <w:r>
        <w:separator/>
      </w:r>
    </w:p>
  </w:footnote>
  <w:footnote w:type="continuationSeparator" w:id="0">
    <w:p w14:paraId="29FCE72C" w14:textId="77777777" w:rsidR="00003A5A" w:rsidRDefault="00003A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44413077"/>
      <w:docPartObj>
        <w:docPartGallery w:val="Page Numbers (Top of Page)"/>
        <w:docPartUnique/>
      </w:docPartObj>
    </w:sdtPr>
    <w:sdtEndPr>
      <w:rPr>
        <w:color w:val="7F7F7F" w:themeColor="background1" w:themeShade="7F"/>
        <w:spacing w:val="60"/>
      </w:rPr>
    </w:sdtEndPr>
    <w:sdtContent>
      <w:p w14:paraId="7B27A19E" w14:textId="1FA22901" w:rsidR="00990CB8" w:rsidRDefault="00990CB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65CF979" w14:textId="2368B7BD" w:rsidR="40AB1032" w:rsidRDefault="40AB1032" w:rsidP="40AB10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261738"/>
    <w:multiLevelType w:val="hybridMultilevel"/>
    <w:tmpl w:val="63D416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8BBBCC"/>
    <w:multiLevelType w:val="hybridMultilevel"/>
    <w:tmpl w:val="8C98335E"/>
    <w:lvl w:ilvl="0" w:tplc="E9062EAC">
      <w:start w:val="1"/>
      <w:numFmt w:val="decimal"/>
      <w:lvlText w:val="%1."/>
      <w:lvlJc w:val="left"/>
      <w:pPr>
        <w:ind w:left="720" w:hanging="360"/>
      </w:pPr>
    </w:lvl>
    <w:lvl w:ilvl="1" w:tplc="0360C5C2">
      <w:start w:val="1"/>
      <w:numFmt w:val="lowerLetter"/>
      <w:lvlText w:val="%2."/>
      <w:lvlJc w:val="left"/>
      <w:pPr>
        <w:ind w:left="1440" w:hanging="360"/>
      </w:pPr>
    </w:lvl>
    <w:lvl w:ilvl="2" w:tplc="54BAB7CA">
      <w:start w:val="1"/>
      <w:numFmt w:val="lowerRoman"/>
      <w:lvlText w:val="%3."/>
      <w:lvlJc w:val="right"/>
      <w:pPr>
        <w:ind w:left="2160" w:hanging="180"/>
      </w:pPr>
    </w:lvl>
    <w:lvl w:ilvl="3" w:tplc="3C607E30">
      <w:start w:val="1"/>
      <w:numFmt w:val="decimal"/>
      <w:lvlText w:val="%4."/>
      <w:lvlJc w:val="left"/>
      <w:pPr>
        <w:ind w:left="2880" w:hanging="360"/>
      </w:pPr>
    </w:lvl>
    <w:lvl w:ilvl="4" w:tplc="73DAF490">
      <w:start w:val="1"/>
      <w:numFmt w:val="lowerLetter"/>
      <w:lvlText w:val="%5."/>
      <w:lvlJc w:val="left"/>
      <w:pPr>
        <w:ind w:left="3600" w:hanging="360"/>
      </w:pPr>
    </w:lvl>
    <w:lvl w:ilvl="5" w:tplc="D33C5BAA">
      <w:start w:val="1"/>
      <w:numFmt w:val="lowerRoman"/>
      <w:lvlText w:val="%6."/>
      <w:lvlJc w:val="right"/>
      <w:pPr>
        <w:ind w:left="4320" w:hanging="180"/>
      </w:pPr>
    </w:lvl>
    <w:lvl w:ilvl="6" w:tplc="01C6526C">
      <w:start w:val="1"/>
      <w:numFmt w:val="decimal"/>
      <w:lvlText w:val="%7."/>
      <w:lvlJc w:val="left"/>
      <w:pPr>
        <w:ind w:left="5040" w:hanging="360"/>
      </w:pPr>
    </w:lvl>
    <w:lvl w:ilvl="7" w:tplc="61546EB6">
      <w:start w:val="1"/>
      <w:numFmt w:val="lowerLetter"/>
      <w:lvlText w:val="%8."/>
      <w:lvlJc w:val="left"/>
      <w:pPr>
        <w:ind w:left="5760" w:hanging="360"/>
      </w:pPr>
    </w:lvl>
    <w:lvl w:ilvl="8" w:tplc="C7B86A10">
      <w:start w:val="1"/>
      <w:numFmt w:val="lowerRoman"/>
      <w:lvlText w:val="%9."/>
      <w:lvlJc w:val="right"/>
      <w:pPr>
        <w:ind w:left="6480" w:hanging="180"/>
      </w:pPr>
    </w:lvl>
  </w:abstractNum>
  <w:abstractNum w:abstractNumId="2" w15:restartNumberingAfterBreak="0">
    <w:nsid w:val="7DFCF113"/>
    <w:multiLevelType w:val="hybridMultilevel"/>
    <w:tmpl w:val="84342494"/>
    <w:lvl w:ilvl="0" w:tplc="B5AE6ECC">
      <w:start w:val="1"/>
      <w:numFmt w:val="bullet"/>
      <w:lvlText w:val=""/>
      <w:lvlJc w:val="left"/>
      <w:pPr>
        <w:ind w:left="720" w:hanging="360"/>
      </w:pPr>
      <w:rPr>
        <w:rFonts w:ascii="Symbol" w:hAnsi="Symbol" w:hint="default"/>
      </w:rPr>
    </w:lvl>
    <w:lvl w:ilvl="1" w:tplc="E6AAC9F0">
      <w:start w:val="1"/>
      <w:numFmt w:val="bullet"/>
      <w:lvlText w:val="o"/>
      <w:lvlJc w:val="left"/>
      <w:pPr>
        <w:ind w:left="1440" w:hanging="360"/>
      </w:pPr>
      <w:rPr>
        <w:rFonts w:ascii="Courier New" w:hAnsi="Courier New" w:hint="default"/>
      </w:rPr>
    </w:lvl>
    <w:lvl w:ilvl="2" w:tplc="92CAD004">
      <w:start w:val="1"/>
      <w:numFmt w:val="bullet"/>
      <w:lvlText w:val=""/>
      <w:lvlJc w:val="left"/>
      <w:pPr>
        <w:ind w:left="2160" w:hanging="360"/>
      </w:pPr>
      <w:rPr>
        <w:rFonts w:ascii="Wingdings" w:hAnsi="Wingdings" w:hint="default"/>
      </w:rPr>
    </w:lvl>
    <w:lvl w:ilvl="3" w:tplc="A7D2AF10">
      <w:start w:val="1"/>
      <w:numFmt w:val="bullet"/>
      <w:lvlText w:val=""/>
      <w:lvlJc w:val="left"/>
      <w:pPr>
        <w:ind w:left="2880" w:hanging="360"/>
      </w:pPr>
      <w:rPr>
        <w:rFonts w:ascii="Symbol" w:hAnsi="Symbol" w:hint="default"/>
      </w:rPr>
    </w:lvl>
    <w:lvl w:ilvl="4" w:tplc="A05E9FB8">
      <w:start w:val="1"/>
      <w:numFmt w:val="bullet"/>
      <w:lvlText w:val="o"/>
      <w:lvlJc w:val="left"/>
      <w:pPr>
        <w:ind w:left="3600" w:hanging="360"/>
      </w:pPr>
      <w:rPr>
        <w:rFonts w:ascii="Courier New" w:hAnsi="Courier New" w:hint="default"/>
      </w:rPr>
    </w:lvl>
    <w:lvl w:ilvl="5" w:tplc="02EED092">
      <w:start w:val="1"/>
      <w:numFmt w:val="bullet"/>
      <w:lvlText w:val=""/>
      <w:lvlJc w:val="left"/>
      <w:pPr>
        <w:ind w:left="4320" w:hanging="360"/>
      </w:pPr>
      <w:rPr>
        <w:rFonts w:ascii="Wingdings" w:hAnsi="Wingdings" w:hint="default"/>
      </w:rPr>
    </w:lvl>
    <w:lvl w:ilvl="6" w:tplc="06367F0E">
      <w:start w:val="1"/>
      <w:numFmt w:val="bullet"/>
      <w:lvlText w:val=""/>
      <w:lvlJc w:val="left"/>
      <w:pPr>
        <w:ind w:left="5040" w:hanging="360"/>
      </w:pPr>
      <w:rPr>
        <w:rFonts w:ascii="Symbol" w:hAnsi="Symbol" w:hint="default"/>
      </w:rPr>
    </w:lvl>
    <w:lvl w:ilvl="7" w:tplc="E1144828">
      <w:start w:val="1"/>
      <w:numFmt w:val="bullet"/>
      <w:lvlText w:val="o"/>
      <w:lvlJc w:val="left"/>
      <w:pPr>
        <w:ind w:left="5760" w:hanging="360"/>
      </w:pPr>
      <w:rPr>
        <w:rFonts w:ascii="Courier New" w:hAnsi="Courier New" w:hint="default"/>
      </w:rPr>
    </w:lvl>
    <w:lvl w:ilvl="8" w:tplc="8C38B0F6">
      <w:start w:val="1"/>
      <w:numFmt w:val="bullet"/>
      <w:lvlText w:val=""/>
      <w:lvlJc w:val="left"/>
      <w:pPr>
        <w:ind w:left="6480" w:hanging="360"/>
      </w:pPr>
      <w:rPr>
        <w:rFonts w:ascii="Wingdings" w:hAnsi="Wingdings" w:hint="default"/>
      </w:rPr>
    </w:lvl>
  </w:abstractNum>
  <w:num w:numId="1" w16cid:durableId="1661888534">
    <w:abstractNumId w:val="1"/>
  </w:num>
  <w:num w:numId="2" w16cid:durableId="447359297">
    <w:abstractNumId w:val="2"/>
  </w:num>
  <w:num w:numId="3" w16cid:durableId="77365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5B7F3A"/>
    <w:rsid w:val="00003A5A"/>
    <w:rsid w:val="0030492B"/>
    <w:rsid w:val="00990CB8"/>
    <w:rsid w:val="00B43C2F"/>
    <w:rsid w:val="39103792"/>
    <w:rsid w:val="40AB1032"/>
    <w:rsid w:val="49BBDC25"/>
    <w:rsid w:val="525B7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B7F3A"/>
  <w15:chartTrackingRefBased/>
  <w15:docId w15:val="{15872805-C04D-4410-88D2-FBB116B78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power-teamwork-common-goals-within-company-aldin-beslagic/" TargetMode="External"/><Relationship Id="rId13" Type="http://schemas.openxmlformats.org/officeDocument/2006/relationships/hyperlink" Target="https://www.forbes.com/sites/tonygambill/2023/06/13/5-levels-of-goal-clarity-needed-for-team-success/" TargetMode="External"/><Relationship Id="rId18" Type="http://schemas.openxmlformats.org/officeDocument/2006/relationships/hyperlink" Target="https://www.thomas.co/resources/type/hr-blog/benefits-high-performing-teams-why-investing-your-team-yields-succes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dimensions-uk.org/about/" TargetMode="External"/><Relationship Id="rId17" Type="http://schemas.openxmlformats.org/officeDocument/2006/relationships/hyperlink" Target="https://www.hoddereducation.com/media/Documents/Health%20and%20Social%20Care/9871471806605_HSC_L2_Ch21_online.pdf" TargetMode="External"/><Relationship Id="rId2" Type="http://schemas.openxmlformats.org/officeDocument/2006/relationships/styles" Target="styles.xml"/><Relationship Id="rId16" Type="http://schemas.openxmlformats.org/officeDocument/2006/relationships/hyperlink" Target="https://www.forbes.com/advisor/business/what-is-an-okr-definition-example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globalassets/media/knowledge/knowledge-hub/evidence-reviews/2023-pdfs/8388-high-performing-teams-practice-summary.pdf" TargetMode="External"/><Relationship Id="rId5" Type="http://schemas.openxmlformats.org/officeDocument/2006/relationships/footnotes" Target="footnotes.xml"/><Relationship Id="rId15" Type="http://schemas.openxmlformats.org/officeDocument/2006/relationships/hyperlink" Target="https://hbr.org/2020/12/use-okrs-to-set-goals-for-teams-not-individuals" TargetMode="External"/><Relationship Id="rId23" Type="http://schemas.openxmlformats.org/officeDocument/2006/relationships/theme" Target="theme/theme1.xml"/><Relationship Id="rId10" Type="http://schemas.openxmlformats.org/officeDocument/2006/relationships/hyperlink" Target="https://www.cipd.org/globalassets/media/knowledge/knowledge-hub/evidence-reviews/people-performance-practice-summary_tcm18-109854.pdf" TargetMode="External"/><Relationship Id="rId19" Type="http://schemas.openxmlformats.org/officeDocument/2006/relationships/hyperlink" Target="https://www.bbc.com/worklife/article/20190501-why-appraisals-are-pointless-for-most-people" TargetMode="External"/><Relationship Id="rId4" Type="http://schemas.openxmlformats.org/officeDocument/2006/relationships/webSettings" Target="webSettings.xml"/><Relationship Id="rId9" Type="http://schemas.openxmlformats.org/officeDocument/2006/relationships/hyperlink" Target="https://hbr.org/2016/10/the-performance-management-revolution" TargetMode="External"/><Relationship Id="rId14" Type="http://schemas.openxmlformats.org/officeDocument/2006/relationships/hyperlink" Target="https://www.cipd.org/uk/knowledge/factsheets/performance-factshee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11</Pages>
  <Words>3162</Words>
  <Characters>18028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Mumford</dc:creator>
  <cp:keywords/>
  <dc:description/>
  <cp:lastModifiedBy>Dan Mumford</cp:lastModifiedBy>
  <cp:revision>2</cp:revision>
  <dcterms:created xsi:type="dcterms:W3CDTF">2024-05-05T20:02:00Z</dcterms:created>
  <dcterms:modified xsi:type="dcterms:W3CDTF">2024-05-05T20:02:00Z</dcterms:modified>
</cp:coreProperties>
</file>