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CE8B3" w14:textId="55772FDD" w:rsidR="005C1D90" w:rsidRDefault="00F81253">
      <w:r>
        <w:t xml:space="preserve">          </w:t>
      </w:r>
      <w:r w:rsidR="00ED6A46">
        <w:rPr>
          <w:noProof/>
          <w:sz w:val="40"/>
          <w:szCs w:val="40"/>
        </w:rPr>
        <w:drawing>
          <wp:inline distT="0" distB="0" distL="0" distR="0" wp14:anchorId="587420A1" wp14:editId="69DCB6BA">
            <wp:extent cx="5731510" cy="2211070"/>
            <wp:effectExtent l="0" t="0" r="0" b="0"/>
            <wp:docPr id="1921372553"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72553" name="Picture 1" descr="A close-up of black text&#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5731510" cy="2211070"/>
                    </a:xfrm>
                    <a:prstGeom prst="rect">
                      <a:avLst/>
                    </a:prstGeom>
                  </pic:spPr>
                </pic:pic>
              </a:graphicData>
            </a:graphic>
          </wp:inline>
        </w:drawing>
      </w:r>
    </w:p>
    <w:p w14:paraId="5F8802FF" w14:textId="77777777" w:rsidR="00ED6A46" w:rsidRDefault="00ED6A46"/>
    <w:p w14:paraId="7B3291C6" w14:textId="77777777" w:rsidR="00ED6A46" w:rsidRDefault="00ED6A46">
      <w:pPr>
        <w:rPr>
          <w:sz w:val="40"/>
          <w:szCs w:val="40"/>
        </w:rPr>
      </w:pPr>
    </w:p>
    <w:p w14:paraId="034A78BB" w14:textId="77777777" w:rsidR="00694623" w:rsidRDefault="00694623" w:rsidP="00A77DE9">
      <w:pPr>
        <w:jc w:val="center"/>
        <w:rPr>
          <w:rFonts w:ascii="Arial" w:hAnsi="Arial" w:cs="Arial"/>
          <w:b/>
          <w:bCs/>
          <w:i/>
          <w:sz w:val="56"/>
          <w:szCs w:val="72"/>
        </w:rPr>
      </w:pPr>
    </w:p>
    <w:p w14:paraId="0B011FF3" w14:textId="5DAE5046" w:rsidR="00ED6A46" w:rsidRDefault="00A77DE9" w:rsidP="00A77DE9">
      <w:pPr>
        <w:jc w:val="center"/>
        <w:rPr>
          <w:rFonts w:ascii="Arial" w:hAnsi="Arial" w:cs="Arial"/>
          <w:b/>
          <w:bCs/>
          <w:i/>
          <w:sz w:val="56"/>
          <w:szCs w:val="72"/>
        </w:rPr>
      </w:pPr>
      <w:r w:rsidRPr="002B5A90">
        <w:rPr>
          <w:rFonts w:ascii="Arial" w:hAnsi="Arial" w:cs="Arial"/>
          <w:b/>
          <w:bCs/>
          <w:i/>
          <w:sz w:val="56"/>
          <w:szCs w:val="72"/>
        </w:rPr>
        <w:t>LCBB6023</w:t>
      </w:r>
    </w:p>
    <w:p w14:paraId="1F4CE69E" w14:textId="77777777" w:rsidR="00ED6A46" w:rsidRDefault="00A77DE9" w:rsidP="00A77DE9">
      <w:pPr>
        <w:jc w:val="center"/>
        <w:rPr>
          <w:rFonts w:ascii="Arial" w:hAnsi="Arial" w:cs="Arial"/>
          <w:b/>
          <w:bCs/>
          <w:i/>
          <w:sz w:val="56"/>
          <w:szCs w:val="72"/>
        </w:rPr>
      </w:pPr>
      <w:r w:rsidRPr="002B5A90">
        <w:rPr>
          <w:rFonts w:ascii="Arial" w:hAnsi="Arial" w:cs="Arial"/>
          <w:b/>
          <w:bCs/>
          <w:i/>
          <w:sz w:val="56"/>
          <w:szCs w:val="72"/>
        </w:rPr>
        <w:t xml:space="preserve"> International Business Communications</w:t>
      </w:r>
      <w:r w:rsidRPr="002B5A90">
        <w:rPr>
          <w:rFonts w:ascii="Arial" w:hAnsi="Arial" w:cs="Arial"/>
          <w:b/>
          <w:bCs/>
          <w:i/>
          <w:sz w:val="56"/>
          <w:szCs w:val="72"/>
        </w:rPr>
        <w:cr/>
      </w:r>
    </w:p>
    <w:p w14:paraId="62674F55" w14:textId="77777777" w:rsidR="00ED6A46" w:rsidRDefault="00ED6A46" w:rsidP="00A77DE9">
      <w:pPr>
        <w:jc w:val="center"/>
        <w:rPr>
          <w:rFonts w:ascii="Arial" w:hAnsi="Arial" w:cs="Arial"/>
          <w:b/>
          <w:bCs/>
          <w:i/>
          <w:sz w:val="56"/>
          <w:szCs w:val="72"/>
        </w:rPr>
      </w:pPr>
      <w:r>
        <w:rPr>
          <w:rFonts w:ascii="Arial" w:hAnsi="Arial" w:cs="Arial"/>
          <w:b/>
          <w:bCs/>
          <w:i/>
          <w:sz w:val="56"/>
          <w:szCs w:val="72"/>
        </w:rPr>
        <w:t>Georgiana Piticas</w:t>
      </w:r>
    </w:p>
    <w:p w14:paraId="6A66A2EA" w14:textId="77777777" w:rsidR="00ED6A46" w:rsidRDefault="00A77DE9" w:rsidP="00A77DE9">
      <w:pPr>
        <w:jc w:val="center"/>
        <w:rPr>
          <w:rFonts w:ascii="Arial" w:hAnsi="Arial" w:cs="Arial"/>
          <w:b/>
          <w:i/>
          <w:iCs/>
          <w:color w:val="000000" w:themeColor="text1"/>
          <w:sz w:val="52"/>
          <w:szCs w:val="52"/>
          <w:u w:val="single"/>
        </w:rPr>
      </w:pPr>
      <w:r w:rsidRPr="002B5A90">
        <w:rPr>
          <w:rFonts w:ascii="Arial" w:hAnsi="Arial" w:cs="Arial"/>
          <w:b/>
          <w:bCs/>
          <w:i/>
          <w:sz w:val="72"/>
          <w:szCs w:val="72"/>
        </w:rPr>
        <w:t> </w:t>
      </w:r>
      <w:r w:rsidR="00ED6A46">
        <w:rPr>
          <w:rFonts w:ascii="Arial" w:hAnsi="Arial" w:cs="Arial"/>
          <w:b/>
          <w:i/>
          <w:iCs/>
          <w:color w:val="000000" w:themeColor="text1"/>
          <w:sz w:val="52"/>
          <w:szCs w:val="52"/>
          <w:u w:val="single"/>
        </w:rPr>
        <w:t>Student ID: 2315601</w:t>
      </w:r>
    </w:p>
    <w:p w14:paraId="51D81DBC" w14:textId="044F1F0B" w:rsidR="00A77DE9" w:rsidRPr="002B5A90" w:rsidRDefault="00A77DE9" w:rsidP="00A77DE9">
      <w:pPr>
        <w:jc w:val="center"/>
        <w:rPr>
          <w:rFonts w:ascii="Arial" w:hAnsi="Arial" w:cs="Arial"/>
          <w:b/>
          <w:i/>
          <w:sz w:val="72"/>
          <w:szCs w:val="72"/>
        </w:rPr>
      </w:pPr>
      <w:r w:rsidRPr="002B5A90">
        <w:rPr>
          <w:rFonts w:ascii="Arial" w:hAnsi="Arial" w:cs="Arial"/>
          <w:b/>
          <w:i/>
          <w:sz w:val="72"/>
          <w:szCs w:val="72"/>
        </w:rPr>
        <w:t xml:space="preserve"> </w:t>
      </w:r>
    </w:p>
    <w:p w14:paraId="6AF991C2" w14:textId="77777777" w:rsidR="00A77DE9" w:rsidRPr="002B5A90" w:rsidRDefault="00A77DE9" w:rsidP="00A77DE9">
      <w:pPr>
        <w:pStyle w:val="ContentsHeading"/>
        <w:pageBreakBefore/>
        <w:rPr>
          <w:rFonts w:ascii="Arial" w:hAnsi="Arial" w:cs="Arial"/>
          <w:color w:val="auto"/>
        </w:rPr>
      </w:pPr>
      <w:r w:rsidRPr="002B5A90">
        <w:rPr>
          <w:rFonts w:ascii="Arial" w:hAnsi="Arial" w:cs="Arial"/>
          <w:color w:val="auto"/>
        </w:rPr>
        <w:lastRenderedPageBreak/>
        <w:t>Table of Contents</w:t>
      </w:r>
    </w:p>
    <w:p w14:paraId="03599EDD" w14:textId="77777777" w:rsidR="00A77DE9" w:rsidRPr="002B5A90" w:rsidRDefault="00A77DE9" w:rsidP="00A77DE9">
      <w:pPr>
        <w:pStyle w:val="TOC1"/>
        <w:rPr>
          <w:rFonts w:ascii="Arial" w:eastAsia="Times New Roman" w:hAnsi="Arial" w:cs="Arial"/>
          <w:noProof/>
          <w:color w:val="auto"/>
          <w:sz w:val="22"/>
          <w:lang w:eastAsia="en-GB"/>
        </w:rPr>
      </w:pPr>
      <w:r w:rsidRPr="002B5A90">
        <w:rPr>
          <w:rFonts w:ascii="Arial" w:hAnsi="Arial" w:cs="Arial"/>
          <w:color w:val="auto"/>
        </w:rPr>
        <w:fldChar w:fldCharType="begin"/>
      </w:r>
      <w:r w:rsidRPr="002B5A90">
        <w:rPr>
          <w:rFonts w:ascii="Arial" w:hAnsi="Arial" w:cs="Arial"/>
          <w:color w:val="auto"/>
        </w:rPr>
        <w:instrText xml:space="preserve"> TOC \f \o "1-9" \o "1-9" </w:instrText>
      </w:r>
      <w:r w:rsidRPr="002B5A90">
        <w:rPr>
          <w:rFonts w:ascii="Arial" w:hAnsi="Arial" w:cs="Arial"/>
          <w:color w:val="auto"/>
        </w:rPr>
        <w:fldChar w:fldCharType="separate"/>
      </w:r>
      <w:r w:rsidRPr="002B5A90">
        <w:rPr>
          <w:rFonts w:ascii="Arial" w:hAnsi="Arial" w:cs="Arial"/>
          <w:noProof/>
        </w:rPr>
        <w:t>Introduction</w:t>
      </w:r>
      <w:r w:rsidRPr="002B5A90">
        <w:rPr>
          <w:rFonts w:ascii="Arial" w:hAnsi="Arial" w:cs="Arial"/>
          <w:noProof/>
        </w:rPr>
        <w:tab/>
      </w:r>
      <w:r w:rsidRPr="002B5A90">
        <w:rPr>
          <w:rFonts w:ascii="Arial" w:hAnsi="Arial" w:cs="Arial"/>
          <w:noProof/>
        </w:rPr>
        <w:fldChar w:fldCharType="begin"/>
      </w:r>
      <w:r w:rsidRPr="002B5A90">
        <w:rPr>
          <w:rFonts w:ascii="Arial" w:hAnsi="Arial" w:cs="Arial"/>
          <w:noProof/>
        </w:rPr>
        <w:instrText xml:space="preserve"> PAGEREF _Toc215570303 \h </w:instrText>
      </w:r>
      <w:r w:rsidRPr="002B5A90">
        <w:rPr>
          <w:rFonts w:ascii="Arial" w:hAnsi="Arial" w:cs="Arial"/>
          <w:noProof/>
        </w:rPr>
      </w:r>
      <w:r w:rsidRPr="002B5A90">
        <w:rPr>
          <w:rFonts w:ascii="Arial" w:hAnsi="Arial" w:cs="Arial"/>
          <w:noProof/>
        </w:rPr>
        <w:fldChar w:fldCharType="separate"/>
      </w:r>
      <w:r w:rsidRPr="002B5A90">
        <w:rPr>
          <w:rFonts w:ascii="Arial" w:hAnsi="Arial" w:cs="Arial"/>
          <w:noProof/>
        </w:rPr>
        <w:t>3</w:t>
      </w:r>
      <w:r w:rsidRPr="002B5A90">
        <w:rPr>
          <w:rFonts w:ascii="Arial" w:hAnsi="Arial" w:cs="Arial"/>
          <w:noProof/>
        </w:rPr>
        <w:fldChar w:fldCharType="end"/>
      </w:r>
    </w:p>
    <w:p w14:paraId="2030409B" w14:textId="77777777" w:rsidR="00A77DE9" w:rsidRPr="002B5A90" w:rsidRDefault="00A77DE9" w:rsidP="00A77DE9">
      <w:pPr>
        <w:pStyle w:val="TOC1"/>
        <w:rPr>
          <w:rFonts w:ascii="Arial" w:eastAsia="Times New Roman" w:hAnsi="Arial" w:cs="Arial"/>
          <w:noProof/>
          <w:color w:val="auto"/>
          <w:sz w:val="22"/>
          <w:lang w:eastAsia="en-GB"/>
        </w:rPr>
      </w:pPr>
      <w:r w:rsidRPr="002B5A90">
        <w:rPr>
          <w:rFonts w:ascii="Arial" w:hAnsi="Arial" w:cs="Arial"/>
          <w:noProof/>
        </w:rPr>
        <w:t>Literature Review</w:t>
      </w:r>
      <w:r w:rsidRPr="002B5A90">
        <w:rPr>
          <w:rFonts w:ascii="Arial" w:hAnsi="Arial" w:cs="Arial"/>
          <w:noProof/>
        </w:rPr>
        <w:tab/>
      </w:r>
      <w:r w:rsidRPr="002B5A90">
        <w:rPr>
          <w:rFonts w:ascii="Arial" w:hAnsi="Arial" w:cs="Arial"/>
          <w:noProof/>
        </w:rPr>
        <w:fldChar w:fldCharType="begin"/>
      </w:r>
      <w:r w:rsidRPr="002B5A90">
        <w:rPr>
          <w:rFonts w:ascii="Arial" w:hAnsi="Arial" w:cs="Arial"/>
          <w:noProof/>
        </w:rPr>
        <w:instrText xml:space="preserve"> PAGEREF _Toc215570304 \h </w:instrText>
      </w:r>
      <w:r w:rsidRPr="002B5A90">
        <w:rPr>
          <w:rFonts w:ascii="Arial" w:hAnsi="Arial" w:cs="Arial"/>
          <w:noProof/>
        </w:rPr>
      </w:r>
      <w:r w:rsidRPr="002B5A90">
        <w:rPr>
          <w:rFonts w:ascii="Arial" w:hAnsi="Arial" w:cs="Arial"/>
          <w:noProof/>
        </w:rPr>
        <w:fldChar w:fldCharType="separate"/>
      </w:r>
      <w:r w:rsidRPr="002B5A90">
        <w:rPr>
          <w:rFonts w:ascii="Arial" w:hAnsi="Arial" w:cs="Arial"/>
          <w:noProof/>
        </w:rPr>
        <w:t>3</w:t>
      </w:r>
      <w:r w:rsidRPr="002B5A90">
        <w:rPr>
          <w:rFonts w:ascii="Arial" w:hAnsi="Arial" w:cs="Arial"/>
          <w:noProof/>
        </w:rPr>
        <w:fldChar w:fldCharType="end"/>
      </w:r>
    </w:p>
    <w:p w14:paraId="762B3640" w14:textId="77777777" w:rsidR="00A77DE9" w:rsidRPr="002B5A90" w:rsidRDefault="00A77DE9" w:rsidP="00A77DE9">
      <w:pPr>
        <w:pStyle w:val="TOC1"/>
        <w:rPr>
          <w:rFonts w:ascii="Arial" w:eastAsia="Times New Roman" w:hAnsi="Arial" w:cs="Arial"/>
          <w:noProof/>
          <w:color w:val="auto"/>
          <w:sz w:val="22"/>
          <w:lang w:eastAsia="en-GB"/>
        </w:rPr>
      </w:pPr>
      <w:r w:rsidRPr="002B5A90">
        <w:rPr>
          <w:rFonts w:ascii="Arial" w:hAnsi="Arial" w:cs="Arial"/>
          <w:noProof/>
        </w:rPr>
        <w:t>Main Analysis</w:t>
      </w:r>
      <w:r w:rsidRPr="002B5A90">
        <w:rPr>
          <w:rFonts w:ascii="Arial" w:hAnsi="Arial" w:cs="Arial"/>
          <w:noProof/>
        </w:rPr>
        <w:tab/>
      </w:r>
      <w:r w:rsidRPr="002B5A90">
        <w:rPr>
          <w:rFonts w:ascii="Arial" w:hAnsi="Arial" w:cs="Arial"/>
          <w:noProof/>
        </w:rPr>
        <w:fldChar w:fldCharType="begin"/>
      </w:r>
      <w:r w:rsidRPr="002B5A90">
        <w:rPr>
          <w:rFonts w:ascii="Arial" w:hAnsi="Arial" w:cs="Arial"/>
          <w:noProof/>
        </w:rPr>
        <w:instrText xml:space="preserve"> PAGEREF _Toc215570305 \h </w:instrText>
      </w:r>
      <w:r w:rsidRPr="002B5A90">
        <w:rPr>
          <w:rFonts w:ascii="Arial" w:hAnsi="Arial" w:cs="Arial"/>
          <w:noProof/>
        </w:rPr>
      </w:r>
      <w:r w:rsidRPr="002B5A90">
        <w:rPr>
          <w:rFonts w:ascii="Arial" w:hAnsi="Arial" w:cs="Arial"/>
          <w:noProof/>
        </w:rPr>
        <w:fldChar w:fldCharType="separate"/>
      </w:r>
      <w:r w:rsidRPr="002B5A90">
        <w:rPr>
          <w:rFonts w:ascii="Arial" w:hAnsi="Arial" w:cs="Arial"/>
          <w:noProof/>
        </w:rPr>
        <w:t>4</w:t>
      </w:r>
      <w:r w:rsidRPr="002B5A90">
        <w:rPr>
          <w:rFonts w:ascii="Arial" w:hAnsi="Arial" w:cs="Arial"/>
          <w:noProof/>
        </w:rPr>
        <w:fldChar w:fldCharType="end"/>
      </w:r>
    </w:p>
    <w:p w14:paraId="72CD1B13" w14:textId="77777777" w:rsidR="00A77DE9" w:rsidRPr="002B5A90" w:rsidRDefault="00A77DE9" w:rsidP="00A77DE9">
      <w:pPr>
        <w:pStyle w:val="TOC1"/>
        <w:rPr>
          <w:rFonts w:ascii="Arial" w:eastAsia="Times New Roman" w:hAnsi="Arial" w:cs="Arial"/>
          <w:noProof/>
          <w:color w:val="auto"/>
          <w:sz w:val="22"/>
          <w:lang w:eastAsia="en-GB"/>
        </w:rPr>
      </w:pPr>
      <w:r w:rsidRPr="002B5A90">
        <w:rPr>
          <w:rFonts w:ascii="Arial" w:hAnsi="Arial" w:cs="Arial"/>
          <w:noProof/>
        </w:rPr>
        <w:t>Conclusion</w:t>
      </w:r>
      <w:r w:rsidRPr="002B5A90">
        <w:rPr>
          <w:rFonts w:ascii="Arial" w:hAnsi="Arial" w:cs="Arial"/>
          <w:noProof/>
        </w:rPr>
        <w:tab/>
      </w:r>
      <w:r w:rsidRPr="002B5A90">
        <w:rPr>
          <w:rFonts w:ascii="Arial" w:hAnsi="Arial" w:cs="Arial"/>
          <w:noProof/>
        </w:rPr>
        <w:fldChar w:fldCharType="begin"/>
      </w:r>
      <w:r w:rsidRPr="002B5A90">
        <w:rPr>
          <w:rFonts w:ascii="Arial" w:hAnsi="Arial" w:cs="Arial"/>
          <w:noProof/>
        </w:rPr>
        <w:instrText xml:space="preserve"> PAGEREF _Toc215570306 \h </w:instrText>
      </w:r>
      <w:r w:rsidRPr="002B5A90">
        <w:rPr>
          <w:rFonts w:ascii="Arial" w:hAnsi="Arial" w:cs="Arial"/>
          <w:noProof/>
        </w:rPr>
      </w:r>
      <w:r w:rsidRPr="002B5A90">
        <w:rPr>
          <w:rFonts w:ascii="Arial" w:hAnsi="Arial" w:cs="Arial"/>
          <w:noProof/>
        </w:rPr>
        <w:fldChar w:fldCharType="separate"/>
      </w:r>
      <w:r w:rsidRPr="002B5A90">
        <w:rPr>
          <w:rFonts w:ascii="Arial" w:hAnsi="Arial" w:cs="Arial"/>
          <w:noProof/>
        </w:rPr>
        <w:t>8</w:t>
      </w:r>
      <w:r w:rsidRPr="002B5A90">
        <w:rPr>
          <w:rFonts w:ascii="Arial" w:hAnsi="Arial" w:cs="Arial"/>
          <w:noProof/>
        </w:rPr>
        <w:fldChar w:fldCharType="end"/>
      </w:r>
    </w:p>
    <w:p w14:paraId="4194A269" w14:textId="77777777" w:rsidR="00A77DE9" w:rsidRPr="002B5A90" w:rsidRDefault="00A77DE9" w:rsidP="00A77DE9">
      <w:pPr>
        <w:pStyle w:val="TOC1"/>
        <w:rPr>
          <w:rFonts w:ascii="Arial" w:eastAsia="Times New Roman" w:hAnsi="Arial" w:cs="Arial"/>
          <w:noProof/>
          <w:color w:val="auto"/>
          <w:sz w:val="22"/>
          <w:lang w:eastAsia="en-GB"/>
        </w:rPr>
      </w:pPr>
      <w:r w:rsidRPr="002B5A90">
        <w:rPr>
          <w:rFonts w:ascii="Arial" w:hAnsi="Arial" w:cs="Arial"/>
          <w:noProof/>
        </w:rPr>
        <w:t>REFERENCES</w:t>
      </w:r>
      <w:r w:rsidRPr="002B5A90">
        <w:rPr>
          <w:rFonts w:ascii="Arial" w:hAnsi="Arial" w:cs="Arial"/>
          <w:noProof/>
        </w:rPr>
        <w:tab/>
      </w:r>
      <w:r w:rsidRPr="002B5A90">
        <w:rPr>
          <w:rFonts w:ascii="Arial" w:hAnsi="Arial" w:cs="Arial"/>
          <w:noProof/>
        </w:rPr>
        <w:fldChar w:fldCharType="begin"/>
      </w:r>
      <w:r w:rsidRPr="002B5A90">
        <w:rPr>
          <w:rFonts w:ascii="Arial" w:hAnsi="Arial" w:cs="Arial"/>
          <w:noProof/>
        </w:rPr>
        <w:instrText xml:space="preserve"> PAGEREF _Toc215570307 \h </w:instrText>
      </w:r>
      <w:r w:rsidRPr="002B5A90">
        <w:rPr>
          <w:rFonts w:ascii="Arial" w:hAnsi="Arial" w:cs="Arial"/>
          <w:noProof/>
        </w:rPr>
      </w:r>
      <w:r w:rsidRPr="002B5A90">
        <w:rPr>
          <w:rFonts w:ascii="Arial" w:hAnsi="Arial" w:cs="Arial"/>
          <w:noProof/>
        </w:rPr>
        <w:fldChar w:fldCharType="separate"/>
      </w:r>
      <w:r w:rsidRPr="002B5A90">
        <w:rPr>
          <w:rFonts w:ascii="Arial" w:hAnsi="Arial" w:cs="Arial"/>
          <w:noProof/>
        </w:rPr>
        <w:t>9</w:t>
      </w:r>
      <w:r w:rsidRPr="002B5A90">
        <w:rPr>
          <w:rFonts w:ascii="Arial" w:hAnsi="Arial" w:cs="Arial"/>
          <w:noProof/>
        </w:rPr>
        <w:fldChar w:fldCharType="end"/>
      </w:r>
    </w:p>
    <w:p w14:paraId="7E276F61" w14:textId="77777777" w:rsidR="00A77DE9" w:rsidRPr="002B5A90" w:rsidRDefault="00A77DE9" w:rsidP="00A77DE9">
      <w:pPr>
        <w:pStyle w:val="TOC1"/>
        <w:rPr>
          <w:rFonts w:ascii="Arial" w:hAnsi="Arial" w:cs="Arial"/>
          <w:color w:val="auto"/>
          <w:szCs w:val="24"/>
        </w:rPr>
      </w:pPr>
      <w:r w:rsidRPr="002B5A90">
        <w:rPr>
          <w:rFonts w:ascii="Arial" w:hAnsi="Arial" w:cs="Arial"/>
          <w:color w:val="auto"/>
        </w:rPr>
        <w:fldChar w:fldCharType="end"/>
      </w:r>
    </w:p>
    <w:p w14:paraId="49E8E941" w14:textId="77777777" w:rsidR="00A77DE9" w:rsidRPr="002B5A90" w:rsidRDefault="00A77DE9" w:rsidP="00A77DE9">
      <w:pPr>
        <w:rPr>
          <w:rFonts w:ascii="Arial" w:hAnsi="Arial" w:cs="Arial"/>
        </w:rPr>
      </w:pPr>
    </w:p>
    <w:p w14:paraId="0749369D" w14:textId="77777777" w:rsidR="00A77DE9" w:rsidRPr="002B5A90" w:rsidRDefault="00A77DE9" w:rsidP="00A77DE9">
      <w:pPr>
        <w:rPr>
          <w:rFonts w:ascii="Arial" w:hAnsi="Arial" w:cs="Arial"/>
        </w:rPr>
      </w:pPr>
    </w:p>
    <w:p w14:paraId="1EC0C9E7" w14:textId="77777777" w:rsidR="00A77DE9" w:rsidRPr="002B5A90" w:rsidRDefault="00A77DE9" w:rsidP="00A77DE9">
      <w:pPr>
        <w:rPr>
          <w:rFonts w:ascii="Arial" w:hAnsi="Arial" w:cs="Arial"/>
        </w:rPr>
      </w:pPr>
    </w:p>
    <w:p w14:paraId="650E647A" w14:textId="77777777" w:rsidR="00A77DE9" w:rsidRPr="002B5A90" w:rsidRDefault="00A77DE9" w:rsidP="00A77DE9">
      <w:pPr>
        <w:pStyle w:val="Heading1"/>
        <w:rPr>
          <w:rFonts w:ascii="Arial" w:hAnsi="Arial" w:cs="Arial"/>
        </w:rPr>
      </w:pPr>
      <w:r w:rsidRPr="002B5A90">
        <w:rPr>
          <w:rFonts w:ascii="Arial" w:hAnsi="Arial" w:cs="Arial"/>
        </w:rPr>
        <w:br w:type="page"/>
      </w:r>
      <w:bookmarkStart w:id="0" w:name="_Toc215570303"/>
      <w:r w:rsidRPr="002B5A90">
        <w:rPr>
          <w:rFonts w:ascii="Arial" w:hAnsi="Arial" w:cs="Arial"/>
        </w:rPr>
        <w:lastRenderedPageBreak/>
        <w:t>Introduction</w:t>
      </w:r>
      <w:bookmarkEnd w:id="0"/>
    </w:p>
    <w:p w14:paraId="74319A0C" w14:textId="77777777" w:rsidR="00A77DE9" w:rsidRPr="002B5A90" w:rsidRDefault="00A77DE9" w:rsidP="00A77DE9">
      <w:pPr>
        <w:rPr>
          <w:rFonts w:ascii="Arial" w:hAnsi="Arial" w:cs="Arial"/>
        </w:rPr>
      </w:pPr>
      <w:r w:rsidRPr="002B5A90">
        <w:rPr>
          <w:rFonts w:ascii="Arial" w:hAnsi="Arial" w:cs="Arial"/>
        </w:rPr>
        <w:t>In such a globalized market, multinational enterprises should not only excel in their ability to be innovative in technology and efficient in their operations practice, but also in the way they negotiate across several borders of different cultural backgrounds (Saha, 2018). Contracts, alliances and partnerships between parties with different cultural backgrounds find it much harder to engage in negotiation which is an important process. The only weakness and opportunity that a global technology firm like Google Inc., which operates internationally and collaborates with stakeholders of diverse societies, is the cultural differences.</w:t>
      </w:r>
    </w:p>
    <w:p w14:paraId="2DEFB69F" w14:textId="77777777" w:rsidR="00A77DE9" w:rsidRPr="002B5A90" w:rsidRDefault="00A77DE9" w:rsidP="00A77DE9">
      <w:pPr>
        <w:ind w:firstLine="720"/>
        <w:rPr>
          <w:rFonts w:ascii="Arial" w:hAnsi="Arial" w:cs="Arial"/>
        </w:rPr>
      </w:pPr>
      <w:r w:rsidRPr="002B5A90">
        <w:rPr>
          <w:rFonts w:ascii="Arial" w:hAnsi="Arial" w:cs="Arial"/>
        </w:rPr>
        <w:t xml:space="preserve">This essay discusses how cultural differences influences the negotiation process in Google Inc., and strategies to overcome them. The primary question here is: What </w:t>
      </w:r>
      <w:proofErr w:type="gramStart"/>
      <w:r w:rsidRPr="002B5A90">
        <w:rPr>
          <w:rFonts w:ascii="Arial" w:hAnsi="Arial" w:cs="Arial"/>
        </w:rPr>
        <w:t>is</w:t>
      </w:r>
      <w:proofErr w:type="gramEnd"/>
      <w:r w:rsidRPr="002B5A90">
        <w:rPr>
          <w:rFonts w:ascii="Arial" w:hAnsi="Arial" w:cs="Arial"/>
        </w:rPr>
        <w:t xml:space="preserve"> cultural differences in relation to negotiation at Google, and how can communication practices help to overcome those issues?</w:t>
      </w:r>
    </w:p>
    <w:p w14:paraId="603DB9C4" w14:textId="77777777" w:rsidR="00A77DE9" w:rsidRPr="002B5A90" w:rsidRDefault="00A77DE9" w:rsidP="00A77DE9">
      <w:pPr>
        <w:ind w:firstLine="432"/>
        <w:rPr>
          <w:rFonts w:ascii="Arial" w:hAnsi="Arial" w:cs="Arial"/>
        </w:rPr>
      </w:pPr>
      <w:r w:rsidRPr="002B5A90">
        <w:rPr>
          <w:rFonts w:ascii="Arial" w:hAnsi="Arial" w:cs="Arial"/>
        </w:rPr>
        <w:t>This essay commences with the introduction of the key theories on intercultural communication and negotiation, and then how cultural factors affects the Google’s negotiation plans. Specific focus will be on how the firm stretches to an environment of high-context, high-power-distance. Finally, the essay will address how Google creates cultural competence and trust in foreign negotiations, which can explain why cross-cultural sensitivity an important factor in international business is.</w:t>
      </w:r>
    </w:p>
    <w:p w14:paraId="2BAE86F6" w14:textId="77777777" w:rsidR="00694623" w:rsidRDefault="00694623" w:rsidP="00A77DE9">
      <w:pPr>
        <w:pStyle w:val="Heading1"/>
        <w:rPr>
          <w:rFonts w:ascii="Arial" w:hAnsi="Arial" w:cs="Arial"/>
        </w:rPr>
      </w:pPr>
      <w:bookmarkStart w:id="1" w:name="_Toc215570304"/>
    </w:p>
    <w:p w14:paraId="3B0C8366" w14:textId="746A438E" w:rsidR="00A77DE9" w:rsidRPr="002B5A90" w:rsidRDefault="00A77DE9" w:rsidP="00A77DE9">
      <w:pPr>
        <w:pStyle w:val="Heading1"/>
        <w:rPr>
          <w:rFonts w:ascii="Arial" w:hAnsi="Arial" w:cs="Arial"/>
        </w:rPr>
      </w:pPr>
      <w:r w:rsidRPr="002B5A90">
        <w:rPr>
          <w:rFonts w:ascii="Arial" w:hAnsi="Arial" w:cs="Arial"/>
        </w:rPr>
        <w:t>Literature Review</w:t>
      </w:r>
      <w:bookmarkEnd w:id="1"/>
    </w:p>
    <w:p w14:paraId="6A19A8CF" w14:textId="088F9A6F" w:rsidR="00A77DE9" w:rsidRPr="002B5A90" w:rsidRDefault="00A77DE9" w:rsidP="00A77DE9">
      <w:pPr>
        <w:rPr>
          <w:rFonts w:ascii="Arial" w:hAnsi="Arial" w:cs="Arial"/>
          <w:b/>
        </w:rPr>
      </w:pPr>
      <w:r w:rsidRPr="002B5A90">
        <w:rPr>
          <w:rFonts w:ascii="Arial" w:hAnsi="Arial" w:cs="Arial"/>
          <w:b/>
        </w:rPr>
        <w:t>Key Theories in Intercultural Communication and Negotiation</w:t>
      </w:r>
    </w:p>
    <w:p w14:paraId="756DF559" w14:textId="77777777" w:rsidR="00A77DE9" w:rsidRPr="002B5A90" w:rsidRDefault="00A77DE9" w:rsidP="00A77DE9">
      <w:pPr>
        <w:rPr>
          <w:rFonts w:ascii="Arial" w:hAnsi="Arial" w:cs="Arial"/>
        </w:rPr>
      </w:pPr>
      <w:r w:rsidRPr="002B5A90">
        <w:rPr>
          <w:rFonts w:ascii="Arial" w:hAnsi="Arial" w:cs="Arial"/>
        </w:rPr>
        <w:t>In the international business context, negotiation is not merely about getting agreements but about coexisting successfully with cultural diversity. Several theories of intercultural communication will be fundamental as far as how culture influences the negotiations are concerned especially to international companies like Google Inc.</w:t>
      </w:r>
    </w:p>
    <w:p w14:paraId="166A439B" w14:textId="77777777" w:rsidR="00A77DE9" w:rsidRPr="002B5A90" w:rsidRDefault="00A77DE9" w:rsidP="00A77DE9">
      <w:pPr>
        <w:ind w:firstLine="720"/>
        <w:rPr>
          <w:rFonts w:ascii="Arial" w:hAnsi="Arial" w:cs="Arial"/>
        </w:rPr>
      </w:pPr>
      <w:r w:rsidRPr="002B5A90">
        <w:rPr>
          <w:rFonts w:ascii="Arial" w:hAnsi="Arial" w:cs="Arial"/>
        </w:rPr>
        <w:t>The most well-known include the Cultural Dimensions Theory by Hofstede. This theory states that people of diverse cultures treat work and communication under the impact of several primary dimensions (</w:t>
      </w:r>
      <w:proofErr w:type="spellStart"/>
      <w:r w:rsidRPr="002B5A90">
        <w:rPr>
          <w:rFonts w:ascii="Arial" w:hAnsi="Arial" w:cs="Arial"/>
        </w:rPr>
        <w:t>Fanari</w:t>
      </w:r>
      <w:proofErr w:type="spellEnd"/>
      <w:r w:rsidRPr="002B5A90">
        <w:rPr>
          <w:rFonts w:ascii="Arial" w:hAnsi="Arial" w:cs="Arial"/>
        </w:rPr>
        <w:t xml:space="preserve">, </w:t>
      </w:r>
      <w:proofErr w:type="spellStart"/>
      <w:r w:rsidRPr="002B5A90">
        <w:rPr>
          <w:rFonts w:ascii="Arial" w:hAnsi="Arial" w:cs="Arial"/>
        </w:rPr>
        <w:t>Sommier</w:t>
      </w:r>
      <w:proofErr w:type="spellEnd"/>
      <w:r w:rsidRPr="002B5A90">
        <w:rPr>
          <w:rFonts w:ascii="Arial" w:hAnsi="Arial" w:cs="Arial"/>
        </w:rPr>
        <w:t xml:space="preserve"> and Rahmani, 2025). The example of Individualism vs. collectivism has an immediate impact on negotiation approaches. Negotiators in individualistic society of the United States focuses on personal interests and tend to introduce an aggressive negotiating strategy. Collectivist cultures, such as in China or Japan, are forced to be more concerned with group harmony and cooperation and as a result the negotiation style of an organisation tends to be more indirect. These cultural differences should be known in Google case, where the company must address individualistic and </w:t>
      </w:r>
      <w:r w:rsidRPr="002B5A90">
        <w:rPr>
          <w:rFonts w:ascii="Arial" w:hAnsi="Arial" w:cs="Arial"/>
        </w:rPr>
        <w:lastRenderedPageBreak/>
        <w:t>collectivist partners to culture, clients, and governments (</w:t>
      </w:r>
      <w:proofErr w:type="spellStart"/>
      <w:r w:rsidRPr="002B5A90">
        <w:rPr>
          <w:rFonts w:ascii="Arial" w:hAnsi="Arial" w:cs="Arial"/>
        </w:rPr>
        <w:t>Deresky</w:t>
      </w:r>
      <w:proofErr w:type="spellEnd"/>
      <w:r w:rsidRPr="002B5A90">
        <w:rPr>
          <w:rFonts w:ascii="Arial" w:hAnsi="Arial" w:cs="Arial"/>
        </w:rPr>
        <w:t xml:space="preserve">, 2017). This entails a capacity to alter negotiation tactics </w:t>
      </w:r>
      <w:proofErr w:type="gramStart"/>
      <w:r w:rsidRPr="002B5A90">
        <w:rPr>
          <w:rFonts w:ascii="Arial" w:hAnsi="Arial" w:cs="Arial"/>
        </w:rPr>
        <w:t>in order to</w:t>
      </w:r>
      <w:proofErr w:type="gramEnd"/>
      <w:r w:rsidRPr="002B5A90">
        <w:rPr>
          <w:rFonts w:ascii="Arial" w:hAnsi="Arial" w:cs="Arial"/>
        </w:rPr>
        <w:t xml:space="preserve"> fit local cultural values.</w:t>
      </w:r>
    </w:p>
    <w:p w14:paraId="05B056EC" w14:textId="77777777" w:rsidR="00A77DE9" w:rsidRPr="002B5A90" w:rsidRDefault="00A77DE9" w:rsidP="00A77DE9">
      <w:pPr>
        <w:ind w:firstLine="720"/>
        <w:rPr>
          <w:rFonts w:ascii="Arial" w:hAnsi="Arial" w:cs="Arial"/>
        </w:rPr>
      </w:pPr>
      <w:r w:rsidRPr="002B5A90">
        <w:rPr>
          <w:rFonts w:ascii="Arial" w:hAnsi="Arial" w:cs="Arial"/>
        </w:rPr>
        <w:t>Another useful theory is High-Context vs. Low-Context Cultures by Edward Hall. Hall provides differences between high context and low context cultures: the former ones rely on non-verbal communication, the implicit meaning and environment to convey the meaning, the latter are more direct and explicit in their communication (Barnum, 2021). As an example, high-context cultures like Japan or Saudi Arabia prefer negotiations based on trust and long-run relationship. These cultures are negotiation-averse in nature, negotiators will not face but will negotiate with subtlety of body language, or intonation. In contrast, in low-context societies such as the United States or Germany, it is all about direct straight candid speech and direct fixation of issues. Google negotiators should be capable of setting and dealing with these multi-faced expectations to conceive a mutual language that is effective and can be used within the cross-cultural setting without encouraging conflicts in the discussions.</w:t>
      </w:r>
    </w:p>
    <w:p w14:paraId="59034565" w14:textId="77777777" w:rsidR="00A77DE9" w:rsidRPr="002B5A90" w:rsidRDefault="00A77DE9" w:rsidP="00A77DE9">
      <w:pPr>
        <w:ind w:firstLine="432"/>
        <w:rPr>
          <w:rFonts w:ascii="Arial" w:hAnsi="Arial" w:cs="Arial"/>
        </w:rPr>
      </w:pPr>
      <w:r w:rsidRPr="002B5A90">
        <w:rPr>
          <w:rFonts w:ascii="Arial" w:hAnsi="Arial" w:cs="Arial"/>
        </w:rPr>
        <w:t xml:space="preserve">Furthermore, the notion of Cultural Intelligence (CQ) by Earley and Ang is crucial in the current global business society. CQ is the ability of an individual in multicultural settings (Dogra and Dixit, 2022). It is a combination of cognitive, motivational and behavioural factors, which enable negotiators to adapt to different culture environments (Garamvölgyi and </w:t>
      </w:r>
      <w:proofErr w:type="spellStart"/>
      <w:r w:rsidRPr="002B5A90">
        <w:rPr>
          <w:rFonts w:ascii="Arial" w:hAnsi="Arial" w:cs="Arial"/>
        </w:rPr>
        <w:t>Rudnák</w:t>
      </w:r>
      <w:proofErr w:type="spellEnd"/>
      <w:r w:rsidRPr="002B5A90">
        <w:rPr>
          <w:rFonts w:ascii="Arial" w:hAnsi="Arial" w:cs="Arial"/>
        </w:rPr>
        <w:t xml:space="preserve">, 2023). At Google, the establishment of CQ can assist its teams in other countries to effectively relate with clients, employees, as well as partners. Having such high CQ employees, they can comprehend cultural </w:t>
      </w:r>
      <w:proofErr w:type="spellStart"/>
      <w:r w:rsidRPr="002B5A90">
        <w:rPr>
          <w:rFonts w:ascii="Arial" w:hAnsi="Arial" w:cs="Arial"/>
        </w:rPr>
        <w:t>signaling</w:t>
      </w:r>
      <w:proofErr w:type="spellEnd"/>
      <w:r w:rsidRPr="002B5A90">
        <w:rPr>
          <w:rFonts w:ascii="Arial" w:hAnsi="Arial" w:cs="Arial"/>
        </w:rPr>
        <w:t xml:space="preserve">, regulating power flows </w:t>
      </w:r>
      <w:proofErr w:type="gramStart"/>
      <w:r w:rsidRPr="002B5A90">
        <w:rPr>
          <w:rFonts w:ascii="Arial" w:hAnsi="Arial" w:cs="Arial"/>
        </w:rPr>
        <w:t>as a consequence</w:t>
      </w:r>
      <w:proofErr w:type="gramEnd"/>
      <w:r w:rsidRPr="002B5A90">
        <w:rPr>
          <w:rFonts w:ascii="Arial" w:hAnsi="Arial" w:cs="Arial"/>
        </w:rPr>
        <w:t>. This helps Google to earn trust, minimize conflict, and strike a win-win solution in multi-cultural settings.</w:t>
      </w:r>
    </w:p>
    <w:p w14:paraId="6D8A0D3A" w14:textId="77777777" w:rsidR="00A77DE9" w:rsidRPr="002B5A90" w:rsidRDefault="00A77DE9" w:rsidP="00A77DE9">
      <w:pPr>
        <w:ind w:firstLine="432"/>
        <w:rPr>
          <w:rFonts w:ascii="Arial" w:hAnsi="Arial" w:cs="Arial"/>
        </w:rPr>
      </w:pPr>
      <w:r w:rsidRPr="002B5A90">
        <w:rPr>
          <w:rFonts w:ascii="Arial" w:hAnsi="Arial" w:cs="Arial"/>
        </w:rPr>
        <w:t xml:space="preserve">Finally, Trompenaars and Hampden-Turner’s model of cultural dimensions gives additional details on negotiation strategies. Their model on universalism vs. particularism and achievement vs. ascription presents a description of how different societies tackle the issue of rules, relations and position (Balan and </w:t>
      </w:r>
      <w:proofErr w:type="spellStart"/>
      <w:r w:rsidRPr="002B5A90">
        <w:rPr>
          <w:rFonts w:ascii="Arial" w:hAnsi="Arial" w:cs="Arial"/>
        </w:rPr>
        <w:t>Vreja</w:t>
      </w:r>
      <w:proofErr w:type="spellEnd"/>
      <w:r w:rsidRPr="002B5A90">
        <w:rPr>
          <w:rFonts w:ascii="Arial" w:hAnsi="Arial" w:cs="Arial"/>
        </w:rPr>
        <w:t>, 2023). Google’s ability to navigate such differences leads to effective negotiations, especially to non-relationship countries like the Latin America or Africa countries.</w:t>
      </w:r>
    </w:p>
    <w:p w14:paraId="370623AE" w14:textId="77777777" w:rsidR="00A77DE9" w:rsidRPr="002B5A90" w:rsidRDefault="00A77DE9" w:rsidP="00A77DE9">
      <w:pPr>
        <w:pStyle w:val="Heading1"/>
        <w:rPr>
          <w:rFonts w:ascii="Arial" w:hAnsi="Arial" w:cs="Arial"/>
        </w:rPr>
      </w:pPr>
      <w:bookmarkStart w:id="2" w:name="_Toc215570305"/>
      <w:r w:rsidRPr="002B5A90">
        <w:rPr>
          <w:rFonts w:ascii="Arial" w:hAnsi="Arial" w:cs="Arial"/>
        </w:rPr>
        <w:t>Main Analysis</w:t>
      </w:r>
      <w:bookmarkEnd w:id="2"/>
    </w:p>
    <w:p w14:paraId="01939AB0" w14:textId="77777777" w:rsidR="00A77DE9" w:rsidRPr="002B5A90" w:rsidRDefault="00A77DE9" w:rsidP="00A77DE9">
      <w:pPr>
        <w:rPr>
          <w:rFonts w:ascii="Arial" w:hAnsi="Arial" w:cs="Arial"/>
          <w:b/>
        </w:rPr>
      </w:pPr>
      <w:r w:rsidRPr="002B5A90">
        <w:rPr>
          <w:rFonts w:ascii="Arial" w:hAnsi="Arial" w:cs="Arial"/>
          <w:b/>
        </w:rPr>
        <w:t>Cultural Differences and Their Impact on Negotiation at Google</w:t>
      </w:r>
    </w:p>
    <w:p w14:paraId="16A20890" w14:textId="77777777" w:rsidR="00A77DE9" w:rsidRPr="002B5A90" w:rsidRDefault="00A77DE9" w:rsidP="00A77DE9">
      <w:pPr>
        <w:rPr>
          <w:rFonts w:ascii="Arial" w:hAnsi="Arial" w:cs="Arial"/>
        </w:rPr>
      </w:pPr>
      <w:r w:rsidRPr="002B5A90">
        <w:rPr>
          <w:rFonts w:ascii="Arial" w:hAnsi="Arial" w:cs="Arial"/>
        </w:rPr>
        <w:t xml:space="preserve">Google Inc. has a great diversity of cultural backgrounds, both Western and Eastern economies, including the United States or China and India. When cultural differences occur, they may pose considerable challenges during the business negotiation and influence trust, communication styles, decision-making and the outcome of the negotiation process. The Cultural Dimensions theory, the theory of High-Context vs. Low-Context Cultures and Cultural Intelligence (CQ) theories can be useful in </w:t>
      </w:r>
      <w:r w:rsidRPr="002B5A90">
        <w:rPr>
          <w:rFonts w:ascii="Arial" w:hAnsi="Arial" w:cs="Arial"/>
        </w:rPr>
        <w:lastRenderedPageBreak/>
        <w:t>comprehending how cultures differences impact the Google’s negotiation and communication issues.</w:t>
      </w:r>
    </w:p>
    <w:p w14:paraId="48D94F79" w14:textId="77777777" w:rsidR="00ED6A46" w:rsidRDefault="00ED6A46" w:rsidP="00A77DE9">
      <w:pPr>
        <w:rPr>
          <w:rFonts w:ascii="Arial" w:hAnsi="Arial" w:cs="Arial"/>
          <w:b/>
        </w:rPr>
      </w:pPr>
    </w:p>
    <w:p w14:paraId="612F3FBF" w14:textId="7E84D481" w:rsidR="00A77DE9" w:rsidRPr="002B5A90" w:rsidRDefault="00A77DE9" w:rsidP="00A77DE9">
      <w:pPr>
        <w:rPr>
          <w:rFonts w:ascii="Arial" w:hAnsi="Arial" w:cs="Arial"/>
          <w:b/>
        </w:rPr>
      </w:pPr>
      <w:r w:rsidRPr="002B5A90">
        <w:rPr>
          <w:rFonts w:ascii="Arial" w:hAnsi="Arial" w:cs="Arial"/>
          <w:b/>
        </w:rPr>
        <w:t>Hofstede’s Cultural Dimensions and Communication Challenges</w:t>
      </w:r>
    </w:p>
    <w:p w14:paraId="6CAD7A02" w14:textId="77777777" w:rsidR="00A77DE9" w:rsidRPr="002B5A90" w:rsidRDefault="00A77DE9" w:rsidP="00A77DE9">
      <w:pPr>
        <w:rPr>
          <w:rFonts w:ascii="Arial" w:hAnsi="Arial" w:cs="Arial"/>
        </w:rPr>
      </w:pPr>
      <w:r w:rsidRPr="002B5A90">
        <w:rPr>
          <w:rFonts w:ascii="Arial" w:hAnsi="Arial" w:cs="Arial"/>
        </w:rPr>
        <w:t>Individualism vs. collectivism dimension of Hofstede Cultural Dimensions is one of the most important cultural aspects of negotiation. The negotiators at Google must know the difference between individualistic culture such as the U.S. where personal success and independence are appreciated and collectivism such as China where consensus and group harmony come first.</w:t>
      </w:r>
    </w:p>
    <w:p w14:paraId="562E8B5F" w14:textId="77777777" w:rsidR="00A77DE9" w:rsidRPr="002B5A90" w:rsidRDefault="00A77DE9" w:rsidP="00A77DE9">
      <w:pPr>
        <w:ind w:firstLine="720"/>
        <w:rPr>
          <w:rFonts w:ascii="Arial" w:hAnsi="Arial" w:cs="Arial"/>
        </w:rPr>
      </w:pPr>
      <w:r w:rsidRPr="002B5A90">
        <w:rPr>
          <w:rFonts w:ascii="Arial" w:hAnsi="Arial" w:cs="Arial"/>
        </w:rPr>
        <w:t xml:space="preserve">An example is that the negotiation approach of Google in individualistic cultures is more aggressive, having individual interests and quick-moving decisions. This is effective in such settings as U.S., where the negotiations tend to be direct and </w:t>
      </w:r>
      <w:proofErr w:type="gramStart"/>
      <w:r w:rsidRPr="002B5A90">
        <w:rPr>
          <w:rFonts w:ascii="Arial" w:hAnsi="Arial" w:cs="Arial"/>
        </w:rPr>
        <w:t>result-oriented</w:t>
      </w:r>
      <w:proofErr w:type="gramEnd"/>
      <w:r w:rsidRPr="002B5A90">
        <w:rPr>
          <w:rFonts w:ascii="Arial" w:hAnsi="Arial" w:cs="Arial"/>
        </w:rPr>
        <w:t>. In collectivist cultures like China, however, negotiations are far more indirect. The difficulty to Google in these situations is that in these settings, decisions are made jointly by the group as opposed to individuals and being assertive/direct during negotiation could be interpreted as hostile or offensive (Zheng et al., 2025). The issue is to adjust the communication patterns to not to upset the prospective partners and find a way to use a more hierarchic decision-making process.</w:t>
      </w:r>
    </w:p>
    <w:p w14:paraId="52A5A3E3" w14:textId="77777777" w:rsidR="00A77DE9" w:rsidRPr="002B5A90" w:rsidRDefault="00A77DE9" w:rsidP="00A77DE9">
      <w:pPr>
        <w:ind w:firstLine="720"/>
        <w:rPr>
          <w:rFonts w:ascii="Arial" w:hAnsi="Arial" w:cs="Arial"/>
        </w:rPr>
      </w:pPr>
      <w:r w:rsidRPr="002B5A90">
        <w:rPr>
          <w:rFonts w:ascii="Arial" w:hAnsi="Arial" w:cs="Arial"/>
        </w:rPr>
        <w:t xml:space="preserve">As an example, the collaboration that Google had with Tencent in China required major modification in their negotiating strategy. Early meetings were not so concerned with individual deals, but instead with personal building of relationships. The resulting slowness of building relationships and associating with less explicit communication posed a strain on the fast-paced, result-focused nature of negotiations at Google. The communication challenge facing Google involved striking a balance between relationship-building and goal </w:t>
      </w:r>
      <w:proofErr w:type="spellStart"/>
      <w:r w:rsidRPr="002B5A90">
        <w:rPr>
          <w:rFonts w:ascii="Arial" w:hAnsi="Arial" w:cs="Arial"/>
        </w:rPr>
        <w:t>fulfillment</w:t>
      </w:r>
      <w:proofErr w:type="spellEnd"/>
      <w:r w:rsidRPr="002B5A90">
        <w:rPr>
          <w:rFonts w:ascii="Arial" w:hAnsi="Arial" w:cs="Arial"/>
        </w:rPr>
        <w:t xml:space="preserve"> within a specified </w:t>
      </w:r>
      <w:proofErr w:type="gramStart"/>
      <w:r w:rsidRPr="002B5A90">
        <w:rPr>
          <w:rFonts w:ascii="Arial" w:hAnsi="Arial" w:cs="Arial"/>
        </w:rPr>
        <w:t>period of time</w:t>
      </w:r>
      <w:proofErr w:type="gramEnd"/>
      <w:r w:rsidRPr="002B5A90">
        <w:rPr>
          <w:rFonts w:ascii="Arial" w:hAnsi="Arial" w:cs="Arial"/>
        </w:rPr>
        <w:t>, which emphasizes the significance of the negotiation strategy in adapting to the cultural peculiarities of the country (Gutiérrez, 2007</w:t>
      </w:r>
      <w:proofErr w:type="gramStart"/>
      <w:r w:rsidRPr="002B5A90">
        <w:rPr>
          <w:rFonts w:ascii="Arial" w:hAnsi="Arial" w:cs="Arial"/>
        </w:rPr>
        <w:t>)..</w:t>
      </w:r>
      <w:proofErr w:type="gramEnd"/>
    </w:p>
    <w:p w14:paraId="378D1647" w14:textId="53CAC37A" w:rsidR="00A77DE9" w:rsidRPr="002B5A90" w:rsidRDefault="00A77DE9" w:rsidP="00A77DE9">
      <w:pPr>
        <w:rPr>
          <w:rFonts w:ascii="Arial" w:hAnsi="Arial" w:cs="Arial"/>
          <w:b/>
        </w:rPr>
      </w:pPr>
      <w:r w:rsidRPr="002B5A90">
        <w:rPr>
          <w:rFonts w:ascii="Arial" w:hAnsi="Arial" w:cs="Arial"/>
          <w:b/>
        </w:rPr>
        <w:t>Hall’s High-Context vs. Low-Context Cultures and Communication Challenges</w:t>
      </w:r>
    </w:p>
    <w:p w14:paraId="3A9C8154" w14:textId="77777777" w:rsidR="00A77DE9" w:rsidRPr="002B5A90" w:rsidRDefault="00A77DE9" w:rsidP="00A77DE9">
      <w:pPr>
        <w:rPr>
          <w:rFonts w:ascii="Arial" w:hAnsi="Arial" w:cs="Arial"/>
        </w:rPr>
      </w:pPr>
      <w:r w:rsidRPr="002B5A90">
        <w:rPr>
          <w:rFonts w:ascii="Arial" w:hAnsi="Arial" w:cs="Arial"/>
        </w:rPr>
        <w:t>The framework of high-context and low-context cultures provided by Edward Hall contributes more knowledge to the interpretation of cultural differences in negotiations. High-context cultures, like Japan or Saudi Arabia, are based on implicit communication, non-verbal communication, and common understanding. Low-context cultures, such as the U.S and Germany on the contrary, prefer straight forward, clear and direct communication.</w:t>
      </w:r>
    </w:p>
    <w:p w14:paraId="211A3DB2" w14:textId="77777777" w:rsidR="00A77DE9" w:rsidRPr="002B5A90" w:rsidRDefault="00A77DE9" w:rsidP="00A77DE9">
      <w:pPr>
        <w:ind w:firstLine="720"/>
        <w:rPr>
          <w:rFonts w:ascii="Arial" w:hAnsi="Arial" w:cs="Arial"/>
        </w:rPr>
      </w:pPr>
      <w:r w:rsidRPr="002B5A90">
        <w:rPr>
          <w:rFonts w:ascii="Arial" w:hAnsi="Arial" w:cs="Arial"/>
        </w:rPr>
        <w:t xml:space="preserve">In the case of Google, this difference brings a major communication problem in negotiations. In a high-context culture, when most of the communication is indirect and contextual, misunderstanding can occur quite easily. Silences, pauses or oblique words could be construed by Google negotiators as lack of interest or engagement, </w:t>
      </w:r>
      <w:r w:rsidRPr="002B5A90">
        <w:rPr>
          <w:rFonts w:ascii="Arial" w:hAnsi="Arial" w:cs="Arial"/>
        </w:rPr>
        <w:lastRenderedPageBreak/>
        <w:t>which may not be true. Indicatively, a non-direct agreement during a meeting in Japan can be interpreted as courtesy hesitation as opposed to dismissal (Koh and Maguire, 2009</w:t>
      </w:r>
      <w:proofErr w:type="gramStart"/>
      <w:r w:rsidRPr="002B5A90">
        <w:rPr>
          <w:rFonts w:ascii="Arial" w:hAnsi="Arial" w:cs="Arial"/>
        </w:rPr>
        <w:t>)..</w:t>
      </w:r>
      <w:proofErr w:type="gramEnd"/>
      <w:r w:rsidRPr="002B5A90">
        <w:rPr>
          <w:rFonts w:ascii="Arial" w:hAnsi="Arial" w:cs="Arial"/>
        </w:rPr>
        <w:t xml:space="preserve"> Such indirectness may be annoying to low-context negotiators who are used to directness.</w:t>
      </w:r>
    </w:p>
    <w:p w14:paraId="06BDA8C3" w14:textId="77777777" w:rsidR="00A77DE9" w:rsidRPr="002B5A90" w:rsidRDefault="00A77DE9" w:rsidP="00A77DE9">
      <w:pPr>
        <w:ind w:firstLine="720"/>
        <w:rPr>
          <w:rFonts w:ascii="Arial" w:hAnsi="Arial" w:cs="Arial"/>
        </w:rPr>
      </w:pPr>
      <w:r w:rsidRPr="002B5A90">
        <w:rPr>
          <w:rFonts w:ascii="Arial" w:hAnsi="Arial" w:cs="Arial"/>
        </w:rPr>
        <w:t xml:space="preserve">Conversely, Google negotiators in a low-context nation are anticipated to introduce detailed information and make-believe offerings, as well as to engage in straightforward dialogues. The trick in this situation is to make sure that both sides understand all the terms and the culture insists on using verbal communication and written contracts. German associates, such as the German version, might need more strictly organized meetings and direct oral communication, and thus failure to </w:t>
      </w:r>
      <w:proofErr w:type="spellStart"/>
      <w:r w:rsidRPr="002B5A90">
        <w:rPr>
          <w:rFonts w:ascii="Arial" w:hAnsi="Arial" w:cs="Arial"/>
        </w:rPr>
        <w:t>fulfill</w:t>
      </w:r>
      <w:proofErr w:type="spellEnd"/>
      <w:r w:rsidRPr="002B5A90">
        <w:rPr>
          <w:rFonts w:ascii="Arial" w:hAnsi="Arial" w:cs="Arial"/>
        </w:rPr>
        <w:t xml:space="preserve"> such expectations would lead to frustrations or collapse in negotiation.</w:t>
      </w:r>
    </w:p>
    <w:p w14:paraId="3500052D" w14:textId="77777777" w:rsidR="00A77DE9" w:rsidRPr="002B5A90" w:rsidRDefault="00A77DE9" w:rsidP="00A77DE9">
      <w:pPr>
        <w:rPr>
          <w:rFonts w:ascii="Arial" w:hAnsi="Arial" w:cs="Arial"/>
          <w:b/>
        </w:rPr>
      </w:pPr>
      <w:r w:rsidRPr="002B5A90">
        <w:rPr>
          <w:rFonts w:ascii="Arial" w:hAnsi="Arial" w:cs="Arial"/>
          <w:b/>
        </w:rPr>
        <w:t>Cultural Intelligence (CQ) and the Communication Challenges of Global Negotiations</w:t>
      </w:r>
    </w:p>
    <w:p w14:paraId="5CD35BFF" w14:textId="77777777" w:rsidR="00A77DE9" w:rsidRPr="002B5A90" w:rsidRDefault="00A77DE9" w:rsidP="00A77DE9">
      <w:pPr>
        <w:rPr>
          <w:rFonts w:ascii="Arial" w:hAnsi="Arial" w:cs="Arial"/>
        </w:rPr>
      </w:pPr>
      <w:r w:rsidRPr="002B5A90">
        <w:rPr>
          <w:rFonts w:ascii="Arial" w:hAnsi="Arial" w:cs="Arial"/>
        </w:rPr>
        <w:t>To finalize the cross-cultural negotiations that occur in cross-cultural negotiations, the term of Cultural Intelligence (CQ) proposed by Earley and Ang is critical in overcoming all the communication obstacles that emerge (Jose and Navdeep, 2024). CQ will help Google negotiators to identify and comprehend cultural differences, which will enable them to modify their communication style and approach.</w:t>
      </w:r>
    </w:p>
    <w:p w14:paraId="2BBA0099" w14:textId="77777777" w:rsidR="00A77DE9" w:rsidRPr="002B5A90" w:rsidRDefault="00A77DE9" w:rsidP="00A77DE9">
      <w:pPr>
        <w:ind w:firstLine="720"/>
        <w:rPr>
          <w:rFonts w:ascii="Arial" w:hAnsi="Arial" w:cs="Arial"/>
        </w:rPr>
      </w:pPr>
      <w:r w:rsidRPr="002B5A90">
        <w:rPr>
          <w:rFonts w:ascii="Arial" w:hAnsi="Arial" w:cs="Arial"/>
        </w:rPr>
        <w:t xml:space="preserve">The hierarchical nature of business negotiations is one of the communication problems Google encounters in its interactions with countries such as India and Brazil. These nations </w:t>
      </w:r>
      <w:proofErr w:type="gramStart"/>
      <w:r w:rsidRPr="002B5A90">
        <w:rPr>
          <w:rFonts w:ascii="Arial" w:hAnsi="Arial" w:cs="Arial"/>
        </w:rPr>
        <w:t>have a tendency to</w:t>
      </w:r>
      <w:proofErr w:type="gramEnd"/>
      <w:r w:rsidRPr="002B5A90">
        <w:rPr>
          <w:rFonts w:ascii="Arial" w:hAnsi="Arial" w:cs="Arial"/>
        </w:rPr>
        <w:t xml:space="preserve"> make decisions based on the highest-ranking leaders in the organization, and respecting the authority is a priority. When negotiating under these circumstances, the negotiators at Google need to be mindful of their treatment of various people in the room. The inability to involve the right stakeholders at the right time can create miscommunication because Google is more </w:t>
      </w:r>
      <w:proofErr w:type="gramStart"/>
      <w:r w:rsidRPr="002B5A90">
        <w:rPr>
          <w:rFonts w:ascii="Arial" w:hAnsi="Arial" w:cs="Arial"/>
        </w:rPr>
        <w:t>egalitarian</w:t>
      </w:r>
      <w:proofErr w:type="gramEnd"/>
      <w:r w:rsidRPr="002B5A90">
        <w:rPr>
          <w:rFonts w:ascii="Arial" w:hAnsi="Arial" w:cs="Arial"/>
        </w:rPr>
        <w:t xml:space="preserve"> and the decision-making frameworks of these countries is more hierarchical.</w:t>
      </w:r>
    </w:p>
    <w:p w14:paraId="19B5C94C" w14:textId="77777777" w:rsidR="00A77DE9" w:rsidRPr="002B5A90" w:rsidRDefault="00A77DE9" w:rsidP="00A77DE9">
      <w:pPr>
        <w:ind w:firstLine="720"/>
        <w:rPr>
          <w:rFonts w:ascii="Arial" w:hAnsi="Arial" w:cs="Arial"/>
        </w:rPr>
      </w:pPr>
      <w:r w:rsidRPr="002B5A90">
        <w:rPr>
          <w:rFonts w:ascii="Arial" w:hAnsi="Arial" w:cs="Arial"/>
        </w:rPr>
        <w:t>In India, as another example, Google has been forced to tailor its communication to rules and compliance with authority through consideration of seniority. Some negotiations took too long since the representatives of Google failed to realize that first they would need to involve the senior leadership, and this slowed the process. This indicates the overall communication issue of changing the usually plain structure in Google to those where the countries are characterized by hierarchical negotiation rituals.</w:t>
      </w:r>
    </w:p>
    <w:p w14:paraId="6DF828AC" w14:textId="77777777" w:rsidR="00A77DE9" w:rsidRPr="002B5A90" w:rsidRDefault="00A77DE9" w:rsidP="00A77DE9">
      <w:pPr>
        <w:rPr>
          <w:rFonts w:ascii="Arial" w:hAnsi="Arial" w:cs="Arial"/>
          <w:b/>
        </w:rPr>
      </w:pPr>
      <w:r w:rsidRPr="002B5A90">
        <w:rPr>
          <w:rFonts w:ascii="Arial" w:hAnsi="Arial" w:cs="Arial"/>
          <w:b/>
        </w:rPr>
        <w:t>Strategic Responses to Communication Barriers</w:t>
      </w:r>
    </w:p>
    <w:p w14:paraId="643D33EF" w14:textId="77777777" w:rsidR="00A77DE9" w:rsidRPr="002B5A90" w:rsidRDefault="00A77DE9" w:rsidP="00A77DE9">
      <w:pPr>
        <w:rPr>
          <w:rFonts w:ascii="Arial" w:hAnsi="Arial" w:cs="Arial"/>
        </w:rPr>
      </w:pPr>
      <w:r w:rsidRPr="002B5A90">
        <w:rPr>
          <w:rFonts w:ascii="Arial" w:hAnsi="Arial" w:cs="Arial"/>
        </w:rPr>
        <w:t xml:space="preserve">Google uses some strategic responses to deal with these cultural and communication issues.  Google appreciates that it must vary its communication style in relation to the culture. This is essential in high-context and low-context negotiations. Google negotiators in Japan where non-verbal communication is typical will need to learn to read body language and build a culture of appreciating indirect </w:t>
      </w:r>
      <w:r w:rsidRPr="002B5A90">
        <w:rPr>
          <w:rFonts w:ascii="Arial" w:hAnsi="Arial" w:cs="Arial"/>
        </w:rPr>
        <w:lastRenderedPageBreak/>
        <w:t>communication (</w:t>
      </w:r>
      <w:proofErr w:type="spellStart"/>
      <w:r w:rsidRPr="002B5A90">
        <w:rPr>
          <w:rFonts w:ascii="Arial" w:hAnsi="Arial" w:cs="Arial"/>
        </w:rPr>
        <w:t>Aririguzoh</w:t>
      </w:r>
      <w:proofErr w:type="spellEnd"/>
      <w:r w:rsidRPr="002B5A90">
        <w:rPr>
          <w:rFonts w:ascii="Arial" w:hAnsi="Arial" w:cs="Arial"/>
        </w:rPr>
        <w:t>, 2022). This can be patience and giving room to the other party to air issues indirectly. However, in Germany, Google negotiators are more concerned with clarity and that all details of the agreement are clearly defined and affirmed.</w:t>
      </w:r>
    </w:p>
    <w:p w14:paraId="1AFE55C8" w14:textId="77777777" w:rsidR="00A77DE9" w:rsidRPr="002B5A90" w:rsidRDefault="00A77DE9" w:rsidP="00A77DE9">
      <w:pPr>
        <w:ind w:firstLine="720"/>
        <w:rPr>
          <w:rFonts w:ascii="Arial" w:hAnsi="Arial" w:cs="Arial"/>
        </w:rPr>
      </w:pPr>
      <w:r w:rsidRPr="002B5A90">
        <w:rPr>
          <w:rFonts w:ascii="Arial" w:hAnsi="Arial" w:cs="Arial"/>
        </w:rPr>
        <w:t>In collectivist societies like China or Brazil where negotiation process entails building relationships, Google takes time in building trust. Google negotiators know that in such cultures the deal encompasses terms along with relationship leading to future cooperation. They work on a personal relationship and long-term partnership approach, which contrasts with more transactional negotiations in the U.S.</w:t>
      </w:r>
    </w:p>
    <w:p w14:paraId="2A2D9A19" w14:textId="77777777" w:rsidR="00A77DE9" w:rsidRPr="002B5A90" w:rsidRDefault="00A77DE9" w:rsidP="00A77DE9">
      <w:pPr>
        <w:ind w:firstLine="720"/>
        <w:rPr>
          <w:rFonts w:ascii="Arial" w:hAnsi="Arial" w:cs="Arial"/>
        </w:rPr>
      </w:pPr>
      <w:r w:rsidRPr="002B5A90">
        <w:rPr>
          <w:rFonts w:ascii="Arial" w:hAnsi="Arial" w:cs="Arial"/>
        </w:rPr>
        <w:t>Cultural Intelligence (CQ) is another key topic of global training at Google. Creating CQ, Google negotiators are trained to understand cultural differences, adapt their communication strategy to them, and avoid possible misunderstandings. It encompasses training of the local cultural norms, business etiquette and negotiation styles to enable employees to easily negotiate intricate cross-cultural negotiations (Sahadevan and Sumangala, 2021).</w:t>
      </w:r>
    </w:p>
    <w:p w14:paraId="327D6CA7" w14:textId="77777777" w:rsidR="00A77DE9" w:rsidRPr="002B5A90" w:rsidRDefault="00A77DE9" w:rsidP="00A77DE9">
      <w:pPr>
        <w:ind w:firstLine="432"/>
        <w:rPr>
          <w:rFonts w:ascii="Arial" w:hAnsi="Arial" w:cs="Arial"/>
        </w:rPr>
      </w:pPr>
      <w:r w:rsidRPr="002B5A90">
        <w:rPr>
          <w:rFonts w:ascii="Arial" w:hAnsi="Arial" w:cs="Arial"/>
        </w:rPr>
        <w:t>Being a technological firm, Google uses its online tools to bypass various logistic and cultural challenges to communication. Videoconferencing applications, IM, and joint workspaces assist Google in keeping open and ongoing communication with foreign partners, regardless of time zones and cultural variations. Technology helps Google resolve the culture divide by creating a virtual arena where more transparent and frequent communication is possible.</w:t>
      </w:r>
    </w:p>
    <w:p w14:paraId="10BE05A8" w14:textId="77777777" w:rsidR="00A77DE9" w:rsidRPr="002B5A90" w:rsidRDefault="00A77DE9" w:rsidP="00A77DE9">
      <w:pPr>
        <w:rPr>
          <w:rFonts w:ascii="Arial" w:hAnsi="Arial" w:cs="Arial"/>
        </w:rPr>
      </w:pPr>
    </w:p>
    <w:p w14:paraId="64EBC057" w14:textId="77777777" w:rsidR="00A77DE9" w:rsidRPr="002B5A90" w:rsidRDefault="00A77DE9" w:rsidP="00A77DE9">
      <w:pPr>
        <w:pStyle w:val="Heading1"/>
        <w:rPr>
          <w:rFonts w:ascii="Arial" w:hAnsi="Arial" w:cs="Arial"/>
        </w:rPr>
      </w:pPr>
      <w:bookmarkStart w:id="3" w:name="_Toc215570306"/>
      <w:r w:rsidRPr="002B5A90">
        <w:rPr>
          <w:rFonts w:ascii="Arial" w:hAnsi="Arial" w:cs="Arial"/>
        </w:rPr>
        <w:t>Conclusion</w:t>
      </w:r>
      <w:bookmarkEnd w:id="3"/>
    </w:p>
    <w:p w14:paraId="433EC04B" w14:textId="77777777" w:rsidR="00A77DE9" w:rsidRPr="002B5A90" w:rsidRDefault="00A77DE9" w:rsidP="00A77DE9">
      <w:pPr>
        <w:rPr>
          <w:rFonts w:ascii="Arial" w:hAnsi="Arial" w:cs="Arial"/>
        </w:rPr>
      </w:pPr>
      <w:r w:rsidRPr="002B5A90">
        <w:rPr>
          <w:rFonts w:ascii="Arial" w:hAnsi="Arial" w:cs="Arial"/>
        </w:rPr>
        <w:t xml:space="preserve">This essay has covered issues related to cultural difference and how it affects negotiation in Google Inc and what Google can do to </w:t>
      </w:r>
      <w:proofErr w:type="gramStart"/>
      <w:r w:rsidRPr="002B5A90">
        <w:rPr>
          <w:rFonts w:ascii="Arial" w:hAnsi="Arial" w:cs="Arial"/>
        </w:rPr>
        <w:t>enter into</w:t>
      </w:r>
      <w:proofErr w:type="gramEnd"/>
      <w:r w:rsidRPr="002B5A90">
        <w:rPr>
          <w:rFonts w:ascii="Arial" w:hAnsi="Arial" w:cs="Arial"/>
        </w:rPr>
        <w:t xml:space="preserve"> negotiation within the issues. Referring to the Hofstede Cultural Dimensions, High-Context vs. Low-Context Cultures by Hall, and Cultural Intelligence (CQ), we established high communication obstacles that Google faces in the conditions of other cultures. One instance is on a collectivistic culture like that of China where relationship-building is obligatory and an individualistic culture like that of U.S where the direct and assertive style is largely dominant. Similarly, high-context cultures, such as Japan, demand the great amount of attention to non-verbal communication and non-verbal message.</w:t>
      </w:r>
    </w:p>
    <w:p w14:paraId="5963CC4B" w14:textId="77777777" w:rsidR="00A77DE9" w:rsidRPr="002B5A90" w:rsidRDefault="00A77DE9" w:rsidP="00A77DE9">
      <w:pPr>
        <w:ind w:firstLine="720"/>
        <w:rPr>
          <w:rFonts w:ascii="Arial" w:hAnsi="Arial" w:cs="Arial"/>
        </w:rPr>
      </w:pPr>
      <w:r w:rsidRPr="002B5A90">
        <w:rPr>
          <w:rFonts w:ascii="Arial" w:hAnsi="Arial" w:cs="Arial"/>
        </w:rPr>
        <w:t>Different strategies of negotiations, relationship development, investments in the development of CQ, and the use of technology are all the interventions that Google has done to overcome the cultural barrier and create effective international relations. The measures will make sure Google can negotiate aspects of cross-cultural and forming long-term partnerships.</w:t>
      </w:r>
    </w:p>
    <w:p w14:paraId="64A14B49" w14:textId="77777777" w:rsidR="00A77DE9" w:rsidRPr="002B5A90" w:rsidRDefault="00A77DE9" w:rsidP="00A77DE9">
      <w:pPr>
        <w:ind w:firstLine="432"/>
        <w:rPr>
          <w:rFonts w:ascii="Arial" w:hAnsi="Arial" w:cs="Arial"/>
        </w:rPr>
      </w:pPr>
      <w:r w:rsidRPr="002B5A90">
        <w:rPr>
          <w:rFonts w:ascii="Arial" w:hAnsi="Arial" w:cs="Arial"/>
        </w:rPr>
        <w:lastRenderedPageBreak/>
        <w:t>One key lesson that international managers should learn is the lesson of cultural competence. The adaptation of communication plans to the characteristics of a particular culture is a necessity to establish trust and a successful business environment in the globalized world.</w:t>
      </w:r>
    </w:p>
    <w:p w14:paraId="1AD21AE5" w14:textId="77777777" w:rsidR="00A77DE9" w:rsidRPr="002B5A90" w:rsidRDefault="00A77DE9" w:rsidP="00A77DE9">
      <w:pPr>
        <w:rPr>
          <w:rFonts w:ascii="Arial" w:hAnsi="Arial" w:cs="Arial"/>
        </w:rPr>
      </w:pPr>
    </w:p>
    <w:p w14:paraId="65D2A04D" w14:textId="77777777" w:rsidR="00A77DE9" w:rsidRPr="002B5A90" w:rsidRDefault="00A77DE9" w:rsidP="00A77DE9">
      <w:pPr>
        <w:pStyle w:val="Heading1"/>
        <w:rPr>
          <w:rFonts w:ascii="Arial" w:hAnsi="Arial" w:cs="Arial"/>
        </w:rPr>
      </w:pPr>
      <w:bookmarkStart w:id="4" w:name="_Toc215570307"/>
      <w:r w:rsidRPr="002B5A90">
        <w:rPr>
          <w:rFonts w:ascii="Arial" w:hAnsi="Arial" w:cs="Arial"/>
        </w:rPr>
        <w:t>REFERENCES</w:t>
      </w:r>
      <w:bookmarkEnd w:id="4"/>
      <w:r w:rsidRPr="002B5A90">
        <w:rPr>
          <w:rFonts w:ascii="Arial" w:hAnsi="Arial" w:cs="Arial"/>
        </w:rPr>
        <w:t xml:space="preserve"> </w:t>
      </w:r>
    </w:p>
    <w:p w14:paraId="5C5CA651" w14:textId="2DC9E622" w:rsidR="00A77DE9" w:rsidRPr="002B5A90" w:rsidRDefault="00A77DE9" w:rsidP="00ED6A46">
      <w:pPr>
        <w:tabs>
          <w:tab w:val="num" w:pos="0"/>
        </w:tabs>
        <w:spacing w:after="0" w:line="360" w:lineRule="auto"/>
        <w:rPr>
          <w:rFonts w:ascii="Arial" w:eastAsia="Times New Roman" w:hAnsi="Arial" w:cs="Arial"/>
          <w:lang w:eastAsia="en-GB"/>
        </w:rPr>
      </w:pPr>
      <w:proofErr w:type="spellStart"/>
      <w:r w:rsidRPr="002B5A90">
        <w:rPr>
          <w:rFonts w:ascii="Arial" w:eastAsia="Times New Roman" w:hAnsi="Arial" w:cs="Arial"/>
          <w:lang w:eastAsia="en-GB"/>
        </w:rPr>
        <w:t>Aririguzoh</w:t>
      </w:r>
      <w:proofErr w:type="spellEnd"/>
      <w:r w:rsidRPr="002B5A90">
        <w:rPr>
          <w:rFonts w:ascii="Arial" w:eastAsia="Times New Roman" w:hAnsi="Arial" w:cs="Arial"/>
          <w:lang w:eastAsia="en-GB"/>
        </w:rPr>
        <w:t>, S. (2022</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Communication</w:t>
      </w:r>
      <w:proofErr w:type="gramEnd"/>
      <w:r w:rsidRPr="002B5A90">
        <w:rPr>
          <w:rFonts w:ascii="Arial" w:eastAsia="Times New Roman" w:hAnsi="Arial" w:cs="Arial"/>
          <w:lang w:eastAsia="en-GB"/>
        </w:rPr>
        <w:t xml:space="preserve"> competencies, Culture and SDGs: Effective Processes to cross-cultural Communication. </w:t>
      </w:r>
      <w:r w:rsidRPr="002B5A90">
        <w:rPr>
          <w:rFonts w:ascii="Arial" w:eastAsia="Times New Roman" w:hAnsi="Arial" w:cs="Arial"/>
          <w:i/>
          <w:iCs/>
          <w:lang w:eastAsia="en-GB"/>
        </w:rPr>
        <w:t xml:space="preserve">Humanities and Social Sciences </w:t>
      </w:r>
      <w:proofErr w:type="gramStart"/>
      <w:r w:rsidRPr="002B5A90">
        <w:rPr>
          <w:rFonts w:ascii="Arial" w:eastAsia="Times New Roman" w:hAnsi="Arial" w:cs="Arial"/>
          <w:i/>
          <w:iCs/>
          <w:lang w:eastAsia="en-GB"/>
        </w:rPr>
        <w:t>Communications</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9</w:t>
      </w:r>
      <w:proofErr w:type="gramEnd"/>
      <w:r w:rsidRPr="002B5A90">
        <w:rPr>
          <w:rFonts w:ascii="Arial" w:eastAsia="Times New Roman" w:hAnsi="Arial" w:cs="Arial"/>
          <w:lang w:eastAsia="en-GB"/>
        </w:rPr>
        <w:t xml:space="preserve">(1), pp.1–11. Available at: </w:t>
      </w:r>
      <w:hyperlink r:id="rId5" w:history="1">
        <w:r w:rsidR="00ED6A46" w:rsidRPr="0072165C">
          <w:rPr>
            <w:rStyle w:val="Hyperlink"/>
            <w:rFonts w:ascii="Arial" w:eastAsia="Times New Roman" w:hAnsi="Arial" w:cs="Arial"/>
            <w:lang w:eastAsia="en-GB"/>
          </w:rPr>
          <w:t>https://www.nature.com/articles/s41599-022-01109-4</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696548B7" w14:textId="3C9B4365" w:rsidR="00A77DE9" w:rsidRPr="002B5A90" w:rsidRDefault="00ED6A46"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 xml:space="preserve">Balan, S. and </w:t>
      </w:r>
      <w:proofErr w:type="spellStart"/>
      <w:r w:rsidRPr="002B5A90">
        <w:rPr>
          <w:rFonts w:ascii="Arial" w:eastAsia="Times New Roman" w:hAnsi="Arial" w:cs="Arial"/>
          <w:lang w:eastAsia="en-GB"/>
        </w:rPr>
        <w:t>Vreja</w:t>
      </w:r>
      <w:proofErr w:type="spellEnd"/>
      <w:r w:rsidRPr="002B5A90">
        <w:rPr>
          <w:rFonts w:ascii="Arial" w:eastAsia="Times New Roman" w:hAnsi="Arial" w:cs="Arial"/>
          <w:lang w:eastAsia="en-GB"/>
        </w:rPr>
        <w:t>, L.O. (2023</w:t>
      </w:r>
      <w:proofErr w:type="gramStart"/>
      <w:r w:rsidRPr="002B5A90">
        <w:rPr>
          <w:rFonts w:ascii="Arial" w:eastAsia="Times New Roman" w:hAnsi="Arial" w:cs="Arial"/>
          <w:lang w:eastAsia="en-GB"/>
        </w:rPr>
        <w:t>)</w:t>
      </w:r>
      <w:r>
        <w:rPr>
          <w:rFonts w:ascii="Arial" w:eastAsia="Times New Roman" w:hAnsi="Arial" w:cs="Arial"/>
          <w:lang w:eastAsia="en-GB"/>
        </w:rPr>
        <w:t xml:space="preserve"> </w:t>
      </w:r>
      <w:r w:rsidRPr="002B5A90">
        <w:rPr>
          <w:rFonts w:ascii="Arial" w:eastAsia="Times New Roman" w:hAnsi="Arial" w:cs="Arial"/>
          <w:lang w:eastAsia="en-GB"/>
        </w:rPr>
        <w:t xml:space="preserve"> </w:t>
      </w:r>
      <w:r w:rsidRPr="002B5A90">
        <w:rPr>
          <w:rFonts w:ascii="Arial" w:eastAsia="Times New Roman" w:hAnsi="Arial" w:cs="Arial"/>
          <w:i/>
          <w:iCs/>
          <w:lang w:eastAsia="en-GB"/>
        </w:rPr>
        <w:t>The</w:t>
      </w:r>
      <w:proofErr w:type="gramEnd"/>
      <w:r w:rsidRPr="002B5A90">
        <w:rPr>
          <w:rFonts w:ascii="Arial" w:eastAsia="Times New Roman" w:hAnsi="Arial" w:cs="Arial"/>
          <w:i/>
          <w:iCs/>
          <w:lang w:eastAsia="en-GB"/>
        </w:rPr>
        <w:t xml:space="preserve"> Trompenaars’ Seven-Dimension Cultural Model and Cultural Orientations of Romanian Students in </w:t>
      </w:r>
      <w:proofErr w:type="gramStart"/>
      <w:r w:rsidRPr="002B5A90">
        <w:rPr>
          <w:rFonts w:ascii="Arial" w:eastAsia="Times New Roman" w:hAnsi="Arial" w:cs="Arial"/>
          <w:i/>
          <w:iCs/>
          <w:lang w:eastAsia="en-GB"/>
        </w:rPr>
        <w:t>Management</w:t>
      </w:r>
      <w:r>
        <w:rPr>
          <w:rFonts w:ascii="Arial" w:eastAsia="Times New Roman" w:hAnsi="Arial" w:cs="Arial"/>
          <w:lang w:eastAsia="en-GB"/>
        </w:rPr>
        <w:t xml:space="preserve">, </w:t>
      </w:r>
      <w:r w:rsidRPr="002B5A90">
        <w:rPr>
          <w:rFonts w:ascii="Arial" w:eastAsia="Times New Roman" w:hAnsi="Arial" w:cs="Arial"/>
          <w:lang w:eastAsia="en-GB"/>
        </w:rPr>
        <w:t xml:space="preserve"> ResearchGate</w:t>
      </w:r>
      <w:proofErr w:type="gramEnd"/>
      <w:r w:rsidRPr="002B5A90">
        <w:rPr>
          <w:rFonts w:ascii="Arial" w:eastAsia="Times New Roman" w:hAnsi="Arial" w:cs="Arial"/>
          <w:lang w:eastAsia="en-GB"/>
        </w:rPr>
        <w:t xml:space="preserve">. Available </w:t>
      </w:r>
      <w:r w:rsidR="00A77DE9" w:rsidRPr="002B5A90">
        <w:rPr>
          <w:rFonts w:ascii="Arial" w:eastAsia="Times New Roman" w:hAnsi="Arial" w:cs="Arial"/>
          <w:lang w:eastAsia="en-GB"/>
        </w:rPr>
        <w:t xml:space="preserve">at: </w:t>
      </w:r>
      <w:hyperlink r:id="rId6" w:history="1">
        <w:r w:rsidRPr="0072165C">
          <w:rPr>
            <w:rStyle w:val="Hyperlink"/>
            <w:rFonts w:ascii="Arial" w:eastAsia="Times New Roman" w:hAnsi="Arial" w:cs="Arial"/>
            <w:lang w:eastAsia="en-GB"/>
          </w:rPr>
          <w:t>https://www.researchgate.net/publication/349988269_The_Trompenaars</w:t>
        </w:r>
      </w:hyperlink>
      <w:r w:rsidR="00A77DE9" w:rsidRPr="002B5A90">
        <w:rPr>
          <w:rFonts w:ascii="Arial" w:eastAsia="Times New Roman" w:hAnsi="Arial" w:cs="Arial"/>
          <w:lang w:eastAsia="en-GB"/>
        </w:rPr>
        <w:t>.</w:t>
      </w:r>
      <w:r>
        <w:rPr>
          <w:rFonts w:ascii="Arial" w:eastAsia="Times New Roman" w:hAnsi="Arial" w:cs="Arial"/>
          <w:lang w:eastAsia="en-GB"/>
        </w:rPr>
        <w:t xml:space="preserve"> </w:t>
      </w:r>
    </w:p>
    <w:p w14:paraId="6DA385C5" w14:textId="4302C090"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Barnum, C.M. (2021</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w:t>
      </w:r>
      <w:r w:rsidRPr="002B5A90">
        <w:rPr>
          <w:rFonts w:ascii="Arial" w:eastAsia="Times New Roman" w:hAnsi="Arial" w:cs="Arial"/>
          <w:i/>
          <w:iCs/>
          <w:lang w:eastAsia="en-GB"/>
        </w:rPr>
        <w:t>Context</w:t>
      </w:r>
      <w:proofErr w:type="gramEnd"/>
      <w:r w:rsidRPr="002B5A90">
        <w:rPr>
          <w:rFonts w:ascii="Arial" w:eastAsia="Times New Roman" w:hAnsi="Arial" w:cs="Arial"/>
          <w:i/>
          <w:iCs/>
          <w:lang w:eastAsia="en-GB"/>
        </w:rPr>
        <w:t xml:space="preserve"> Culture - an overview | ScienceDirect Topics</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w:t>
      </w:r>
      <w:hyperlink r:id="rId7" w:history="1">
        <w:r w:rsidR="00ED6A46" w:rsidRPr="0072165C">
          <w:rPr>
            <w:rStyle w:val="Hyperlink"/>
            <w:rFonts w:ascii="Arial" w:eastAsia="Times New Roman" w:hAnsi="Arial" w:cs="Arial"/>
            <w:lang w:eastAsia="en-GB"/>
          </w:rPr>
          <w:t>www.sciencedirect.com</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Available at: </w:t>
      </w:r>
      <w:hyperlink r:id="rId8" w:history="1">
        <w:r w:rsidR="00ED6A46" w:rsidRPr="0072165C">
          <w:rPr>
            <w:rStyle w:val="Hyperlink"/>
            <w:rFonts w:ascii="Arial" w:eastAsia="Times New Roman" w:hAnsi="Arial" w:cs="Arial"/>
            <w:lang w:eastAsia="en-GB"/>
          </w:rPr>
          <w:t>https://www.sciencedirect.com/topics/computer-science/context-culture</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354FC8FC" w14:textId="0E5DEB62" w:rsidR="00A77DE9" w:rsidRPr="002B5A90" w:rsidRDefault="00A77DE9" w:rsidP="00ED6A46">
      <w:pPr>
        <w:shd w:val="clear" w:color="auto" w:fill="FCFDFE"/>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Deresky, H. (2017</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w:t>
      </w:r>
      <w:r w:rsidRPr="002B5A90">
        <w:rPr>
          <w:rFonts w:ascii="Arial" w:eastAsia="Times New Roman" w:hAnsi="Arial" w:cs="Arial"/>
          <w:i/>
          <w:iCs/>
          <w:lang w:eastAsia="en-GB"/>
        </w:rPr>
        <w:t>International</w:t>
      </w:r>
      <w:proofErr w:type="gramEnd"/>
      <w:r w:rsidRPr="002B5A90">
        <w:rPr>
          <w:rFonts w:ascii="Arial" w:eastAsia="Times New Roman" w:hAnsi="Arial" w:cs="Arial"/>
          <w:i/>
          <w:iCs/>
          <w:lang w:eastAsia="en-GB"/>
        </w:rPr>
        <w:t xml:space="preserve"> management: Managing across borders and cultures: Text and cases</w:t>
      </w:r>
      <w:r w:rsidRPr="002B5A90">
        <w:rPr>
          <w:rFonts w:ascii="Arial" w:eastAsia="Times New Roman" w:hAnsi="Arial" w:cs="Arial"/>
          <w:lang w:eastAsia="en-GB"/>
        </w:rPr>
        <w:t>. 9th ed. Boston: Pearson.</w:t>
      </w:r>
    </w:p>
    <w:p w14:paraId="50DE2D1C" w14:textId="2DBE5BFD"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Dogra, A.S. and Dixit, V. (2022</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A</w:t>
      </w:r>
      <w:proofErr w:type="gramEnd"/>
      <w:r w:rsidRPr="002B5A90">
        <w:rPr>
          <w:rFonts w:ascii="Arial" w:eastAsia="Times New Roman" w:hAnsi="Arial" w:cs="Arial"/>
          <w:lang w:eastAsia="en-GB"/>
        </w:rPr>
        <w:t xml:space="preserve"> Framework of Cultural Intelligence in Context to Leaders, Teams &amp; Organizations. </w:t>
      </w:r>
      <w:r w:rsidRPr="002B5A90">
        <w:rPr>
          <w:rFonts w:ascii="Arial" w:eastAsia="Times New Roman" w:hAnsi="Arial" w:cs="Arial"/>
          <w:i/>
          <w:iCs/>
          <w:lang w:eastAsia="en-GB"/>
        </w:rPr>
        <w:t>Management Dynamics</w:t>
      </w:r>
      <w:r w:rsidRPr="002B5A90">
        <w:rPr>
          <w:rFonts w:ascii="Arial" w:eastAsia="Times New Roman" w:hAnsi="Arial" w:cs="Arial"/>
          <w:lang w:eastAsia="en-GB"/>
        </w:rPr>
        <w:t xml:space="preserve">, 17(1), pp.1–12. </w:t>
      </w:r>
      <w:hyperlink r:id="rId9" w:history="1">
        <w:r w:rsidR="00ED6A46" w:rsidRPr="0072165C">
          <w:rPr>
            <w:rStyle w:val="Hyperlink"/>
            <w:rFonts w:ascii="Arial" w:eastAsia="Times New Roman" w:hAnsi="Arial" w:cs="Arial"/>
            <w:lang w:eastAsia="en-GB"/>
          </w:rPr>
          <w:t>https://doi.org/10.57198/2583-4932.1058</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76756289" w14:textId="22B39D04"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val="it-IT" w:eastAsia="en-GB"/>
        </w:rPr>
        <w:t xml:space="preserve">Fanari, A., Sommier, M. and </w:t>
      </w:r>
      <w:proofErr w:type="spellStart"/>
      <w:r w:rsidRPr="002B5A90">
        <w:rPr>
          <w:rFonts w:ascii="Arial" w:eastAsia="Times New Roman" w:hAnsi="Arial" w:cs="Arial"/>
          <w:lang w:val="it-IT" w:eastAsia="en-GB"/>
        </w:rPr>
        <w:t>Rahmani</w:t>
      </w:r>
      <w:proofErr w:type="spellEnd"/>
      <w:r w:rsidRPr="002B5A90">
        <w:rPr>
          <w:rFonts w:ascii="Arial" w:eastAsia="Times New Roman" w:hAnsi="Arial" w:cs="Arial"/>
          <w:lang w:val="it-IT" w:eastAsia="en-GB"/>
        </w:rPr>
        <w:t>, D. (2025</w:t>
      </w:r>
      <w:proofErr w:type="gramStart"/>
      <w:r w:rsidRPr="002B5A90">
        <w:rPr>
          <w:rFonts w:ascii="Arial" w:eastAsia="Times New Roman" w:hAnsi="Arial" w:cs="Arial"/>
          <w:lang w:val="it-IT" w:eastAsia="en-GB"/>
        </w:rPr>
        <w:t>)</w:t>
      </w:r>
      <w:r w:rsidR="00ED6A46">
        <w:rPr>
          <w:rFonts w:ascii="Arial" w:eastAsia="Times New Roman" w:hAnsi="Arial" w:cs="Arial"/>
          <w:lang w:val="it-IT" w:eastAsia="en-GB"/>
        </w:rPr>
        <w:t xml:space="preserve"> </w:t>
      </w:r>
      <w:r w:rsidRPr="002B5A90">
        <w:rPr>
          <w:rFonts w:ascii="Arial" w:eastAsia="Times New Roman" w:hAnsi="Arial" w:cs="Arial"/>
          <w:lang w:val="it-IT" w:eastAsia="en-GB"/>
        </w:rPr>
        <w:t xml:space="preserve"> </w:t>
      </w:r>
      <w:r w:rsidRPr="002B5A90">
        <w:rPr>
          <w:rFonts w:ascii="Arial" w:eastAsia="Times New Roman" w:hAnsi="Arial" w:cs="Arial"/>
          <w:lang w:eastAsia="en-GB"/>
        </w:rPr>
        <w:t>(</w:t>
      </w:r>
      <w:proofErr w:type="gramEnd"/>
      <w:r w:rsidRPr="002B5A90">
        <w:rPr>
          <w:rFonts w:ascii="Arial" w:eastAsia="Times New Roman" w:hAnsi="Arial" w:cs="Arial"/>
          <w:lang w:eastAsia="en-GB"/>
        </w:rPr>
        <w:t xml:space="preserve">Re)Defining Intercultural Communication Theorizing: Mapping the Current Landscape of the Field. </w:t>
      </w:r>
      <w:r w:rsidRPr="002B5A90">
        <w:rPr>
          <w:rFonts w:ascii="Arial" w:eastAsia="Times New Roman" w:hAnsi="Arial" w:cs="Arial"/>
          <w:i/>
          <w:iCs/>
          <w:lang w:eastAsia="en-GB"/>
        </w:rPr>
        <w:t>Journal of Intercultural Communication Research</w:t>
      </w:r>
      <w:r w:rsidRPr="002B5A90">
        <w:rPr>
          <w:rFonts w:ascii="Arial" w:eastAsia="Times New Roman" w:hAnsi="Arial" w:cs="Arial"/>
          <w:lang w:eastAsia="en-GB"/>
        </w:rPr>
        <w:t xml:space="preserve">, pp.1–11. </w:t>
      </w:r>
      <w:hyperlink r:id="rId10" w:history="1">
        <w:r w:rsidR="00ED6A46" w:rsidRPr="0072165C">
          <w:rPr>
            <w:rStyle w:val="Hyperlink"/>
            <w:rFonts w:ascii="Arial" w:eastAsia="Times New Roman" w:hAnsi="Arial" w:cs="Arial"/>
            <w:lang w:eastAsia="en-GB"/>
          </w:rPr>
          <w:t>https://doi.org/10.1080/17475759.2025.2553612</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10521A08" w14:textId="146D27AE"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 xml:space="preserve">Garamvölgyi, J. and </w:t>
      </w:r>
      <w:proofErr w:type="spellStart"/>
      <w:r w:rsidRPr="002B5A90">
        <w:rPr>
          <w:rFonts w:ascii="Arial" w:eastAsia="Times New Roman" w:hAnsi="Arial" w:cs="Arial"/>
          <w:lang w:eastAsia="en-GB"/>
        </w:rPr>
        <w:t>Rudnák</w:t>
      </w:r>
      <w:proofErr w:type="spellEnd"/>
      <w:r w:rsidRPr="002B5A90">
        <w:rPr>
          <w:rFonts w:ascii="Arial" w:eastAsia="Times New Roman" w:hAnsi="Arial" w:cs="Arial"/>
          <w:lang w:eastAsia="en-GB"/>
        </w:rPr>
        <w:t>, I. (2023</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Exploring</w:t>
      </w:r>
      <w:proofErr w:type="gramEnd"/>
      <w:r w:rsidRPr="002B5A90">
        <w:rPr>
          <w:rFonts w:ascii="Arial" w:eastAsia="Times New Roman" w:hAnsi="Arial" w:cs="Arial"/>
          <w:lang w:eastAsia="en-GB"/>
        </w:rPr>
        <w:t xml:space="preserve"> the Relationship between Cultural Intelligence (CQ) and Management Competencies (MC). </w:t>
      </w:r>
      <w:r w:rsidRPr="002B5A90">
        <w:rPr>
          <w:rFonts w:ascii="Arial" w:eastAsia="Times New Roman" w:hAnsi="Arial" w:cs="Arial"/>
          <w:i/>
          <w:iCs/>
          <w:lang w:eastAsia="en-GB"/>
        </w:rPr>
        <w:t>Sustainability</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15(7), p.5735. </w:t>
      </w:r>
      <w:hyperlink r:id="rId11" w:history="1">
        <w:r w:rsidR="00ED6A46" w:rsidRPr="0072165C">
          <w:rPr>
            <w:rStyle w:val="Hyperlink"/>
            <w:rFonts w:ascii="Arial" w:eastAsia="Times New Roman" w:hAnsi="Arial" w:cs="Arial"/>
            <w:lang w:eastAsia="en-GB"/>
          </w:rPr>
          <w:t>https://doi.org/10.3390/su15075735</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38BD6CEA" w14:textId="04FB3910" w:rsidR="00A77DE9" w:rsidRPr="002B5A90" w:rsidRDefault="00A77DE9" w:rsidP="00ED6A46">
      <w:pPr>
        <w:shd w:val="clear" w:color="auto" w:fill="FCFDFE"/>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Gutiérrez, J. (2007</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w:t>
      </w:r>
      <w:r w:rsidRPr="002B5A90">
        <w:rPr>
          <w:rFonts w:ascii="Arial" w:eastAsia="Times New Roman" w:hAnsi="Arial" w:cs="Arial"/>
          <w:i/>
          <w:iCs/>
          <w:lang w:eastAsia="en-GB"/>
        </w:rPr>
        <w:t>Business</w:t>
      </w:r>
      <w:proofErr w:type="gramEnd"/>
      <w:r w:rsidRPr="002B5A90">
        <w:rPr>
          <w:rFonts w:ascii="Arial" w:eastAsia="Times New Roman" w:hAnsi="Arial" w:cs="Arial"/>
          <w:i/>
          <w:iCs/>
          <w:lang w:eastAsia="en-GB"/>
        </w:rPr>
        <w:t xml:space="preserve"> data communications and networking: A research perspective</w:t>
      </w:r>
      <w:r w:rsidRPr="002B5A90">
        <w:rPr>
          <w:rFonts w:ascii="Arial" w:eastAsia="Times New Roman" w:hAnsi="Arial" w:cs="Arial"/>
          <w:lang w:eastAsia="en-GB"/>
        </w:rPr>
        <w:t>. Hershey: Idea Group Publishing.</w:t>
      </w:r>
    </w:p>
    <w:p w14:paraId="560815D6" w14:textId="5B6004E5"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Jose, J. and Navdeep (2024</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Cultural</w:t>
      </w:r>
      <w:proofErr w:type="gramEnd"/>
      <w:r w:rsidRPr="002B5A90">
        <w:rPr>
          <w:rFonts w:ascii="Arial" w:eastAsia="Times New Roman" w:hAnsi="Arial" w:cs="Arial"/>
          <w:lang w:eastAsia="en-GB"/>
        </w:rPr>
        <w:t xml:space="preserve"> Intelligence in International Business Negotiations: </w:t>
      </w:r>
      <w:proofErr w:type="gramStart"/>
      <w:r w:rsidRPr="002B5A90">
        <w:rPr>
          <w:rFonts w:ascii="Arial" w:eastAsia="Times New Roman" w:hAnsi="Arial" w:cs="Arial"/>
          <w:lang w:eastAsia="en-GB"/>
        </w:rPr>
        <w:t>a</w:t>
      </w:r>
      <w:proofErr w:type="gramEnd"/>
      <w:r w:rsidRPr="002B5A90">
        <w:rPr>
          <w:rFonts w:ascii="Arial" w:eastAsia="Times New Roman" w:hAnsi="Arial" w:cs="Arial"/>
          <w:lang w:eastAsia="en-GB"/>
        </w:rPr>
        <w:t xml:space="preserve"> Systematic Review. </w:t>
      </w:r>
      <w:r w:rsidRPr="002B5A90">
        <w:rPr>
          <w:rFonts w:ascii="Arial" w:eastAsia="Times New Roman" w:hAnsi="Arial" w:cs="Arial"/>
          <w:i/>
          <w:iCs/>
          <w:lang w:eastAsia="en-GB"/>
        </w:rPr>
        <w:t xml:space="preserve">International Journal of Innovative Research in </w:t>
      </w:r>
      <w:r w:rsidRPr="002B5A90">
        <w:rPr>
          <w:rFonts w:ascii="Arial" w:eastAsia="Times New Roman" w:hAnsi="Arial" w:cs="Arial"/>
          <w:i/>
          <w:iCs/>
          <w:lang w:eastAsia="en-GB"/>
        </w:rPr>
        <w:lastRenderedPageBreak/>
        <w:t>Technology and Science</w:t>
      </w:r>
      <w:r w:rsidRPr="002B5A90">
        <w:rPr>
          <w:rFonts w:ascii="Arial" w:eastAsia="Times New Roman" w:hAnsi="Arial" w:cs="Arial"/>
          <w:lang w:eastAsia="en-GB"/>
        </w:rPr>
        <w:t xml:space="preserve">, 12(2), pp.69–78. Available at: </w:t>
      </w:r>
      <w:hyperlink r:id="rId12" w:history="1">
        <w:r w:rsidR="00ED6A46" w:rsidRPr="0072165C">
          <w:rPr>
            <w:rStyle w:val="Hyperlink"/>
            <w:rFonts w:ascii="Arial" w:eastAsia="Times New Roman" w:hAnsi="Arial" w:cs="Arial"/>
            <w:lang w:eastAsia="en-GB"/>
          </w:rPr>
          <w:t>https://ijirts.org/index.php/ijirts/article/view/13</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0F3AA1DD" w14:textId="5622B509" w:rsidR="00A77DE9" w:rsidRPr="002B5A90" w:rsidRDefault="00A77DE9" w:rsidP="00ED6A46">
      <w:pPr>
        <w:shd w:val="clear" w:color="auto" w:fill="FCFDFE"/>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Koh, S.C.L. and Maguire, S. (2009</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w:t>
      </w:r>
      <w:r w:rsidRPr="002B5A90">
        <w:rPr>
          <w:rFonts w:ascii="Arial" w:eastAsia="Times New Roman" w:hAnsi="Arial" w:cs="Arial"/>
          <w:i/>
          <w:iCs/>
          <w:lang w:eastAsia="en-GB"/>
        </w:rPr>
        <w:t>Information</w:t>
      </w:r>
      <w:proofErr w:type="gramEnd"/>
      <w:r w:rsidRPr="002B5A90">
        <w:rPr>
          <w:rFonts w:ascii="Arial" w:eastAsia="Times New Roman" w:hAnsi="Arial" w:cs="Arial"/>
          <w:i/>
          <w:iCs/>
          <w:lang w:eastAsia="en-GB"/>
        </w:rPr>
        <w:t xml:space="preserve"> and communication technologies management in turbulent business environments</w:t>
      </w:r>
      <w:r w:rsidRPr="002B5A90">
        <w:rPr>
          <w:rFonts w:ascii="Arial" w:eastAsia="Times New Roman" w:hAnsi="Arial" w:cs="Arial"/>
          <w:lang w:eastAsia="en-GB"/>
        </w:rPr>
        <w:t>. Hershey: Information Science Reference.</w:t>
      </w:r>
    </w:p>
    <w:p w14:paraId="57605D12" w14:textId="57EE995C" w:rsidR="00A77DE9" w:rsidRPr="002B5A90" w:rsidRDefault="00A77DE9" w:rsidP="00ED6A46">
      <w:pPr>
        <w:shd w:val="clear" w:color="auto" w:fill="FCFDFE"/>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Saha, D. (2018</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w:t>
      </w:r>
      <w:r w:rsidRPr="002B5A90">
        <w:rPr>
          <w:rFonts w:ascii="Arial" w:eastAsia="Times New Roman" w:hAnsi="Arial" w:cs="Arial"/>
          <w:i/>
          <w:iCs/>
          <w:lang w:eastAsia="en-GB"/>
        </w:rPr>
        <w:t>Advances</w:t>
      </w:r>
      <w:proofErr w:type="gramEnd"/>
      <w:r w:rsidRPr="002B5A90">
        <w:rPr>
          <w:rFonts w:ascii="Arial" w:eastAsia="Times New Roman" w:hAnsi="Arial" w:cs="Arial"/>
          <w:i/>
          <w:iCs/>
          <w:lang w:eastAsia="en-GB"/>
        </w:rPr>
        <w:t xml:space="preserve"> in data communications and networking for digital business transformation</w:t>
      </w:r>
      <w:r w:rsidRPr="002B5A90">
        <w:rPr>
          <w:rFonts w:ascii="Arial" w:eastAsia="Times New Roman" w:hAnsi="Arial" w:cs="Arial"/>
          <w:lang w:eastAsia="en-GB"/>
        </w:rPr>
        <w:t>. Hershey: IGI Global.</w:t>
      </w:r>
    </w:p>
    <w:p w14:paraId="26DF67D0" w14:textId="32830943"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Sahadevan, P. and Sumangala, M. (2021</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w:t>
      </w:r>
      <w:r w:rsidRPr="002B5A90">
        <w:rPr>
          <w:rFonts w:ascii="Arial" w:eastAsia="Times New Roman" w:hAnsi="Arial" w:cs="Arial"/>
          <w:i/>
          <w:iCs/>
          <w:lang w:eastAsia="en-GB"/>
        </w:rPr>
        <w:t>Effective</w:t>
      </w:r>
      <w:proofErr w:type="gramEnd"/>
      <w:r w:rsidRPr="002B5A90">
        <w:rPr>
          <w:rFonts w:ascii="Arial" w:eastAsia="Times New Roman" w:hAnsi="Arial" w:cs="Arial"/>
          <w:i/>
          <w:iCs/>
          <w:lang w:eastAsia="en-GB"/>
        </w:rPr>
        <w:t xml:space="preserve"> Cross-Cultural Communication for International Business</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ResearchGate. Available at: </w:t>
      </w:r>
      <w:hyperlink r:id="rId13" w:history="1">
        <w:r w:rsidR="00ED6A46" w:rsidRPr="0072165C">
          <w:rPr>
            <w:rStyle w:val="Hyperlink"/>
            <w:rFonts w:ascii="Arial" w:eastAsia="Times New Roman" w:hAnsi="Arial" w:cs="Arial"/>
            <w:lang w:eastAsia="en-GB"/>
          </w:rPr>
          <w:t>https://www.researchgate.net/publication/350728276_Effective_Cross-Cultural_Communication_for_International_Business</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639E5C18" w14:textId="6FC6F03F" w:rsidR="00A77DE9" w:rsidRPr="002B5A90" w:rsidRDefault="00A77DE9" w:rsidP="00ED6A46">
      <w:pPr>
        <w:tabs>
          <w:tab w:val="num" w:pos="0"/>
        </w:tabs>
        <w:spacing w:after="0" w:line="360" w:lineRule="auto"/>
        <w:rPr>
          <w:rFonts w:ascii="Arial" w:eastAsia="Times New Roman" w:hAnsi="Arial" w:cs="Arial"/>
          <w:lang w:eastAsia="en-GB"/>
        </w:rPr>
      </w:pPr>
      <w:r w:rsidRPr="002B5A90">
        <w:rPr>
          <w:rFonts w:ascii="Arial" w:eastAsia="Times New Roman" w:hAnsi="Arial" w:cs="Arial"/>
          <w:lang w:eastAsia="en-GB"/>
        </w:rPr>
        <w:t>Zheng, F., Zhao, C., Yasmin, F. and Sokolova, M. (2025</w:t>
      </w:r>
      <w:proofErr w:type="gramStart"/>
      <w:r w:rsidRPr="002B5A90">
        <w:rPr>
          <w:rFonts w:ascii="Arial" w:eastAsia="Times New Roman" w:hAnsi="Arial" w:cs="Arial"/>
          <w:lang w:eastAsia="en-GB"/>
        </w:rPr>
        <w:t>)</w:t>
      </w:r>
      <w:r w:rsidR="00ED6A46">
        <w:rPr>
          <w:rFonts w:ascii="Arial" w:eastAsia="Times New Roman" w:hAnsi="Arial" w:cs="Arial"/>
          <w:lang w:eastAsia="en-GB"/>
        </w:rPr>
        <w:t xml:space="preserve"> </w:t>
      </w:r>
      <w:r w:rsidRPr="002B5A90">
        <w:rPr>
          <w:rFonts w:ascii="Arial" w:eastAsia="Times New Roman" w:hAnsi="Arial" w:cs="Arial"/>
          <w:lang w:eastAsia="en-GB"/>
        </w:rPr>
        <w:t xml:space="preserve"> Hofstede’s</w:t>
      </w:r>
      <w:proofErr w:type="gramEnd"/>
      <w:r w:rsidRPr="002B5A90">
        <w:rPr>
          <w:rFonts w:ascii="Arial" w:eastAsia="Times New Roman" w:hAnsi="Arial" w:cs="Arial"/>
          <w:lang w:eastAsia="en-GB"/>
        </w:rPr>
        <w:t xml:space="preserve"> cultural dimensions and proactive </w:t>
      </w:r>
      <w:proofErr w:type="spellStart"/>
      <w:r w:rsidRPr="002B5A90">
        <w:rPr>
          <w:rFonts w:ascii="Arial" w:eastAsia="Times New Roman" w:hAnsi="Arial" w:cs="Arial"/>
          <w:lang w:eastAsia="en-GB"/>
        </w:rPr>
        <w:t>behavior</w:t>
      </w:r>
      <w:proofErr w:type="spellEnd"/>
      <w:r w:rsidRPr="002B5A90">
        <w:rPr>
          <w:rFonts w:ascii="Arial" w:eastAsia="Times New Roman" w:hAnsi="Arial" w:cs="Arial"/>
          <w:lang w:eastAsia="en-GB"/>
        </w:rPr>
        <w:t xml:space="preserve"> as the antecedents of entrepreneurial innovativeness. </w:t>
      </w:r>
      <w:r w:rsidRPr="002B5A90">
        <w:rPr>
          <w:rFonts w:ascii="Arial" w:eastAsia="Times New Roman" w:hAnsi="Arial" w:cs="Arial"/>
          <w:i/>
          <w:iCs/>
          <w:lang w:eastAsia="en-GB"/>
        </w:rPr>
        <w:t xml:space="preserve">Acta </w:t>
      </w:r>
      <w:proofErr w:type="spellStart"/>
      <w:r w:rsidRPr="002B5A90">
        <w:rPr>
          <w:rFonts w:ascii="Arial" w:eastAsia="Times New Roman" w:hAnsi="Arial" w:cs="Arial"/>
          <w:i/>
          <w:iCs/>
          <w:lang w:eastAsia="en-GB"/>
        </w:rPr>
        <w:t>Psychologica</w:t>
      </w:r>
      <w:proofErr w:type="spellEnd"/>
      <w:r w:rsidRPr="002B5A90">
        <w:rPr>
          <w:rFonts w:ascii="Arial" w:eastAsia="Times New Roman" w:hAnsi="Arial" w:cs="Arial"/>
          <w:lang w:eastAsia="en-GB"/>
        </w:rPr>
        <w:t xml:space="preserve">, 256, pp.1–12. </w:t>
      </w:r>
      <w:hyperlink r:id="rId14" w:history="1">
        <w:r w:rsidR="00ED6A46" w:rsidRPr="0072165C">
          <w:rPr>
            <w:rStyle w:val="Hyperlink"/>
            <w:rFonts w:ascii="Arial" w:eastAsia="Times New Roman" w:hAnsi="Arial" w:cs="Arial"/>
            <w:lang w:eastAsia="en-GB"/>
          </w:rPr>
          <w:t>https://doi.org/10.1016/j.actpsy.2025.104948</w:t>
        </w:r>
      </w:hyperlink>
      <w:r w:rsidRPr="002B5A90">
        <w:rPr>
          <w:rFonts w:ascii="Arial" w:eastAsia="Times New Roman" w:hAnsi="Arial" w:cs="Arial"/>
          <w:lang w:eastAsia="en-GB"/>
        </w:rPr>
        <w:t>.</w:t>
      </w:r>
      <w:r w:rsidR="00ED6A46">
        <w:rPr>
          <w:rFonts w:ascii="Arial" w:eastAsia="Times New Roman" w:hAnsi="Arial" w:cs="Arial"/>
          <w:lang w:eastAsia="en-GB"/>
        </w:rPr>
        <w:t xml:space="preserve"> </w:t>
      </w:r>
    </w:p>
    <w:p w14:paraId="4D3FF423" w14:textId="77777777" w:rsidR="00A77DE9" w:rsidRPr="002B5A90" w:rsidRDefault="00A77DE9" w:rsidP="00ED6A46">
      <w:pPr>
        <w:rPr>
          <w:rFonts w:ascii="Arial" w:hAnsi="Arial" w:cs="Arial"/>
          <w:shd w:val="clear" w:color="auto" w:fill="FFFFFF"/>
        </w:rPr>
      </w:pPr>
    </w:p>
    <w:p w14:paraId="2985C060" w14:textId="77777777" w:rsidR="00A77DE9" w:rsidRPr="002B5A90" w:rsidRDefault="00A77DE9" w:rsidP="00A77DE9">
      <w:pPr>
        <w:rPr>
          <w:rFonts w:ascii="Arial" w:hAnsi="Arial" w:cs="Arial"/>
        </w:rPr>
      </w:pPr>
    </w:p>
    <w:p w14:paraId="0B31FEAA" w14:textId="77777777" w:rsidR="00A77DE9" w:rsidRPr="002B5A90" w:rsidRDefault="00A77DE9" w:rsidP="00A77DE9">
      <w:pPr>
        <w:rPr>
          <w:rFonts w:ascii="Arial" w:hAnsi="Arial" w:cs="Arial"/>
        </w:rPr>
      </w:pPr>
    </w:p>
    <w:p w14:paraId="180386CB" w14:textId="77777777" w:rsidR="00A77DE9" w:rsidRPr="002B5A90" w:rsidRDefault="00A77DE9" w:rsidP="00A77DE9">
      <w:pPr>
        <w:rPr>
          <w:rFonts w:ascii="Arial" w:hAnsi="Arial" w:cs="Arial"/>
        </w:rPr>
      </w:pPr>
    </w:p>
    <w:p w14:paraId="5A56D4B7" w14:textId="77777777" w:rsidR="00A77DE9" w:rsidRPr="002B5A90" w:rsidRDefault="00A77DE9" w:rsidP="00A77DE9">
      <w:pPr>
        <w:rPr>
          <w:rFonts w:ascii="Arial" w:hAnsi="Arial" w:cs="Arial"/>
        </w:rPr>
      </w:pPr>
    </w:p>
    <w:p w14:paraId="33F58863" w14:textId="77777777" w:rsidR="00F81253" w:rsidRPr="00F81253" w:rsidRDefault="00F81253">
      <w:pPr>
        <w:rPr>
          <w:sz w:val="40"/>
          <w:szCs w:val="40"/>
        </w:rPr>
      </w:pPr>
    </w:p>
    <w:sectPr w:rsidR="00F81253" w:rsidRPr="00F81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roid Sans">
    <w:altName w:val="Yu Gothic"/>
    <w:panose1 w:val="020B0604020202020204"/>
    <w:charset w:val="80"/>
    <w:family w:val="auto"/>
    <w:pitch w:val="variable"/>
  </w:font>
  <w:font w:name="Calibri">
    <w:panose1 w:val="020F0502020204030204"/>
    <w:charset w:val="00"/>
    <w:family w:val="swiss"/>
    <w:pitch w:val="variable"/>
    <w:sig w:usb0="E4002EFF" w:usb1="C200247B" w:usb2="00000009" w:usb3="00000000" w:csb0="000001FF" w:csb1="00000000"/>
  </w:font>
  <w:font w:name="DejaVu Sans">
    <w:altName w:val="Yu Gothic"/>
    <w:panose1 w:val="020B0604020202020204"/>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53"/>
    <w:rsid w:val="00181EC5"/>
    <w:rsid w:val="005C1D90"/>
    <w:rsid w:val="00694623"/>
    <w:rsid w:val="007E1C84"/>
    <w:rsid w:val="00A77DE9"/>
    <w:rsid w:val="00C732FD"/>
    <w:rsid w:val="00ED6A46"/>
    <w:rsid w:val="00F81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B729"/>
  <w15:chartTrackingRefBased/>
  <w15:docId w15:val="{C99FB0B4-FECB-384D-9E0F-B34DCC1CB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81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81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81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81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F81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F81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F81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F81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F81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253"/>
    <w:rPr>
      <w:rFonts w:eastAsiaTheme="majorEastAsia" w:cstheme="majorBidi"/>
      <w:color w:val="272727" w:themeColor="text1" w:themeTint="D8"/>
    </w:rPr>
  </w:style>
  <w:style w:type="paragraph" w:styleId="Title">
    <w:name w:val="Title"/>
    <w:basedOn w:val="Normal"/>
    <w:next w:val="Normal"/>
    <w:link w:val="TitleChar"/>
    <w:uiPriority w:val="10"/>
    <w:qFormat/>
    <w:rsid w:val="00F81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2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253"/>
    <w:pPr>
      <w:spacing w:before="160"/>
      <w:jc w:val="center"/>
    </w:pPr>
    <w:rPr>
      <w:i/>
      <w:iCs/>
      <w:color w:val="404040" w:themeColor="text1" w:themeTint="BF"/>
    </w:rPr>
  </w:style>
  <w:style w:type="character" w:customStyle="1" w:styleId="QuoteChar">
    <w:name w:val="Quote Char"/>
    <w:basedOn w:val="DefaultParagraphFont"/>
    <w:link w:val="Quote"/>
    <w:uiPriority w:val="29"/>
    <w:rsid w:val="00F81253"/>
    <w:rPr>
      <w:i/>
      <w:iCs/>
      <w:color w:val="404040" w:themeColor="text1" w:themeTint="BF"/>
    </w:rPr>
  </w:style>
  <w:style w:type="paragraph" w:styleId="ListParagraph">
    <w:name w:val="List Paragraph"/>
    <w:basedOn w:val="Normal"/>
    <w:uiPriority w:val="34"/>
    <w:qFormat/>
    <w:rsid w:val="00F81253"/>
    <w:pPr>
      <w:ind w:left="720"/>
      <w:contextualSpacing/>
    </w:pPr>
  </w:style>
  <w:style w:type="character" w:styleId="IntenseEmphasis">
    <w:name w:val="Intense Emphasis"/>
    <w:basedOn w:val="DefaultParagraphFont"/>
    <w:uiPriority w:val="21"/>
    <w:qFormat/>
    <w:rsid w:val="00F81253"/>
    <w:rPr>
      <w:i/>
      <w:iCs/>
      <w:color w:val="0F4761" w:themeColor="accent1" w:themeShade="BF"/>
    </w:rPr>
  </w:style>
  <w:style w:type="paragraph" w:styleId="IntenseQuote">
    <w:name w:val="Intense Quote"/>
    <w:basedOn w:val="Normal"/>
    <w:next w:val="Normal"/>
    <w:link w:val="IntenseQuoteChar"/>
    <w:uiPriority w:val="30"/>
    <w:qFormat/>
    <w:rsid w:val="00F81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253"/>
    <w:rPr>
      <w:i/>
      <w:iCs/>
      <w:color w:val="0F4761" w:themeColor="accent1" w:themeShade="BF"/>
    </w:rPr>
  </w:style>
  <w:style w:type="character" w:styleId="IntenseReference">
    <w:name w:val="Intense Reference"/>
    <w:basedOn w:val="DefaultParagraphFont"/>
    <w:uiPriority w:val="32"/>
    <w:qFormat/>
    <w:rsid w:val="00F81253"/>
    <w:rPr>
      <w:b/>
      <w:bCs/>
      <w:smallCaps/>
      <w:color w:val="0F4761" w:themeColor="accent1" w:themeShade="BF"/>
      <w:spacing w:val="5"/>
    </w:rPr>
  </w:style>
  <w:style w:type="paragraph" w:customStyle="1" w:styleId="ContentsHeading">
    <w:name w:val="Contents Heading"/>
    <w:basedOn w:val="Normal"/>
    <w:rsid w:val="00A77DE9"/>
    <w:pPr>
      <w:keepNext/>
      <w:suppressLineNumbers/>
      <w:suppressAutoHyphens/>
      <w:spacing w:before="240" w:after="120" w:line="360" w:lineRule="auto"/>
      <w:jc w:val="center"/>
    </w:pPr>
    <w:rPr>
      <w:rFonts w:ascii="Times New Roman" w:eastAsia="Droid Sans" w:hAnsi="Times New Roman" w:cs="Times New Roman"/>
      <w:b/>
      <w:bCs/>
      <w:color w:val="000000"/>
      <w:kern w:val="0"/>
      <w:sz w:val="28"/>
      <w:szCs w:val="32"/>
      <w:lang w:eastAsia="ar-SA"/>
      <w14:ligatures w14:val="none"/>
    </w:rPr>
  </w:style>
  <w:style w:type="paragraph" w:styleId="TOC1">
    <w:name w:val="toc 1"/>
    <w:basedOn w:val="Normal"/>
    <w:uiPriority w:val="39"/>
    <w:rsid w:val="00A77DE9"/>
    <w:pPr>
      <w:suppressLineNumbers/>
      <w:tabs>
        <w:tab w:val="right" w:leader="dot" w:pos="9360"/>
      </w:tabs>
      <w:suppressAutoHyphens/>
      <w:spacing w:after="0" w:line="360" w:lineRule="auto"/>
      <w:jc w:val="both"/>
    </w:pPr>
    <w:rPr>
      <w:rFonts w:ascii="Times New Roman" w:eastAsia="Calibri" w:hAnsi="Times New Roman" w:cs="DejaVu Sans"/>
      <w:color w:val="000000"/>
      <w:kern w:val="0"/>
      <w:szCs w:val="22"/>
      <w:lang w:eastAsia="ar-SA"/>
      <w14:ligatures w14:val="none"/>
    </w:rPr>
  </w:style>
  <w:style w:type="character" w:styleId="Hyperlink">
    <w:name w:val="Hyperlink"/>
    <w:basedOn w:val="DefaultParagraphFont"/>
    <w:uiPriority w:val="99"/>
    <w:unhideWhenUsed/>
    <w:rsid w:val="00ED6A46"/>
    <w:rPr>
      <w:color w:val="467886" w:themeColor="hyperlink"/>
      <w:u w:val="single"/>
    </w:rPr>
  </w:style>
  <w:style w:type="character" w:styleId="UnresolvedMention">
    <w:name w:val="Unresolved Mention"/>
    <w:basedOn w:val="DefaultParagraphFont"/>
    <w:uiPriority w:val="99"/>
    <w:semiHidden/>
    <w:unhideWhenUsed/>
    <w:rsid w:val="00ED6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computer-science/context-culture" TargetMode="External"/><Relationship Id="rId13" Type="http://schemas.openxmlformats.org/officeDocument/2006/relationships/hyperlink" Target="https://www.researchgate.net/publication/350728276_Effective_Cross-Cultural_Communication_for_International_Business" TargetMode="External"/><Relationship Id="rId3" Type="http://schemas.openxmlformats.org/officeDocument/2006/relationships/webSettings" Target="webSettings.xml"/><Relationship Id="rId7" Type="http://schemas.openxmlformats.org/officeDocument/2006/relationships/hyperlink" Target="http://www.sciencedirect.com" TargetMode="External"/><Relationship Id="rId12" Type="http://schemas.openxmlformats.org/officeDocument/2006/relationships/hyperlink" Target="https://ijirts.org/index.php/ijirts/article/view/1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researchgate.net/publication/349988269_The_Trompenaars" TargetMode="External"/><Relationship Id="rId11" Type="http://schemas.openxmlformats.org/officeDocument/2006/relationships/hyperlink" Target="https://doi.org/10.3390/su15075735" TargetMode="External"/><Relationship Id="rId5" Type="http://schemas.openxmlformats.org/officeDocument/2006/relationships/hyperlink" Target="https://www.nature.com/articles/s41599-022-01109-4" TargetMode="External"/><Relationship Id="rId15" Type="http://schemas.openxmlformats.org/officeDocument/2006/relationships/fontTable" Target="fontTable.xml"/><Relationship Id="rId10" Type="http://schemas.openxmlformats.org/officeDocument/2006/relationships/hyperlink" Target="https://doi.org/10.1080/17475759.2025.2553612" TargetMode="External"/><Relationship Id="rId4" Type="http://schemas.openxmlformats.org/officeDocument/2006/relationships/image" Target="media/image1.jpeg"/><Relationship Id="rId9" Type="http://schemas.openxmlformats.org/officeDocument/2006/relationships/hyperlink" Target="https://doi.org/10.57198/2583-4932.1058" TargetMode="External"/><Relationship Id="rId14" Type="http://schemas.openxmlformats.org/officeDocument/2006/relationships/hyperlink" Target="https://doi.org/10.1016/j.actpsy.2025.104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2702</Words>
  <Characters>15402</Characters>
  <Application>Microsoft Office Word</Application>
  <DocSecurity>0</DocSecurity>
  <Lines>128</Lines>
  <Paragraphs>36</Paragraphs>
  <ScaleCrop>false</ScaleCrop>
  <Company/>
  <LinksUpToDate>false</LinksUpToDate>
  <CharactersWithSpaces>18068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Piticas (2315601)</dc:creator>
  <cp:keywords/>
  <dc:description/>
  <cp:lastModifiedBy>Georgiana Piticas (2315601)</cp:lastModifiedBy>
  <cp:revision>4</cp:revision>
  <dcterms:created xsi:type="dcterms:W3CDTF">2025-12-10T10:57:00Z</dcterms:created>
  <dcterms:modified xsi:type="dcterms:W3CDTF">2025-12-22T09:12:00Z</dcterms:modified>
</cp:coreProperties>
</file>