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C55E1E" w14:textId="4E7AF3BC" w:rsidR="00176B3C" w:rsidRPr="00E13804" w:rsidRDefault="00E13804" w:rsidP="008A1BC3">
      <w:pPr>
        <w:ind w:hanging="284"/>
        <w:rPr>
          <w:rFonts w:ascii="Times New Roman" w:hAnsi="Times New Roman"/>
          <w:b/>
          <w:bCs/>
          <w:sz w:val="22"/>
          <w:szCs w:val="22"/>
          <w:lang w:eastAsia="en-GB"/>
        </w:rPr>
      </w:pPr>
      <w:r w:rsidRPr="00E13804">
        <w:rPr>
          <w:b/>
          <w:bCs/>
          <w:noProof/>
          <w:lang w:val="en-GB" w:eastAsia="en-GB"/>
        </w:rPr>
        <w:drawing>
          <wp:anchor distT="0" distB="0" distL="114300" distR="114300" simplePos="0" relativeHeight="251658240" behindDoc="1" locked="0" layoutInCell="1" allowOverlap="1" wp14:anchorId="6CCD9DAF" wp14:editId="689F50A7">
            <wp:simplePos x="0" y="0"/>
            <wp:positionH relativeFrom="column">
              <wp:posOffset>-330200</wp:posOffset>
            </wp:positionH>
            <wp:positionV relativeFrom="paragraph">
              <wp:posOffset>0</wp:posOffset>
            </wp:positionV>
            <wp:extent cx="2575560" cy="1409700"/>
            <wp:effectExtent l="0" t="0" r="0" b="0"/>
            <wp:wrapTight wrapText="bothSides">
              <wp:wrapPolygon edited="0">
                <wp:start x="0" y="0"/>
                <wp:lineTo x="0" y="21308"/>
                <wp:lineTo x="21408" y="21308"/>
                <wp:lineTo x="21408" y="0"/>
                <wp:lineTo x="0" y="0"/>
              </wp:wrapPolygon>
            </wp:wrapTight>
            <wp:docPr id="1855507369"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of-wales-trinity-saint-david-logo-vector | ESRC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5560" cy="1409700"/>
                    </a:xfrm>
                    <a:prstGeom prst="rect">
                      <a:avLst/>
                    </a:prstGeom>
                    <a:noFill/>
                    <a:ln>
                      <a:noFill/>
                    </a:ln>
                  </pic:spPr>
                </pic:pic>
              </a:graphicData>
            </a:graphic>
          </wp:anchor>
        </w:drawing>
      </w:r>
    </w:p>
    <w:p w14:paraId="0FB883D6" w14:textId="77777777" w:rsidR="00FA1626" w:rsidRPr="00E13804" w:rsidRDefault="00FA1626" w:rsidP="008A1BC3">
      <w:pPr>
        <w:shd w:val="clear" w:color="auto" w:fill="FFFFFF"/>
        <w:jc w:val="center"/>
        <w:rPr>
          <w:rFonts w:ascii="Times New Roman" w:eastAsia="Times New Roman" w:hAnsi="Times New Roman"/>
          <w:b/>
          <w:bCs/>
        </w:rPr>
      </w:pPr>
    </w:p>
    <w:p w14:paraId="34A6618A" w14:textId="77777777" w:rsidR="00140BE2" w:rsidRPr="00E13804" w:rsidRDefault="00140BE2" w:rsidP="008A1BC3">
      <w:pPr>
        <w:shd w:val="clear" w:color="auto" w:fill="FFFFFF"/>
        <w:jc w:val="center"/>
        <w:rPr>
          <w:rFonts w:ascii="Times New Roman" w:eastAsia="Times New Roman" w:hAnsi="Times New Roman"/>
          <w:b/>
          <w:bCs/>
        </w:rPr>
      </w:pPr>
    </w:p>
    <w:p w14:paraId="6DF8B8D5" w14:textId="77777777" w:rsidR="00140BE2" w:rsidRPr="00E13804" w:rsidRDefault="00140BE2" w:rsidP="008A1BC3">
      <w:pPr>
        <w:shd w:val="clear" w:color="auto" w:fill="FFFFFF"/>
        <w:jc w:val="center"/>
        <w:rPr>
          <w:rFonts w:ascii="Times New Roman" w:eastAsia="Times New Roman" w:hAnsi="Times New Roman"/>
          <w:b/>
          <w:bCs/>
        </w:rPr>
      </w:pPr>
    </w:p>
    <w:p w14:paraId="5E6E5D1C" w14:textId="77777777" w:rsidR="00E13804" w:rsidRPr="00E13804" w:rsidRDefault="00E13804" w:rsidP="008A1BC3">
      <w:pPr>
        <w:shd w:val="clear" w:color="auto" w:fill="FFFFFF"/>
        <w:jc w:val="center"/>
        <w:rPr>
          <w:rFonts w:ascii="Times New Roman" w:eastAsia="Times New Roman" w:hAnsi="Times New Roman"/>
          <w:b/>
          <w:bCs/>
        </w:rPr>
      </w:pPr>
    </w:p>
    <w:p w14:paraId="79CCABF7" w14:textId="77777777" w:rsidR="00E13804" w:rsidRPr="00E13804" w:rsidRDefault="00E13804" w:rsidP="008A1BC3">
      <w:pPr>
        <w:shd w:val="clear" w:color="auto" w:fill="FFFFFF"/>
        <w:jc w:val="center"/>
        <w:rPr>
          <w:rFonts w:ascii="Times New Roman" w:eastAsia="Times New Roman" w:hAnsi="Times New Roman"/>
          <w:b/>
          <w:bCs/>
        </w:rPr>
      </w:pPr>
    </w:p>
    <w:p w14:paraId="3A93B300" w14:textId="77777777" w:rsidR="00E13804" w:rsidRPr="00E13804" w:rsidRDefault="00E13804" w:rsidP="008A1BC3">
      <w:pPr>
        <w:shd w:val="clear" w:color="auto" w:fill="FFFFFF"/>
        <w:jc w:val="center"/>
        <w:rPr>
          <w:rFonts w:ascii="Times New Roman" w:eastAsia="Times New Roman" w:hAnsi="Times New Roman"/>
          <w:b/>
          <w:bCs/>
        </w:rPr>
      </w:pPr>
    </w:p>
    <w:p w14:paraId="4F46E94E" w14:textId="17CD2BE1" w:rsidR="00E13804" w:rsidRPr="00E13804" w:rsidRDefault="00E13804" w:rsidP="00E13804">
      <w:pPr>
        <w:ind w:hanging="284"/>
        <w:rPr>
          <w:rFonts w:ascii="Times New Roman" w:hAnsi="Times New Roman"/>
          <w:sz w:val="22"/>
          <w:szCs w:val="22"/>
          <w:lang w:eastAsia="en-GB"/>
        </w:rPr>
      </w:pPr>
      <w:r w:rsidRPr="00E13804">
        <w:rPr>
          <w:rFonts w:ascii="Times New Roman" w:hAnsi="Times New Roman"/>
          <w:b/>
          <w:bCs/>
          <w:sz w:val="22"/>
          <w:szCs w:val="22"/>
          <w:lang w:eastAsia="en-GB"/>
        </w:rPr>
        <w:t xml:space="preserve">                                                     Student name: </w:t>
      </w:r>
      <w:r>
        <w:rPr>
          <w:rFonts w:ascii="Times New Roman" w:hAnsi="Times New Roman"/>
          <w:sz w:val="22"/>
          <w:szCs w:val="22"/>
          <w:lang w:eastAsia="en-GB"/>
        </w:rPr>
        <w:t>Chandru subbaiah</w:t>
      </w:r>
    </w:p>
    <w:p w14:paraId="6E713B29" w14:textId="57F20FE8" w:rsidR="00E13804" w:rsidRPr="00E13804" w:rsidRDefault="00E13804" w:rsidP="00E13804">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Student ID:</w:t>
      </w:r>
      <w:r>
        <w:rPr>
          <w:rFonts w:ascii="Times New Roman" w:hAnsi="Times New Roman"/>
          <w:sz w:val="22"/>
          <w:szCs w:val="22"/>
          <w:lang w:eastAsia="en-GB"/>
        </w:rPr>
        <w:t>2507406</w:t>
      </w:r>
    </w:p>
    <w:p w14:paraId="08F78E55" w14:textId="77777777" w:rsidR="00E13804" w:rsidRDefault="00E13804" w:rsidP="00E13804">
      <w:pPr>
        <w:ind w:hanging="284"/>
        <w:rPr>
          <w:rFonts w:ascii="Times New Roman" w:hAnsi="Times New Roman"/>
          <w:sz w:val="22"/>
          <w:szCs w:val="22"/>
          <w:lang w:eastAsia="en-GB"/>
        </w:rPr>
      </w:pPr>
    </w:p>
    <w:p w14:paraId="1C1BFEDD" w14:textId="77777777" w:rsidR="00E13804" w:rsidRDefault="00E13804" w:rsidP="00E13804">
      <w:pPr>
        <w:ind w:hanging="284"/>
        <w:rPr>
          <w:rFonts w:ascii="Times New Roman" w:hAnsi="Times New Roman"/>
          <w:sz w:val="22"/>
          <w:szCs w:val="22"/>
          <w:lang w:eastAsia="en-GB"/>
        </w:rPr>
      </w:pPr>
    </w:p>
    <w:p w14:paraId="790D2FA9" w14:textId="77777777" w:rsidR="00E13804" w:rsidRDefault="00E13804" w:rsidP="00E13804">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 xml:space="preserve">Module Name: </w:t>
      </w:r>
      <w:r>
        <w:rPr>
          <w:rFonts w:ascii="Times New Roman" w:hAnsi="Times New Roman"/>
          <w:sz w:val="22"/>
          <w:szCs w:val="22"/>
          <w:lang w:eastAsia="en-GB"/>
        </w:rPr>
        <w:t>Marketing Management</w:t>
      </w:r>
    </w:p>
    <w:p w14:paraId="09EA5C43" w14:textId="77777777" w:rsidR="00E13804" w:rsidRDefault="00E13804" w:rsidP="00E13804">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 xml:space="preserve">Module code: </w:t>
      </w:r>
      <w:r>
        <w:rPr>
          <w:rFonts w:ascii="Times New Roman" w:hAnsi="Times New Roman"/>
          <w:sz w:val="22"/>
          <w:szCs w:val="22"/>
          <w:lang w:eastAsia="en-GB"/>
        </w:rPr>
        <w:t>LCMB7024</w:t>
      </w:r>
    </w:p>
    <w:p w14:paraId="7EE21F2C" w14:textId="77777777" w:rsidR="00E13804" w:rsidRDefault="00E13804" w:rsidP="00E13804">
      <w:pPr>
        <w:ind w:hanging="284"/>
        <w:rPr>
          <w:rFonts w:ascii="Times New Roman" w:hAnsi="Times New Roman"/>
          <w:sz w:val="22"/>
          <w:szCs w:val="22"/>
          <w:lang w:eastAsia="en-GB"/>
        </w:rPr>
      </w:pPr>
    </w:p>
    <w:p w14:paraId="43D2DAF6" w14:textId="77777777" w:rsidR="00E13804" w:rsidRDefault="00E13804" w:rsidP="00E13804">
      <w:pPr>
        <w:ind w:hanging="284"/>
        <w:rPr>
          <w:rFonts w:ascii="Times New Roman" w:hAnsi="Times New Roman"/>
          <w:sz w:val="22"/>
          <w:szCs w:val="22"/>
          <w:lang w:eastAsia="en-GB"/>
        </w:rPr>
      </w:pPr>
    </w:p>
    <w:p w14:paraId="0B26F280" w14:textId="77777777" w:rsidR="00E13804" w:rsidRDefault="00E13804" w:rsidP="00E13804">
      <w:pPr>
        <w:ind w:hanging="284"/>
        <w:rPr>
          <w:rFonts w:ascii="Times New Roman" w:hAnsi="Times New Roman"/>
          <w:sz w:val="22"/>
          <w:szCs w:val="22"/>
          <w:lang w:eastAsia="en-GB"/>
        </w:rPr>
      </w:pPr>
    </w:p>
    <w:p w14:paraId="7031D7E3" w14:textId="77777777" w:rsidR="00E13804" w:rsidRPr="00BF589B" w:rsidRDefault="00E13804" w:rsidP="00E13804">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 xml:space="preserve">Lecturer Name: </w:t>
      </w:r>
      <w:r>
        <w:rPr>
          <w:rFonts w:ascii="Times New Roman" w:hAnsi="Times New Roman"/>
          <w:sz w:val="22"/>
          <w:szCs w:val="22"/>
          <w:lang w:eastAsia="en-GB"/>
        </w:rPr>
        <w:t xml:space="preserve">Dr Tushara bakendran </w:t>
      </w:r>
    </w:p>
    <w:p w14:paraId="3A79995C" w14:textId="11C89E09" w:rsidR="00E13804" w:rsidRPr="00E30775" w:rsidRDefault="00E13804" w:rsidP="00E13804">
      <w:pPr>
        <w:rPr>
          <w:rFonts w:ascii="Times New Roman" w:hAnsi="Times New Roman"/>
        </w:rPr>
      </w:pPr>
      <w:r>
        <w:rPr>
          <w:rFonts w:ascii="Times New Roman" w:hAnsi="Times New Roman"/>
          <w:b/>
          <w:bCs/>
          <w:sz w:val="22"/>
          <w:szCs w:val="22"/>
          <w:lang w:eastAsia="en-GB"/>
        </w:rPr>
        <w:t xml:space="preserve">                                                                      </w:t>
      </w:r>
      <w:r>
        <w:rPr>
          <w:rFonts w:ascii="Times New Roman" w:hAnsi="Times New Roman"/>
          <w:b/>
          <w:bCs/>
        </w:rPr>
        <w:t>Term:</w:t>
      </w:r>
      <w:r>
        <w:rPr>
          <w:rFonts w:ascii="Times New Roman" w:hAnsi="Times New Roman"/>
        </w:rPr>
        <w:t>01</w:t>
      </w:r>
    </w:p>
    <w:p w14:paraId="65FD41C6" w14:textId="77777777" w:rsidR="00E13804" w:rsidRDefault="00E13804" w:rsidP="00E13804">
      <w:pPr>
        <w:rPr>
          <w:rFonts w:ascii="Times New Roman" w:hAnsi="Times New Roman"/>
        </w:rPr>
      </w:pPr>
    </w:p>
    <w:p w14:paraId="3FD14396" w14:textId="77777777" w:rsidR="00E13804" w:rsidRDefault="00E13804" w:rsidP="00E13804">
      <w:pPr>
        <w:rPr>
          <w:rFonts w:ascii="Times New Roman" w:hAnsi="Times New Roman"/>
        </w:rPr>
      </w:pPr>
    </w:p>
    <w:p w14:paraId="01FAB566" w14:textId="7C145748" w:rsidR="00233264" w:rsidRPr="00233264" w:rsidRDefault="00E13804" w:rsidP="001A1606">
      <w:pPr>
        <w:rPr>
          <w:rFonts w:ascii="Times New Roman" w:eastAsia="Times New Roman" w:hAnsi="Times New Roman"/>
          <w:b/>
        </w:rPr>
      </w:pPr>
      <w:r>
        <w:rPr>
          <w:rFonts w:ascii="Times New Roman" w:eastAsia="Times New Roman" w:hAnsi="Times New Roman"/>
        </w:rPr>
        <w:t xml:space="preserve">                                                         </w:t>
      </w:r>
      <w:r w:rsidR="00FA1626" w:rsidRPr="00233264">
        <w:rPr>
          <w:rFonts w:ascii="Times New Roman" w:eastAsia="Times New Roman" w:hAnsi="Times New Roman"/>
          <w:b/>
        </w:rPr>
        <w:t xml:space="preserve">Assignment Title: </w:t>
      </w:r>
    </w:p>
    <w:p w14:paraId="0A0DC9F9" w14:textId="77777777" w:rsidR="001A1606" w:rsidRPr="00233264" w:rsidRDefault="001A1606" w:rsidP="001A1606">
      <w:pPr>
        <w:rPr>
          <w:rFonts w:ascii="Times New Roman" w:hAnsi="Times New Roman"/>
        </w:rPr>
      </w:pPr>
      <w:r w:rsidRPr="00233264">
        <w:rPr>
          <w:rStyle w:val="Strong"/>
          <w:rFonts w:ascii="Times New Roman" w:hAnsi="Times New Roman"/>
          <w:b w:val="0"/>
          <w:bCs w:val="0"/>
        </w:rPr>
        <w:t>Marketing Environmental Analysis: Tesla (Pioneer) and BYD (Follower) in the Global EV Industry</w:t>
      </w:r>
    </w:p>
    <w:p w14:paraId="4E0A069D" w14:textId="77777777" w:rsidR="00FA1626" w:rsidRDefault="00FA1626" w:rsidP="008A1BC3">
      <w:pPr>
        <w:rPr>
          <w:rFonts w:ascii="Times New Roman" w:eastAsia="Times New Roman" w:hAnsi="Times New Roman"/>
          <w:b/>
        </w:rPr>
      </w:pPr>
    </w:p>
    <w:p w14:paraId="0AC6CAC6" w14:textId="77777777" w:rsidR="00140BE2" w:rsidRDefault="00140BE2" w:rsidP="008A1BC3">
      <w:pPr>
        <w:spacing w:before="280" w:after="280"/>
        <w:jc w:val="left"/>
      </w:pPr>
    </w:p>
    <w:p w14:paraId="075DB259" w14:textId="77777777" w:rsidR="00140BE2" w:rsidRDefault="00140BE2" w:rsidP="008A1BC3">
      <w:pPr>
        <w:spacing w:before="280" w:after="280"/>
        <w:jc w:val="left"/>
      </w:pPr>
    </w:p>
    <w:p w14:paraId="308FBE73" w14:textId="77777777" w:rsidR="00140BE2" w:rsidRDefault="00140BE2" w:rsidP="008A1BC3">
      <w:pPr>
        <w:spacing w:before="280" w:after="280"/>
        <w:jc w:val="left"/>
      </w:pPr>
    </w:p>
    <w:p w14:paraId="158A0B82" w14:textId="77777777" w:rsidR="00140BE2" w:rsidRDefault="00140BE2" w:rsidP="008A1BC3">
      <w:pPr>
        <w:spacing w:before="280" w:after="280"/>
        <w:jc w:val="left"/>
      </w:pPr>
    </w:p>
    <w:p w14:paraId="6BE849DF" w14:textId="77777777" w:rsidR="00140BE2" w:rsidRDefault="00140BE2" w:rsidP="008A1BC3">
      <w:pPr>
        <w:spacing w:before="280" w:after="280"/>
        <w:jc w:val="left"/>
      </w:pPr>
    </w:p>
    <w:p w14:paraId="4966F370" w14:textId="77777777" w:rsidR="00176B3C" w:rsidRDefault="00176B3C" w:rsidP="008A1BC3">
      <w:pPr>
        <w:ind w:hanging="284"/>
        <w:rPr>
          <w:rFonts w:ascii="Times New Roman" w:hAnsi="Times New Roman"/>
          <w:b/>
          <w:bCs/>
          <w:sz w:val="22"/>
          <w:szCs w:val="22"/>
          <w:lang w:eastAsia="en-GB"/>
        </w:rPr>
      </w:pPr>
    </w:p>
    <w:sdt>
      <w:sdtPr>
        <w:rPr>
          <w:rFonts w:ascii="Times New Roman" w:eastAsiaTheme="minorHAnsi" w:hAnsi="Times New Roman" w:cs="Times New Roman"/>
          <w:b/>
          <w:bCs/>
          <w:color w:val="auto"/>
          <w:spacing w:val="-10"/>
          <w:kern w:val="32"/>
          <w:sz w:val="22"/>
          <w:szCs w:val="24"/>
          <w:lang w:val="en-GB" w:eastAsia="en-GB"/>
        </w:rPr>
        <w:id w:val="669221256"/>
        <w:docPartObj>
          <w:docPartGallery w:val="Table of Contents"/>
          <w:docPartUnique/>
        </w:docPartObj>
      </w:sdtPr>
      <w:sdtEndPr>
        <w:rPr>
          <w:rFonts w:ascii="Arial" w:hAnsi="Arial"/>
          <w:b w:val="0"/>
          <w:bCs w:val="0"/>
          <w:noProof/>
          <w:spacing w:val="0"/>
          <w:kern w:val="0"/>
          <w:sz w:val="24"/>
          <w:lang w:val="en-US" w:eastAsia="en-US"/>
        </w:rPr>
      </w:sdtEndPr>
      <w:sdtContent>
        <w:p w14:paraId="0D95DA3F" w14:textId="77777777" w:rsidR="00255593" w:rsidRPr="00BA2F5D" w:rsidRDefault="00255593" w:rsidP="008A1BC3">
          <w:pPr>
            <w:pStyle w:val="TOCHeading"/>
            <w:rPr>
              <w:rFonts w:ascii="Times New Roman" w:hAnsi="Times New Roman" w:cs="Times New Roman"/>
              <w:b/>
              <w:color w:val="auto"/>
              <w:sz w:val="40"/>
              <w:szCs w:val="24"/>
            </w:rPr>
          </w:pPr>
          <w:r w:rsidRPr="00BA2F5D">
            <w:rPr>
              <w:rFonts w:ascii="Times New Roman" w:hAnsi="Times New Roman" w:cs="Times New Roman"/>
              <w:color w:val="auto"/>
              <w:sz w:val="22"/>
              <w:szCs w:val="24"/>
            </w:rPr>
            <w:t xml:space="preserve">                                          </w:t>
          </w:r>
          <w:r w:rsidRPr="00BA2F5D">
            <w:rPr>
              <w:rFonts w:ascii="Times New Roman" w:hAnsi="Times New Roman" w:cs="Times New Roman"/>
              <w:color w:val="auto"/>
              <w:sz w:val="40"/>
              <w:szCs w:val="24"/>
            </w:rPr>
            <w:t>Table of Contents</w:t>
          </w:r>
        </w:p>
        <w:p w14:paraId="48E24C19" w14:textId="77777777" w:rsidR="001A1606" w:rsidRDefault="00255593">
          <w:pPr>
            <w:pStyle w:val="TOC3"/>
            <w:tabs>
              <w:tab w:val="right" w:leader="dot" w:pos="10054"/>
            </w:tabs>
            <w:rPr>
              <w:rFonts w:asciiTheme="minorHAnsi" w:eastAsiaTheme="minorEastAsia" w:hAnsiTheme="minorHAnsi" w:cstheme="minorBidi"/>
              <w:noProof/>
              <w:sz w:val="22"/>
              <w:szCs w:val="22"/>
              <w:lang w:val="en-GB"/>
            </w:rPr>
          </w:pPr>
          <w:r w:rsidRPr="00BA2F5D">
            <w:rPr>
              <w:rFonts w:ascii="Times New Roman" w:eastAsiaTheme="majorEastAsia" w:hAnsi="Times New Roman"/>
              <w:sz w:val="22"/>
              <w:szCs w:val="28"/>
            </w:rPr>
            <w:fldChar w:fldCharType="begin"/>
          </w:r>
          <w:r w:rsidRPr="00BA2F5D">
            <w:rPr>
              <w:rFonts w:ascii="Times New Roman" w:hAnsi="Times New Roman"/>
              <w:sz w:val="22"/>
              <w:szCs w:val="28"/>
            </w:rPr>
            <w:instrText xml:space="preserve"> TOC \o "1-3" \h \z \u </w:instrText>
          </w:r>
          <w:r w:rsidRPr="00BA2F5D">
            <w:rPr>
              <w:rFonts w:ascii="Times New Roman" w:eastAsiaTheme="majorEastAsia" w:hAnsi="Times New Roman"/>
              <w:sz w:val="22"/>
              <w:szCs w:val="28"/>
            </w:rPr>
            <w:fldChar w:fldCharType="separate"/>
          </w:r>
          <w:hyperlink w:anchor="_Toc214460692" w:history="1">
            <w:r w:rsidR="001A1606" w:rsidRPr="00286CD1">
              <w:rPr>
                <w:rStyle w:val="Hyperlink"/>
                <w:noProof/>
              </w:rPr>
              <w:t>Marketing Environmental Analysis: Tesla (Pioneer) and BYD (Follower) in the Global EV Industry</w:t>
            </w:r>
            <w:r w:rsidR="001A1606">
              <w:rPr>
                <w:noProof/>
                <w:webHidden/>
              </w:rPr>
              <w:tab/>
            </w:r>
            <w:r w:rsidR="001A1606">
              <w:rPr>
                <w:noProof/>
                <w:webHidden/>
              </w:rPr>
              <w:fldChar w:fldCharType="begin"/>
            </w:r>
            <w:r w:rsidR="001A1606">
              <w:rPr>
                <w:noProof/>
                <w:webHidden/>
              </w:rPr>
              <w:instrText xml:space="preserve"> PAGEREF _Toc214460692 \h </w:instrText>
            </w:r>
            <w:r w:rsidR="001A1606">
              <w:rPr>
                <w:noProof/>
                <w:webHidden/>
              </w:rPr>
            </w:r>
            <w:r w:rsidR="001A1606">
              <w:rPr>
                <w:noProof/>
                <w:webHidden/>
              </w:rPr>
              <w:fldChar w:fldCharType="separate"/>
            </w:r>
            <w:r w:rsidR="001A1606">
              <w:rPr>
                <w:noProof/>
                <w:webHidden/>
              </w:rPr>
              <w:t>4</w:t>
            </w:r>
            <w:r w:rsidR="001A1606">
              <w:rPr>
                <w:noProof/>
                <w:webHidden/>
              </w:rPr>
              <w:fldChar w:fldCharType="end"/>
            </w:r>
          </w:hyperlink>
        </w:p>
        <w:p w14:paraId="2C8E312D" w14:textId="77777777" w:rsidR="001A1606" w:rsidRDefault="001A1606">
          <w:pPr>
            <w:pStyle w:val="TOC1"/>
            <w:rPr>
              <w:rFonts w:asciiTheme="minorHAnsi" w:eastAsiaTheme="minorEastAsia" w:hAnsiTheme="minorHAnsi" w:cstheme="minorBidi"/>
              <w:sz w:val="22"/>
              <w:szCs w:val="22"/>
              <w:lang w:val="en-GB"/>
            </w:rPr>
          </w:pPr>
          <w:hyperlink w:anchor="_Toc214460693" w:history="1">
            <w:r w:rsidRPr="00286CD1">
              <w:rPr>
                <w:rStyle w:val="Hyperlink"/>
              </w:rPr>
              <w:t>1. Introduction</w:t>
            </w:r>
            <w:r>
              <w:rPr>
                <w:webHidden/>
              </w:rPr>
              <w:tab/>
            </w:r>
            <w:r>
              <w:rPr>
                <w:webHidden/>
              </w:rPr>
              <w:fldChar w:fldCharType="begin"/>
            </w:r>
            <w:r>
              <w:rPr>
                <w:webHidden/>
              </w:rPr>
              <w:instrText xml:space="preserve"> PAGEREF _Toc214460693 \h </w:instrText>
            </w:r>
            <w:r>
              <w:rPr>
                <w:webHidden/>
              </w:rPr>
            </w:r>
            <w:r>
              <w:rPr>
                <w:webHidden/>
              </w:rPr>
              <w:fldChar w:fldCharType="separate"/>
            </w:r>
            <w:r>
              <w:rPr>
                <w:webHidden/>
              </w:rPr>
              <w:t>4</w:t>
            </w:r>
            <w:r>
              <w:rPr>
                <w:webHidden/>
              </w:rPr>
              <w:fldChar w:fldCharType="end"/>
            </w:r>
          </w:hyperlink>
        </w:p>
        <w:p w14:paraId="660159DF"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694" w:history="1">
            <w:r w:rsidRPr="00286CD1">
              <w:rPr>
                <w:rStyle w:val="Hyperlink"/>
                <w:noProof/>
              </w:rPr>
              <w:t>1.1 Strategic Marketing Management and Its Relevance</w:t>
            </w:r>
            <w:r>
              <w:rPr>
                <w:noProof/>
                <w:webHidden/>
              </w:rPr>
              <w:tab/>
            </w:r>
            <w:r>
              <w:rPr>
                <w:noProof/>
                <w:webHidden/>
              </w:rPr>
              <w:fldChar w:fldCharType="begin"/>
            </w:r>
            <w:r>
              <w:rPr>
                <w:noProof/>
                <w:webHidden/>
              </w:rPr>
              <w:instrText xml:space="preserve"> PAGEREF _Toc214460694 \h </w:instrText>
            </w:r>
            <w:r>
              <w:rPr>
                <w:noProof/>
                <w:webHidden/>
              </w:rPr>
            </w:r>
            <w:r>
              <w:rPr>
                <w:noProof/>
                <w:webHidden/>
              </w:rPr>
              <w:fldChar w:fldCharType="separate"/>
            </w:r>
            <w:r>
              <w:rPr>
                <w:noProof/>
                <w:webHidden/>
              </w:rPr>
              <w:t>4</w:t>
            </w:r>
            <w:r>
              <w:rPr>
                <w:noProof/>
                <w:webHidden/>
              </w:rPr>
              <w:fldChar w:fldCharType="end"/>
            </w:r>
          </w:hyperlink>
        </w:p>
        <w:p w14:paraId="5CE1A7A3"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695" w:history="1">
            <w:r w:rsidRPr="00286CD1">
              <w:rPr>
                <w:rStyle w:val="Hyperlink"/>
                <w:noProof/>
              </w:rPr>
              <w:t>1.2 Importance of Analysing the Macro Environment</w:t>
            </w:r>
            <w:r>
              <w:rPr>
                <w:noProof/>
                <w:webHidden/>
              </w:rPr>
              <w:tab/>
            </w:r>
            <w:r>
              <w:rPr>
                <w:noProof/>
                <w:webHidden/>
              </w:rPr>
              <w:fldChar w:fldCharType="begin"/>
            </w:r>
            <w:r>
              <w:rPr>
                <w:noProof/>
                <w:webHidden/>
              </w:rPr>
              <w:instrText xml:space="preserve"> PAGEREF _Toc214460695 \h </w:instrText>
            </w:r>
            <w:r>
              <w:rPr>
                <w:noProof/>
                <w:webHidden/>
              </w:rPr>
            </w:r>
            <w:r>
              <w:rPr>
                <w:noProof/>
                <w:webHidden/>
              </w:rPr>
              <w:fldChar w:fldCharType="separate"/>
            </w:r>
            <w:r>
              <w:rPr>
                <w:noProof/>
                <w:webHidden/>
              </w:rPr>
              <w:t>5</w:t>
            </w:r>
            <w:r>
              <w:rPr>
                <w:noProof/>
                <w:webHidden/>
              </w:rPr>
              <w:fldChar w:fldCharType="end"/>
            </w:r>
          </w:hyperlink>
        </w:p>
        <w:p w14:paraId="57E8FA12"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696" w:history="1">
            <w:r w:rsidRPr="00286CD1">
              <w:rPr>
                <w:rStyle w:val="Hyperlink"/>
                <w:noProof/>
              </w:rPr>
              <w:t>1.3 Scope and Structure of the Report</w:t>
            </w:r>
            <w:r>
              <w:rPr>
                <w:noProof/>
                <w:webHidden/>
              </w:rPr>
              <w:tab/>
            </w:r>
            <w:r>
              <w:rPr>
                <w:noProof/>
                <w:webHidden/>
              </w:rPr>
              <w:fldChar w:fldCharType="begin"/>
            </w:r>
            <w:r>
              <w:rPr>
                <w:noProof/>
                <w:webHidden/>
              </w:rPr>
              <w:instrText xml:space="preserve"> PAGEREF _Toc214460696 \h </w:instrText>
            </w:r>
            <w:r>
              <w:rPr>
                <w:noProof/>
                <w:webHidden/>
              </w:rPr>
            </w:r>
            <w:r>
              <w:rPr>
                <w:noProof/>
                <w:webHidden/>
              </w:rPr>
              <w:fldChar w:fldCharType="separate"/>
            </w:r>
            <w:r>
              <w:rPr>
                <w:noProof/>
                <w:webHidden/>
              </w:rPr>
              <w:t>5</w:t>
            </w:r>
            <w:r>
              <w:rPr>
                <w:noProof/>
                <w:webHidden/>
              </w:rPr>
              <w:fldChar w:fldCharType="end"/>
            </w:r>
          </w:hyperlink>
        </w:p>
        <w:p w14:paraId="1FCE66EC" w14:textId="77777777" w:rsidR="001A1606" w:rsidRDefault="001A1606">
          <w:pPr>
            <w:pStyle w:val="TOC1"/>
            <w:rPr>
              <w:rFonts w:asciiTheme="minorHAnsi" w:eastAsiaTheme="minorEastAsia" w:hAnsiTheme="minorHAnsi" w:cstheme="minorBidi"/>
              <w:sz w:val="22"/>
              <w:szCs w:val="22"/>
              <w:lang w:val="en-GB"/>
            </w:rPr>
          </w:pPr>
          <w:hyperlink w:anchor="_Toc214460697" w:history="1">
            <w:r w:rsidRPr="00286CD1">
              <w:rPr>
                <w:rStyle w:val="Hyperlink"/>
              </w:rPr>
              <w:t>2. Task 1: Critical Analysis of the Macro Marketing Environment</w:t>
            </w:r>
            <w:r>
              <w:rPr>
                <w:webHidden/>
              </w:rPr>
              <w:tab/>
            </w:r>
            <w:r>
              <w:rPr>
                <w:webHidden/>
              </w:rPr>
              <w:fldChar w:fldCharType="begin"/>
            </w:r>
            <w:r>
              <w:rPr>
                <w:webHidden/>
              </w:rPr>
              <w:instrText xml:space="preserve"> PAGEREF _Toc214460697 \h </w:instrText>
            </w:r>
            <w:r>
              <w:rPr>
                <w:webHidden/>
              </w:rPr>
            </w:r>
            <w:r>
              <w:rPr>
                <w:webHidden/>
              </w:rPr>
              <w:fldChar w:fldCharType="separate"/>
            </w:r>
            <w:r>
              <w:rPr>
                <w:webHidden/>
              </w:rPr>
              <w:t>6</w:t>
            </w:r>
            <w:r>
              <w:rPr>
                <w:webHidden/>
              </w:rPr>
              <w:fldChar w:fldCharType="end"/>
            </w:r>
          </w:hyperlink>
        </w:p>
        <w:p w14:paraId="4C4F322B"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698" w:history="1">
            <w:r w:rsidRPr="00286CD1">
              <w:rPr>
                <w:rStyle w:val="Hyperlink"/>
                <w:noProof/>
              </w:rPr>
              <w:t>2.1 Understanding the Macro Marketing Environment</w:t>
            </w:r>
            <w:r>
              <w:rPr>
                <w:noProof/>
                <w:webHidden/>
              </w:rPr>
              <w:tab/>
            </w:r>
            <w:r>
              <w:rPr>
                <w:noProof/>
                <w:webHidden/>
              </w:rPr>
              <w:fldChar w:fldCharType="begin"/>
            </w:r>
            <w:r>
              <w:rPr>
                <w:noProof/>
                <w:webHidden/>
              </w:rPr>
              <w:instrText xml:space="preserve"> PAGEREF _Toc214460698 \h </w:instrText>
            </w:r>
            <w:r>
              <w:rPr>
                <w:noProof/>
                <w:webHidden/>
              </w:rPr>
            </w:r>
            <w:r>
              <w:rPr>
                <w:noProof/>
                <w:webHidden/>
              </w:rPr>
              <w:fldChar w:fldCharType="separate"/>
            </w:r>
            <w:r>
              <w:rPr>
                <w:noProof/>
                <w:webHidden/>
              </w:rPr>
              <w:t>6</w:t>
            </w:r>
            <w:r>
              <w:rPr>
                <w:noProof/>
                <w:webHidden/>
              </w:rPr>
              <w:fldChar w:fldCharType="end"/>
            </w:r>
          </w:hyperlink>
        </w:p>
        <w:p w14:paraId="15446B93"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699" w:history="1">
            <w:r w:rsidRPr="00286CD1">
              <w:rPr>
                <w:rStyle w:val="Hyperlink"/>
                <w:noProof/>
              </w:rPr>
              <w:t>2.1.1 The Concept and Purpose of Macro-Environment Analysis</w:t>
            </w:r>
            <w:r>
              <w:rPr>
                <w:noProof/>
                <w:webHidden/>
              </w:rPr>
              <w:tab/>
            </w:r>
            <w:r>
              <w:rPr>
                <w:noProof/>
                <w:webHidden/>
              </w:rPr>
              <w:fldChar w:fldCharType="begin"/>
            </w:r>
            <w:r>
              <w:rPr>
                <w:noProof/>
                <w:webHidden/>
              </w:rPr>
              <w:instrText xml:space="preserve"> PAGEREF _Toc214460699 \h </w:instrText>
            </w:r>
            <w:r>
              <w:rPr>
                <w:noProof/>
                <w:webHidden/>
              </w:rPr>
            </w:r>
            <w:r>
              <w:rPr>
                <w:noProof/>
                <w:webHidden/>
              </w:rPr>
              <w:fldChar w:fldCharType="separate"/>
            </w:r>
            <w:r>
              <w:rPr>
                <w:noProof/>
                <w:webHidden/>
              </w:rPr>
              <w:t>6</w:t>
            </w:r>
            <w:r>
              <w:rPr>
                <w:noProof/>
                <w:webHidden/>
              </w:rPr>
              <w:fldChar w:fldCharType="end"/>
            </w:r>
          </w:hyperlink>
        </w:p>
        <w:p w14:paraId="7CDF929B"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00" w:history="1">
            <w:r w:rsidRPr="00286CD1">
              <w:rPr>
                <w:rStyle w:val="Hyperlink"/>
                <w:noProof/>
              </w:rPr>
              <w:t>2.1.2 The PESTEL Framework as a Diagnostic Tool</w:t>
            </w:r>
            <w:r>
              <w:rPr>
                <w:noProof/>
                <w:webHidden/>
              </w:rPr>
              <w:tab/>
            </w:r>
            <w:r>
              <w:rPr>
                <w:noProof/>
                <w:webHidden/>
              </w:rPr>
              <w:fldChar w:fldCharType="begin"/>
            </w:r>
            <w:r>
              <w:rPr>
                <w:noProof/>
                <w:webHidden/>
              </w:rPr>
              <w:instrText xml:space="preserve"> PAGEREF _Toc214460700 \h </w:instrText>
            </w:r>
            <w:r>
              <w:rPr>
                <w:noProof/>
                <w:webHidden/>
              </w:rPr>
            </w:r>
            <w:r>
              <w:rPr>
                <w:noProof/>
                <w:webHidden/>
              </w:rPr>
              <w:fldChar w:fldCharType="separate"/>
            </w:r>
            <w:r>
              <w:rPr>
                <w:noProof/>
                <w:webHidden/>
              </w:rPr>
              <w:t>7</w:t>
            </w:r>
            <w:r>
              <w:rPr>
                <w:noProof/>
                <w:webHidden/>
              </w:rPr>
              <w:fldChar w:fldCharType="end"/>
            </w:r>
          </w:hyperlink>
        </w:p>
        <w:p w14:paraId="28084AF5"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01" w:history="1">
            <w:r w:rsidRPr="00286CD1">
              <w:rPr>
                <w:rStyle w:val="Hyperlink"/>
                <w:noProof/>
              </w:rPr>
              <w:t>2.2 Selected Macro Actors: Technological and Environmental Forces</w:t>
            </w:r>
            <w:r>
              <w:rPr>
                <w:noProof/>
                <w:webHidden/>
              </w:rPr>
              <w:tab/>
            </w:r>
            <w:r>
              <w:rPr>
                <w:noProof/>
                <w:webHidden/>
              </w:rPr>
              <w:fldChar w:fldCharType="begin"/>
            </w:r>
            <w:r>
              <w:rPr>
                <w:noProof/>
                <w:webHidden/>
              </w:rPr>
              <w:instrText xml:space="preserve"> PAGEREF _Toc214460701 \h </w:instrText>
            </w:r>
            <w:r>
              <w:rPr>
                <w:noProof/>
                <w:webHidden/>
              </w:rPr>
            </w:r>
            <w:r>
              <w:rPr>
                <w:noProof/>
                <w:webHidden/>
              </w:rPr>
              <w:fldChar w:fldCharType="separate"/>
            </w:r>
            <w:r>
              <w:rPr>
                <w:noProof/>
                <w:webHidden/>
              </w:rPr>
              <w:t>8</w:t>
            </w:r>
            <w:r>
              <w:rPr>
                <w:noProof/>
                <w:webHidden/>
              </w:rPr>
              <w:fldChar w:fldCharType="end"/>
            </w:r>
          </w:hyperlink>
        </w:p>
        <w:p w14:paraId="61305C36"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02" w:history="1">
            <w:r w:rsidRPr="00286CD1">
              <w:rPr>
                <w:rStyle w:val="Hyperlink"/>
                <w:noProof/>
              </w:rPr>
              <w:t>2.2.1 Rationale for Selecting Technological Forces</w:t>
            </w:r>
            <w:r>
              <w:rPr>
                <w:noProof/>
                <w:webHidden/>
              </w:rPr>
              <w:tab/>
            </w:r>
            <w:r>
              <w:rPr>
                <w:noProof/>
                <w:webHidden/>
              </w:rPr>
              <w:fldChar w:fldCharType="begin"/>
            </w:r>
            <w:r>
              <w:rPr>
                <w:noProof/>
                <w:webHidden/>
              </w:rPr>
              <w:instrText xml:space="preserve"> PAGEREF _Toc214460702 \h </w:instrText>
            </w:r>
            <w:r>
              <w:rPr>
                <w:noProof/>
                <w:webHidden/>
              </w:rPr>
            </w:r>
            <w:r>
              <w:rPr>
                <w:noProof/>
                <w:webHidden/>
              </w:rPr>
              <w:fldChar w:fldCharType="separate"/>
            </w:r>
            <w:r>
              <w:rPr>
                <w:noProof/>
                <w:webHidden/>
              </w:rPr>
              <w:t>8</w:t>
            </w:r>
            <w:r>
              <w:rPr>
                <w:noProof/>
                <w:webHidden/>
              </w:rPr>
              <w:fldChar w:fldCharType="end"/>
            </w:r>
          </w:hyperlink>
        </w:p>
        <w:p w14:paraId="174E8133"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03" w:history="1">
            <w:r w:rsidRPr="00286CD1">
              <w:rPr>
                <w:rStyle w:val="Hyperlink"/>
                <w:noProof/>
              </w:rPr>
              <w:t>2.2.2 Rationale for Selecting Environmental Forces</w:t>
            </w:r>
            <w:r>
              <w:rPr>
                <w:noProof/>
                <w:webHidden/>
              </w:rPr>
              <w:tab/>
            </w:r>
            <w:r>
              <w:rPr>
                <w:noProof/>
                <w:webHidden/>
              </w:rPr>
              <w:fldChar w:fldCharType="begin"/>
            </w:r>
            <w:r>
              <w:rPr>
                <w:noProof/>
                <w:webHidden/>
              </w:rPr>
              <w:instrText xml:space="preserve"> PAGEREF _Toc214460703 \h </w:instrText>
            </w:r>
            <w:r>
              <w:rPr>
                <w:noProof/>
                <w:webHidden/>
              </w:rPr>
            </w:r>
            <w:r>
              <w:rPr>
                <w:noProof/>
                <w:webHidden/>
              </w:rPr>
              <w:fldChar w:fldCharType="separate"/>
            </w:r>
            <w:r>
              <w:rPr>
                <w:noProof/>
                <w:webHidden/>
              </w:rPr>
              <w:t>9</w:t>
            </w:r>
            <w:r>
              <w:rPr>
                <w:noProof/>
                <w:webHidden/>
              </w:rPr>
              <w:fldChar w:fldCharType="end"/>
            </w:r>
          </w:hyperlink>
        </w:p>
        <w:p w14:paraId="39BF457D" w14:textId="77777777" w:rsidR="001A1606" w:rsidRDefault="001A1606">
          <w:pPr>
            <w:pStyle w:val="TOC1"/>
            <w:rPr>
              <w:rFonts w:asciiTheme="minorHAnsi" w:eastAsiaTheme="minorEastAsia" w:hAnsiTheme="minorHAnsi" w:cstheme="minorBidi"/>
              <w:sz w:val="22"/>
              <w:szCs w:val="22"/>
              <w:lang w:val="en-GB"/>
            </w:rPr>
          </w:pPr>
          <w:hyperlink w:anchor="_Toc214460704" w:history="1">
            <w:r w:rsidRPr="00286CD1">
              <w:rPr>
                <w:rStyle w:val="Hyperlink"/>
              </w:rPr>
              <w:t>3. Detailed Examination of Technological Forces in the EV Industry</w:t>
            </w:r>
            <w:r>
              <w:rPr>
                <w:webHidden/>
              </w:rPr>
              <w:tab/>
            </w:r>
            <w:r>
              <w:rPr>
                <w:webHidden/>
              </w:rPr>
              <w:fldChar w:fldCharType="begin"/>
            </w:r>
            <w:r>
              <w:rPr>
                <w:webHidden/>
              </w:rPr>
              <w:instrText xml:space="preserve"> PAGEREF _Toc214460704 \h </w:instrText>
            </w:r>
            <w:r>
              <w:rPr>
                <w:webHidden/>
              </w:rPr>
            </w:r>
            <w:r>
              <w:rPr>
                <w:webHidden/>
              </w:rPr>
              <w:fldChar w:fldCharType="separate"/>
            </w:r>
            <w:r>
              <w:rPr>
                <w:webHidden/>
              </w:rPr>
              <w:t>9</w:t>
            </w:r>
            <w:r>
              <w:rPr>
                <w:webHidden/>
              </w:rPr>
              <w:fldChar w:fldCharType="end"/>
            </w:r>
          </w:hyperlink>
        </w:p>
        <w:p w14:paraId="79D99C95"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05" w:history="1">
            <w:r w:rsidRPr="00286CD1">
              <w:rPr>
                <w:rStyle w:val="Hyperlink"/>
                <w:noProof/>
              </w:rPr>
              <w:t>3.1 Evolution of Battery Technology</w:t>
            </w:r>
            <w:r>
              <w:rPr>
                <w:noProof/>
                <w:webHidden/>
              </w:rPr>
              <w:tab/>
            </w:r>
            <w:r>
              <w:rPr>
                <w:noProof/>
                <w:webHidden/>
              </w:rPr>
              <w:fldChar w:fldCharType="begin"/>
            </w:r>
            <w:r>
              <w:rPr>
                <w:noProof/>
                <w:webHidden/>
              </w:rPr>
              <w:instrText xml:space="preserve"> PAGEREF _Toc214460705 \h </w:instrText>
            </w:r>
            <w:r>
              <w:rPr>
                <w:noProof/>
                <w:webHidden/>
              </w:rPr>
            </w:r>
            <w:r>
              <w:rPr>
                <w:noProof/>
                <w:webHidden/>
              </w:rPr>
              <w:fldChar w:fldCharType="separate"/>
            </w:r>
            <w:r>
              <w:rPr>
                <w:noProof/>
                <w:webHidden/>
              </w:rPr>
              <w:t>9</w:t>
            </w:r>
            <w:r>
              <w:rPr>
                <w:noProof/>
                <w:webHidden/>
              </w:rPr>
              <w:fldChar w:fldCharType="end"/>
            </w:r>
          </w:hyperlink>
        </w:p>
        <w:p w14:paraId="2C58E79B"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06" w:history="1">
            <w:r w:rsidRPr="00286CD1">
              <w:rPr>
                <w:rStyle w:val="Hyperlink"/>
                <w:noProof/>
              </w:rPr>
              <w:t>3.2 Autonomous Driving and Software Ecosystems</w:t>
            </w:r>
            <w:r>
              <w:rPr>
                <w:noProof/>
                <w:webHidden/>
              </w:rPr>
              <w:tab/>
            </w:r>
            <w:r>
              <w:rPr>
                <w:noProof/>
                <w:webHidden/>
              </w:rPr>
              <w:fldChar w:fldCharType="begin"/>
            </w:r>
            <w:r>
              <w:rPr>
                <w:noProof/>
                <w:webHidden/>
              </w:rPr>
              <w:instrText xml:space="preserve"> PAGEREF _Toc214460706 \h </w:instrText>
            </w:r>
            <w:r>
              <w:rPr>
                <w:noProof/>
                <w:webHidden/>
              </w:rPr>
            </w:r>
            <w:r>
              <w:rPr>
                <w:noProof/>
                <w:webHidden/>
              </w:rPr>
              <w:fldChar w:fldCharType="separate"/>
            </w:r>
            <w:r>
              <w:rPr>
                <w:noProof/>
                <w:webHidden/>
              </w:rPr>
              <w:t>11</w:t>
            </w:r>
            <w:r>
              <w:rPr>
                <w:noProof/>
                <w:webHidden/>
              </w:rPr>
              <w:fldChar w:fldCharType="end"/>
            </w:r>
          </w:hyperlink>
        </w:p>
        <w:p w14:paraId="69B9F94D"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07" w:history="1">
            <w:r w:rsidRPr="00286CD1">
              <w:rPr>
                <w:rStyle w:val="Hyperlink"/>
                <w:noProof/>
              </w:rPr>
              <w:t>3.3 Innovation in Charging Infrastructure</w:t>
            </w:r>
            <w:r>
              <w:rPr>
                <w:noProof/>
                <w:webHidden/>
              </w:rPr>
              <w:tab/>
            </w:r>
            <w:r>
              <w:rPr>
                <w:noProof/>
                <w:webHidden/>
              </w:rPr>
              <w:fldChar w:fldCharType="begin"/>
            </w:r>
            <w:r>
              <w:rPr>
                <w:noProof/>
                <w:webHidden/>
              </w:rPr>
              <w:instrText xml:space="preserve"> PAGEREF _Toc214460707 \h </w:instrText>
            </w:r>
            <w:r>
              <w:rPr>
                <w:noProof/>
                <w:webHidden/>
              </w:rPr>
            </w:r>
            <w:r>
              <w:rPr>
                <w:noProof/>
                <w:webHidden/>
              </w:rPr>
              <w:fldChar w:fldCharType="separate"/>
            </w:r>
            <w:r>
              <w:rPr>
                <w:noProof/>
                <w:webHidden/>
              </w:rPr>
              <w:t>11</w:t>
            </w:r>
            <w:r>
              <w:rPr>
                <w:noProof/>
                <w:webHidden/>
              </w:rPr>
              <w:fldChar w:fldCharType="end"/>
            </w:r>
          </w:hyperlink>
        </w:p>
        <w:p w14:paraId="1E9DF091"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08" w:history="1">
            <w:r w:rsidRPr="00286CD1">
              <w:rPr>
                <w:rStyle w:val="Hyperlink"/>
                <w:noProof/>
              </w:rPr>
              <w:t>3.4 Technological Threats Facing the EV Industry</w:t>
            </w:r>
            <w:r>
              <w:rPr>
                <w:noProof/>
                <w:webHidden/>
              </w:rPr>
              <w:tab/>
            </w:r>
            <w:r>
              <w:rPr>
                <w:noProof/>
                <w:webHidden/>
              </w:rPr>
              <w:fldChar w:fldCharType="begin"/>
            </w:r>
            <w:r>
              <w:rPr>
                <w:noProof/>
                <w:webHidden/>
              </w:rPr>
              <w:instrText xml:space="preserve"> PAGEREF _Toc214460708 \h </w:instrText>
            </w:r>
            <w:r>
              <w:rPr>
                <w:noProof/>
                <w:webHidden/>
              </w:rPr>
            </w:r>
            <w:r>
              <w:rPr>
                <w:noProof/>
                <w:webHidden/>
              </w:rPr>
              <w:fldChar w:fldCharType="separate"/>
            </w:r>
            <w:r>
              <w:rPr>
                <w:noProof/>
                <w:webHidden/>
              </w:rPr>
              <w:t>12</w:t>
            </w:r>
            <w:r>
              <w:rPr>
                <w:noProof/>
                <w:webHidden/>
              </w:rPr>
              <w:fldChar w:fldCharType="end"/>
            </w:r>
          </w:hyperlink>
        </w:p>
        <w:p w14:paraId="2C22AC3D" w14:textId="77777777" w:rsidR="001A1606" w:rsidRDefault="001A1606">
          <w:pPr>
            <w:pStyle w:val="TOC1"/>
            <w:rPr>
              <w:rFonts w:asciiTheme="minorHAnsi" w:eastAsiaTheme="minorEastAsia" w:hAnsiTheme="minorHAnsi" w:cstheme="minorBidi"/>
              <w:sz w:val="22"/>
              <w:szCs w:val="22"/>
              <w:lang w:val="en-GB"/>
            </w:rPr>
          </w:pPr>
          <w:hyperlink w:anchor="_Toc214460709" w:history="1">
            <w:r w:rsidRPr="00286CD1">
              <w:rPr>
                <w:rStyle w:val="Hyperlink"/>
              </w:rPr>
              <w:t>4. Detailed Examination of Environmental Forces in the EV Industry</w:t>
            </w:r>
            <w:r>
              <w:rPr>
                <w:webHidden/>
              </w:rPr>
              <w:tab/>
            </w:r>
            <w:r>
              <w:rPr>
                <w:webHidden/>
              </w:rPr>
              <w:fldChar w:fldCharType="begin"/>
            </w:r>
            <w:r>
              <w:rPr>
                <w:webHidden/>
              </w:rPr>
              <w:instrText xml:space="preserve"> PAGEREF _Toc214460709 \h </w:instrText>
            </w:r>
            <w:r>
              <w:rPr>
                <w:webHidden/>
              </w:rPr>
            </w:r>
            <w:r>
              <w:rPr>
                <w:webHidden/>
              </w:rPr>
              <w:fldChar w:fldCharType="separate"/>
            </w:r>
            <w:r>
              <w:rPr>
                <w:webHidden/>
              </w:rPr>
              <w:t>12</w:t>
            </w:r>
            <w:r>
              <w:rPr>
                <w:webHidden/>
              </w:rPr>
              <w:fldChar w:fldCharType="end"/>
            </w:r>
          </w:hyperlink>
        </w:p>
        <w:p w14:paraId="49367787"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10" w:history="1">
            <w:r w:rsidRPr="00286CD1">
              <w:rPr>
                <w:rStyle w:val="Hyperlink"/>
                <w:noProof/>
              </w:rPr>
              <w:t>4.1 Climate Change as a Global Driver of EV Adoption</w:t>
            </w:r>
            <w:r>
              <w:rPr>
                <w:noProof/>
                <w:webHidden/>
              </w:rPr>
              <w:tab/>
            </w:r>
            <w:r>
              <w:rPr>
                <w:noProof/>
                <w:webHidden/>
              </w:rPr>
              <w:fldChar w:fldCharType="begin"/>
            </w:r>
            <w:r>
              <w:rPr>
                <w:noProof/>
                <w:webHidden/>
              </w:rPr>
              <w:instrText xml:space="preserve"> PAGEREF _Toc214460710 \h </w:instrText>
            </w:r>
            <w:r>
              <w:rPr>
                <w:noProof/>
                <w:webHidden/>
              </w:rPr>
            </w:r>
            <w:r>
              <w:rPr>
                <w:noProof/>
                <w:webHidden/>
              </w:rPr>
              <w:fldChar w:fldCharType="separate"/>
            </w:r>
            <w:r>
              <w:rPr>
                <w:noProof/>
                <w:webHidden/>
              </w:rPr>
              <w:t>12</w:t>
            </w:r>
            <w:r>
              <w:rPr>
                <w:noProof/>
                <w:webHidden/>
              </w:rPr>
              <w:fldChar w:fldCharType="end"/>
            </w:r>
          </w:hyperlink>
        </w:p>
        <w:p w14:paraId="499447F0"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11" w:history="1">
            <w:r w:rsidRPr="00286CD1">
              <w:rPr>
                <w:rStyle w:val="Hyperlink"/>
                <w:noProof/>
              </w:rPr>
              <w:t>4.2 Environmental Shifts in Consumer Attitudes</w:t>
            </w:r>
            <w:r>
              <w:rPr>
                <w:noProof/>
                <w:webHidden/>
              </w:rPr>
              <w:tab/>
            </w:r>
            <w:r>
              <w:rPr>
                <w:noProof/>
                <w:webHidden/>
              </w:rPr>
              <w:fldChar w:fldCharType="begin"/>
            </w:r>
            <w:r>
              <w:rPr>
                <w:noProof/>
                <w:webHidden/>
              </w:rPr>
              <w:instrText xml:space="preserve"> PAGEREF _Toc214460711 \h </w:instrText>
            </w:r>
            <w:r>
              <w:rPr>
                <w:noProof/>
                <w:webHidden/>
              </w:rPr>
            </w:r>
            <w:r>
              <w:rPr>
                <w:noProof/>
                <w:webHidden/>
              </w:rPr>
              <w:fldChar w:fldCharType="separate"/>
            </w:r>
            <w:r>
              <w:rPr>
                <w:noProof/>
                <w:webHidden/>
              </w:rPr>
              <w:t>13</w:t>
            </w:r>
            <w:r>
              <w:rPr>
                <w:noProof/>
                <w:webHidden/>
              </w:rPr>
              <w:fldChar w:fldCharType="end"/>
            </w:r>
          </w:hyperlink>
        </w:p>
        <w:p w14:paraId="5898B07B"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12" w:history="1">
            <w:r w:rsidRPr="00286CD1">
              <w:rPr>
                <w:rStyle w:val="Hyperlink"/>
                <w:noProof/>
              </w:rPr>
              <w:t>4.3 Sustainability Challenges Associated with EV Production</w:t>
            </w:r>
            <w:r>
              <w:rPr>
                <w:noProof/>
                <w:webHidden/>
              </w:rPr>
              <w:tab/>
            </w:r>
            <w:r>
              <w:rPr>
                <w:noProof/>
                <w:webHidden/>
              </w:rPr>
              <w:fldChar w:fldCharType="begin"/>
            </w:r>
            <w:r>
              <w:rPr>
                <w:noProof/>
                <w:webHidden/>
              </w:rPr>
              <w:instrText xml:space="preserve"> PAGEREF _Toc214460712 \h </w:instrText>
            </w:r>
            <w:r>
              <w:rPr>
                <w:noProof/>
                <w:webHidden/>
              </w:rPr>
            </w:r>
            <w:r>
              <w:rPr>
                <w:noProof/>
                <w:webHidden/>
              </w:rPr>
              <w:fldChar w:fldCharType="separate"/>
            </w:r>
            <w:r>
              <w:rPr>
                <w:noProof/>
                <w:webHidden/>
              </w:rPr>
              <w:t>14</w:t>
            </w:r>
            <w:r>
              <w:rPr>
                <w:noProof/>
                <w:webHidden/>
              </w:rPr>
              <w:fldChar w:fldCharType="end"/>
            </w:r>
          </w:hyperlink>
        </w:p>
        <w:p w14:paraId="74B746E8"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13" w:history="1">
            <w:r w:rsidRPr="00286CD1">
              <w:rPr>
                <w:rStyle w:val="Hyperlink"/>
                <w:noProof/>
              </w:rPr>
              <w:t>4.4 Environmental Opportunities and Threats</w:t>
            </w:r>
            <w:r>
              <w:rPr>
                <w:noProof/>
                <w:webHidden/>
              </w:rPr>
              <w:tab/>
            </w:r>
            <w:r>
              <w:rPr>
                <w:noProof/>
                <w:webHidden/>
              </w:rPr>
              <w:fldChar w:fldCharType="begin"/>
            </w:r>
            <w:r>
              <w:rPr>
                <w:noProof/>
                <w:webHidden/>
              </w:rPr>
              <w:instrText xml:space="preserve"> PAGEREF _Toc214460713 \h </w:instrText>
            </w:r>
            <w:r>
              <w:rPr>
                <w:noProof/>
                <w:webHidden/>
              </w:rPr>
            </w:r>
            <w:r>
              <w:rPr>
                <w:noProof/>
                <w:webHidden/>
              </w:rPr>
              <w:fldChar w:fldCharType="separate"/>
            </w:r>
            <w:r>
              <w:rPr>
                <w:noProof/>
                <w:webHidden/>
              </w:rPr>
              <w:t>14</w:t>
            </w:r>
            <w:r>
              <w:rPr>
                <w:noProof/>
                <w:webHidden/>
              </w:rPr>
              <w:fldChar w:fldCharType="end"/>
            </w:r>
          </w:hyperlink>
        </w:p>
        <w:p w14:paraId="36282586" w14:textId="77777777" w:rsidR="001A1606" w:rsidRDefault="001A1606">
          <w:pPr>
            <w:pStyle w:val="TOC1"/>
            <w:rPr>
              <w:rFonts w:asciiTheme="minorHAnsi" w:eastAsiaTheme="minorEastAsia" w:hAnsiTheme="minorHAnsi" w:cstheme="minorBidi"/>
              <w:sz w:val="22"/>
              <w:szCs w:val="22"/>
              <w:lang w:val="en-GB"/>
            </w:rPr>
          </w:pPr>
          <w:hyperlink w:anchor="_Toc214460714" w:history="1">
            <w:r w:rsidRPr="00286CD1">
              <w:rPr>
                <w:rStyle w:val="Hyperlink"/>
              </w:rPr>
              <w:t>5. Task 2: Strategic Responses of Pioneers and Followers</w:t>
            </w:r>
            <w:r>
              <w:rPr>
                <w:webHidden/>
              </w:rPr>
              <w:tab/>
            </w:r>
            <w:r>
              <w:rPr>
                <w:webHidden/>
              </w:rPr>
              <w:fldChar w:fldCharType="begin"/>
            </w:r>
            <w:r>
              <w:rPr>
                <w:webHidden/>
              </w:rPr>
              <w:instrText xml:space="preserve"> PAGEREF _Toc214460714 \h </w:instrText>
            </w:r>
            <w:r>
              <w:rPr>
                <w:webHidden/>
              </w:rPr>
            </w:r>
            <w:r>
              <w:rPr>
                <w:webHidden/>
              </w:rPr>
              <w:fldChar w:fldCharType="separate"/>
            </w:r>
            <w:r>
              <w:rPr>
                <w:webHidden/>
              </w:rPr>
              <w:t>15</w:t>
            </w:r>
            <w:r>
              <w:rPr>
                <w:webHidden/>
              </w:rPr>
              <w:fldChar w:fldCharType="end"/>
            </w:r>
          </w:hyperlink>
        </w:p>
        <w:p w14:paraId="3D34473E"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15" w:history="1">
            <w:r w:rsidRPr="00286CD1">
              <w:rPr>
                <w:rStyle w:val="Hyperlink"/>
                <w:noProof/>
              </w:rPr>
              <w:t>5.1 Strategic Responses of Tesla (Pioneer)</w:t>
            </w:r>
            <w:r>
              <w:rPr>
                <w:noProof/>
                <w:webHidden/>
              </w:rPr>
              <w:tab/>
            </w:r>
            <w:r>
              <w:rPr>
                <w:noProof/>
                <w:webHidden/>
              </w:rPr>
              <w:fldChar w:fldCharType="begin"/>
            </w:r>
            <w:r>
              <w:rPr>
                <w:noProof/>
                <w:webHidden/>
              </w:rPr>
              <w:instrText xml:space="preserve"> PAGEREF _Toc214460715 \h </w:instrText>
            </w:r>
            <w:r>
              <w:rPr>
                <w:noProof/>
                <w:webHidden/>
              </w:rPr>
            </w:r>
            <w:r>
              <w:rPr>
                <w:noProof/>
                <w:webHidden/>
              </w:rPr>
              <w:fldChar w:fldCharType="separate"/>
            </w:r>
            <w:r>
              <w:rPr>
                <w:noProof/>
                <w:webHidden/>
              </w:rPr>
              <w:t>15</w:t>
            </w:r>
            <w:r>
              <w:rPr>
                <w:noProof/>
                <w:webHidden/>
              </w:rPr>
              <w:fldChar w:fldCharType="end"/>
            </w:r>
          </w:hyperlink>
        </w:p>
        <w:p w14:paraId="199DECE4"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16" w:history="1">
            <w:r w:rsidRPr="00286CD1">
              <w:rPr>
                <w:rStyle w:val="Hyperlink"/>
                <w:noProof/>
              </w:rPr>
              <w:t>5.1.1 Application of Ansoff’s Growth Matrix</w:t>
            </w:r>
            <w:r>
              <w:rPr>
                <w:noProof/>
                <w:webHidden/>
              </w:rPr>
              <w:tab/>
            </w:r>
            <w:r>
              <w:rPr>
                <w:noProof/>
                <w:webHidden/>
              </w:rPr>
              <w:fldChar w:fldCharType="begin"/>
            </w:r>
            <w:r>
              <w:rPr>
                <w:noProof/>
                <w:webHidden/>
              </w:rPr>
              <w:instrText xml:space="preserve"> PAGEREF _Toc214460716 \h </w:instrText>
            </w:r>
            <w:r>
              <w:rPr>
                <w:noProof/>
                <w:webHidden/>
              </w:rPr>
            </w:r>
            <w:r>
              <w:rPr>
                <w:noProof/>
                <w:webHidden/>
              </w:rPr>
              <w:fldChar w:fldCharType="separate"/>
            </w:r>
            <w:r>
              <w:rPr>
                <w:noProof/>
                <w:webHidden/>
              </w:rPr>
              <w:t>15</w:t>
            </w:r>
            <w:r>
              <w:rPr>
                <w:noProof/>
                <w:webHidden/>
              </w:rPr>
              <w:fldChar w:fldCharType="end"/>
            </w:r>
          </w:hyperlink>
        </w:p>
        <w:p w14:paraId="5A95B8B9"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17" w:history="1">
            <w:r w:rsidRPr="00286CD1">
              <w:rPr>
                <w:rStyle w:val="Hyperlink"/>
                <w:noProof/>
              </w:rPr>
              <w:t>5.1.2 Porter’s Differentiation Strategy and Tesla’s Competitive Advantage</w:t>
            </w:r>
            <w:r>
              <w:rPr>
                <w:noProof/>
                <w:webHidden/>
              </w:rPr>
              <w:tab/>
            </w:r>
            <w:r>
              <w:rPr>
                <w:noProof/>
                <w:webHidden/>
              </w:rPr>
              <w:fldChar w:fldCharType="begin"/>
            </w:r>
            <w:r>
              <w:rPr>
                <w:noProof/>
                <w:webHidden/>
              </w:rPr>
              <w:instrText xml:space="preserve"> PAGEREF _Toc214460717 \h </w:instrText>
            </w:r>
            <w:r>
              <w:rPr>
                <w:noProof/>
                <w:webHidden/>
              </w:rPr>
            </w:r>
            <w:r>
              <w:rPr>
                <w:noProof/>
                <w:webHidden/>
              </w:rPr>
              <w:fldChar w:fldCharType="separate"/>
            </w:r>
            <w:r>
              <w:rPr>
                <w:noProof/>
                <w:webHidden/>
              </w:rPr>
              <w:t>17</w:t>
            </w:r>
            <w:r>
              <w:rPr>
                <w:noProof/>
                <w:webHidden/>
              </w:rPr>
              <w:fldChar w:fldCharType="end"/>
            </w:r>
          </w:hyperlink>
        </w:p>
        <w:p w14:paraId="3CDC7F81"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18" w:history="1">
            <w:r w:rsidRPr="00286CD1">
              <w:rPr>
                <w:rStyle w:val="Hyperlink"/>
                <w:noProof/>
              </w:rPr>
              <w:t>5.1.3 Tesla’s Environmental Strategy as a Competitive Lever</w:t>
            </w:r>
            <w:r>
              <w:rPr>
                <w:noProof/>
                <w:webHidden/>
              </w:rPr>
              <w:tab/>
            </w:r>
            <w:r>
              <w:rPr>
                <w:noProof/>
                <w:webHidden/>
              </w:rPr>
              <w:fldChar w:fldCharType="begin"/>
            </w:r>
            <w:r>
              <w:rPr>
                <w:noProof/>
                <w:webHidden/>
              </w:rPr>
              <w:instrText xml:space="preserve"> PAGEREF _Toc214460718 \h </w:instrText>
            </w:r>
            <w:r>
              <w:rPr>
                <w:noProof/>
                <w:webHidden/>
              </w:rPr>
            </w:r>
            <w:r>
              <w:rPr>
                <w:noProof/>
                <w:webHidden/>
              </w:rPr>
              <w:fldChar w:fldCharType="separate"/>
            </w:r>
            <w:r>
              <w:rPr>
                <w:noProof/>
                <w:webHidden/>
              </w:rPr>
              <w:t>17</w:t>
            </w:r>
            <w:r>
              <w:rPr>
                <w:noProof/>
                <w:webHidden/>
              </w:rPr>
              <w:fldChar w:fldCharType="end"/>
            </w:r>
          </w:hyperlink>
        </w:p>
        <w:p w14:paraId="721439B9"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19" w:history="1">
            <w:r w:rsidRPr="00286CD1">
              <w:rPr>
                <w:rStyle w:val="Hyperlink"/>
                <w:noProof/>
              </w:rPr>
              <w:t>5.2 Strategic Responses of BYD (Follower)</w:t>
            </w:r>
            <w:r>
              <w:rPr>
                <w:noProof/>
                <w:webHidden/>
              </w:rPr>
              <w:tab/>
            </w:r>
            <w:r>
              <w:rPr>
                <w:noProof/>
                <w:webHidden/>
              </w:rPr>
              <w:fldChar w:fldCharType="begin"/>
            </w:r>
            <w:r>
              <w:rPr>
                <w:noProof/>
                <w:webHidden/>
              </w:rPr>
              <w:instrText xml:space="preserve"> PAGEREF _Toc214460719 \h </w:instrText>
            </w:r>
            <w:r>
              <w:rPr>
                <w:noProof/>
                <w:webHidden/>
              </w:rPr>
            </w:r>
            <w:r>
              <w:rPr>
                <w:noProof/>
                <w:webHidden/>
              </w:rPr>
              <w:fldChar w:fldCharType="separate"/>
            </w:r>
            <w:r>
              <w:rPr>
                <w:noProof/>
                <w:webHidden/>
              </w:rPr>
              <w:t>17</w:t>
            </w:r>
            <w:r>
              <w:rPr>
                <w:noProof/>
                <w:webHidden/>
              </w:rPr>
              <w:fldChar w:fldCharType="end"/>
            </w:r>
          </w:hyperlink>
        </w:p>
        <w:p w14:paraId="0CF76173"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20" w:history="1">
            <w:r w:rsidRPr="00286CD1">
              <w:rPr>
                <w:rStyle w:val="Hyperlink"/>
                <w:noProof/>
              </w:rPr>
              <w:t>5.2.1 Application of Ansoff’s Growth Matrix</w:t>
            </w:r>
            <w:r>
              <w:rPr>
                <w:noProof/>
                <w:webHidden/>
              </w:rPr>
              <w:tab/>
            </w:r>
            <w:r>
              <w:rPr>
                <w:noProof/>
                <w:webHidden/>
              </w:rPr>
              <w:fldChar w:fldCharType="begin"/>
            </w:r>
            <w:r>
              <w:rPr>
                <w:noProof/>
                <w:webHidden/>
              </w:rPr>
              <w:instrText xml:space="preserve"> PAGEREF _Toc214460720 \h </w:instrText>
            </w:r>
            <w:r>
              <w:rPr>
                <w:noProof/>
                <w:webHidden/>
              </w:rPr>
            </w:r>
            <w:r>
              <w:rPr>
                <w:noProof/>
                <w:webHidden/>
              </w:rPr>
              <w:fldChar w:fldCharType="separate"/>
            </w:r>
            <w:r>
              <w:rPr>
                <w:noProof/>
                <w:webHidden/>
              </w:rPr>
              <w:t>17</w:t>
            </w:r>
            <w:r>
              <w:rPr>
                <w:noProof/>
                <w:webHidden/>
              </w:rPr>
              <w:fldChar w:fldCharType="end"/>
            </w:r>
          </w:hyperlink>
        </w:p>
        <w:p w14:paraId="09623A58"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21" w:history="1">
            <w:r w:rsidRPr="00286CD1">
              <w:rPr>
                <w:rStyle w:val="Hyperlink"/>
                <w:noProof/>
              </w:rPr>
              <w:t>5.2.2 Porter’s Cost Leadership Strategy and Competitive Position</w:t>
            </w:r>
            <w:r>
              <w:rPr>
                <w:noProof/>
                <w:webHidden/>
              </w:rPr>
              <w:tab/>
            </w:r>
            <w:r>
              <w:rPr>
                <w:noProof/>
                <w:webHidden/>
              </w:rPr>
              <w:fldChar w:fldCharType="begin"/>
            </w:r>
            <w:r>
              <w:rPr>
                <w:noProof/>
                <w:webHidden/>
              </w:rPr>
              <w:instrText xml:space="preserve"> PAGEREF _Toc214460721 \h </w:instrText>
            </w:r>
            <w:r>
              <w:rPr>
                <w:noProof/>
                <w:webHidden/>
              </w:rPr>
            </w:r>
            <w:r>
              <w:rPr>
                <w:noProof/>
                <w:webHidden/>
              </w:rPr>
              <w:fldChar w:fldCharType="separate"/>
            </w:r>
            <w:r>
              <w:rPr>
                <w:noProof/>
                <w:webHidden/>
              </w:rPr>
              <w:t>18</w:t>
            </w:r>
            <w:r>
              <w:rPr>
                <w:noProof/>
                <w:webHidden/>
              </w:rPr>
              <w:fldChar w:fldCharType="end"/>
            </w:r>
          </w:hyperlink>
        </w:p>
        <w:p w14:paraId="1864F2F9" w14:textId="77777777" w:rsidR="001A1606" w:rsidRDefault="001A1606">
          <w:pPr>
            <w:pStyle w:val="TOC3"/>
            <w:tabs>
              <w:tab w:val="right" w:leader="dot" w:pos="10054"/>
            </w:tabs>
            <w:rPr>
              <w:rFonts w:asciiTheme="minorHAnsi" w:eastAsiaTheme="minorEastAsia" w:hAnsiTheme="minorHAnsi" w:cstheme="minorBidi"/>
              <w:noProof/>
              <w:sz w:val="22"/>
              <w:szCs w:val="22"/>
              <w:lang w:val="en-GB"/>
            </w:rPr>
          </w:pPr>
          <w:hyperlink w:anchor="_Toc214460722" w:history="1">
            <w:r w:rsidRPr="00286CD1">
              <w:rPr>
                <w:rStyle w:val="Hyperlink"/>
                <w:noProof/>
              </w:rPr>
              <w:t>5.2.3 BYD’s Environmental Responses and Sustainability Position</w:t>
            </w:r>
            <w:r>
              <w:rPr>
                <w:noProof/>
                <w:webHidden/>
              </w:rPr>
              <w:tab/>
            </w:r>
            <w:r>
              <w:rPr>
                <w:noProof/>
                <w:webHidden/>
              </w:rPr>
              <w:fldChar w:fldCharType="begin"/>
            </w:r>
            <w:r>
              <w:rPr>
                <w:noProof/>
                <w:webHidden/>
              </w:rPr>
              <w:instrText xml:space="preserve"> PAGEREF _Toc214460722 \h </w:instrText>
            </w:r>
            <w:r>
              <w:rPr>
                <w:noProof/>
                <w:webHidden/>
              </w:rPr>
            </w:r>
            <w:r>
              <w:rPr>
                <w:noProof/>
                <w:webHidden/>
              </w:rPr>
              <w:fldChar w:fldCharType="separate"/>
            </w:r>
            <w:r>
              <w:rPr>
                <w:noProof/>
                <w:webHidden/>
              </w:rPr>
              <w:t>18</w:t>
            </w:r>
            <w:r>
              <w:rPr>
                <w:noProof/>
                <w:webHidden/>
              </w:rPr>
              <w:fldChar w:fldCharType="end"/>
            </w:r>
          </w:hyperlink>
        </w:p>
        <w:p w14:paraId="73CA0C5A" w14:textId="77777777" w:rsidR="001A1606" w:rsidRDefault="001A1606">
          <w:pPr>
            <w:pStyle w:val="TOC1"/>
            <w:rPr>
              <w:rFonts w:asciiTheme="minorHAnsi" w:eastAsiaTheme="minorEastAsia" w:hAnsiTheme="minorHAnsi" w:cstheme="minorBidi"/>
              <w:sz w:val="22"/>
              <w:szCs w:val="22"/>
              <w:lang w:val="en-GB"/>
            </w:rPr>
          </w:pPr>
          <w:hyperlink w:anchor="_Toc214460723" w:history="1">
            <w:r w:rsidRPr="00286CD1">
              <w:rPr>
                <w:rStyle w:val="Hyperlink"/>
              </w:rPr>
              <w:t>6. Conclusion</w:t>
            </w:r>
            <w:r>
              <w:rPr>
                <w:webHidden/>
              </w:rPr>
              <w:tab/>
            </w:r>
            <w:r>
              <w:rPr>
                <w:webHidden/>
              </w:rPr>
              <w:fldChar w:fldCharType="begin"/>
            </w:r>
            <w:r>
              <w:rPr>
                <w:webHidden/>
              </w:rPr>
              <w:instrText xml:space="preserve"> PAGEREF _Toc214460723 \h </w:instrText>
            </w:r>
            <w:r>
              <w:rPr>
                <w:webHidden/>
              </w:rPr>
            </w:r>
            <w:r>
              <w:rPr>
                <w:webHidden/>
              </w:rPr>
              <w:fldChar w:fldCharType="separate"/>
            </w:r>
            <w:r>
              <w:rPr>
                <w:webHidden/>
              </w:rPr>
              <w:t>20</w:t>
            </w:r>
            <w:r>
              <w:rPr>
                <w:webHidden/>
              </w:rPr>
              <w:fldChar w:fldCharType="end"/>
            </w:r>
          </w:hyperlink>
        </w:p>
        <w:p w14:paraId="2948C6FE"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24" w:history="1">
            <w:r w:rsidRPr="00286CD1">
              <w:rPr>
                <w:rStyle w:val="Hyperlink"/>
                <w:noProof/>
              </w:rPr>
              <w:t>6.1 Summary of Key Insights</w:t>
            </w:r>
            <w:r>
              <w:rPr>
                <w:noProof/>
                <w:webHidden/>
              </w:rPr>
              <w:tab/>
            </w:r>
            <w:r>
              <w:rPr>
                <w:noProof/>
                <w:webHidden/>
              </w:rPr>
              <w:fldChar w:fldCharType="begin"/>
            </w:r>
            <w:r>
              <w:rPr>
                <w:noProof/>
                <w:webHidden/>
              </w:rPr>
              <w:instrText xml:space="preserve"> PAGEREF _Toc214460724 \h </w:instrText>
            </w:r>
            <w:r>
              <w:rPr>
                <w:noProof/>
                <w:webHidden/>
              </w:rPr>
            </w:r>
            <w:r>
              <w:rPr>
                <w:noProof/>
                <w:webHidden/>
              </w:rPr>
              <w:fldChar w:fldCharType="separate"/>
            </w:r>
            <w:r>
              <w:rPr>
                <w:noProof/>
                <w:webHidden/>
              </w:rPr>
              <w:t>20</w:t>
            </w:r>
            <w:r>
              <w:rPr>
                <w:noProof/>
                <w:webHidden/>
              </w:rPr>
              <w:fldChar w:fldCharType="end"/>
            </w:r>
          </w:hyperlink>
        </w:p>
        <w:p w14:paraId="6806C022" w14:textId="77777777" w:rsidR="001A1606" w:rsidRDefault="001A1606">
          <w:pPr>
            <w:pStyle w:val="TOC2"/>
            <w:tabs>
              <w:tab w:val="right" w:leader="dot" w:pos="10054"/>
            </w:tabs>
            <w:rPr>
              <w:rFonts w:asciiTheme="minorHAnsi" w:eastAsiaTheme="minorEastAsia" w:hAnsiTheme="minorHAnsi" w:cstheme="minorBidi"/>
              <w:noProof/>
              <w:sz w:val="22"/>
              <w:szCs w:val="22"/>
              <w:lang w:val="en-GB"/>
            </w:rPr>
          </w:pPr>
          <w:hyperlink w:anchor="_Toc214460725" w:history="1">
            <w:r w:rsidRPr="00286CD1">
              <w:rPr>
                <w:rStyle w:val="Hyperlink"/>
                <w:noProof/>
              </w:rPr>
              <w:t>6.2 Strategic Importance of Environmental Scanning</w:t>
            </w:r>
            <w:r>
              <w:rPr>
                <w:noProof/>
                <w:webHidden/>
              </w:rPr>
              <w:tab/>
            </w:r>
            <w:r>
              <w:rPr>
                <w:noProof/>
                <w:webHidden/>
              </w:rPr>
              <w:fldChar w:fldCharType="begin"/>
            </w:r>
            <w:r>
              <w:rPr>
                <w:noProof/>
                <w:webHidden/>
              </w:rPr>
              <w:instrText xml:space="preserve"> PAGEREF _Toc214460725 \h </w:instrText>
            </w:r>
            <w:r>
              <w:rPr>
                <w:noProof/>
                <w:webHidden/>
              </w:rPr>
            </w:r>
            <w:r>
              <w:rPr>
                <w:noProof/>
                <w:webHidden/>
              </w:rPr>
              <w:fldChar w:fldCharType="separate"/>
            </w:r>
            <w:r>
              <w:rPr>
                <w:noProof/>
                <w:webHidden/>
              </w:rPr>
              <w:t>20</w:t>
            </w:r>
            <w:r>
              <w:rPr>
                <w:noProof/>
                <w:webHidden/>
              </w:rPr>
              <w:fldChar w:fldCharType="end"/>
            </w:r>
          </w:hyperlink>
        </w:p>
        <w:p w14:paraId="6605CB97" w14:textId="77777777" w:rsidR="001A1606" w:rsidRDefault="001A1606">
          <w:pPr>
            <w:pStyle w:val="TOC1"/>
            <w:rPr>
              <w:rFonts w:asciiTheme="minorHAnsi" w:eastAsiaTheme="minorEastAsia" w:hAnsiTheme="minorHAnsi" w:cstheme="minorBidi"/>
              <w:sz w:val="22"/>
              <w:szCs w:val="22"/>
              <w:lang w:val="en-GB"/>
            </w:rPr>
          </w:pPr>
          <w:hyperlink w:anchor="_Toc214460726" w:history="1">
            <w:r w:rsidRPr="00286CD1">
              <w:rPr>
                <w:rStyle w:val="Hyperlink"/>
              </w:rPr>
              <w:t>7. References</w:t>
            </w:r>
            <w:r>
              <w:rPr>
                <w:webHidden/>
              </w:rPr>
              <w:tab/>
            </w:r>
            <w:r>
              <w:rPr>
                <w:webHidden/>
              </w:rPr>
              <w:fldChar w:fldCharType="begin"/>
            </w:r>
            <w:r>
              <w:rPr>
                <w:webHidden/>
              </w:rPr>
              <w:instrText xml:space="preserve"> PAGEREF _Toc214460726 \h </w:instrText>
            </w:r>
            <w:r>
              <w:rPr>
                <w:webHidden/>
              </w:rPr>
            </w:r>
            <w:r>
              <w:rPr>
                <w:webHidden/>
              </w:rPr>
              <w:fldChar w:fldCharType="separate"/>
            </w:r>
            <w:r>
              <w:rPr>
                <w:webHidden/>
              </w:rPr>
              <w:t>20</w:t>
            </w:r>
            <w:r>
              <w:rPr>
                <w:webHidden/>
              </w:rPr>
              <w:fldChar w:fldCharType="end"/>
            </w:r>
          </w:hyperlink>
        </w:p>
        <w:p w14:paraId="076047A3" w14:textId="77777777" w:rsidR="001A1606" w:rsidRDefault="001A1606">
          <w:pPr>
            <w:pStyle w:val="TOC1"/>
            <w:rPr>
              <w:rFonts w:asciiTheme="minorHAnsi" w:eastAsiaTheme="minorEastAsia" w:hAnsiTheme="minorHAnsi" w:cstheme="minorBidi"/>
              <w:sz w:val="22"/>
              <w:szCs w:val="22"/>
              <w:lang w:val="en-GB"/>
            </w:rPr>
          </w:pPr>
          <w:hyperlink w:anchor="_Toc214460727" w:history="1">
            <w:r w:rsidRPr="00286CD1">
              <w:rPr>
                <w:rStyle w:val="Hyperlink"/>
              </w:rPr>
              <w:t>Appendix</w:t>
            </w:r>
            <w:r>
              <w:rPr>
                <w:webHidden/>
              </w:rPr>
              <w:tab/>
            </w:r>
            <w:r>
              <w:rPr>
                <w:webHidden/>
              </w:rPr>
              <w:fldChar w:fldCharType="begin"/>
            </w:r>
            <w:r>
              <w:rPr>
                <w:webHidden/>
              </w:rPr>
              <w:instrText xml:space="preserve"> PAGEREF _Toc214460727 \h </w:instrText>
            </w:r>
            <w:r>
              <w:rPr>
                <w:webHidden/>
              </w:rPr>
            </w:r>
            <w:r>
              <w:rPr>
                <w:webHidden/>
              </w:rPr>
              <w:fldChar w:fldCharType="separate"/>
            </w:r>
            <w:r>
              <w:rPr>
                <w:webHidden/>
              </w:rPr>
              <w:t>23</w:t>
            </w:r>
            <w:r>
              <w:rPr>
                <w:webHidden/>
              </w:rPr>
              <w:fldChar w:fldCharType="end"/>
            </w:r>
          </w:hyperlink>
        </w:p>
        <w:p w14:paraId="13A8DB49" w14:textId="77777777" w:rsidR="00820E6D" w:rsidRDefault="00255593" w:rsidP="008A1BC3">
          <w:pPr>
            <w:rPr>
              <w:noProof/>
            </w:rPr>
          </w:pPr>
          <w:r w:rsidRPr="00BA2F5D">
            <w:rPr>
              <w:b/>
              <w:noProof/>
            </w:rPr>
            <w:fldChar w:fldCharType="end"/>
          </w:r>
        </w:p>
      </w:sdtContent>
    </w:sdt>
    <w:p w14:paraId="4FF1334B" w14:textId="77777777" w:rsidR="00820E6D" w:rsidRDefault="00820E6D" w:rsidP="008A1BC3">
      <w:pPr>
        <w:rPr>
          <w:rStyle w:val="Strong"/>
          <w:rFonts w:eastAsiaTheme="majorEastAsia"/>
          <w:b w:val="0"/>
          <w:bCs w:val="0"/>
        </w:rPr>
      </w:pPr>
    </w:p>
    <w:p w14:paraId="7349B1CA" w14:textId="77777777" w:rsidR="00820E6D" w:rsidRDefault="00820E6D" w:rsidP="008A1BC3">
      <w:pPr>
        <w:rPr>
          <w:rStyle w:val="Strong"/>
          <w:rFonts w:eastAsiaTheme="majorEastAsia"/>
          <w:b w:val="0"/>
          <w:bCs w:val="0"/>
        </w:rPr>
      </w:pPr>
    </w:p>
    <w:p w14:paraId="6D3681A6" w14:textId="77777777" w:rsidR="00820E6D" w:rsidRDefault="00820E6D" w:rsidP="008A1BC3">
      <w:pPr>
        <w:rPr>
          <w:rStyle w:val="Strong"/>
          <w:rFonts w:eastAsiaTheme="majorEastAsia"/>
          <w:b w:val="0"/>
          <w:bCs w:val="0"/>
        </w:rPr>
      </w:pPr>
    </w:p>
    <w:p w14:paraId="5F18B377" w14:textId="77777777" w:rsidR="00820E6D" w:rsidRDefault="00820E6D" w:rsidP="008A1BC3">
      <w:pPr>
        <w:rPr>
          <w:rStyle w:val="Strong"/>
          <w:rFonts w:eastAsiaTheme="majorEastAsia"/>
          <w:b w:val="0"/>
          <w:bCs w:val="0"/>
        </w:rPr>
      </w:pPr>
    </w:p>
    <w:p w14:paraId="51A9C74D" w14:textId="77777777" w:rsidR="00B3631E" w:rsidRDefault="00B3631E" w:rsidP="008A1BC3">
      <w:pPr>
        <w:rPr>
          <w:rStyle w:val="Strong"/>
          <w:rFonts w:eastAsiaTheme="majorEastAsia"/>
          <w:b w:val="0"/>
          <w:bCs w:val="0"/>
        </w:rPr>
      </w:pPr>
    </w:p>
    <w:p w14:paraId="794FC476" w14:textId="77777777" w:rsidR="00B3631E" w:rsidRDefault="00B3631E" w:rsidP="008A1BC3">
      <w:pPr>
        <w:rPr>
          <w:rStyle w:val="Strong"/>
          <w:rFonts w:eastAsiaTheme="majorEastAsia"/>
          <w:b w:val="0"/>
          <w:bCs w:val="0"/>
        </w:rPr>
      </w:pPr>
    </w:p>
    <w:p w14:paraId="0430EDDD" w14:textId="77777777" w:rsidR="00B3631E" w:rsidRDefault="00B3631E" w:rsidP="008A1BC3">
      <w:pPr>
        <w:rPr>
          <w:rStyle w:val="Strong"/>
          <w:rFonts w:eastAsiaTheme="majorEastAsia"/>
          <w:b w:val="0"/>
          <w:bCs w:val="0"/>
        </w:rPr>
      </w:pPr>
    </w:p>
    <w:p w14:paraId="6421E8A9" w14:textId="77777777" w:rsidR="00B3631E" w:rsidRDefault="00B3631E" w:rsidP="008A1BC3">
      <w:pPr>
        <w:rPr>
          <w:rStyle w:val="Strong"/>
          <w:rFonts w:eastAsiaTheme="majorEastAsia"/>
          <w:b w:val="0"/>
          <w:bCs w:val="0"/>
        </w:rPr>
      </w:pPr>
    </w:p>
    <w:p w14:paraId="03E79023" w14:textId="77777777" w:rsidR="00B3631E" w:rsidRDefault="00B3631E" w:rsidP="008A1BC3">
      <w:pPr>
        <w:rPr>
          <w:rStyle w:val="Strong"/>
          <w:rFonts w:eastAsiaTheme="majorEastAsia"/>
          <w:b w:val="0"/>
          <w:bCs w:val="0"/>
        </w:rPr>
      </w:pPr>
    </w:p>
    <w:p w14:paraId="6591420A" w14:textId="77777777" w:rsidR="00B3631E" w:rsidRDefault="00B3631E" w:rsidP="008A1BC3">
      <w:pPr>
        <w:rPr>
          <w:rStyle w:val="Strong"/>
          <w:rFonts w:eastAsiaTheme="majorEastAsia"/>
          <w:b w:val="0"/>
          <w:bCs w:val="0"/>
        </w:rPr>
      </w:pPr>
    </w:p>
    <w:p w14:paraId="109F63BC" w14:textId="77777777" w:rsidR="00B3631E" w:rsidRDefault="00B3631E" w:rsidP="008A1BC3">
      <w:pPr>
        <w:rPr>
          <w:rStyle w:val="Strong"/>
          <w:rFonts w:eastAsiaTheme="majorEastAsia"/>
          <w:b w:val="0"/>
          <w:bCs w:val="0"/>
        </w:rPr>
      </w:pPr>
    </w:p>
    <w:p w14:paraId="4DC1DE91" w14:textId="77777777" w:rsidR="00B3631E" w:rsidRDefault="00B3631E" w:rsidP="008A1BC3">
      <w:pPr>
        <w:rPr>
          <w:rStyle w:val="Strong"/>
          <w:rFonts w:eastAsiaTheme="majorEastAsia"/>
          <w:b w:val="0"/>
          <w:bCs w:val="0"/>
        </w:rPr>
      </w:pPr>
    </w:p>
    <w:p w14:paraId="21842E27" w14:textId="77777777" w:rsidR="00B3631E" w:rsidRDefault="00B3631E" w:rsidP="008A1BC3">
      <w:pPr>
        <w:rPr>
          <w:rStyle w:val="Strong"/>
          <w:rFonts w:eastAsiaTheme="majorEastAsia"/>
          <w:b w:val="0"/>
          <w:bCs w:val="0"/>
        </w:rPr>
      </w:pPr>
    </w:p>
    <w:p w14:paraId="66EB60F6" w14:textId="77777777" w:rsidR="00B3631E" w:rsidRDefault="00B3631E" w:rsidP="008A1BC3">
      <w:pPr>
        <w:rPr>
          <w:rStyle w:val="Strong"/>
          <w:rFonts w:eastAsiaTheme="majorEastAsia"/>
          <w:b w:val="0"/>
          <w:bCs w:val="0"/>
        </w:rPr>
      </w:pPr>
    </w:p>
    <w:p w14:paraId="6EF3B28D" w14:textId="77777777" w:rsidR="00B3631E" w:rsidRDefault="00B3631E" w:rsidP="00B3631E">
      <w:pPr>
        <w:pStyle w:val="Heading3"/>
      </w:pPr>
      <w:bookmarkStart w:id="0" w:name="_Toc214460692"/>
      <w:r>
        <w:rPr>
          <w:rStyle w:val="Strong"/>
          <w:b w:val="0"/>
          <w:bCs w:val="0"/>
        </w:rPr>
        <w:t>Marketing Environmental Analysis: Tesla (Pioneer) and BYD (Follower) in the Global EV Industry</w:t>
      </w:r>
      <w:bookmarkEnd w:id="0"/>
    </w:p>
    <w:p w14:paraId="1615CEBA" w14:textId="77777777" w:rsidR="00B3631E" w:rsidRDefault="00000000" w:rsidP="00B3631E">
      <w:r>
        <w:pict w14:anchorId="7FD163F9">
          <v:rect id="_x0000_i1025" style="width:0;height:1.5pt" o:hralign="center" o:hrstd="t" o:hr="t" fillcolor="#a0a0a0" stroked="f"/>
        </w:pict>
      </w:r>
    </w:p>
    <w:p w14:paraId="5DA860A7" w14:textId="77777777" w:rsidR="00B3631E" w:rsidRDefault="00B3631E" w:rsidP="00802531">
      <w:pPr>
        <w:pStyle w:val="Heading1"/>
      </w:pPr>
      <w:bookmarkStart w:id="1" w:name="_Toc214460693"/>
      <w:r>
        <w:rPr>
          <w:rStyle w:val="Strong"/>
          <w:rFonts w:eastAsiaTheme="majorEastAsia"/>
          <w:b/>
          <w:bCs/>
        </w:rPr>
        <w:t>1. Introduction</w:t>
      </w:r>
      <w:bookmarkEnd w:id="1"/>
    </w:p>
    <w:p w14:paraId="1F90D185" w14:textId="77777777" w:rsidR="00B3631E" w:rsidRDefault="00B3631E" w:rsidP="00802531">
      <w:pPr>
        <w:pStyle w:val="Heading2"/>
      </w:pPr>
      <w:bookmarkStart w:id="2" w:name="_Toc214460694"/>
      <w:r>
        <w:rPr>
          <w:rStyle w:val="Strong"/>
          <w:b/>
          <w:bCs w:val="0"/>
        </w:rPr>
        <w:t>1.1 Strategic Marketing Management and Its Relevance</w:t>
      </w:r>
      <w:bookmarkEnd w:id="2"/>
    </w:p>
    <w:p w14:paraId="11C28F8B" w14:textId="77777777" w:rsidR="009A0439" w:rsidRDefault="009A0439" w:rsidP="009A0439">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Managing marketing campaign strategies is, at its core, a complex and continuous process. To make better long-term decisions, businesses need to assess their internal and external resources. It allows them to pinpoint what </w:t>
      </w:r>
      <w:proofErr w:type="gramStart"/>
      <w:r w:rsidRPr="006F505E">
        <w:rPr>
          <w:rFonts w:ascii="Times New Roman" w:eastAsia="Times New Roman" w:hAnsi="Times New Roman"/>
          <w:lang w:val="en-GB" w:eastAsia="en-GB"/>
        </w:rPr>
        <w:t>they're</w:t>
      </w:r>
      <w:proofErr w:type="gramEnd"/>
      <w:r w:rsidRPr="006F505E">
        <w:rPr>
          <w:rFonts w:ascii="Times New Roman" w:eastAsia="Times New Roman" w:hAnsi="Times New Roman"/>
          <w:lang w:val="en-GB" w:eastAsia="en-GB"/>
        </w:rPr>
        <w:t xml:space="preserve"> good at and where they might need to work harder. To remain relevant in today's dynamic marketplace, companies need to adjust their assets and expertise to keep pace with shifting consumer demands. Varadarajan (2020) argues that the main goal of strategic marketing is to ensure a business's long-term success by aligning its goals with what customer’s value. The electric vehicle (EV) sector is navigating a landscape fraught with challenges. Modern organizations face </w:t>
      </w:r>
      <w:proofErr w:type="gramStart"/>
      <w:r w:rsidRPr="006F505E">
        <w:rPr>
          <w:rFonts w:ascii="Times New Roman" w:eastAsia="Times New Roman" w:hAnsi="Times New Roman"/>
          <w:lang w:val="en-GB" w:eastAsia="en-GB"/>
        </w:rPr>
        <w:t>many</w:t>
      </w:r>
      <w:proofErr w:type="gramEnd"/>
      <w:r w:rsidRPr="006F505E">
        <w:rPr>
          <w:rFonts w:ascii="Times New Roman" w:eastAsia="Times New Roman" w:hAnsi="Times New Roman"/>
          <w:lang w:val="en-GB" w:eastAsia="en-GB"/>
        </w:rPr>
        <w:t xml:space="preserve"> challenges, including the rapid advancement of technology, growing environmental responsibilities, and the need to follow strict international regulations. Therefore, modern marketing strategies are more complex and flexible than those used in olde</w:t>
      </w:r>
      <w:r>
        <w:rPr>
          <w:rFonts w:ascii="Times New Roman" w:eastAsia="Times New Roman" w:hAnsi="Times New Roman"/>
          <w:lang w:val="en-GB" w:eastAsia="en-GB"/>
        </w:rPr>
        <w:t>r, more traditional industries.</w:t>
      </w:r>
    </w:p>
    <w:p w14:paraId="7009921F" w14:textId="77777777" w:rsidR="00B3631E" w:rsidRDefault="00B3631E" w:rsidP="00802531">
      <w:pPr>
        <w:pStyle w:val="NormalWeb"/>
        <w:spacing w:line="360" w:lineRule="auto"/>
        <w:jc w:val="both"/>
      </w:pPr>
    </w:p>
    <w:p w14:paraId="3A37AC2B" w14:textId="77777777" w:rsidR="00B3631E" w:rsidRDefault="00B3631E" w:rsidP="00802531">
      <w:pPr>
        <w:pStyle w:val="Heading2"/>
      </w:pPr>
      <w:bookmarkStart w:id="3" w:name="_Toc214460695"/>
      <w:r>
        <w:rPr>
          <w:rStyle w:val="Strong"/>
          <w:b/>
          <w:bCs w:val="0"/>
        </w:rPr>
        <w:t xml:space="preserve">1.2 Importance of </w:t>
      </w:r>
      <w:proofErr w:type="spellStart"/>
      <w:r>
        <w:rPr>
          <w:rStyle w:val="Strong"/>
          <w:b/>
          <w:bCs w:val="0"/>
        </w:rPr>
        <w:t>Analysing</w:t>
      </w:r>
      <w:proofErr w:type="spellEnd"/>
      <w:r>
        <w:rPr>
          <w:rStyle w:val="Strong"/>
          <w:b/>
          <w:bCs w:val="0"/>
        </w:rPr>
        <w:t xml:space="preserve"> the Macro Environment</w:t>
      </w:r>
      <w:bookmarkEnd w:id="3"/>
    </w:p>
    <w:p w14:paraId="04D4BFAC" w14:textId="77777777" w:rsidR="00B3631E" w:rsidRDefault="009A0439" w:rsidP="00802531">
      <w:pPr>
        <w:pStyle w:val="NormalWeb"/>
        <w:spacing w:line="360" w:lineRule="auto"/>
        <w:jc w:val="both"/>
      </w:pPr>
      <w:r w:rsidRPr="006F505E">
        <w:t xml:space="preserve">Because businesses operate within larger national and global contexts, </w:t>
      </w:r>
      <w:proofErr w:type="gramStart"/>
      <w:r w:rsidRPr="006F505E">
        <w:t>it's</w:t>
      </w:r>
      <w:proofErr w:type="gramEnd"/>
      <w:r w:rsidRPr="006F505E">
        <w:t xml:space="preserve"> essential for them to </w:t>
      </w:r>
      <w:proofErr w:type="spellStart"/>
      <w:r w:rsidRPr="006F505E">
        <w:t>analyze</w:t>
      </w:r>
      <w:proofErr w:type="spellEnd"/>
      <w:r w:rsidRPr="006F505E">
        <w:t xml:space="preserve"> the macroeconomic environment to make strategic and practical decisions. External factors, often outside a manager's control, significantly affect customer behaviour, the competitive landscape, and industry trends. Keeping a wide-angle view allows businesses to fine-tune their advertising strategies, anticipate changes, and sidestep surprises. Organizations can gain insights into their external environment by using models like PESTEL. The model categorizes the environment using political, economic, social, technological, environmental, and legal factors, as described by Kotler et al. (2022). This type of research is </w:t>
      </w:r>
      <w:proofErr w:type="gramStart"/>
      <w:r w:rsidRPr="006F505E">
        <w:t>very useful</w:t>
      </w:r>
      <w:proofErr w:type="gramEnd"/>
      <w:r w:rsidRPr="006F505E">
        <w:t xml:space="preserve"> for the electric vehicle (EV) industry. With environmental worries mounting and technology advancing at breakneck speed, both companies and individuals are adjusting their priorities</w:t>
      </w:r>
      <w:r w:rsidR="00B3631E">
        <w:t>.</w:t>
      </w:r>
    </w:p>
    <w:p w14:paraId="70C9D8FC" w14:textId="77777777" w:rsidR="009A0439" w:rsidRDefault="009A0439" w:rsidP="00802531">
      <w:pPr>
        <w:pStyle w:val="NormalWeb"/>
        <w:spacing w:line="360" w:lineRule="auto"/>
        <w:jc w:val="both"/>
      </w:pPr>
    </w:p>
    <w:p w14:paraId="0A9641E6" w14:textId="77777777" w:rsidR="00B3631E" w:rsidRDefault="00B3631E" w:rsidP="00802531">
      <w:pPr>
        <w:pStyle w:val="Heading2"/>
      </w:pPr>
      <w:bookmarkStart w:id="4" w:name="_Toc214460696"/>
      <w:r>
        <w:rPr>
          <w:rStyle w:val="Strong"/>
          <w:b/>
          <w:bCs w:val="0"/>
        </w:rPr>
        <w:t>1.3 Scope and Structure of the Report</w:t>
      </w:r>
      <w:bookmarkEnd w:id="4"/>
    </w:p>
    <w:p w14:paraId="416ABBE4" w14:textId="77777777" w:rsidR="009A0439" w:rsidRDefault="009A0439" w:rsidP="009A0439">
      <w:pPr>
        <w:rPr>
          <w:rFonts w:ascii="Times New Roman" w:eastAsia="Times New Roman" w:hAnsi="Times New Roman"/>
          <w:lang w:val="en-GB" w:eastAsia="en-GB"/>
        </w:rPr>
      </w:pPr>
    </w:p>
    <w:p w14:paraId="36B70188" w14:textId="77777777" w:rsidR="009A0439" w:rsidRDefault="009A0439" w:rsidP="009A0439">
      <w:pPr>
        <w:rPr>
          <w:rFonts w:ascii="Times New Roman" w:eastAsia="Times New Roman" w:hAnsi="Times New Roman"/>
          <w:lang w:val="en-GB" w:eastAsia="en-GB"/>
        </w:rPr>
      </w:pPr>
      <w:r w:rsidRPr="006F505E">
        <w:rPr>
          <w:rFonts w:ascii="Times New Roman" w:eastAsia="Times New Roman" w:hAnsi="Times New Roman"/>
          <w:lang w:val="en-GB" w:eastAsia="en-GB"/>
        </w:rPr>
        <w:t>This study aims to provide a thorough review of the topic. The following sections will cover these subjects.</w:t>
      </w:r>
      <w:r>
        <w:rPr>
          <w:rFonts w:ascii="Times New Roman" w:eastAsia="Times New Roman" w:hAnsi="Times New Roman"/>
          <w:lang w:val="en-GB" w:eastAsia="en-GB"/>
        </w:rPr>
        <w:t xml:space="preserve"> </w:t>
      </w:r>
      <w:r w:rsidRPr="006F505E">
        <w:rPr>
          <w:rFonts w:ascii="Times New Roman" w:eastAsia="Times New Roman" w:hAnsi="Times New Roman"/>
          <w:lang w:val="en-GB" w:eastAsia="en-GB"/>
        </w:rPr>
        <w:t xml:space="preserve">This study focuses on two important aspects of the larger environment: technological developments and environmental conditions. These factors significantly influence how electric vehicle (EV) companies operate globally. Tesla's rise to the top of the automotive world speaks volumes about its innovative spirit and willingness to take risks. BYD, a fresh face, is </w:t>
      </w:r>
      <w:r>
        <w:rPr>
          <w:rFonts w:ascii="Times New Roman" w:eastAsia="Times New Roman" w:hAnsi="Times New Roman"/>
          <w:lang w:val="en-GB" w:eastAsia="en-GB"/>
        </w:rPr>
        <w:t>revolutionizing things with their innovation strategies</w:t>
      </w:r>
      <w:r w:rsidRPr="006F505E">
        <w:rPr>
          <w:rFonts w:ascii="Times New Roman" w:eastAsia="Times New Roman" w:hAnsi="Times New Roman"/>
          <w:lang w:val="en-GB" w:eastAsia="en-GB"/>
        </w:rPr>
        <w:t xml:space="preserve">. Their approach? Streamlined operations and large-scale output, with ambitions to expand. </w:t>
      </w:r>
    </w:p>
    <w:p w14:paraId="25C280DF" w14:textId="77777777" w:rsidR="009A0439" w:rsidRDefault="009A0439" w:rsidP="009A0439">
      <w:pPr>
        <w:rPr>
          <w:rFonts w:ascii="Times New Roman" w:eastAsia="Times New Roman" w:hAnsi="Times New Roman"/>
          <w:lang w:val="en-GB" w:eastAsia="en-GB"/>
        </w:rPr>
      </w:pPr>
    </w:p>
    <w:p w14:paraId="31D6A2E9" w14:textId="77777777" w:rsidR="009A0439" w:rsidRDefault="009A0439" w:rsidP="009A0439">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This report </w:t>
      </w:r>
      <w:proofErr w:type="gramStart"/>
      <w:r w:rsidRPr="006F505E">
        <w:rPr>
          <w:rFonts w:ascii="Times New Roman" w:eastAsia="Times New Roman" w:hAnsi="Times New Roman"/>
          <w:lang w:val="en-GB" w:eastAsia="en-GB"/>
        </w:rPr>
        <w:t>is divided</w:t>
      </w:r>
      <w:proofErr w:type="gramEnd"/>
      <w:r w:rsidRPr="006F505E">
        <w:rPr>
          <w:rFonts w:ascii="Times New Roman" w:eastAsia="Times New Roman" w:hAnsi="Times New Roman"/>
          <w:lang w:val="en-GB" w:eastAsia="en-GB"/>
        </w:rPr>
        <w:t xml:space="preserve"> into two main sections. This analysis will begin with a thorough examination of the macro marketing environment, using the PESTEL framework. The discussion will then focus on the important effects of technology and the environment. This study examines and compares the strategic approaches of BYD and Tesla, using tools like Ansoff's Growth Matrix and Porter's Generic Strategies. The </w:t>
      </w:r>
      <w:proofErr w:type="gramStart"/>
      <w:r w:rsidRPr="006F505E">
        <w:rPr>
          <w:rFonts w:ascii="Times New Roman" w:eastAsia="Times New Roman" w:hAnsi="Times New Roman"/>
          <w:lang w:val="en-GB" w:eastAsia="en-GB"/>
        </w:rPr>
        <w:t>final section</w:t>
      </w:r>
      <w:proofErr w:type="gramEnd"/>
      <w:r w:rsidRPr="006F505E">
        <w:rPr>
          <w:rFonts w:ascii="Times New Roman" w:eastAsia="Times New Roman" w:hAnsi="Times New Roman"/>
          <w:lang w:val="en-GB" w:eastAsia="en-GB"/>
        </w:rPr>
        <w:t xml:space="preserve"> emphasizes the importance of regularly assessing the changing environment and using flexible marketing strategies to stay competitive in a constantly evolving industry.</w:t>
      </w:r>
      <w:r>
        <w:rPr>
          <w:rFonts w:ascii="Times New Roman" w:eastAsia="Times New Roman" w:hAnsi="Times New Roman"/>
          <w:lang w:val="en-GB" w:eastAsia="en-GB"/>
        </w:rPr>
        <w:t xml:space="preserve"> </w:t>
      </w:r>
    </w:p>
    <w:p w14:paraId="12348B74" w14:textId="77777777" w:rsidR="00B3631E" w:rsidRDefault="00B3631E" w:rsidP="00802531">
      <w:pPr>
        <w:pStyle w:val="NormalWeb"/>
        <w:spacing w:line="360" w:lineRule="auto"/>
        <w:jc w:val="both"/>
      </w:pPr>
    </w:p>
    <w:p w14:paraId="04D6AD92" w14:textId="77777777" w:rsidR="00B3631E" w:rsidRDefault="00B3631E" w:rsidP="00802531"/>
    <w:p w14:paraId="3ACD7801" w14:textId="77777777" w:rsidR="000141B4" w:rsidRDefault="000141B4" w:rsidP="00802531"/>
    <w:p w14:paraId="7781A084" w14:textId="77777777" w:rsidR="000141B4" w:rsidRDefault="000141B4" w:rsidP="00802531"/>
    <w:p w14:paraId="42F7E635" w14:textId="77777777" w:rsidR="000141B4" w:rsidRDefault="000141B4" w:rsidP="00802531"/>
    <w:p w14:paraId="3B475BA4" w14:textId="77777777" w:rsidR="000141B4" w:rsidRDefault="000141B4" w:rsidP="00802531"/>
    <w:p w14:paraId="3B937AFE" w14:textId="77777777" w:rsidR="000141B4" w:rsidRDefault="000141B4" w:rsidP="00802531"/>
    <w:p w14:paraId="23E24901" w14:textId="77777777" w:rsidR="000141B4" w:rsidRDefault="000141B4" w:rsidP="00802531"/>
    <w:p w14:paraId="3B175FF7" w14:textId="77777777" w:rsidR="000141B4" w:rsidRDefault="000141B4" w:rsidP="00802531"/>
    <w:p w14:paraId="0AC94DD7" w14:textId="77777777" w:rsidR="000141B4" w:rsidRDefault="000141B4" w:rsidP="00802531"/>
    <w:p w14:paraId="67BBF30A" w14:textId="77777777" w:rsidR="000141B4" w:rsidRDefault="000141B4" w:rsidP="00802531"/>
    <w:p w14:paraId="3067C0D8" w14:textId="77777777" w:rsidR="000141B4" w:rsidRDefault="000141B4" w:rsidP="00802531"/>
    <w:p w14:paraId="175DDBC3" w14:textId="77777777" w:rsidR="000141B4" w:rsidRDefault="000141B4" w:rsidP="00802531"/>
    <w:p w14:paraId="06C491A6" w14:textId="77777777" w:rsidR="00B3631E" w:rsidRDefault="00B3631E" w:rsidP="00802531">
      <w:pPr>
        <w:pStyle w:val="Heading1"/>
        <w:rPr>
          <w:rStyle w:val="Strong"/>
          <w:rFonts w:eastAsiaTheme="majorEastAsia"/>
          <w:b/>
          <w:bCs/>
        </w:rPr>
      </w:pPr>
      <w:bookmarkStart w:id="5" w:name="_Toc214460697"/>
      <w:r>
        <w:rPr>
          <w:rStyle w:val="Strong"/>
          <w:rFonts w:eastAsiaTheme="majorEastAsia"/>
          <w:b/>
          <w:bCs/>
        </w:rPr>
        <w:lastRenderedPageBreak/>
        <w:t>2. Task 1: Critical Analysis of the Macro Marketing Environment</w:t>
      </w:r>
      <w:bookmarkEnd w:id="5"/>
    </w:p>
    <w:p w14:paraId="3E143D8F" w14:textId="77777777" w:rsidR="000141B4" w:rsidRDefault="000141B4" w:rsidP="000141B4">
      <w:pPr>
        <w:rPr>
          <w:lang w:eastAsia="en-GB"/>
        </w:rPr>
      </w:pPr>
    </w:p>
    <w:p w14:paraId="298A6FE4" w14:textId="77777777" w:rsidR="00B3631E" w:rsidRDefault="00B3631E" w:rsidP="00802531">
      <w:pPr>
        <w:pStyle w:val="Heading2"/>
      </w:pPr>
      <w:bookmarkStart w:id="6" w:name="_Toc214460698"/>
      <w:r>
        <w:rPr>
          <w:rStyle w:val="Strong"/>
          <w:b/>
          <w:bCs w:val="0"/>
        </w:rPr>
        <w:t>2.1 Understanding the Macro Marketing Environment</w:t>
      </w:r>
      <w:bookmarkEnd w:id="6"/>
    </w:p>
    <w:p w14:paraId="3EF3489B" w14:textId="77777777" w:rsidR="00B3631E" w:rsidRDefault="00B3631E" w:rsidP="00802531">
      <w:pPr>
        <w:pStyle w:val="Heading3"/>
      </w:pPr>
      <w:bookmarkStart w:id="7" w:name="_Toc214460699"/>
      <w:r>
        <w:rPr>
          <w:rStyle w:val="Strong"/>
          <w:b w:val="0"/>
          <w:bCs w:val="0"/>
        </w:rPr>
        <w:t>2.1.1 The Concept and Purpose of Macro-Environment Analysis</w:t>
      </w:r>
      <w:bookmarkEnd w:id="7"/>
    </w:p>
    <w:p w14:paraId="163546CA" w14:textId="77777777" w:rsidR="009A0439" w:rsidRDefault="009A0439" w:rsidP="009A0439">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The macro-environment includes the broad, external factors that affect an organization. While these elements lie beyond the organization's direct influence, their effects on overall performance are undeniably substantial. The macro-environment </w:t>
      </w:r>
      <w:proofErr w:type="gramStart"/>
      <w:r w:rsidRPr="006F505E">
        <w:rPr>
          <w:rFonts w:ascii="Times New Roman" w:eastAsia="Times New Roman" w:hAnsi="Times New Roman"/>
          <w:lang w:val="en-GB" w:eastAsia="en-GB"/>
        </w:rPr>
        <w:t>is made</w:t>
      </w:r>
      <w:proofErr w:type="gramEnd"/>
      <w:r w:rsidRPr="006F505E">
        <w:rPr>
          <w:rFonts w:ascii="Times New Roman" w:eastAsia="Times New Roman" w:hAnsi="Times New Roman"/>
          <w:lang w:val="en-GB" w:eastAsia="en-GB"/>
        </w:rPr>
        <w:t xml:space="preserve"> up of </w:t>
      </w:r>
      <w:proofErr w:type="gramStart"/>
      <w:r w:rsidRPr="006F505E">
        <w:rPr>
          <w:rFonts w:ascii="Times New Roman" w:eastAsia="Times New Roman" w:hAnsi="Times New Roman"/>
          <w:lang w:val="en-GB" w:eastAsia="en-GB"/>
        </w:rPr>
        <w:t>several</w:t>
      </w:r>
      <w:proofErr w:type="gramEnd"/>
      <w:r w:rsidRPr="006F505E">
        <w:rPr>
          <w:rFonts w:ascii="Times New Roman" w:eastAsia="Times New Roman" w:hAnsi="Times New Roman"/>
          <w:lang w:val="en-GB" w:eastAsia="en-GB"/>
        </w:rPr>
        <w:t xml:space="preserve"> important components: economic, political, legal, technological, social, and environmental factors. These components interact with each other, creating a complex web of influences that shapes an organization's strategic choices. Grasping the broader landscape is essential for any organization. It allows them to spot both chances and challenges, </w:t>
      </w:r>
      <w:proofErr w:type="gramStart"/>
      <w:r w:rsidRPr="006F505E">
        <w:rPr>
          <w:rFonts w:ascii="Times New Roman" w:eastAsia="Times New Roman" w:hAnsi="Times New Roman"/>
          <w:lang w:val="en-GB" w:eastAsia="en-GB"/>
        </w:rPr>
        <w:t>ultimately leading</w:t>
      </w:r>
      <w:proofErr w:type="gramEnd"/>
      <w:r w:rsidRPr="006F505E">
        <w:rPr>
          <w:rFonts w:ascii="Times New Roman" w:eastAsia="Times New Roman" w:hAnsi="Times New Roman"/>
          <w:lang w:val="en-GB" w:eastAsia="en-GB"/>
        </w:rPr>
        <w:t xml:space="preserve"> to more informed strategic choices.</w:t>
      </w:r>
    </w:p>
    <w:p w14:paraId="14E97D1D" w14:textId="77777777" w:rsidR="009A0439" w:rsidRDefault="009A0439" w:rsidP="009A0439">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 </w:t>
      </w:r>
      <w:r w:rsidRPr="006F505E">
        <w:rPr>
          <w:rFonts w:ascii="Times New Roman" w:eastAsia="Times New Roman" w:hAnsi="Times New Roman"/>
          <w:lang w:val="en-GB" w:eastAsia="en-GB"/>
        </w:rPr>
        <w:br/>
        <w:t xml:space="preserve">The term "macro marketing environment" refers to the external factors that affect entire industries, rather than just individual companies. Changes in consumer preferences, the rise of </w:t>
      </w:r>
      <w:proofErr w:type="gramStart"/>
      <w:r w:rsidRPr="006F505E">
        <w:rPr>
          <w:rFonts w:ascii="Times New Roman" w:eastAsia="Times New Roman" w:hAnsi="Times New Roman"/>
          <w:lang w:val="en-GB" w:eastAsia="en-GB"/>
        </w:rPr>
        <w:t>new technologies</w:t>
      </w:r>
      <w:proofErr w:type="gramEnd"/>
      <w:r w:rsidRPr="006F505E">
        <w:rPr>
          <w:rFonts w:ascii="Times New Roman" w:eastAsia="Times New Roman" w:hAnsi="Times New Roman"/>
          <w:lang w:val="en-GB" w:eastAsia="en-GB"/>
        </w:rPr>
        <w:t xml:space="preserve">, government rules, and </w:t>
      </w:r>
      <w:proofErr w:type="gramStart"/>
      <w:r w:rsidRPr="006F505E">
        <w:rPr>
          <w:rFonts w:ascii="Times New Roman" w:eastAsia="Times New Roman" w:hAnsi="Times New Roman"/>
          <w:lang w:val="en-GB" w:eastAsia="en-GB"/>
        </w:rPr>
        <w:t>strong competition</w:t>
      </w:r>
      <w:proofErr w:type="gramEnd"/>
      <w:r w:rsidRPr="006F505E">
        <w:rPr>
          <w:rFonts w:ascii="Times New Roman" w:eastAsia="Times New Roman" w:hAnsi="Times New Roman"/>
          <w:lang w:val="en-GB" w:eastAsia="en-GB"/>
        </w:rPr>
        <w:t xml:space="preserve"> are all </w:t>
      </w:r>
      <w:proofErr w:type="gramStart"/>
      <w:r w:rsidRPr="006F505E">
        <w:rPr>
          <w:rFonts w:ascii="Times New Roman" w:eastAsia="Times New Roman" w:hAnsi="Times New Roman"/>
          <w:lang w:val="en-GB" w:eastAsia="en-GB"/>
        </w:rPr>
        <w:t>important factors</w:t>
      </w:r>
      <w:proofErr w:type="gramEnd"/>
      <w:r w:rsidRPr="006F505E">
        <w:rPr>
          <w:rFonts w:ascii="Times New Roman" w:eastAsia="Times New Roman" w:hAnsi="Times New Roman"/>
          <w:lang w:val="en-GB" w:eastAsia="en-GB"/>
        </w:rPr>
        <w:t xml:space="preserve"> to consider. Baines and his team (2023) suggest that external factors, which a company cannot control, significantly affect its long-term performance. To keep their strategies relevant and effective, organizations must constantly observe and assess changes in the larger environment, even when they have less control.</w:t>
      </w:r>
    </w:p>
    <w:p w14:paraId="5C71912F" w14:textId="77777777" w:rsidR="00B15D48" w:rsidRDefault="00B15D48" w:rsidP="009A0439">
      <w:pPr>
        <w:rPr>
          <w:rFonts w:ascii="Times New Roman" w:eastAsia="Times New Roman" w:hAnsi="Times New Roman"/>
          <w:lang w:val="en-GB" w:eastAsia="en-GB"/>
        </w:rPr>
      </w:pPr>
    </w:p>
    <w:p w14:paraId="0BDB9523" w14:textId="77777777" w:rsidR="00B15D48" w:rsidRDefault="00B15D48" w:rsidP="009A0439">
      <w:pPr>
        <w:rPr>
          <w:rFonts w:ascii="Times New Roman" w:eastAsia="Times New Roman" w:hAnsi="Times New Roman"/>
          <w:lang w:val="en-GB" w:eastAsia="en-GB"/>
        </w:rPr>
      </w:pPr>
    </w:p>
    <w:p w14:paraId="01F52A1F" w14:textId="77777777" w:rsidR="00B15D48" w:rsidRDefault="00B15D48" w:rsidP="009A0439">
      <w:pPr>
        <w:rPr>
          <w:rFonts w:ascii="Times New Roman" w:eastAsia="Times New Roman" w:hAnsi="Times New Roman"/>
          <w:lang w:val="en-GB" w:eastAsia="en-GB"/>
        </w:rPr>
      </w:pPr>
    </w:p>
    <w:p w14:paraId="355DA8E6" w14:textId="77777777" w:rsidR="00B15D48" w:rsidRDefault="00B15D48" w:rsidP="009A0439">
      <w:pPr>
        <w:rPr>
          <w:rFonts w:ascii="Times New Roman" w:eastAsia="Times New Roman" w:hAnsi="Times New Roman"/>
          <w:lang w:val="en-GB" w:eastAsia="en-GB"/>
        </w:rPr>
      </w:pPr>
    </w:p>
    <w:p w14:paraId="65255DE4" w14:textId="77777777" w:rsidR="00B15D48" w:rsidRDefault="00B15D48" w:rsidP="009A0439">
      <w:pPr>
        <w:rPr>
          <w:rFonts w:ascii="Times New Roman" w:eastAsia="Times New Roman" w:hAnsi="Times New Roman"/>
          <w:lang w:val="en-GB" w:eastAsia="en-GB"/>
        </w:rPr>
      </w:pPr>
    </w:p>
    <w:p w14:paraId="658FD89B" w14:textId="77777777" w:rsidR="00B15D48" w:rsidRDefault="00B15D48" w:rsidP="009A0439">
      <w:pPr>
        <w:rPr>
          <w:rFonts w:ascii="Times New Roman" w:eastAsia="Times New Roman" w:hAnsi="Times New Roman"/>
          <w:lang w:val="en-GB" w:eastAsia="en-GB"/>
        </w:rPr>
      </w:pPr>
    </w:p>
    <w:p w14:paraId="5A7597E9" w14:textId="77777777" w:rsidR="00B15D48" w:rsidRDefault="00B15D48" w:rsidP="009A0439">
      <w:pPr>
        <w:rPr>
          <w:rFonts w:ascii="Times New Roman" w:eastAsia="Times New Roman" w:hAnsi="Times New Roman"/>
          <w:lang w:val="en-GB" w:eastAsia="en-GB"/>
        </w:rPr>
      </w:pPr>
    </w:p>
    <w:p w14:paraId="6C51AB2C" w14:textId="77777777" w:rsidR="00B15D48" w:rsidRDefault="00B15D48" w:rsidP="009A0439">
      <w:pPr>
        <w:rPr>
          <w:rFonts w:ascii="Times New Roman" w:eastAsia="Times New Roman" w:hAnsi="Times New Roman"/>
          <w:lang w:val="en-GB" w:eastAsia="en-GB"/>
        </w:rPr>
      </w:pPr>
    </w:p>
    <w:p w14:paraId="1420958C" w14:textId="77777777" w:rsidR="00B15D48" w:rsidRDefault="00B15D48" w:rsidP="009A0439">
      <w:pPr>
        <w:rPr>
          <w:rFonts w:ascii="Times New Roman" w:eastAsia="Times New Roman" w:hAnsi="Times New Roman"/>
          <w:lang w:val="en-GB" w:eastAsia="en-GB"/>
        </w:rPr>
      </w:pPr>
    </w:p>
    <w:p w14:paraId="4115D854" w14:textId="77777777" w:rsidR="00B15D48" w:rsidRDefault="00B15D48" w:rsidP="009A0439">
      <w:pPr>
        <w:rPr>
          <w:rFonts w:ascii="Times New Roman" w:eastAsia="Times New Roman" w:hAnsi="Times New Roman"/>
          <w:lang w:val="en-GB" w:eastAsia="en-GB"/>
        </w:rPr>
      </w:pPr>
    </w:p>
    <w:p w14:paraId="7E18D864" w14:textId="77777777" w:rsidR="00B15D48" w:rsidRDefault="00B15D48" w:rsidP="009A0439">
      <w:pPr>
        <w:rPr>
          <w:rFonts w:ascii="Times New Roman" w:eastAsia="Times New Roman" w:hAnsi="Times New Roman"/>
          <w:lang w:val="en-GB" w:eastAsia="en-GB"/>
        </w:rPr>
      </w:pPr>
    </w:p>
    <w:p w14:paraId="1A327848" w14:textId="77777777" w:rsidR="009A0439" w:rsidRDefault="009A0439" w:rsidP="009A0439">
      <w:pPr>
        <w:rPr>
          <w:rFonts w:ascii="Times New Roman" w:eastAsia="Times New Roman" w:hAnsi="Times New Roman"/>
          <w:lang w:val="en-GB" w:eastAsia="en-GB"/>
        </w:rPr>
      </w:pPr>
    </w:p>
    <w:p w14:paraId="1D3D10B0" w14:textId="77777777" w:rsidR="00B3631E" w:rsidRDefault="00B3631E" w:rsidP="00802531">
      <w:pPr>
        <w:pStyle w:val="Heading3"/>
        <w:rPr>
          <w:rStyle w:val="Strong"/>
          <w:b w:val="0"/>
          <w:bCs w:val="0"/>
        </w:rPr>
      </w:pPr>
      <w:bookmarkStart w:id="8" w:name="_Toc214460700"/>
      <w:r>
        <w:rPr>
          <w:rStyle w:val="Strong"/>
          <w:b w:val="0"/>
          <w:bCs w:val="0"/>
        </w:rPr>
        <w:lastRenderedPageBreak/>
        <w:t>2.1.2 The PESTEL Framework as a Diagnostic Tool</w:t>
      </w:r>
      <w:bookmarkEnd w:id="8"/>
    </w:p>
    <w:p w14:paraId="4AB6020F" w14:textId="77777777" w:rsidR="00B15D48" w:rsidRDefault="00B15D48" w:rsidP="00B15D48"/>
    <w:p w14:paraId="4379D649" w14:textId="77777777" w:rsidR="00B15D48" w:rsidRDefault="00B15D48" w:rsidP="00B15D48">
      <w:pPr>
        <w:rPr>
          <w:rFonts w:ascii="Times New Roman" w:hAnsi="Times New Roman"/>
        </w:rPr>
      </w:pPr>
      <w:r w:rsidRPr="006D42F3">
        <w:rPr>
          <w:rFonts w:ascii="Times New Roman" w:hAnsi="Times New Roman"/>
          <w:b/>
        </w:rPr>
        <w:t>Figure 1</w:t>
      </w:r>
      <w:r w:rsidRPr="006D42F3">
        <w:rPr>
          <w:rFonts w:ascii="Times New Roman" w:hAnsi="Times New Roman"/>
        </w:rPr>
        <w:t xml:space="preserve"> – PESTEL Overview of the Global EV Environment</w:t>
      </w:r>
    </w:p>
    <w:p w14:paraId="341E8A62" w14:textId="77777777" w:rsidR="00B15D48" w:rsidRPr="00B15D48" w:rsidRDefault="00B15D48" w:rsidP="00B15D48"/>
    <w:p w14:paraId="12AF9F9B" w14:textId="77777777" w:rsidR="006D42F3" w:rsidRDefault="006D42F3" w:rsidP="006D42F3">
      <w:r w:rsidRPr="006D42F3">
        <w:rPr>
          <w:noProof/>
          <w:lang w:val="en-GB" w:eastAsia="en-GB"/>
        </w:rPr>
        <w:drawing>
          <wp:inline distT="0" distB="0" distL="0" distR="0" wp14:anchorId="1EF53168" wp14:editId="559297BB">
            <wp:extent cx="2203450" cy="212353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26410" cy="2145662"/>
                    </a:xfrm>
                    <a:prstGeom prst="rect">
                      <a:avLst/>
                    </a:prstGeom>
                  </pic:spPr>
                </pic:pic>
              </a:graphicData>
            </a:graphic>
          </wp:inline>
        </w:drawing>
      </w:r>
    </w:p>
    <w:p w14:paraId="768AB427" w14:textId="77777777" w:rsidR="00B15D48" w:rsidRPr="00B15D48" w:rsidRDefault="00B15D48" w:rsidP="006D42F3">
      <w:pPr>
        <w:rPr>
          <w:rFonts w:ascii="Times New Roman" w:hAnsi="Times New Roman"/>
        </w:rPr>
      </w:pPr>
      <w:r w:rsidRPr="00B15D48">
        <w:rPr>
          <w:rFonts w:ascii="Times New Roman" w:hAnsi="Times New Roman"/>
          <w:b/>
        </w:rPr>
        <w:t>Source:</w:t>
      </w:r>
      <w:r w:rsidRPr="00B15D48">
        <w:rPr>
          <w:rFonts w:ascii="Times New Roman" w:hAnsi="Times New Roman"/>
        </w:rPr>
        <w:t xml:space="preserve"> Adapted from Kotler et al. (2022) and IEA (2023).</w:t>
      </w:r>
    </w:p>
    <w:p w14:paraId="02955CD9" w14:textId="77777777" w:rsidR="00B3631E" w:rsidRDefault="00B3631E" w:rsidP="00802531">
      <w:pPr>
        <w:pStyle w:val="NormalWeb"/>
        <w:spacing w:line="360" w:lineRule="auto"/>
        <w:jc w:val="both"/>
      </w:pPr>
      <w:r>
        <w:t xml:space="preserve">PESTEL is a widely used analytical lens that categorises macro-environmental forces into political, economic, social, technological, </w:t>
      </w:r>
      <w:proofErr w:type="gramStart"/>
      <w:r>
        <w:t>environmental</w:t>
      </w:r>
      <w:proofErr w:type="gramEnd"/>
      <w:r>
        <w:t xml:space="preserve"> and legal domains (Yüksel, 2012).</w:t>
      </w:r>
    </w:p>
    <w:p w14:paraId="2C33C6E0" w14:textId="2EC85B9D" w:rsidR="00B7406F" w:rsidRDefault="00B7406F" w:rsidP="00802531">
      <w:pPr>
        <w:pStyle w:val="Heading2"/>
        <w:rPr>
          <w:rStyle w:val="Strong"/>
          <w:b/>
          <w:bCs w:val="0"/>
        </w:rPr>
      </w:pPr>
      <w:bookmarkStart w:id="9" w:name="_Toc214460701"/>
      <w:r w:rsidRPr="00B7406F">
        <w:rPr>
          <w:rStyle w:val="Strong"/>
          <w:b/>
          <w:bCs w:val="0"/>
          <w:noProof/>
        </w:rPr>
        <w:drawing>
          <wp:inline distT="0" distB="0" distL="0" distR="0" wp14:anchorId="576F7199" wp14:editId="1FE21A45">
            <wp:extent cx="2242756" cy="326390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257858" cy="3285878"/>
                    </a:xfrm>
                    <a:prstGeom prst="rect">
                      <a:avLst/>
                    </a:prstGeom>
                  </pic:spPr>
                </pic:pic>
              </a:graphicData>
            </a:graphic>
          </wp:inline>
        </w:drawing>
      </w:r>
    </w:p>
    <w:p w14:paraId="5961492E" w14:textId="77777777" w:rsidR="00B7406F" w:rsidRDefault="00B7406F" w:rsidP="00B7406F"/>
    <w:p w14:paraId="16B25FA2" w14:textId="77777777" w:rsidR="00B3631E" w:rsidRDefault="00B3631E" w:rsidP="00802531">
      <w:pPr>
        <w:pStyle w:val="Heading2"/>
      </w:pPr>
      <w:r>
        <w:rPr>
          <w:rStyle w:val="Strong"/>
          <w:b/>
          <w:bCs w:val="0"/>
        </w:rPr>
        <w:lastRenderedPageBreak/>
        <w:t>2.2 Selected Macro Actors: Technological and Environmental Forces</w:t>
      </w:r>
      <w:bookmarkEnd w:id="9"/>
    </w:p>
    <w:p w14:paraId="540B8292" w14:textId="77777777" w:rsidR="00B3631E" w:rsidRDefault="00B3631E" w:rsidP="00802531">
      <w:pPr>
        <w:pStyle w:val="Heading3"/>
        <w:rPr>
          <w:rStyle w:val="Strong"/>
          <w:b w:val="0"/>
          <w:bCs w:val="0"/>
        </w:rPr>
      </w:pPr>
      <w:bookmarkStart w:id="10" w:name="_Toc214460702"/>
      <w:r>
        <w:rPr>
          <w:rStyle w:val="Strong"/>
          <w:b w:val="0"/>
          <w:bCs w:val="0"/>
        </w:rPr>
        <w:t>2.2.1 Rationale for Selecting Technological Forces</w:t>
      </w:r>
      <w:bookmarkEnd w:id="10"/>
    </w:p>
    <w:p w14:paraId="589D0822" w14:textId="77777777" w:rsidR="006D42F3" w:rsidRDefault="006D42F3" w:rsidP="006D42F3"/>
    <w:p w14:paraId="1B4DEC2D" w14:textId="77777777" w:rsidR="006D42F3" w:rsidRPr="006D42F3" w:rsidRDefault="006D42F3" w:rsidP="006D42F3">
      <w:pPr>
        <w:rPr>
          <w:rFonts w:ascii="Times New Roman" w:hAnsi="Times New Roman"/>
          <w:b/>
        </w:rPr>
      </w:pPr>
      <w:r w:rsidRPr="006D42F3">
        <w:rPr>
          <w:rFonts w:ascii="Times New Roman" w:hAnsi="Times New Roman"/>
          <w:b/>
        </w:rPr>
        <w:t>Figure 2 – Line Graph of Global Battery Cost Decline (2010–2023)</w:t>
      </w:r>
    </w:p>
    <w:p w14:paraId="176A3C70" w14:textId="77777777" w:rsidR="006D42F3" w:rsidRDefault="006D42F3" w:rsidP="006D42F3">
      <w:r w:rsidRPr="006D42F3">
        <w:rPr>
          <w:noProof/>
          <w:lang w:val="en-GB" w:eastAsia="en-GB"/>
        </w:rPr>
        <w:drawing>
          <wp:inline distT="0" distB="0" distL="0" distR="0" wp14:anchorId="0EBD7BC8" wp14:editId="16427177">
            <wp:extent cx="3810000" cy="237670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36307" cy="2393118"/>
                    </a:xfrm>
                    <a:prstGeom prst="rect">
                      <a:avLst/>
                    </a:prstGeom>
                  </pic:spPr>
                </pic:pic>
              </a:graphicData>
            </a:graphic>
          </wp:inline>
        </w:drawing>
      </w:r>
    </w:p>
    <w:p w14:paraId="619D501B" w14:textId="77777777" w:rsidR="00B15D48" w:rsidRDefault="00B15D48" w:rsidP="00B15D48">
      <w:pPr>
        <w:pStyle w:val="NormalWeb"/>
      </w:pPr>
      <w:r>
        <w:rPr>
          <w:rStyle w:val="Emphasis"/>
          <w:rFonts w:eastAsiaTheme="majorEastAsia"/>
        </w:rPr>
        <w:t xml:space="preserve">Source: Data adapted from </w:t>
      </w:r>
      <w:proofErr w:type="spellStart"/>
      <w:r>
        <w:rPr>
          <w:rStyle w:val="Emphasis"/>
          <w:rFonts w:eastAsiaTheme="majorEastAsia"/>
        </w:rPr>
        <w:t>BloombergNEF</w:t>
      </w:r>
      <w:proofErr w:type="spellEnd"/>
      <w:r>
        <w:rPr>
          <w:rStyle w:val="Emphasis"/>
          <w:rFonts w:eastAsiaTheme="majorEastAsia"/>
        </w:rPr>
        <w:t xml:space="preserve"> (2023).</w:t>
      </w:r>
    </w:p>
    <w:p w14:paraId="6B16F738" w14:textId="77777777" w:rsidR="00B15D48" w:rsidRDefault="00B15D48" w:rsidP="006D42F3"/>
    <w:p w14:paraId="6B171042" w14:textId="77777777" w:rsidR="006D42F3" w:rsidRDefault="006D42F3" w:rsidP="00802531">
      <w:pPr>
        <w:pStyle w:val="NormalWeb"/>
        <w:spacing w:line="360" w:lineRule="auto"/>
        <w:jc w:val="both"/>
      </w:pPr>
      <w:r>
        <w:t>This figure illustrates the sharp decline in global battery prices, which has been a key driver in making EVs more affordable and expanding their potential market.</w:t>
      </w:r>
    </w:p>
    <w:p w14:paraId="6ED7A9FC" w14:textId="77777777" w:rsidR="002E5FBC" w:rsidRDefault="00B3631E" w:rsidP="00802531">
      <w:pPr>
        <w:pStyle w:val="NormalWeb"/>
        <w:spacing w:line="360" w:lineRule="auto"/>
        <w:jc w:val="both"/>
      </w:pPr>
      <w:r>
        <w:t xml:space="preserve">Technological forces define the pace at which the EV industry evolves. </w:t>
      </w:r>
      <w:r w:rsidR="002E5FBC" w:rsidRPr="006F505E">
        <w:t xml:space="preserve">The growth of the electric vehicle market and the resulting competitive landscape will </w:t>
      </w:r>
      <w:proofErr w:type="gramStart"/>
      <w:r w:rsidR="002E5FBC" w:rsidRPr="006F505E">
        <w:t>be significantly shaped</w:t>
      </w:r>
      <w:proofErr w:type="gramEnd"/>
      <w:r w:rsidR="002E5FBC" w:rsidRPr="006F505E">
        <w:t xml:space="preserve"> by advancements in supporting technologies. The electric vehicle market has changed significantly due to advancements in self-driving technology, electric motors, charging infrastructure, and battery technology. Battery prices, for instance, have seen a substantial decline. Back in 2010, the cost was north of $1,200 for each kilowatt-hour. Fast forward to 2023, and projections put it at </w:t>
      </w:r>
      <w:proofErr w:type="gramStart"/>
      <w:r w:rsidR="002E5FBC" w:rsidRPr="006F505E">
        <w:t>roughly $139</w:t>
      </w:r>
      <w:proofErr w:type="gramEnd"/>
      <w:r w:rsidR="002E5FBC" w:rsidRPr="006F505E">
        <w:t xml:space="preserve"> per kilowatt-hour. As a result, the significant drop in prices has made electric vehicles more accessible to a wider range of consumers (</w:t>
      </w:r>
      <w:proofErr w:type="spellStart"/>
      <w:r w:rsidR="002E5FBC" w:rsidRPr="006F505E">
        <w:t>BloombergNEF</w:t>
      </w:r>
      <w:proofErr w:type="spellEnd"/>
      <w:r w:rsidR="002E5FBC" w:rsidRPr="006F505E">
        <w:t xml:space="preserve">, 2023). People and organizations that quickly embrace these advancements will gain a competitive advantage, while those who hesitate will </w:t>
      </w:r>
      <w:proofErr w:type="gramStart"/>
      <w:r w:rsidR="002E5FBC" w:rsidRPr="006F505E">
        <w:t>likely struggle</w:t>
      </w:r>
      <w:proofErr w:type="gramEnd"/>
      <w:r w:rsidR="002E5FBC" w:rsidRPr="006F505E">
        <w:t xml:space="preserve"> to keep up.</w:t>
      </w:r>
    </w:p>
    <w:p w14:paraId="62A12C0B" w14:textId="77777777" w:rsidR="00B3631E" w:rsidRDefault="00B3631E" w:rsidP="00802531">
      <w:pPr>
        <w:pStyle w:val="Heading3"/>
      </w:pPr>
      <w:bookmarkStart w:id="11" w:name="_Toc214460703"/>
      <w:r>
        <w:rPr>
          <w:rStyle w:val="Strong"/>
          <w:b w:val="0"/>
          <w:bCs w:val="0"/>
        </w:rPr>
        <w:lastRenderedPageBreak/>
        <w:t>2.2.2 Rationale for Selecting Environmental Forces</w:t>
      </w:r>
      <w:bookmarkEnd w:id="11"/>
    </w:p>
    <w:p w14:paraId="5C2399CE" w14:textId="77777777" w:rsidR="002E5FBC" w:rsidRDefault="002E5FBC" w:rsidP="002E5FBC">
      <w:pPr>
        <w:rPr>
          <w:rFonts w:ascii="Times New Roman" w:eastAsia="Times New Roman" w:hAnsi="Times New Roman"/>
          <w:lang w:val="en-GB" w:eastAsia="en-GB"/>
        </w:rPr>
      </w:pPr>
      <w:r w:rsidRPr="006F505E">
        <w:rPr>
          <w:rFonts w:ascii="Times New Roman" w:eastAsia="Times New Roman" w:hAnsi="Times New Roman"/>
          <w:lang w:val="en-GB" w:eastAsia="en-GB"/>
        </w:rPr>
        <w:t>As a result, environmental issues have become more important, reflecting the global trend toward sustainability. Across the globe, governments are tightening the reins on carbon dioxide emissions, pushing for greener transportation solutions. People are becoming more aware of the consequences of pollution and climate change. At the same time, producing electric vehicles presents specific environmental challenges. The process includes both the initial gathering of materials for batteries and their eventual disposal. As a result, the growing interest in electric vehicles (EVs), driven by environmental concerns, creates new et</w:t>
      </w:r>
      <w:r>
        <w:rPr>
          <w:rFonts w:ascii="Times New Roman" w:eastAsia="Times New Roman" w:hAnsi="Times New Roman"/>
          <w:lang w:val="en-GB" w:eastAsia="en-GB"/>
        </w:rPr>
        <w:t>hical challenges for companies.</w:t>
      </w:r>
    </w:p>
    <w:p w14:paraId="5CD05EAF" w14:textId="77777777" w:rsidR="00B3631E" w:rsidRDefault="00B3631E" w:rsidP="00802531">
      <w:pPr>
        <w:pStyle w:val="Heading1"/>
      </w:pPr>
      <w:bookmarkStart w:id="12" w:name="_Toc214460704"/>
      <w:r>
        <w:rPr>
          <w:rStyle w:val="Strong"/>
          <w:rFonts w:eastAsiaTheme="majorEastAsia"/>
          <w:b/>
          <w:bCs/>
        </w:rPr>
        <w:t>3. Detailed Examination of Technological Forces in the EV Industry</w:t>
      </w:r>
      <w:bookmarkEnd w:id="12"/>
    </w:p>
    <w:p w14:paraId="40CD3A2A" w14:textId="77777777" w:rsidR="00B3631E" w:rsidRDefault="00B3631E" w:rsidP="00802531">
      <w:pPr>
        <w:pStyle w:val="Heading2"/>
        <w:rPr>
          <w:rStyle w:val="Strong"/>
          <w:b/>
          <w:bCs w:val="0"/>
        </w:rPr>
      </w:pPr>
      <w:bookmarkStart w:id="13" w:name="_Toc214460705"/>
      <w:r>
        <w:rPr>
          <w:rStyle w:val="Strong"/>
          <w:b/>
          <w:bCs w:val="0"/>
        </w:rPr>
        <w:t>3.1 Evolution of Battery Technology</w:t>
      </w:r>
      <w:bookmarkEnd w:id="13"/>
    </w:p>
    <w:p w14:paraId="1C3D27E4" w14:textId="77777777" w:rsidR="00935F86" w:rsidRDefault="00935F86" w:rsidP="00935F86"/>
    <w:p w14:paraId="71300601" w14:textId="77777777" w:rsidR="00935F86" w:rsidRPr="00935F86" w:rsidRDefault="00935F86" w:rsidP="00935F86">
      <w:pPr>
        <w:rPr>
          <w:rFonts w:ascii="Times New Roman" w:hAnsi="Times New Roman"/>
        </w:rPr>
      </w:pPr>
      <w:r w:rsidRPr="00935F86">
        <w:rPr>
          <w:rFonts w:ascii="Times New Roman" w:hAnsi="Times New Roman"/>
        </w:rPr>
        <w:t>Figure 3 – Technological Forces in the EV Industry: Tesla vs BYD Battery Strategy</w:t>
      </w:r>
    </w:p>
    <w:p w14:paraId="5A634CB2" w14:textId="77777777" w:rsidR="00935F86" w:rsidRDefault="00935F86" w:rsidP="00935F86">
      <w:r w:rsidRPr="00935F86">
        <w:rPr>
          <w:noProof/>
          <w:lang w:val="en-GB" w:eastAsia="en-GB"/>
        </w:rPr>
        <w:drawing>
          <wp:inline distT="0" distB="0" distL="0" distR="0" wp14:anchorId="0E07927D" wp14:editId="538B77FC">
            <wp:extent cx="4298950" cy="1550168"/>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07117" cy="1553113"/>
                    </a:xfrm>
                    <a:prstGeom prst="rect">
                      <a:avLst/>
                    </a:prstGeom>
                  </pic:spPr>
                </pic:pic>
              </a:graphicData>
            </a:graphic>
          </wp:inline>
        </w:drawing>
      </w:r>
    </w:p>
    <w:p w14:paraId="2E823E14" w14:textId="77777777" w:rsidR="00B15D48" w:rsidRPr="00B15D48" w:rsidRDefault="00B15D48" w:rsidP="00935F86">
      <w:pPr>
        <w:rPr>
          <w:rFonts w:ascii="Times New Roman" w:hAnsi="Times New Roman"/>
        </w:rPr>
      </w:pPr>
      <w:r w:rsidRPr="00B15D48">
        <w:rPr>
          <w:rFonts w:ascii="Times New Roman" w:hAnsi="Times New Roman"/>
        </w:rPr>
        <w:t>Source: Based on Tesla (2020), Chen et al. (2023) and Zhou &amp; Li (2022).</w:t>
      </w:r>
    </w:p>
    <w:p w14:paraId="559450F1" w14:textId="77777777" w:rsidR="00B15D48" w:rsidRDefault="00B15D48" w:rsidP="00935F86"/>
    <w:p w14:paraId="35F218ED" w14:textId="77777777" w:rsidR="00935F86" w:rsidRPr="00935F86" w:rsidRDefault="00935F86" w:rsidP="00935F86">
      <w:pPr>
        <w:rPr>
          <w:rFonts w:ascii="Times New Roman" w:hAnsi="Times New Roman"/>
        </w:rPr>
      </w:pPr>
      <w:r>
        <w:rPr>
          <w:rFonts w:ascii="Times New Roman" w:hAnsi="Times New Roman"/>
        </w:rPr>
        <w:t>This f</w:t>
      </w:r>
      <w:r w:rsidRPr="00935F86">
        <w:rPr>
          <w:rFonts w:ascii="Times New Roman" w:hAnsi="Times New Roman"/>
        </w:rPr>
        <w:t>igure compares Tesla’s performance-driven battery strategy with BYD’s cost- and safety-oriented approach, illustrating how technological forces are interpreted differently by a pioneer and a follower.</w:t>
      </w:r>
    </w:p>
    <w:p w14:paraId="23B2FABD" w14:textId="77777777" w:rsidR="002E5FBC" w:rsidRDefault="002E5FBC" w:rsidP="00802531">
      <w:pPr>
        <w:pStyle w:val="NormalWeb"/>
        <w:spacing w:line="360" w:lineRule="auto"/>
        <w:jc w:val="both"/>
      </w:pPr>
      <w:r w:rsidRPr="006F505E">
        <w:t xml:space="preserve">The development of better batteries is a key area of research, with the goal of improving energy storage and use. This work is crucial for a variety of technologies, including electric cars, portable gadgets, and large-scale energy systems. The main challenges in creating better batteries include increasing how </w:t>
      </w:r>
      <w:proofErr w:type="gramStart"/>
      <w:r w:rsidRPr="006F505E">
        <w:t>much</w:t>
      </w:r>
      <w:proofErr w:type="gramEnd"/>
      <w:r w:rsidRPr="006F505E">
        <w:t xml:space="preserve"> energy they can store, making them last longer, and reducing how much they cost. Researchers are exploring </w:t>
      </w:r>
      <w:proofErr w:type="gramStart"/>
      <w:r w:rsidRPr="006F505E">
        <w:t>different materials</w:t>
      </w:r>
      <w:proofErr w:type="gramEnd"/>
      <w:r w:rsidRPr="006F505E">
        <w:t xml:space="preserve"> and designs to overcome these challenges. For example, using new materials like silicon or lithium-</w:t>
      </w:r>
      <w:proofErr w:type="spellStart"/>
      <w:r w:rsidRPr="006F505E">
        <w:t>sulfur</w:t>
      </w:r>
      <w:proofErr w:type="spellEnd"/>
      <w:r w:rsidRPr="006F505E">
        <w:t xml:space="preserve"> can potentially increase energy density. Also, improving how batteries </w:t>
      </w:r>
      <w:proofErr w:type="gramStart"/>
      <w:r w:rsidRPr="006F505E">
        <w:t>are made</w:t>
      </w:r>
      <w:proofErr w:type="gramEnd"/>
      <w:r w:rsidRPr="006F505E">
        <w:t xml:space="preserve"> and how they </w:t>
      </w:r>
      <w:proofErr w:type="gramStart"/>
      <w:r w:rsidRPr="006F505E">
        <w:t>are used</w:t>
      </w:r>
      <w:proofErr w:type="gramEnd"/>
      <w:r w:rsidRPr="006F505E">
        <w:t xml:space="preserve"> can help them last longer and work better. These improvements are essential </w:t>
      </w:r>
      <w:r w:rsidRPr="006F505E">
        <w:lastRenderedPageBreak/>
        <w:t xml:space="preserve">for making renewable energy sources more </w:t>
      </w:r>
      <w:proofErr w:type="gramStart"/>
      <w:r w:rsidRPr="006F505E">
        <w:t>reliable</w:t>
      </w:r>
      <w:proofErr w:type="gramEnd"/>
      <w:r w:rsidRPr="006F505E">
        <w:t xml:space="preserve"> and for reducing our reliance on fossil fuels. </w:t>
      </w:r>
      <w:r w:rsidRPr="006F505E">
        <w:br/>
        <w:t xml:space="preserve">Battery technology has been the bedrock of the electric vehicle surge from the very beginning. Recently, nickel-rich, low-cobalt battery chemistries and lithium iron phosphate (LFP) have become the standard, mainly because of improvements in safety, cost-effectiveness, and energy density (Chen et al., 2023). Tesla's work on the 4680 </w:t>
      </w:r>
      <w:proofErr w:type="gramStart"/>
      <w:r w:rsidRPr="006F505E">
        <w:t>cell</w:t>
      </w:r>
      <w:proofErr w:type="gramEnd"/>
      <w:r w:rsidRPr="006F505E">
        <w:t xml:space="preserve"> has brought about two significant advantages: more efficient manufacturing and improved performance. BYD </w:t>
      </w:r>
      <w:proofErr w:type="gramStart"/>
      <w:r w:rsidRPr="006F505E">
        <w:t>wasn't</w:t>
      </w:r>
      <w:proofErr w:type="gramEnd"/>
      <w:r w:rsidRPr="006F505E">
        <w:t xml:space="preserve"> the trailblazer in this field, yet they were the ones who brought the </w:t>
      </w:r>
      <w:proofErr w:type="gramStart"/>
      <w:r w:rsidRPr="006F505E">
        <w:t>highly-praised</w:t>
      </w:r>
      <w:proofErr w:type="gramEnd"/>
      <w:r w:rsidRPr="006F505E">
        <w:t xml:space="preserve"> Blade Battery to life. Zhou and Li (2022) suggest that imitators can intentionally use technology to improve their competitive position in the market.</w:t>
      </w:r>
    </w:p>
    <w:p w14:paraId="2449F8CF" w14:textId="77777777" w:rsidR="00B3631E" w:rsidRDefault="00B3631E" w:rsidP="00802531">
      <w:pPr>
        <w:pStyle w:val="Heading2"/>
      </w:pPr>
      <w:bookmarkStart w:id="14" w:name="_Toc214460706"/>
      <w:r>
        <w:rPr>
          <w:rStyle w:val="Strong"/>
          <w:b/>
          <w:bCs w:val="0"/>
        </w:rPr>
        <w:t>3.2 Autonomous Driving and Software Ecosystems</w:t>
      </w:r>
      <w:bookmarkEnd w:id="14"/>
    </w:p>
    <w:p w14:paraId="44DAD000" w14:textId="77777777" w:rsidR="003E22F9" w:rsidRDefault="003E22F9" w:rsidP="00802531">
      <w:pPr>
        <w:pStyle w:val="NormalWeb"/>
        <w:spacing w:line="360" w:lineRule="auto"/>
        <w:jc w:val="both"/>
      </w:pPr>
      <w:r w:rsidRPr="003E22F9">
        <w:rPr>
          <w:noProof/>
        </w:rPr>
        <w:drawing>
          <wp:inline distT="0" distB="0" distL="0" distR="0" wp14:anchorId="2886EFB1" wp14:editId="5BA6176A">
            <wp:extent cx="3790950" cy="32507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11569" cy="3268446"/>
                    </a:xfrm>
                    <a:prstGeom prst="rect">
                      <a:avLst/>
                    </a:prstGeom>
                  </pic:spPr>
                </pic:pic>
              </a:graphicData>
            </a:graphic>
          </wp:inline>
        </w:drawing>
      </w:r>
    </w:p>
    <w:p w14:paraId="196A6FB0" w14:textId="77777777" w:rsidR="00B15D48" w:rsidRDefault="00B15D48" w:rsidP="00802531">
      <w:pPr>
        <w:pStyle w:val="NormalWeb"/>
        <w:spacing w:line="360" w:lineRule="auto"/>
        <w:jc w:val="both"/>
      </w:pPr>
      <w:r>
        <w:t>Source: Adapted from Karsten and West (2022), Tesla (2023</w:t>
      </w:r>
      <w:proofErr w:type="gramStart"/>
      <w:r>
        <w:t>)</w:t>
      </w:r>
      <w:proofErr w:type="gramEnd"/>
      <w:r>
        <w:t xml:space="preserve"> and Nvidia (2023).</w:t>
      </w:r>
    </w:p>
    <w:p w14:paraId="234B64B1" w14:textId="77777777" w:rsidR="003E22F9" w:rsidRDefault="003E22F9" w:rsidP="00802531">
      <w:pPr>
        <w:pStyle w:val="NormalWeb"/>
        <w:spacing w:line="360" w:lineRule="auto"/>
        <w:jc w:val="both"/>
      </w:pPr>
      <w:r>
        <w:t>As illustrated in Figure, Tesla positions itself as a software-driven pioneer with strong in-house AI capabilities, whereas BYD adopts a partnership-oriented model to develop its ADAS and connectivity features.</w:t>
      </w:r>
    </w:p>
    <w:p w14:paraId="1E62A528" w14:textId="77777777" w:rsidR="002E5FBC" w:rsidRDefault="002E5FBC" w:rsidP="00802531">
      <w:pPr>
        <w:pStyle w:val="NormalWeb"/>
        <w:spacing w:line="360" w:lineRule="auto"/>
        <w:jc w:val="both"/>
      </w:pPr>
      <w:r w:rsidRPr="006F505E">
        <w:t>The rise of autonomous driving within the tech world is reshaping our perceptions of electric vehicles. Tesla has integrated its Dojo supercomputer and artificial intelligence (AI) to improve its Full Self-</w:t>
      </w:r>
      <w:r w:rsidRPr="006F505E">
        <w:lastRenderedPageBreak/>
        <w:t>Driving (FSD) capabilities (Karsten &amp; West, 2022). Tesla's strategy has set it apart, providing a seamless, software-driven experience. BYD, in contrast, takes a more cooperative route, partnering with established companies like Huawei and Nvidia to build its driver-assistance systems. While not the quickest, this approach allows BYD to remain competitive without needing large internal investments.</w:t>
      </w:r>
    </w:p>
    <w:p w14:paraId="4966B49D" w14:textId="77777777" w:rsidR="00B3631E" w:rsidRDefault="00B3631E" w:rsidP="00802531">
      <w:pPr>
        <w:pStyle w:val="Heading2"/>
      </w:pPr>
      <w:bookmarkStart w:id="15" w:name="_Toc214460707"/>
      <w:r>
        <w:rPr>
          <w:rStyle w:val="Strong"/>
          <w:b/>
          <w:bCs w:val="0"/>
        </w:rPr>
        <w:t>3.3 Innovation in Charging Infrastructure</w:t>
      </w:r>
      <w:bookmarkEnd w:id="15"/>
    </w:p>
    <w:p w14:paraId="042BD703" w14:textId="77777777" w:rsidR="002E5FBC" w:rsidRDefault="002E5FBC" w:rsidP="00802531">
      <w:pPr>
        <w:pStyle w:val="NormalWeb"/>
        <w:spacing w:line="360" w:lineRule="auto"/>
        <w:jc w:val="both"/>
      </w:pPr>
      <w:r w:rsidRPr="006F505E">
        <w:t xml:space="preserve">A reliable charging infrastructure is essential for promoting the widespread use of electric vehicles and ensuring their convenience. Tesla's Supercharger network is a definite highlight. </w:t>
      </w:r>
      <w:proofErr w:type="gramStart"/>
      <w:r w:rsidRPr="006F505E">
        <w:t>It's</w:t>
      </w:r>
      <w:proofErr w:type="gramEnd"/>
      <w:r w:rsidRPr="006F505E">
        <w:t xml:space="preserve"> fast, dependable, and </w:t>
      </w:r>
      <w:proofErr w:type="gramStart"/>
      <w:r w:rsidRPr="006F505E">
        <w:t>pretty much everywhere</w:t>
      </w:r>
      <w:proofErr w:type="gramEnd"/>
      <w:r w:rsidRPr="006F505E">
        <w:t xml:space="preserve"> you need it. In contrast, BYD's financial model depends heavily on government programs and the charging infrastructure provided by outside companies. This distinction helps to clarify how innovators and those who follow them differentiate themselves in the market by using technology in </w:t>
      </w:r>
      <w:proofErr w:type="gramStart"/>
      <w:r w:rsidRPr="006F505E">
        <w:t>different ways</w:t>
      </w:r>
      <w:proofErr w:type="gramEnd"/>
      <w:r w:rsidRPr="006F505E">
        <w:t>.</w:t>
      </w:r>
    </w:p>
    <w:p w14:paraId="20E437C1" w14:textId="77777777" w:rsidR="00B3631E" w:rsidRDefault="00B3631E" w:rsidP="00802531">
      <w:pPr>
        <w:pStyle w:val="Heading2"/>
      </w:pPr>
      <w:bookmarkStart w:id="16" w:name="_Toc214460708"/>
      <w:r>
        <w:rPr>
          <w:rStyle w:val="Strong"/>
          <w:b/>
          <w:bCs w:val="0"/>
        </w:rPr>
        <w:t>3.4 Technological Threats Facing the EV Industry</w:t>
      </w:r>
      <w:bookmarkEnd w:id="16"/>
    </w:p>
    <w:p w14:paraId="6E3B9A49" w14:textId="77777777" w:rsidR="00EB5C10" w:rsidRDefault="00EB5C10" w:rsidP="00EB5C10">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The sector is expanding quickly, even as it navigates certain technological challenges. As a result, the combination of problems in global supply chains, rising costs for raw materials, and a shortage of semiconductors has increased uncertainty in manufacturing (IEA, 2024). The electric vehicle market might encounter </w:t>
      </w:r>
      <w:proofErr w:type="gramStart"/>
      <w:r w:rsidRPr="006F505E">
        <w:rPr>
          <w:rFonts w:ascii="Times New Roman" w:eastAsia="Times New Roman" w:hAnsi="Times New Roman"/>
          <w:lang w:val="en-GB" w:eastAsia="en-GB"/>
        </w:rPr>
        <w:t>some</w:t>
      </w:r>
      <w:proofErr w:type="gramEnd"/>
      <w:r w:rsidRPr="006F505E">
        <w:rPr>
          <w:rFonts w:ascii="Times New Roman" w:eastAsia="Times New Roman" w:hAnsi="Times New Roman"/>
          <w:lang w:val="en-GB" w:eastAsia="en-GB"/>
        </w:rPr>
        <w:t xml:space="preserve"> bumps ahead, with sodium-ion batteries and hydrogen fuel cell vehicles gaining traction. Businesses must constantly innovate and adapt to stay competitive. </w:t>
      </w:r>
    </w:p>
    <w:p w14:paraId="7F9AE50B" w14:textId="77777777" w:rsidR="00B3631E" w:rsidRDefault="00B3631E" w:rsidP="00802531"/>
    <w:p w14:paraId="7451C104" w14:textId="77777777" w:rsidR="00E84E48" w:rsidRDefault="00E84E48" w:rsidP="00802531"/>
    <w:p w14:paraId="7F66B78D" w14:textId="77777777" w:rsidR="00E84E48" w:rsidRDefault="00E84E48" w:rsidP="00802531"/>
    <w:p w14:paraId="229C9B3A" w14:textId="77777777" w:rsidR="00E84E48" w:rsidRDefault="00E84E48" w:rsidP="00802531"/>
    <w:p w14:paraId="6CFBD569" w14:textId="77777777" w:rsidR="00E84E48" w:rsidRDefault="00E84E48" w:rsidP="00802531"/>
    <w:p w14:paraId="14371914" w14:textId="77777777" w:rsidR="00E84E48" w:rsidRDefault="00E84E48" w:rsidP="00802531"/>
    <w:p w14:paraId="20C9D887" w14:textId="77777777" w:rsidR="00E84E48" w:rsidRDefault="00E84E48" w:rsidP="00802531"/>
    <w:p w14:paraId="7A8478B9" w14:textId="77777777" w:rsidR="00E84E48" w:rsidRDefault="00E84E48" w:rsidP="00802531"/>
    <w:p w14:paraId="47184E90" w14:textId="77777777" w:rsidR="00E84E48" w:rsidRDefault="00E84E48" w:rsidP="00802531"/>
    <w:p w14:paraId="0A8ABFCF" w14:textId="77777777" w:rsidR="00E84E48" w:rsidRDefault="00E84E48" w:rsidP="00802531"/>
    <w:p w14:paraId="07ED2558" w14:textId="77777777" w:rsidR="00B3631E" w:rsidRDefault="00B3631E" w:rsidP="00802531">
      <w:pPr>
        <w:pStyle w:val="Heading1"/>
      </w:pPr>
      <w:bookmarkStart w:id="17" w:name="_Toc214460709"/>
      <w:r>
        <w:rPr>
          <w:rStyle w:val="Strong"/>
          <w:rFonts w:eastAsiaTheme="majorEastAsia"/>
          <w:b/>
          <w:bCs/>
        </w:rPr>
        <w:lastRenderedPageBreak/>
        <w:t>4. Detailed Examination of Environmental Forces in the EV Industry</w:t>
      </w:r>
      <w:bookmarkEnd w:id="17"/>
    </w:p>
    <w:p w14:paraId="2FBE5CD6" w14:textId="77777777" w:rsidR="00B3631E" w:rsidRDefault="00B3631E" w:rsidP="00802531">
      <w:pPr>
        <w:pStyle w:val="Heading2"/>
      </w:pPr>
      <w:bookmarkStart w:id="18" w:name="_Toc214460710"/>
      <w:r>
        <w:rPr>
          <w:rStyle w:val="Strong"/>
          <w:b/>
          <w:bCs w:val="0"/>
        </w:rPr>
        <w:t>4.1 Climate Change as a Global Driver of EV Adoption</w:t>
      </w:r>
      <w:bookmarkEnd w:id="18"/>
    </w:p>
    <w:p w14:paraId="34FC5C9A" w14:textId="77777777" w:rsidR="00E84E48" w:rsidRDefault="00E84E48" w:rsidP="00EB5C10">
      <w:pPr>
        <w:rPr>
          <w:rFonts w:ascii="Times New Roman" w:eastAsia="Times New Roman" w:hAnsi="Times New Roman"/>
          <w:lang w:val="en-GB" w:eastAsia="en-GB"/>
        </w:rPr>
      </w:pPr>
    </w:p>
    <w:p w14:paraId="50795823" w14:textId="77777777" w:rsidR="00E84E48" w:rsidRDefault="00E84E48" w:rsidP="00EB5C10">
      <w:pPr>
        <w:rPr>
          <w:rFonts w:ascii="Times New Roman" w:hAnsi="Times New Roman"/>
        </w:rPr>
      </w:pPr>
      <w:r w:rsidRPr="00E84E48">
        <w:rPr>
          <w:rFonts w:ascii="Times New Roman" w:hAnsi="Times New Roman"/>
        </w:rPr>
        <w:t>Figure 5 – Climate Policy &amp; EV Adoption: Policy Push Driving EV Growth</w:t>
      </w:r>
    </w:p>
    <w:p w14:paraId="5A370889" w14:textId="77777777" w:rsidR="00E84E48" w:rsidRDefault="00E84E48" w:rsidP="00EB5C10">
      <w:pPr>
        <w:rPr>
          <w:rFonts w:ascii="Times New Roman" w:hAnsi="Times New Roman"/>
        </w:rPr>
      </w:pPr>
      <w:r>
        <w:rPr>
          <w:rFonts w:ascii="Times New Roman" w:hAnsi="Times New Roman"/>
          <w:noProof/>
          <w:lang w:val="en-GB" w:eastAsia="en-GB"/>
        </w:rPr>
        <w:drawing>
          <wp:inline distT="0" distB="0" distL="0" distR="0" wp14:anchorId="0DDD2D9B" wp14:editId="7B902A25">
            <wp:extent cx="5886450" cy="265065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02503" cy="2657886"/>
                    </a:xfrm>
                    <a:prstGeom prst="rect">
                      <a:avLst/>
                    </a:prstGeom>
                    <a:noFill/>
                    <a:ln>
                      <a:noFill/>
                    </a:ln>
                  </pic:spPr>
                </pic:pic>
              </a:graphicData>
            </a:graphic>
          </wp:inline>
        </w:drawing>
      </w:r>
    </w:p>
    <w:p w14:paraId="0C4F5719" w14:textId="77777777" w:rsidR="00B15D48" w:rsidRPr="00B15D48" w:rsidRDefault="00B15D48" w:rsidP="00EB5C10">
      <w:pPr>
        <w:rPr>
          <w:rFonts w:ascii="Times New Roman" w:hAnsi="Times New Roman"/>
        </w:rPr>
      </w:pPr>
      <w:r w:rsidRPr="00B15D48">
        <w:rPr>
          <w:rFonts w:ascii="Times New Roman" w:hAnsi="Times New Roman"/>
        </w:rPr>
        <w:t>Source: Based on European Commission (2023), UK Government (2021) and IEA (2023).</w:t>
      </w:r>
    </w:p>
    <w:p w14:paraId="5ACD2010" w14:textId="77777777" w:rsidR="00B15D48" w:rsidRDefault="00B15D48" w:rsidP="00EB5C10">
      <w:pPr>
        <w:rPr>
          <w:rFonts w:ascii="Times New Roman" w:hAnsi="Times New Roman"/>
        </w:rPr>
      </w:pPr>
    </w:p>
    <w:p w14:paraId="0A53F8AE" w14:textId="77777777" w:rsidR="00E84E48" w:rsidRPr="00E84E48" w:rsidRDefault="00E84E48" w:rsidP="00EB5C10">
      <w:pPr>
        <w:rPr>
          <w:rFonts w:ascii="Times New Roman" w:eastAsia="Times New Roman" w:hAnsi="Times New Roman"/>
          <w:lang w:val="en-GB" w:eastAsia="en-GB"/>
        </w:rPr>
      </w:pPr>
      <w:r>
        <w:rPr>
          <w:rFonts w:ascii="Times New Roman" w:hAnsi="Times New Roman"/>
        </w:rPr>
        <w:t>This f</w:t>
      </w:r>
      <w:r w:rsidRPr="00E84E48">
        <w:rPr>
          <w:rFonts w:ascii="Times New Roman" w:hAnsi="Times New Roman"/>
        </w:rPr>
        <w:t>igure summarizes how climate policies create a reinforcing loop, where stricter emissions targets stimulate EV adoption and, in turn, justify further investment into cleaner mobility.</w:t>
      </w:r>
    </w:p>
    <w:p w14:paraId="5277F025" w14:textId="77777777" w:rsidR="00E84E48" w:rsidRDefault="00E84E48" w:rsidP="00EB5C10">
      <w:pPr>
        <w:rPr>
          <w:rFonts w:ascii="Times New Roman" w:eastAsia="Times New Roman" w:hAnsi="Times New Roman"/>
          <w:lang w:val="en-GB" w:eastAsia="en-GB"/>
        </w:rPr>
      </w:pPr>
    </w:p>
    <w:p w14:paraId="5E44997A" w14:textId="77777777" w:rsidR="00EB5C10" w:rsidRDefault="00EB5C10" w:rsidP="00EB5C10">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The climate crisis has forced governments and businesses to face the </w:t>
      </w:r>
      <w:proofErr w:type="gramStart"/>
      <w:r w:rsidRPr="006F505E">
        <w:rPr>
          <w:rFonts w:ascii="Times New Roman" w:eastAsia="Times New Roman" w:hAnsi="Times New Roman"/>
          <w:lang w:val="en-GB" w:eastAsia="en-GB"/>
        </w:rPr>
        <w:t>difficult task</w:t>
      </w:r>
      <w:proofErr w:type="gramEnd"/>
      <w:r w:rsidRPr="006F505E">
        <w:rPr>
          <w:rFonts w:ascii="Times New Roman" w:eastAsia="Times New Roman" w:hAnsi="Times New Roman"/>
          <w:lang w:val="en-GB" w:eastAsia="en-GB"/>
        </w:rPr>
        <w:t xml:space="preserve"> of reducing emissions while also increasing the use of environmentally friendly technologies. </w:t>
      </w:r>
      <w:proofErr w:type="gramStart"/>
      <w:r w:rsidRPr="006F505E">
        <w:rPr>
          <w:rFonts w:ascii="Times New Roman" w:eastAsia="Times New Roman" w:hAnsi="Times New Roman"/>
          <w:lang w:val="en-GB" w:eastAsia="en-GB"/>
        </w:rPr>
        <w:t>Several</w:t>
      </w:r>
      <w:proofErr w:type="gramEnd"/>
      <w:r w:rsidRPr="006F505E">
        <w:rPr>
          <w:rFonts w:ascii="Times New Roman" w:eastAsia="Times New Roman" w:hAnsi="Times New Roman"/>
          <w:lang w:val="en-GB" w:eastAsia="en-GB"/>
        </w:rPr>
        <w:t xml:space="preserve"> nations have already enacted complete bans on cars powered by gasoline and diesel, pushing for a transition to electric vehicles as a means of fighting pollution. The European Union has set its sights on eliminating the sale of new cars powered by internal combustion engines by 2035. This move aligns with pledges made by both China and the UK (European Commission, 2023). These global changes are driving a significant increase in the need for electric vehicles.</w:t>
      </w:r>
    </w:p>
    <w:p w14:paraId="08C0B597" w14:textId="77777777" w:rsidR="00EB5C10" w:rsidRDefault="00EB5C10" w:rsidP="00802531">
      <w:pPr>
        <w:pStyle w:val="NormalWeb"/>
        <w:spacing w:line="360" w:lineRule="auto"/>
        <w:jc w:val="both"/>
      </w:pPr>
    </w:p>
    <w:p w14:paraId="64031448" w14:textId="77777777" w:rsidR="00EB5C10" w:rsidRDefault="00EB5C10" w:rsidP="00802531">
      <w:pPr>
        <w:pStyle w:val="NormalWeb"/>
        <w:spacing w:line="360" w:lineRule="auto"/>
        <w:jc w:val="both"/>
      </w:pPr>
    </w:p>
    <w:p w14:paraId="652DF15C" w14:textId="77777777" w:rsidR="00B3631E" w:rsidRDefault="00B3631E" w:rsidP="00802531">
      <w:pPr>
        <w:pStyle w:val="Heading2"/>
      </w:pPr>
      <w:bookmarkStart w:id="19" w:name="_Toc214460711"/>
      <w:r>
        <w:rPr>
          <w:rStyle w:val="Strong"/>
          <w:b/>
          <w:bCs w:val="0"/>
        </w:rPr>
        <w:lastRenderedPageBreak/>
        <w:t>4.2 Environmental Shifts in Consumer Attitudes</w:t>
      </w:r>
      <w:bookmarkEnd w:id="19"/>
    </w:p>
    <w:p w14:paraId="2E914325" w14:textId="77777777" w:rsidR="00EB5C10" w:rsidRDefault="00EB5C10" w:rsidP="00802531">
      <w:pPr>
        <w:pStyle w:val="NormalWeb"/>
        <w:spacing w:line="360" w:lineRule="auto"/>
        <w:jc w:val="both"/>
      </w:pPr>
      <w:r w:rsidRPr="006F505E">
        <w:t xml:space="preserve">The public is more aware of environmental issues than ever. The drive to lessen our environmental footprint has, to a significant degree, spurred the rise in electric and hybrid vehicle purchases. Statista's 2023 figures reveal that </w:t>
      </w:r>
      <w:proofErr w:type="gramStart"/>
      <w:r w:rsidRPr="006F505E">
        <w:t>nearly half</w:t>
      </w:r>
      <w:proofErr w:type="gramEnd"/>
      <w:r w:rsidRPr="006F505E">
        <w:t xml:space="preserve"> of European consumers are contemplating buying a vehicle with a smaller environmental footprint. As public awareness of the problem grows, electric car marketing is changing to meet shifting consumer preferences.</w:t>
      </w:r>
    </w:p>
    <w:p w14:paraId="15C9AB6D" w14:textId="77777777" w:rsidR="00B3631E" w:rsidRDefault="00B3631E" w:rsidP="00802531">
      <w:pPr>
        <w:pStyle w:val="Heading2"/>
      </w:pPr>
      <w:bookmarkStart w:id="20" w:name="_Toc214460712"/>
      <w:r>
        <w:rPr>
          <w:rStyle w:val="Strong"/>
          <w:b/>
          <w:bCs w:val="0"/>
        </w:rPr>
        <w:t>4.3 Sustainability Challenges Associated with EV Production</w:t>
      </w:r>
      <w:bookmarkEnd w:id="20"/>
    </w:p>
    <w:p w14:paraId="74C224EC" w14:textId="77777777" w:rsidR="00E84E48" w:rsidRDefault="00E84E48" w:rsidP="00802531">
      <w:pPr>
        <w:pStyle w:val="NormalWeb"/>
        <w:spacing w:line="360" w:lineRule="auto"/>
        <w:jc w:val="both"/>
      </w:pPr>
      <w:r>
        <w:t>Figure 6 – Sustainability Challenges across the EV Value Chain</w:t>
      </w:r>
    </w:p>
    <w:p w14:paraId="570F7801" w14:textId="77777777" w:rsidR="00E84E48" w:rsidRDefault="00E84E48" w:rsidP="00802531">
      <w:pPr>
        <w:pStyle w:val="NormalWeb"/>
        <w:spacing w:line="360" w:lineRule="auto"/>
        <w:jc w:val="both"/>
      </w:pPr>
      <w:r w:rsidRPr="00E84E48">
        <w:rPr>
          <w:noProof/>
        </w:rPr>
        <w:drawing>
          <wp:inline distT="0" distB="0" distL="0" distR="0" wp14:anchorId="0AC07049" wp14:editId="13A044B7">
            <wp:extent cx="5397500" cy="1367073"/>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08228" cy="1369790"/>
                    </a:xfrm>
                    <a:prstGeom prst="rect">
                      <a:avLst/>
                    </a:prstGeom>
                  </pic:spPr>
                </pic:pic>
              </a:graphicData>
            </a:graphic>
          </wp:inline>
        </w:drawing>
      </w:r>
    </w:p>
    <w:p w14:paraId="077BAB63" w14:textId="77777777" w:rsidR="00B15D48" w:rsidRDefault="00B15D48" w:rsidP="00802531">
      <w:pPr>
        <w:pStyle w:val="NormalWeb"/>
        <w:spacing w:line="360" w:lineRule="auto"/>
        <w:jc w:val="both"/>
      </w:pPr>
      <w:r>
        <w:t>Source: Adapted from World Economic Forum (2022), IEA (2022</w:t>
      </w:r>
      <w:proofErr w:type="gramStart"/>
      <w:r>
        <w:t>)</w:t>
      </w:r>
      <w:proofErr w:type="gramEnd"/>
      <w:r>
        <w:t xml:space="preserve"> and Harper et al. (2019).</w:t>
      </w:r>
    </w:p>
    <w:p w14:paraId="2E6AB375" w14:textId="77777777" w:rsidR="00E84E48" w:rsidRDefault="00E84E48" w:rsidP="00802531">
      <w:pPr>
        <w:pStyle w:val="NormalWeb"/>
        <w:spacing w:line="360" w:lineRule="auto"/>
        <w:jc w:val="both"/>
      </w:pPr>
      <w:r>
        <w:t>This figure presents the EV value chain and highlights key environmental risks at each stage, along with strategic responses from Tesla and BYD.</w:t>
      </w:r>
    </w:p>
    <w:p w14:paraId="4E7355B6" w14:textId="77777777" w:rsidR="00EB5C10" w:rsidRDefault="00EB5C10" w:rsidP="00802531">
      <w:pPr>
        <w:pStyle w:val="NormalWeb"/>
        <w:spacing w:line="360" w:lineRule="auto"/>
        <w:jc w:val="both"/>
      </w:pPr>
      <w:r w:rsidRPr="006F505E">
        <w:t xml:space="preserve">Even though electric vehicles (EVs) are better for the environment, their production still has </w:t>
      </w:r>
      <w:proofErr w:type="gramStart"/>
      <w:r w:rsidRPr="006F505E">
        <w:t>some</w:t>
      </w:r>
      <w:proofErr w:type="gramEnd"/>
      <w:r w:rsidRPr="006F505E">
        <w:t xml:space="preserve"> negative effects. Extracting lithium, nickel, and cobalt can potentially cause water shortages, land degradation, and social instability (World Economic Forum, 2022). A further factor that could worsen future waste problems is the limited ability to recycle batteries. To tackle these hurdles, Tesla is making strides in developing batteries that </w:t>
      </w:r>
      <w:proofErr w:type="gramStart"/>
      <w:r w:rsidRPr="006F505E">
        <w:t>don't</w:t>
      </w:r>
      <w:proofErr w:type="gramEnd"/>
      <w:r w:rsidRPr="006F505E">
        <w:t xml:space="preserve"> rely on cobalt, alongside refining its recycling processes. BYD is also using LFP technology to lessen its reliance on materials that are rare and hard to obtain.</w:t>
      </w:r>
    </w:p>
    <w:p w14:paraId="39AC0886" w14:textId="77777777" w:rsidR="00B3631E" w:rsidRDefault="00B3631E" w:rsidP="00802531">
      <w:pPr>
        <w:pStyle w:val="Heading2"/>
      </w:pPr>
      <w:bookmarkStart w:id="21" w:name="_Toc214460713"/>
      <w:r>
        <w:rPr>
          <w:rStyle w:val="Strong"/>
          <w:b/>
          <w:bCs w:val="0"/>
        </w:rPr>
        <w:lastRenderedPageBreak/>
        <w:t>4.4 Environmental Opportunities and Threats</w:t>
      </w:r>
      <w:bookmarkEnd w:id="21"/>
    </w:p>
    <w:p w14:paraId="17CFDB9E" w14:textId="77777777" w:rsidR="00EB5C10" w:rsidRDefault="00EB5C10" w:rsidP="00802531">
      <w:pPr>
        <w:pStyle w:val="NormalWeb"/>
        <w:spacing w:line="360" w:lineRule="auto"/>
        <w:jc w:val="both"/>
      </w:pPr>
      <w:r w:rsidRPr="006F505E">
        <w:t>Environmental factors present both opportunities and risks. Businesses can benefit from the combination of growing consumer demand, government financial support, and a more positive public view of environmentally friendly products. However, these groups face challenges, including stricter audit requirements, increased global scrutiny of their sustainability efforts, and the possibility of future resource shortages. Therefore, companies should consider their environmental responsibilities when creating future strategies.</w:t>
      </w:r>
    </w:p>
    <w:p w14:paraId="1C28F532" w14:textId="77777777" w:rsidR="00B3631E" w:rsidRDefault="00B3631E" w:rsidP="00802531">
      <w:pPr>
        <w:pStyle w:val="Heading1"/>
        <w:rPr>
          <w:rStyle w:val="Strong"/>
          <w:rFonts w:eastAsiaTheme="majorEastAsia"/>
          <w:b/>
          <w:bCs/>
        </w:rPr>
      </w:pPr>
      <w:bookmarkStart w:id="22" w:name="_Toc214460714"/>
      <w:r>
        <w:rPr>
          <w:rStyle w:val="Strong"/>
          <w:rFonts w:eastAsiaTheme="majorEastAsia"/>
          <w:b/>
          <w:bCs/>
        </w:rPr>
        <w:t>5. Task 2: Strategic Responses of Pioneers and Followers</w:t>
      </w:r>
      <w:bookmarkEnd w:id="22"/>
    </w:p>
    <w:p w14:paraId="6A534CDD" w14:textId="77777777" w:rsidR="00802531" w:rsidRPr="00E84E48" w:rsidRDefault="00E84E48" w:rsidP="00802531">
      <w:pPr>
        <w:rPr>
          <w:rFonts w:ascii="Times New Roman" w:hAnsi="Times New Roman"/>
        </w:rPr>
      </w:pPr>
      <w:r w:rsidRPr="00E84E48">
        <w:rPr>
          <w:rFonts w:ascii="Times New Roman" w:hAnsi="Times New Roman"/>
        </w:rPr>
        <w:t>Figure 7 – Strategic Response Framework: From Macro Forces to Firm Strategy</w:t>
      </w:r>
    </w:p>
    <w:p w14:paraId="18B8A1FD" w14:textId="77777777" w:rsidR="00E84E48" w:rsidRDefault="00E84E48" w:rsidP="00802531">
      <w:r w:rsidRPr="00E84E48">
        <w:rPr>
          <w:noProof/>
          <w:lang w:val="en-GB" w:eastAsia="en-GB"/>
        </w:rPr>
        <w:drawing>
          <wp:inline distT="0" distB="0" distL="0" distR="0" wp14:anchorId="0678C9B2" wp14:editId="62DE6164">
            <wp:extent cx="4470400" cy="3830312"/>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74978" cy="3834235"/>
                    </a:xfrm>
                    <a:prstGeom prst="rect">
                      <a:avLst/>
                    </a:prstGeom>
                  </pic:spPr>
                </pic:pic>
              </a:graphicData>
            </a:graphic>
          </wp:inline>
        </w:drawing>
      </w:r>
    </w:p>
    <w:p w14:paraId="7E2B295E" w14:textId="77777777" w:rsidR="00E84E48" w:rsidRDefault="00E84E48" w:rsidP="00802531"/>
    <w:p w14:paraId="58DEFFC5" w14:textId="77777777" w:rsidR="00B15D48" w:rsidRPr="00B15D48" w:rsidRDefault="00B15D48" w:rsidP="00802531">
      <w:pPr>
        <w:rPr>
          <w:rFonts w:ascii="Times New Roman" w:hAnsi="Times New Roman"/>
        </w:rPr>
      </w:pPr>
      <w:r w:rsidRPr="00B15D48">
        <w:rPr>
          <w:rFonts w:ascii="Times New Roman" w:hAnsi="Times New Roman"/>
        </w:rPr>
        <w:t>Source: Developed using concepts from Porter (1980), Ansoff (1957) and Lieberman &amp; Montgomery (1988).</w:t>
      </w:r>
    </w:p>
    <w:p w14:paraId="7E0715E2" w14:textId="77777777" w:rsidR="00E84E48" w:rsidRPr="00E84E48" w:rsidRDefault="00E84E48" w:rsidP="00802531">
      <w:pPr>
        <w:rPr>
          <w:rFonts w:ascii="Times New Roman" w:hAnsi="Times New Roman"/>
        </w:rPr>
      </w:pPr>
      <w:r>
        <w:rPr>
          <w:rFonts w:ascii="Times New Roman" w:hAnsi="Times New Roman"/>
        </w:rPr>
        <w:lastRenderedPageBreak/>
        <w:t>This f</w:t>
      </w:r>
      <w:r w:rsidRPr="00E84E48">
        <w:rPr>
          <w:rFonts w:ascii="Times New Roman" w:hAnsi="Times New Roman"/>
        </w:rPr>
        <w:t xml:space="preserve">igure provides an overview of how the selected technological and environmental forces translate into distinct strategic responses by Tesla and BYD, reflecting their roles as </w:t>
      </w:r>
      <w:proofErr w:type="gramStart"/>
      <w:r w:rsidRPr="00E84E48">
        <w:rPr>
          <w:rFonts w:ascii="Times New Roman" w:hAnsi="Times New Roman"/>
        </w:rPr>
        <w:t>pioneer</w:t>
      </w:r>
      <w:proofErr w:type="gramEnd"/>
      <w:r w:rsidRPr="00E84E48">
        <w:rPr>
          <w:rFonts w:ascii="Times New Roman" w:hAnsi="Times New Roman"/>
        </w:rPr>
        <w:t xml:space="preserve"> and </w:t>
      </w:r>
      <w:proofErr w:type="gramStart"/>
      <w:r w:rsidRPr="00E84E48">
        <w:rPr>
          <w:rFonts w:ascii="Times New Roman" w:hAnsi="Times New Roman"/>
        </w:rPr>
        <w:t>follower</w:t>
      </w:r>
      <w:proofErr w:type="gramEnd"/>
      <w:r w:rsidRPr="00E84E48">
        <w:rPr>
          <w:rFonts w:ascii="Times New Roman" w:hAnsi="Times New Roman"/>
        </w:rPr>
        <w:t xml:space="preserve"> respectively.</w:t>
      </w:r>
    </w:p>
    <w:p w14:paraId="70DF7FD3" w14:textId="77777777" w:rsidR="00E84E48" w:rsidRDefault="00E84E48" w:rsidP="00802531">
      <w:pPr>
        <w:rPr>
          <w:lang w:eastAsia="en-GB"/>
        </w:rPr>
      </w:pPr>
    </w:p>
    <w:p w14:paraId="4937C441" w14:textId="77777777" w:rsidR="00B3631E" w:rsidRDefault="00B3631E" w:rsidP="00802531">
      <w:pPr>
        <w:pStyle w:val="Heading2"/>
      </w:pPr>
      <w:bookmarkStart w:id="23" w:name="_Toc214460715"/>
      <w:r>
        <w:rPr>
          <w:rStyle w:val="Strong"/>
          <w:b/>
          <w:bCs w:val="0"/>
        </w:rPr>
        <w:t>5.1 Strategic Responses of Tesla (Pioneer)</w:t>
      </w:r>
      <w:bookmarkEnd w:id="23"/>
    </w:p>
    <w:p w14:paraId="7B70BC2A" w14:textId="77777777" w:rsidR="00B3631E" w:rsidRDefault="00B3631E" w:rsidP="00802531">
      <w:pPr>
        <w:pStyle w:val="Heading3"/>
      </w:pPr>
      <w:bookmarkStart w:id="24" w:name="_Toc214460716"/>
      <w:r>
        <w:rPr>
          <w:rStyle w:val="Strong"/>
          <w:b w:val="0"/>
          <w:bCs w:val="0"/>
        </w:rPr>
        <w:t>5.1.1 Application of Ansoff’s Growth Matrix</w:t>
      </w:r>
      <w:bookmarkEnd w:id="24"/>
    </w:p>
    <w:p w14:paraId="2EEF8D32" w14:textId="77777777" w:rsidR="00B3631E" w:rsidRDefault="00B3631E" w:rsidP="00802531">
      <w:pPr>
        <w:pStyle w:val="Heading4"/>
      </w:pPr>
      <w:r>
        <w:rPr>
          <w:rStyle w:val="Strong"/>
          <w:b w:val="0"/>
          <w:bCs w:val="0"/>
        </w:rPr>
        <w:t>Market Penetration through Customer Experience Enhancement</w:t>
      </w:r>
    </w:p>
    <w:p w14:paraId="37088D68" w14:textId="77777777" w:rsidR="009379C1" w:rsidRDefault="009379C1" w:rsidP="00802531">
      <w:pPr>
        <w:pStyle w:val="NormalWeb"/>
        <w:spacing w:line="360" w:lineRule="auto"/>
        <w:jc w:val="both"/>
      </w:pPr>
      <w:r w:rsidRPr="006F505E">
        <w:t xml:space="preserve">Entering new markets frequently depends on meeting the demands of existing clientele. </w:t>
      </w:r>
      <w:r w:rsidRPr="006F505E">
        <w:br/>
        <w:t xml:space="preserve">Tesla's primary focus is on refining its current offerings. This </w:t>
      </w:r>
      <w:proofErr w:type="gramStart"/>
      <w:r w:rsidRPr="006F505E">
        <w:t>is achieved</w:t>
      </w:r>
      <w:proofErr w:type="gramEnd"/>
      <w:r w:rsidRPr="006F505E">
        <w:t xml:space="preserve"> through the consistent deployment of software updates. The latest updates improve how the cars handle, add new safety measures, and extend their driving range. These enhancements accomplish two things. They show existing customers that </w:t>
      </w:r>
      <w:proofErr w:type="gramStart"/>
      <w:r w:rsidRPr="006F505E">
        <w:t>they're</w:t>
      </w:r>
      <w:proofErr w:type="gramEnd"/>
      <w:r w:rsidRPr="006F505E">
        <w:t xml:space="preserve"> appreciated, and they also attract new ones, who are frequently impressed by Tesla's reputation for ongoing </w:t>
      </w:r>
      <w:proofErr w:type="gramStart"/>
      <w:r w:rsidRPr="006F505E">
        <w:t>innovation</w:t>
      </w:r>
      <w:proofErr w:type="gramEnd"/>
    </w:p>
    <w:p w14:paraId="5E25AB3E" w14:textId="77777777" w:rsidR="00B3631E" w:rsidRDefault="00B3631E" w:rsidP="00802531">
      <w:pPr>
        <w:pStyle w:val="Heading4"/>
      </w:pPr>
      <w:r>
        <w:rPr>
          <w:rStyle w:val="Strong"/>
          <w:b w:val="0"/>
          <w:bCs w:val="0"/>
        </w:rPr>
        <w:t>Product Development through Innovation Intensity</w:t>
      </w:r>
    </w:p>
    <w:p w14:paraId="662748E8" w14:textId="77777777" w:rsidR="00B3631E" w:rsidRDefault="00B3631E" w:rsidP="00802531">
      <w:pPr>
        <w:pStyle w:val="NormalWeb"/>
        <w:spacing w:line="360" w:lineRule="auto"/>
        <w:jc w:val="both"/>
      </w:pPr>
      <w:r>
        <w:t xml:space="preserve">Tesla’s growth is </w:t>
      </w:r>
      <w:proofErr w:type="gramStart"/>
      <w:r>
        <w:t>largely driven</w:t>
      </w:r>
      <w:proofErr w:type="gramEnd"/>
      <w:r>
        <w:t xml:space="preserve"> by relentless product development. The introduction of advanced battery designs, AI-based autonomous systems, smart manufacturing </w:t>
      </w:r>
      <w:proofErr w:type="gramStart"/>
      <w:r>
        <w:t>methods</w:t>
      </w:r>
      <w:proofErr w:type="gramEnd"/>
      <w:r>
        <w:t xml:space="preserve"> and the </w:t>
      </w:r>
      <w:proofErr w:type="spellStart"/>
      <w:r>
        <w:t>Cybertruck</w:t>
      </w:r>
      <w:proofErr w:type="spellEnd"/>
      <w:r>
        <w:t xml:space="preserve"> demonstrates continuous innovation. Tesla invests heavily in research and development, with R&amp;D intensity consistently higher than most traditional automakers (Statista, 2024). This reinforces its pioneering image and differentiation strategy.</w:t>
      </w:r>
    </w:p>
    <w:p w14:paraId="0C24CEE4" w14:textId="77777777" w:rsidR="00B3631E" w:rsidRDefault="00B3631E" w:rsidP="00802531">
      <w:pPr>
        <w:pStyle w:val="Heading4"/>
      </w:pPr>
      <w:r>
        <w:rPr>
          <w:rStyle w:val="Strong"/>
          <w:b w:val="0"/>
          <w:bCs w:val="0"/>
        </w:rPr>
        <w:t>Market Development via Global Gigafactory Expansion</w:t>
      </w:r>
    </w:p>
    <w:p w14:paraId="7B21B5CD" w14:textId="77777777" w:rsidR="009379C1" w:rsidRDefault="009379C1" w:rsidP="00802531">
      <w:pPr>
        <w:pStyle w:val="NormalWeb"/>
        <w:spacing w:line="360" w:lineRule="auto"/>
        <w:jc w:val="both"/>
      </w:pPr>
      <w:r w:rsidRPr="006F505E">
        <w:t xml:space="preserve">Tesla's expansion </w:t>
      </w:r>
      <w:proofErr w:type="gramStart"/>
      <w:r w:rsidRPr="006F505E">
        <w:t>is driven</w:t>
      </w:r>
      <w:proofErr w:type="gramEnd"/>
      <w:r w:rsidRPr="006F505E">
        <w:t xml:space="preserve"> by an insatiable appetite for </w:t>
      </w:r>
      <w:proofErr w:type="gramStart"/>
      <w:r w:rsidRPr="006F505E">
        <w:t>new ideas</w:t>
      </w:r>
      <w:proofErr w:type="gramEnd"/>
      <w:r w:rsidRPr="006F505E">
        <w:t xml:space="preserve">. Tesla's relentless drive to stay ahead of the competition is clear in its self-driving advancements, battery breakthroughs, and the eagerly awaited </w:t>
      </w:r>
      <w:proofErr w:type="spellStart"/>
      <w:r w:rsidRPr="006F505E">
        <w:t>Cybertruck</w:t>
      </w:r>
      <w:proofErr w:type="spellEnd"/>
      <w:r w:rsidRPr="006F505E">
        <w:t>. Statista's analysis of 2024 research and development expenditures shows Tesla's spending far exceeded that of its more established rivals. This significant investment highlights the company's enduring dedication to innovation.</w:t>
      </w:r>
      <w:r>
        <w:t xml:space="preserve"> </w:t>
      </w:r>
    </w:p>
    <w:p w14:paraId="5748636C" w14:textId="77777777" w:rsidR="009379C1" w:rsidRDefault="009379C1" w:rsidP="00802531">
      <w:pPr>
        <w:pStyle w:val="NormalWeb"/>
        <w:spacing w:line="360" w:lineRule="auto"/>
        <w:jc w:val="both"/>
      </w:pPr>
      <w:r w:rsidRPr="006F505E">
        <w:lastRenderedPageBreak/>
        <w:t xml:space="preserve">The construction of gigafactories is a key factor in the global expansion of markets. </w:t>
      </w:r>
      <w:r w:rsidRPr="006F505E">
        <w:br/>
        <w:t xml:space="preserve">Tesla is constructing gigafactories globally, a move that reflects its growing global footprint. This approach ensures customer needs </w:t>
      </w:r>
      <w:proofErr w:type="gramStart"/>
      <w:r w:rsidRPr="006F505E">
        <w:t>are met</w:t>
      </w:r>
      <w:proofErr w:type="gramEnd"/>
      <w:r w:rsidRPr="006F505E">
        <w:t>, accelerates production timelines, cuts down on shipping expenses, and maintains adherence to local laws.</w:t>
      </w:r>
    </w:p>
    <w:p w14:paraId="0F1AFA15" w14:textId="77777777" w:rsidR="00B3631E" w:rsidRDefault="00B3631E" w:rsidP="00802531">
      <w:pPr>
        <w:pStyle w:val="Heading4"/>
      </w:pPr>
      <w:r>
        <w:rPr>
          <w:rStyle w:val="Strong"/>
          <w:b w:val="0"/>
          <w:bCs w:val="0"/>
        </w:rPr>
        <w:t>Diversification into Renewable Energy Solutions</w:t>
      </w:r>
    </w:p>
    <w:p w14:paraId="18F8B4EC" w14:textId="77777777" w:rsidR="009379C1" w:rsidRDefault="009379C1" w:rsidP="009379C1">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Tesla's venture into renewable energy has </w:t>
      </w:r>
      <w:proofErr w:type="gramStart"/>
      <w:r w:rsidRPr="006F505E">
        <w:rPr>
          <w:rFonts w:ascii="Times New Roman" w:eastAsia="Times New Roman" w:hAnsi="Times New Roman"/>
          <w:lang w:val="en-GB" w:eastAsia="en-GB"/>
        </w:rPr>
        <w:t>showcased</w:t>
      </w:r>
      <w:proofErr w:type="gramEnd"/>
      <w:r w:rsidRPr="006F505E">
        <w:rPr>
          <w:rFonts w:ascii="Times New Roman" w:eastAsia="Times New Roman" w:hAnsi="Times New Roman"/>
          <w:lang w:val="en-GB" w:eastAsia="en-GB"/>
        </w:rPr>
        <w:t xml:space="preserve"> its abilities, extending far beyond the realm of automobile manufacturing. Solar roofs and energy storage systems are two examples. This expansion into fresh markets supports global environmental objectives, solidifying Tesla's status as a frontrunner in the renewable energy sector.</w:t>
      </w:r>
    </w:p>
    <w:p w14:paraId="18418B8B" w14:textId="77777777" w:rsidR="00B3631E" w:rsidRDefault="00B3631E" w:rsidP="00802531"/>
    <w:p w14:paraId="259303C0" w14:textId="77777777" w:rsidR="00B3631E" w:rsidRDefault="00B3631E" w:rsidP="00802531">
      <w:pPr>
        <w:pStyle w:val="Heading3"/>
      </w:pPr>
      <w:bookmarkStart w:id="25" w:name="_Toc214460717"/>
      <w:r>
        <w:rPr>
          <w:rStyle w:val="Strong"/>
          <w:b w:val="0"/>
          <w:bCs w:val="0"/>
        </w:rPr>
        <w:t>5.1.2 Porter’s Differentiation Strategy and Tesla’s Competitive Advantage</w:t>
      </w:r>
      <w:bookmarkEnd w:id="25"/>
    </w:p>
    <w:p w14:paraId="1403B5B1" w14:textId="77777777" w:rsidR="00912690" w:rsidRDefault="00912690" w:rsidP="00912690">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Tesla's success hinges on its knack for differentiation. Their name alone suggests high-end </w:t>
      </w:r>
      <w:proofErr w:type="gramStart"/>
      <w:r w:rsidRPr="006F505E">
        <w:rPr>
          <w:rFonts w:ascii="Times New Roman" w:eastAsia="Times New Roman" w:hAnsi="Times New Roman"/>
          <w:lang w:val="en-GB" w:eastAsia="en-GB"/>
        </w:rPr>
        <w:t>products,</w:t>
      </w:r>
      <w:proofErr w:type="gramEnd"/>
      <w:r w:rsidRPr="006F505E">
        <w:rPr>
          <w:rFonts w:ascii="Times New Roman" w:eastAsia="Times New Roman" w:hAnsi="Times New Roman"/>
          <w:lang w:val="en-GB" w:eastAsia="en-GB"/>
        </w:rPr>
        <w:t xml:space="preserve"> a reputation forged through the effortless blending of their </w:t>
      </w:r>
      <w:proofErr w:type="gramStart"/>
      <w:r w:rsidRPr="006F505E">
        <w:rPr>
          <w:rFonts w:ascii="Times New Roman" w:eastAsia="Times New Roman" w:hAnsi="Times New Roman"/>
          <w:lang w:val="en-GB" w:eastAsia="en-GB"/>
        </w:rPr>
        <w:t>cutting-edge</w:t>
      </w:r>
      <w:proofErr w:type="gramEnd"/>
      <w:r w:rsidRPr="006F505E">
        <w:rPr>
          <w:rFonts w:ascii="Times New Roman" w:eastAsia="Times New Roman" w:hAnsi="Times New Roman"/>
          <w:lang w:val="en-GB" w:eastAsia="en-GB"/>
        </w:rPr>
        <w:t xml:space="preserve"> technology and software. This strategy, though, demands rapid scaling to retain current customers (Grant, 2021).</w:t>
      </w:r>
    </w:p>
    <w:p w14:paraId="6D5E1214" w14:textId="77777777" w:rsidR="00B3631E" w:rsidRDefault="00B3631E" w:rsidP="00802531"/>
    <w:p w14:paraId="4CE86DBE" w14:textId="77777777" w:rsidR="00B3631E" w:rsidRDefault="00B3631E" w:rsidP="00802531">
      <w:pPr>
        <w:pStyle w:val="Heading3"/>
      </w:pPr>
      <w:bookmarkStart w:id="26" w:name="_Toc214460718"/>
      <w:r>
        <w:rPr>
          <w:rStyle w:val="Strong"/>
          <w:b w:val="0"/>
          <w:bCs w:val="0"/>
        </w:rPr>
        <w:t>5.1.3 Tesla’s Environmental Strategy as a Competitive Lever</w:t>
      </w:r>
      <w:bookmarkEnd w:id="26"/>
    </w:p>
    <w:p w14:paraId="0BC70232" w14:textId="77777777" w:rsidR="00912690" w:rsidRDefault="00912690" w:rsidP="00802531">
      <w:pPr>
        <w:pStyle w:val="NormalWeb"/>
        <w:spacing w:line="360" w:lineRule="auto"/>
        <w:jc w:val="both"/>
      </w:pPr>
      <w:r w:rsidRPr="006F505E">
        <w:t xml:space="preserve">Tesla capitalizes on the worldwide drive toward sustainability, presenting itself as an environmentally conscious brand. The company collaborates with recycling initiatives, prioritizes ethical sourcing, and invests in renewable energy ventures. Despite </w:t>
      </w:r>
      <w:proofErr w:type="gramStart"/>
      <w:r w:rsidRPr="006F505E">
        <w:t>some</w:t>
      </w:r>
      <w:proofErr w:type="gramEnd"/>
      <w:r w:rsidRPr="006F505E">
        <w:t xml:space="preserve"> progress, there's still </w:t>
      </w:r>
      <w:proofErr w:type="spellStart"/>
      <w:r w:rsidRPr="006F505E">
        <w:t>skepticism</w:t>
      </w:r>
      <w:proofErr w:type="spellEnd"/>
      <w:r w:rsidRPr="006F505E">
        <w:t xml:space="preserve"> about ethical </w:t>
      </w:r>
      <w:proofErr w:type="spellStart"/>
      <w:r w:rsidRPr="006F505E">
        <w:t>labor</w:t>
      </w:r>
      <w:proofErr w:type="spellEnd"/>
      <w:r w:rsidRPr="006F505E">
        <w:t xml:space="preserve"> standards and how transparent supply chains are (Hoffman &amp; Radojevic, 2022).</w:t>
      </w:r>
    </w:p>
    <w:p w14:paraId="6CABE86A" w14:textId="77777777" w:rsidR="00B3631E" w:rsidRDefault="00B3631E" w:rsidP="00802531">
      <w:pPr>
        <w:pStyle w:val="Heading2"/>
      </w:pPr>
      <w:bookmarkStart w:id="27" w:name="_Toc214460719"/>
      <w:r>
        <w:rPr>
          <w:rStyle w:val="Strong"/>
          <w:b/>
          <w:bCs w:val="0"/>
        </w:rPr>
        <w:t>5.2 Strategic Responses of BYD (Follower)</w:t>
      </w:r>
      <w:bookmarkEnd w:id="27"/>
    </w:p>
    <w:p w14:paraId="1A0029D0" w14:textId="77777777" w:rsidR="00B3631E" w:rsidRDefault="00B3631E" w:rsidP="00802531">
      <w:pPr>
        <w:pStyle w:val="Heading3"/>
      </w:pPr>
      <w:bookmarkStart w:id="28" w:name="_Toc214460720"/>
      <w:r>
        <w:rPr>
          <w:rStyle w:val="Strong"/>
          <w:b w:val="0"/>
          <w:bCs w:val="0"/>
        </w:rPr>
        <w:t>5.2.1 Application of Ansoff’s Growth Matrix</w:t>
      </w:r>
      <w:bookmarkEnd w:id="28"/>
    </w:p>
    <w:p w14:paraId="1350DB6B" w14:textId="77777777" w:rsidR="00B3631E" w:rsidRDefault="00B3631E" w:rsidP="00802531">
      <w:pPr>
        <w:pStyle w:val="Heading4"/>
      </w:pPr>
      <w:r>
        <w:rPr>
          <w:rStyle w:val="Strong"/>
          <w:b w:val="0"/>
          <w:bCs w:val="0"/>
        </w:rPr>
        <w:t>Market Penetration through Affordability and Scale</w:t>
      </w:r>
    </w:p>
    <w:p w14:paraId="1FFE5CF5" w14:textId="77777777" w:rsidR="00912690" w:rsidRDefault="00912690" w:rsidP="00912690">
      <w:pPr>
        <w:rPr>
          <w:rFonts w:ascii="Times New Roman" w:eastAsia="Times New Roman" w:hAnsi="Times New Roman"/>
          <w:lang w:val="en-GB" w:eastAsia="en-GB"/>
        </w:rPr>
      </w:pPr>
      <w:r w:rsidRPr="006F505E">
        <w:rPr>
          <w:rFonts w:ascii="Times New Roman" w:eastAsia="Times New Roman" w:hAnsi="Times New Roman"/>
          <w:lang w:val="en-GB" w:eastAsia="en-GB"/>
        </w:rPr>
        <w:t xml:space="preserve">To successfully enter new markets, offering affordable and comprehensive customer accommodations is essential. The goal is to attract a substantial number of customers by offering products and services at competitive prices. Consequently, growth picks up speed, and the company's position in the market solidifies. </w:t>
      </w:r>
    </w:p>
    <w:p w14:paraId="7C40E89C" w14:textId="77777777" w:rsidR="00912690" w:rsidRDefault="00912690" w:rsidP="00912690">
      <w:pPr>
        <w:rPr>
          <w:rFonts w:ascii="Times New Roman" w:eastAsia="Times New Roman" w:hAnsi="Times New Roman"/>
          <w:lang w:val="en-GB" w:eastAsia="en-GB"/>
        </w:rPr>
      </w:pPr>
      <w:r w:rsidRPr="006F505E">
        <w:rPr>
          <w:rFonts w:ascii="Times New Roman" w:eastAsia="Times New Roman" w:hAnsi="Times New Roman"/>
          <w:lang w:val="en-GB" w:eastAsia="en-GB"/>
        </w:rPr>
        <w:lastRenderedPageBreak/>
        <w:br/>
        <w:t>BYD's lineup includes affordable electric vehicles, bolstered by its extensive manufacturing capabilities. The company's ability to produce cars and their parts at a low cost is a direct result of its vertical integration approach. As a result, the growing affordability of electric vehicles is becoming more accessible to a wider range of consumers (Zhou &amp; Li, 2022).</w:t>
      </w:r>
    </w:p>
    <w:p w14:paraId="61289F0F" w14:textId="77777777" w:rsidR="00B3631E" w:rsidRDefault="00B3631E" w:rsidP="00802531">
      <w:pPr>
        <w:pStyle w:val="Heading4"/>
      </w:pPr>
      <w:r>
        <w:rPr>
          <w:rStyle w:val="Strong"/>
          <w:b w:val="0"/>
          <w:bCs w:val="0"/>
        </w:rPr>
        <w:t>Product Development Focused on Incremental Innovation</w:t>
      </w:r>
    </w:p>
    <w:p w14:paraId="6E6ADBFC" w14:textId="77777777" w:rsidR="00912690" w:rsidRDefault="00912690" w:rsidP="00802531">
      <w:pPr>
        <w:pStyle w:val="NormalWeb"/>
        <w:spacing w:line="360" w:lineRule="auto"/>
        <w:jc w:val="both"/>
      </w:pPr>
      <w:r w:rsidRPr="006F505E">
        <w:t>Unlike Tesla, BYD's strategic approach focuses on small but significant improvements, especially in battery technology. BYD's LFP Blade Battery demonstrates their commitment to efficiency and safety, rather than simply chasing the fastest performance.</w:t>
      </w:r>
    </w:p>
    <w:p w14:paraId="14865513" w14:textId="77777777" w:rsidR="00B3631E" w:rsidRDefault="00B3631E" w:rsidP="00802531">
      <w:pPr>
        <w:pStyle w:val="Heading4"/>
      </w:pPr>
      <w:r>
        <w:rPr>
          <w:rStyle w:val="Strong"/>
          <w:b w:val="0"/>
          <w:bCs w:val="0"/>
        </w:rPr>
        <w:t>Market Development through International Expansion</w:t>
      </w:r>
    </w:p>
    <w:p w14:paraId="007A7D91" w14:textId="77777777" w:rsidR="00882FBC" w:rsidRDefault="00882FBC" w:rsidP="00802531">
      <w:pPr>
        <w:pStyle w:val="NormalWeb"/>
        <w:spacing w:line="360" w:lineRule="auto"/>
        <w:jc w:val="both"/>
      </w:pPr>
      <w:r w:rsidRPr="006F505E">
        <w:t xml:space="preserve">BYD has been busy, forming strategic partnerships with key players throughout the EU, South America, and Southeast Asia. These collaborations are integral to the company's worldwide expansion plans. BYD's strong position in the commercial transportation sector is </w:t>
      </w:r>
      <w:proofErr w:type="gramStart"/>
      <w:r w:rsidRPr="006F505E">
        <w:t>largely due</w:t>
      </w:r>
      <w:proofErr w:type="gramEnd"/>
      <w:r w:rsidRPr="006F505E">
        <w:t xml:space="preserve"> to its widespread use of electric buses.</w:t>
      </w:r>
    </w:p>
    <w:p w14:paraId="762FD7F9" w14:textId="77777777" w:rsidR="00B3631E" w:rsidRDefault="00B3631E" w:rsidP="00802531">
      <w:pPr>
        <w:pStyle w:val="Heading4"/>
      </w:pPr>
      <w:r>
        <w:rPr>
          <w:rStyle w:val="Strong"/>
          <w:b w:val="0"/>
          <w:bCs w:val="0"/>
        </w:rPr>
        <w:t>Diversification into Mobility Ecosystems</w:t>
      </w:r>
    </w:p>
    <w:p w14:paraId="247D636C" w14:textId="77777777" w:rsidR="00882FBC" w:rsidRDefault="00882FBC" w:rsidP="00802531">
      <w:pPr>
        <w:pStyle w:val="NormalWeb"/>
        <w:spacing w:line="360" w:lineRule="auto"/>
        <w:jc w:val="both"/>
      </w:pPr>
      <w:r w:rsidRPr="006F505E">
        <w:t xml:space="preserve">BYD has been expanding its horizons lately, moving into electric buses, cars, monorails, and semiconductors, among other things. This </w:t>
      </w:r>
      <w:r>
        <w:t>diversification</w:t>
      </w:r>
      <w:r w:rsidRPr="006F505E">
        <w:t xml:space="preserve"> strategy strengthens the company's position in the electric vehicle market while also reducing potential vulnerabilities.</w:t>
      </w:r>
    </w:p>
    <w:p w14:paraId="795BDDE7" w14:textId="77777777" w:rsidR="00B3631E" w:rsidRDefault="00B3631E" w:rsidP="00802531"/>
    <w:p w14:paraId="545CE58C" w14:textId="77777777" w:rsidR="00B3631E" w:rsidRDefault="00B3631E" w:rsidP="00802531">
      <w:pPr>
        <w:pStyle w:val="Heading3"/>
      </w:pPr>
      <w:bookmarkStart w:id="29" w:name="_Toc214460721"/>
      <w:r>
        <w:rPr>
          <w:rStyle w:val="Strong"/>
          <w:b w:val="0"/>
          <w:bCs w:val="0"/>
        </w:rPr>
        <w:t>5.2.2 Porter’s Cost Leadership Strategy and Competitive Position</w:t>
      </w:r>
      <w:bookmarkEnd w:id="29"/>
    </w:p>
    <w:p w14:paraId="390A97FD" w14:textId="77777777" w:rsidR="00B55B5E" w:rsidRDefault="00882FBC" w:rsidP="00802531">
      <w:pPr>
        <w:pStyle w:val="NormalWeb"/>
        <w:spacing w:line="360" w:lineRule="auto"/>
        <w:jc w:val="both"/>
      </w:pPr>
      <w:r w:rsidRPr="006F505E">
        <w:t xml:space="preserve">This viewpoint suggests that a company's success depends on its ability to produce goods and services at the lowest possible cost. This approach could significantly affect a company's competitive position. Maintaining a tight budget can lead to either healthy profit margins or the capacity to undercut competitors on price. Gaining cost leadership can give a company an edge, especially when prices are </w:t>
      </w:r>
      <w:proofErr w:type="gramStart"/>
      <w:r w:rsidRPr="006F505E">
        <w:t>being slashed</w:t>
      </w:r>
      <w:proofErr w:type="gramEnd"/>
      <w:r w:rsidRPr="006F505E">
        <w:t xml:space="preserve"> or the economy takes a hit. Another benefit is the ability to move resources to different areas, such as innovation or marketing. If this approach requires constant monitoring of costs and operational </w:t>
      </w:r>
    </w:p>
    <w:p w14:paraId="492CDF5D" w14:textId="77777777" w:rsidR="00B55B5E" w:rsidRDefault="00B55B5E" w:rsidP="00802531">
      <w:pPr>
        <w:pStyle w:val="NormalWeb"/>
        <w:spacing w:line="360" w:lineRule="auto"/>
        <w:jc w:val="both"/>
      </w:pPr>
    </w:p>
    <w:p w14:paraId="0ADF04CE" w14:textId="66759DA0" w:rsidR="00882FBC" w:rsidRDefault="00882FBC" w:rsidP="00802531">
      <w:pPr>
        <w:pStyle w:val="NormalWeb"/>
        <w:spacing w:line="360" w:lineRule="auto"/>
        <w:jc w:val="both"/>
      </w:pPr>
      <w:r w:rsidRPr="006F505E">
        <w:t xml:space="preserve">performance, businesses might struggle to adapt to changing customer needs. </w:t>
      </w:r>
      <w:r w:rsidRPr="006F505E">
        <w:br/>
        <w:t xml:space="preserve">BYD's main advantage is its ability to keep costs low. BYD's approach, building its own batteries, semiconductors, and motors, gives the company a firm grip on its manufacturing process. This, in turn, helps them maintain competitive pricing. This strategy gives you an edge when customers </w:t>
      </w:r>
      <w:proofErr w:type="gramStart"/>
      <w:r w:rsidRPr="006F505E">
        <w:t>are especially focused</w:t>
      </w:r>
      <w:proofErr w:type="gramEnd"/>
      <w:r w:rsidRPr="006F505E">
        <w:t xml:space="preserve"> on price changes.</w:t>
      </w:r>
    </w:p>
    <w:p w14:paraId="28C7F741" w14:textId="77777777" w:rsidR="00B3631E" w:rsidRDefault="00B3631E" w:rsidP="00802531">
      <w:pPr>
        <w:pStyle w:val="Heading3"/>
      </w:pPr>
      <w:bookmarkStart w:id="30" w:name="_Toc214460722"/>
      <w:r>
        <w:rPr>
          <w:rStyle w:val="Strong"/>
          <w:b w:val="0"/>
          <w:bCs w:val="0"/>
        </w:rPr>
        <w:t>5.2.3 BYD’s Environmental Responses and Sustainability Position</w:t>
      </w:r>
      <w:bookmarkEnd w:id="30"/>
    </w:p>
    <w:p w14:paraId="1A6536BB" w14:textId="77777777" w:rsidR="00B3631E" w:rsidRDefault="00882FBC" w:rsidP="00802531">
      <w:pPr>
        <w:pStyle w:val="NormalWeb"/>
        <w:spacing w:line="360" w:lineRule="auto"/>
        <w:jc w:val="both"/>
      </w:pPr>
      <w:r w:rsidRPr="006F505E">
        <w:t>By aligning with China's environmental objectives, BYD presents itself as a company with a strong environmental conscience, capitalizing on its use of cobalt-free LFP batteries. As BYD expands globally, it will inevitably face increasing pressure to adhere to the stricter environmental regulations prevalent in Western markets.</w:t>
      </w:r>
      <w:r>
        <w:t xml:space="preserve"> </w:t>
      </w:r>
      <w:r w:rsidR="00B3631E">
        <w:t>Despite these actions, BYD must continue improving global transparency and meeting the higher sustainability standards expected in European and North American markets.</w:t>
      </w:r>
    </w:p>
    <w:p w14:paraId="37F16DAA" w14:textId="77777777" w:rsidR="00B3631E" w:rsidRDefault="00B3631E" w:rsidP="00802531"/>
    <w:p w14:paraId="4408E268" w14:textId="77777777" w:rsidR="000141B4" w:rsidRDefault="000141B4" w:rsidP="00802531"/>
    <w:p w14:paraId="23E28CD8" w14:textId="77777777" w:rsidR="000141B4" w:rsidRDefault="000141B4" w:rsidP="00802531"/>
    <w:p w14:paraId="454204DF" w14:textId="77777777" w:rsidR="000141B4" w:rsidRDefault="000141B4" w:rsidP="00802531"/>
    <w:p w14:paraId="10C1C704" w14:textId="77777777" w:rsidR="000141B4" w:rsidRDefault="000141B4" w:rsidP="00802531"/>
    <w:p w14:paraId="74FC9C6C" w14:textId="77777777" w:rsidR="000141B4" w:rsidRDefault="000141B4" w:rsidP="00802531"/>
    <w:p w14:paraId="1A09CF60" w14:textId="77777777" w:rsidR="000141B4" w:rsidRDefault="000141B4" w:rsidP="000141B4">
      <w:pPr>
        <w:rPr>
          <w:lang w:eastAsia="en-GB"/>
        </w:rPr>
      </w:pPr>
      <w:r w:rsidRPr="000141B4">
        <w:rPr>
          <w:noProof/>
          <w:lang w:val="en-GB" w:eastAsia="en-GB"/>
        </w:rPr>
        <w:lastRenderedPageBreak/>
        <w:drawing>
          <wp:inline distT="0" distB="0" distL="0" distR="0" wp14:anchorId="084B2E38" wp14:editId="4738DB9B">
            <wp:extent cx="4749800" cy="4433587"/>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51774" cy="4435430"/>
                    </a:xfrm>
                    <a:prstGeom prst="rect">
                      <a:avLst/>
                    </a:prstGeom>
                  </pic:spPr>
                </pic:pic>
              </a:graphicData>
            </a:graphic>
          </wp:inline>
        </w:drawing>
      </w:r>
    </w:p>
    <w:p w14:paraId="05655E56" w14:textId="77777777" w:rsidR="00B15D48" w:rsidRPr="00B15D48" w:rsidRDefault="00B15D48" w:rsidP="000141B4">
      <w:pPr>
        <w:rPr>
          <w:rFonts w:ascii="Times New Roman" w:hAnsi="Times New Roman"/>
          <w:lang w:eastAsia="en-GB"/>
        </w:rPr>
      </w:pPr>
      <w:r w:rsidRPr="00B15D48">
        <w:rPr>
          <w:rFonts w:ascii="Times New Roman" w:hAnsi="Times New Roman"/>
        </w:rPr>
        <w:t>Source: Constructed using insights from Statista (2024), Tesla (2023), BYD (2023) and IEA (2023).</w:t>
      </w:r>
    </w:p>
    <w:p w14:paraId="1CE0AF29" w14:textId="77777777" w:rsidR="000141B4" w:rsidRDefault="000141B4" w:rsidP="000141B4">
      <w:pPr>
        <w:rPr>
          <w:lang w:eastAsia="en-GB"/>
        </w:rPr>
      </w:pPr>
    </w:p>
    <w:p w14:paraId="72AC67EC" w14:textId="77777777" w:rsidR="000141B4" w:rsidRPr="000141B4" w:rsidRDefault="000141B4" w:rsidP="000141B4">
      <w:pPr>
        <w:rPr>
          <w:rFonts w:ascii="Times New Roman" w:hAnsi="Times New Roman"/>
          <w:lang w:eastAsia="en-GB"/>
        </w:rPr>
      </w:pPr>
      <w:r>
        <w:rPr>
          <w:rFonts w:ascii="Times New Roman" w:hAnsi="Times New Roman"/>
        </w:rPr>
        <w:t>This f</w:t>
      </w:r>
      <w:r w:rsidRPr="000141B4">
        <w:rPr>
          <w:rFonts w:ascii="Times New Roman" w:hAnsi="Times New Roman"/>
        </w:rPr>
        <w:t>igure offers a summarized visual comparison of Tesla’s differentiation-oriented strategy and BYD’s cost-leadership approach, based on innovation, software capability, cost efficiency, global reach, and environmental positioning.</w:t>
      </w:r>
    </w:p>
    <w:p w14:paraId="5B1BB322" w14:textId="77777777" w:rsidR="000141B4" w:rsidRDefault="000141B4" w:rsidP="00802531"/>
    <w:p w14:paraId="50B3F67E" w14:textId="77777777" w:rsidR="000141B4" w:rsidRDefault="000141B4" w:rsidP="00802531"/>
    <w:p w14:paraId="1F82E6CA" w14:textId="77777777" w:rsidR="00C92A42" w:rsidRDefault="00C92A42" w:rsidP="00802531"/>
    <w:p w14:paraId="23933241" w14:textId="77777777" w:rsidR="00C92A42" w:rsidRDefault="00C92A42" w:rsidP="00802531"/>
    <w:p w14:paraId="23042321" w14:textId="77777777" w:rsidR="00B3631E" w:rsidRDefault="00B3631E" w:rsidP="00802531">
      <w:pPr>
        <w:pStyle w:val="Heading1"/>
      </w:pPr>
      <w:bookmarkStart w:id="31" w:name="_Toc214460723"/>
      <w:r>
        <w:rPr>
          <w:rStyle w:val="Strong"/>
          <w:rFonts w:eastAsiaTheme="majorEastAsia"/>
          <w:b/>
          <w:bCs/>
        </w:rPr>
        <w:lastRenderedPageBreak/>
        <w:t>6. Conclusion</w:t>
      </w:r>
      <w:bookmarkEnd w:id="31"/>
    </w:p>
    <w:p w14:paraId="70C47D48" w14:textId="77777777" w:rsidR="00B3631E" w:rsidRDefault="00B3631E" w:rsidP="00802531">
      <w:pPr>
        <w:pStyle w:val="Heading2"/>
      </w:pPr>
      <w:bookmarkStart w:id="32" w:name="_Toc214460724"/>
      <w:r>
        <w:rPr>
          <w:rStyle w:val="Strong"/>
          <w:b/>
          <w:bCs w:val="0"/>
        </w:rPr>
        <w:t>6.1 Summary of Key Insights</w:t>
      </w:r>
      <w:bookmarkEnd w:id="32"/>
    </w:p>
    <w:p w14:paraId="3D071A42" w14:textId="77777777" w:rsidR="00882FBC" w:rsidRDefault="00882FBC" w:rsidP="00802531">
      <w:pPr>
        <w:pStyle w:val="NormalWeb"/>
        <w:spacing w:line="360" w:lineRule="auto"/>
        <w:jc w:val="both"/>
      </w:pPr>
      <w:r w:rsidRPr="006F505E">
        <w:t xml:space="preserve">This study aimed to better understand the electric vehicle (EV) market, particularly the strategies used by both established companies and new entrants. The study focused on how environmental and technological factors affected the market. Tesla stays ahead of the game by constantly pushing boundaries and setting itself apart. This is different from BYD, which focuses on mass-producing vehicles and keeping costs down. Both approaches are vulnerable to changes in the environment and technology. Their capacity to adjust, though, hinges on what </w:t>
      </w:r>
      <w:proofErr w:type="gramStart"/>
      <w:r w:rsidRPr="006F505E">
        <w:t>they're</w:t>
      </w:r>
      <w:proofErr w:type="gramEnd"/>
      <w:r w:rsidRPr="006F505E">
        <w:t xml:space="preserve"> good at and where they stand in the marketplace.</w:t>
      </w:r>
    </w:p>
    <w:p w14:paraId="54872D6B" w14:textId="77777777" w:rsidR="00B3631E" w:rsidRDefault="00B3631E" w:rsidP="00802531">
      <w:pPr>
        <w:pStyle w:val="Heading2"/>
      </w:pPr>
      <w:bookmarkStart w:id="33" w:name="_Toc214460725"/>
      <w:r>
        <w:rPr>
          <w:rStyle w:val="Strong"/>
          <w:b/>
          <w:bCs w:val="0"/>
        </w:rPr>
        <w:t>6.2 Strategic Importance of Environmental Scanning</w:t>
      </w:r>
      <w:bookmarkEnd w:id="33"/>
    </w:p>
    <w:p w14:paraId="60E63ABC" w14:textId="77777777" w:rsidR="00882FBC" w:rsidRPr="00690529" w:rsidRDefault="00882FBC" w:rsidP="00882FBC">
      <w:pPr>
        <w:rPr>
          <w:rFonts w:ascii="Times New Roman" w:eastAsia="Times New Roman" w:hAnsi="Times New Roman"/>
          <w:b/>
          <w:bCs/>
          <w:color w:val="EE0000"/>
          <w:lang w:val="en-GB" w:eastAsia="en-GB"/>
        </w:rPr>
      </w:pPr>
      <w:r w:rsidRPr="006F505E">
        <w:rPr>
          <w:rFonts w:ascii="Times New Roman" w:eastAsia="Times New Roman" w:hAnsi="Times New Roman"/>
          <w:lang w:val="en-GB" w:eastAsia="en-GB"/>
        </w:rPr>
        <w:t xml:space="preserve">Environmental scanning is a strategic process that helps organizations find and understand external factors that could affect their goals. This process is crucial for strategic planning because it helps leaders understand the current situation and anticipate future changes. By regularly examining the external environment, organizations can spot opportunities and threats, which allows them to make better decisions and stay competitive. This </w:t>
      </w:r>
      <w:proofErr w:type="gramStart"/>
      <w:r w:rsidRPr="006F505E">
        <w:rPr>
          <w:rFonts w:ascii="Times New Roman" w:eastAsia="Times New Roman" w:hAnsi="Times New Roman"/>
          <w:lang w:val="en-GB" w:eastAsia="en-GB"/>
        </w:rPr>
        <w:t>proactive</w:t>
      </w:r>
      <w:proofErr w:type="gramEnd"/>
      <w:r w:rsidRPr="006F505E">
        <w:rPr>
          <w:rFonts w:ascii="Times New Roman" w:eastAsia="Times New Roman" w:hAnsi="Times New Roman"/>
          <w:lang w:val="en-GB" w:eastAsia="en-GB"/>
        </w:rPr>
        <w:t xml:space="preserve"> approach to environmental scanning helps organizations adjust their strategies, which is essential in today's constantly changing business world. </w:t>
      </w:r>
      <w:r w:rsidRPr="006F505E">
        <w:rPr>
          <w:rFonts w:ascii="Times New Roman" w:eastAsia="Times New Roman" w:hAnsi="Times New Roman"/>
          <w:lang w:val="en-GB" w:eastAsia="en-GB"/>
        </w:rPr>
        <w:br/>
        <w:t xml:space="preserve">The electric vehicle market's evolution shows that businesses need to keep a close eye on outside developments to remain competitive. To successfully implement strategic changes, reduce risks, and create lasting value, organizations must carefully consider technological advancements and sustainability issues. The success of companies like BYD and Tesla highlights the importance of considering the broader </w:t>
      </w:r>
      <w:r w:rsidRPr="00690529">
        <w:rPr>
          <w:rFonts w:ascii="Times New Roman" w:eastAsia="Times New Roman" w:hAnsi="Times New Roman"/>
          <w:lang w:val="en-GB" w:eastAsia="en-GB"/>
        </w:rPr>
        <w:t>economic environment when creating different strategic approaches.</w:t>
      </w:r>
    </w:p>
    <w:p w14:paraId="53205443" w14:textId="77777777" w:rsidR="00B7406F" w:rsidRDefault="00B7406F" w:rsidP="008A1BC3">
      <w:pPr>
        <w:rPr>
          <w:rStyle w:val="Strong"/>
          <w:rFonts w:eastAsiaTheme="majorEastAsia"/>
          <w:b w:val="0"/>
          <w:bCs w:val="0"/>
        </w:rPr>
      </w:pPr>
    </w:p>
    <w:p w14:paraId="4152C249" w14:textId="77777777" w:rsidR="00B7406F" w:rsidRDefault="00B7406F" w:rsidP="008A1BC3">
      <w:pPr>
        <w:rPr>
          <w:rStyle w:val="Strong"/>
          <w:rFonts w:eastAsiaTheme="majorEastAsia"/>
          <w:b w:val="0"/>
          <w:bCs w:val="0"/>
        </w:rPr>
      </w:pPr>
    </w:p>
    <w:p w14:paraId="1EF43214" w14:textId="77777777" w:rsidR="00B7406F" w:rsidRDefault="00B7406F" w:rsidP="008A1BC3">
      <w:pPr>
        <w:rPr>
          <w:rStyle w:val="Strong"/>
          <w:rFonts w:eastAsiaTheme="majorEastAsia"/>
          <w:b w:val="0"/>
          <w:bCs w:val="0"/>
        </w:rPr>
      </w:pPr>
    </w:p>
    <w:p w14:paraId="1931EEA7" w14:textId="77777777" w:rsidR="00B7406F" w:rsidRDefault="00B7406F" w:rsidP="008A1BC3">
      <w:pPr>
        <w:rPr>
          <w:rStyle w:val="Strong"/>
          <w:rFonts w:eastAsiaTheme="majorEastAsia"/>
          <w:b w:val="0"/>
          <w:bCs w:val="0"/>
        </w:rPr>
      </w:pPr>
    </w:p>
    <w:p w14:paraId="1A4D7F7C" w14:textId="77777777" w:rsidR="00B7406F" w:rsidRDefault="00B7406F" w:rsidP="008A1BC3">
      <w:pPr>
        <w:rPr>
          <w:rStyle w:val="Strong"/>
          <w:rFonts w:eastAsiaTheme="majorEastAsia"/>
          <w:b w:val="0"/>
          <w:bCs w:val="0"/>
        </w:rPr>
      </w:pPr>
    </w:p>
    <w:p w14:paraId="5AB3A38F" w14:textId="77777777" w:rsidR="00B7406F" w:rsidRDefault="00B7406F" w:rsidP="008A1BC3">
      <w:pPr>
        <w:rPr>
          <w:rStyle w:val="Strong"/>
          <w:rFonts w:eastAsiaTheme="majorEastAsia"/>
          <w:b w:val="0"/>
          <w:bCs w:val="0"/>
        </w:rPr>
      </w:pPr>
    </w:p>
    <w:p w14:paraId="702304C5" w14:textId="77777777" w:rsidR="00B7406F" w:rsidRDefault="00B7406F" w:rsidP="008A1BC3">
      <w:pPr>
        <w:rPr>
          <w:rStyle w:val="Strong"/>
          <w:rFonts w:eastAsiaTheme="majorEastAsia"/>
          <w:b w:val="0"/>
          <w:bCs w:val="0"/>
        </w:rPr>
      </w:pPr>
    </w:p>
    <w:p w14:paraId="680276F1" w14:textId="77777777" w:rsidR="00B7406F" w:rsidRDefault="00B7406F" w:rsidP="008A1BC3">
      <w:pPr>
        <w:rPr>
          <w:rStyle w:val="Strong"/>
          <w:rFonts w:eastAsiaTheme="majorEastAsia"/>
          <w:b w:val="0"/>
          <w:bCs w:val="0"/>
        </w:rPr>
      </w:pPr>
    </w:p>
    <w:p w14:paraId="4199EDAB" w14:textId="77777777" w:rsidR="00B7406F" w:rsidRDefault="00B7406F" w:rsidP="008A1BC3">
      <w:pPr>
        <w:rPr>
          <w:rStyle w:val="Strong"/>
          <w:rFonts w:eastAsiaTheme="majorEastAsia"/>
          <w:b w:val="0"/>
          <w:bCs w:val="0"/>
        </w:rPr>
      </w:pPr>
    </w:p>
    <w:p w14:paraId="0AE60841" w14:textId="77777777" w:rsidR="00B7406F" w:rsidRDefault="00B7406F" w:rsidP="008A1BC3">
      <w:pPr>
        <w:rPr>
          <w:rStyle w:val="Strong"/>
          <w:rFonts w:eastAsiaTheme="majorEastAsia"/>
          <w:b w:val="0"/>
          <w:bCs w:val="0"/>
        </w:rPr>
      </w:pPr>
    </w:p>
    <w:p w14:paraId="35D754E5" w14:textId="77777777" w:rsidR="00B7406F" w:rsidRDefault="00B7406F" w:rsidP="008A1BC3">
      <w:pPr>
        <w:rPr>
          <w:rStyle w:val="Strong"/>
          <w:rFonts w:eastAsiaTheme="majorEastAsia"/>
          <w:b w:val="0"/>
          <w:bCs w:val="0"/>
        </w:rPr>
      </w:pPr>
    </w:p>
    <w:p w14:paraId="6A3F65B1" w14:textId="77777777" w:rsidR="00B7406F" w:rsidRDefault="00B7406F" w:rsidP="008A1BC3">
      <w:pPr>
        <w:rPr>
          <w:rStyle w:val="Strong"/>
          <w:rFonts w:eastAsiaTheme="majorEastAsia"/>
          <w:b w:val="0"/>
          <w:bCs w:val="0"/>
        </w:rPr>
      </w:pPr>
    </w:p>
    <w:p w14:paraId="16A662D8" w14:textId="77777777" w:rsidR="00B7406F" w:rsidRDefault="00B7406F" w:rsidP="008A1BC3">
      <w:pPr>
        <w:rPr>
          <w:rStyle w:val="Strong"/>
          <w:rFonts w:eastAsiaTheme="majorEastAsia"/>
          <w:b w:val="0"/>
          <w:bCs w:val="0"/>
        </w:rPr>
      </w:pPr>
    </w:p>
    <w:p w14:paraId="65E56C31" w14:textId="77777777" w:rsidR="00B61392" w:rsidRDefault="007168BF" w:rsidP="00B61392">
      <w:pPr>
        <w:pStyle w:val="Heading1"/>
      </w:pPr>
      <w:bookmarkStart w:id="34" w:name="_Toc214460726"/>
      <w:r>
        <w:rPr>
          <w:rStyle w:val="Strong"/>
          <w:rFonts w:eastAsiaTheme="majorEastAsia"/>
          <w:b/>
          <w:bCs/>
        </w:rPr>
        <w:t>7</w:t>
      </w:r>
      <w:r w:rsidR="00520700">
        <w:rPr>
          <w:rStyle w:val="Strong"/>
          <w:rFonts w:eastAsiaTheme="majorEastAsia"/>
          <w:b/>
          <w:bCs/>
        </w:rPr>
        <w:t>. References</w:t>
      </w:r>
      <w:bookmarkEnd w:id="34"/>
      <w:r w:rsidR="00520700">
        <w:rPr>
          <w:rStyle w:val="Strong"/>
          <w:rFonts w:eastAsiaTheme="majorEastAsia"/>
          <w:b/>
          <w:bCs/>
        </w:rPr>
        <w:t xml:space="preserve"> </w:t>
      </w:r>
    </w:p>
    <w:p w14:paraId="2D748385" w14:textId="77777777" w:rsidR="00B15D48" w:rsidRDefault="00B15D48" w:rsidP="00B15D48">
      <w:pPr>
        <w:pStyle w:val="NormalWeb"/>
      </w:pPr>
      <w:r>
        <w:t xml:space="preserve">Baines, P., Fill, C. &amp; Rosengren, S. (2023). </w:t>
      </w:r>
      <w:r>
        <w:rPr>
          <w:rStyle w:val="Emphasis"/>
          <w:rFonts w:eastAsiaTheme="majorEastAsia"/>
        </w:rPr>
        <w:t>Marketing</w:t>
      </w:r>
      <w:r>
        <w:t>. 8th ed. Oxford University Press.</w:t>
      </w:r>
    </w:p>
    <w:p w14:paraId="69E6587C" w14:textId="77777777" w:rsidR="00B15D48" w:rsidRDefault="00B15D48" w:rsidP="00B15D48">
      <w:pPr>
        <w:pStyle w:val="NormalWeb"/>
      </w:pPr>
      <w:proofErr w:type="spellStart"/>
      <w:r>
        <w:t>BloombergNEF</w:t>
      </w:r>
      <w:proofErr w:type="spellEnd"/>
      <w:r>
        <w:t xml:space="preserve"> (2023). </w:t>
      </w:r>
      <w:r>
        <w:rPr>
          <w:rStyle w:val="Emphasis"/>
          <w:rFonts w:eastAsiaTheme="majorEastAsia"/>
        </w:rPr>
        <w:t>Battery Price Survey 2023</w:t>
      </w:r>
      <w:r>
        <w:t xml:space="preserve">. </w:t>
      </w:r>
      <w:proofErr w:type="spellStart"/>
      <w:r>
        <w:t>BloombergNEF</w:t>
      </w:r>
      <w:proofErr w:type="spellEnd"/>
      <w:r>
        <w:t>.</w:t>
      </w:r>
    </w:p>
    <w:p w14:paraId="44DD7EB7" w14:textId="77777777" w:rsidR="00B15D48" w:rsidRDefault="00B15D48" w:rsidP="00B15D48">
      <w:pPr>
        <w:pStyle w:val="NormalWeb"/>
      </w:pPr>
      <w:r>
        <w:t xml:space="preserve">BYD Company Ltd. (2023). </w:t>
      </w:r>
      <w:r>
        <w:rPr>
          <w:rStyle w:val="Emphasis"/>
          <w:rFonts w:eastAsiaTheme="majorEastAsia"/>
        </w:rPr>
        <w:t>Annual Report 2023</w:t>
      </w:r>
      <w:r>
        <w:t xml:space="preserve">. Available at: </w:t>
      </w:r>
      <w:r w:rsidRPr="00B15D48">
        <w:t>https://www.byd.com/</w:t>
      </w:r>
      <w:r>
        <w:t xml:space="preserve"> (Accessed: 19 November 2025).</w:t>
      </w:r>
    </w:p>
    <w:p w14:paraId="0052FB04" w14:textId="77777777" w:rsidR="00B15D48" w:rsidRDefault="00B15D48" w:rsidP="00B15D48">
      <w:pPr>
        <w:pStyle w:val="NormalWeb"/>
      </w:pPr>
      <w:r>
        <w:t xml:space="preserve">Chen, L., Zhao, Y. &amp; Wang, T. (2023). Lithium iron phosphate technology developments in EV batteries. </w:t>
      </w:r>
      <w:r>
        <w:rPr>
          <w:rStyle w:val="Emphasis"/>
          <w:rFonts w:eastAsiaTheme="majorEastAsia"/>
        </w:rPr>
        <w:t>Energy Storage Materials</w:t>
      </w:r>
      <w:r>
        <w:t xml:space="preserve">, 56, 112–128. </w:t>
      </w:r>
      <w:r w:rsidRPr="00B15D48">
        <w:t>https://doi.org/10.1016/j.ensm.2022.12.010</w:t>
      </w:r>
    </w:p>
    <w:p w14:paraId="0A747557" w14:textId="77777777" w:rsidR="00B15D48" w:rsidRDefault="00B15D48" w:rsidP="00B15D48">
      <w:pPr>
        <w:pStyle w:val="NormalWeb"/>
      </w:pPr>
      <w:r>
        <w:t xml:space="preserve">European Commission (2023). </w:t>
      </w:r>
      <w:r>
        <w:rPr>
          <w:rStyle w:val="Emphasis"/>
          <w:rFonts w:eastAsiaTheme="majorEastAsia"/>
        </w:rPr>
        <w:t>CO₂ Emission Standards for Cars and Vans 2035</w:t>
      </w:r>
      <w:r>
        <w:t xml:space="preserve">. Available at: </w:t>
      </w:r>
      <w:r w:rsidRPr="00B15D48">
        <w:t>https://ec.europa.eu/</w:t>
      </w:r>
      <w:r>
        <w:t xml:space="preserve"> (Accessed: 19 November 2025).</w:t>
      </w:r>
    </w:p>
    <w:p w14:paraId="30C63684" w14:textId="77777777" w:rsidR="00B15D48" w:rsidRDefault="00B15D48" w:rsidP="00B15D48">
      <w:pPr>
        <w:pStyle w:val="NormalWeb"/>
      </w:pPr>
      <w:r>
        <w:t xml:space="preserve">European Commission (2023). </w:t>
      </w:r>
      <w:r>
        <w:rPr>
          <w:rStyle w:val="Emphasis"/>
          <w:rFonts w:eastAsiaTheme="majorEastAsia"/>
        </w:rPr>
        <w:t>Fit for 55: Delivering the EU’s 2030 Climate Target</w:t>
      </w:r>
      <w:r>
        <w:t xml:space="preserve">. Available at: </w:t>
      </w:r>
      <w:r w:rsidRPr="00B15D48">
        <w:t>https://ec.europa.eu/</w:t>
      </w:r>
      <w:r>
        <w:t xml:space="preserve"> (Accessed: 19 November 2025).</w:t>
      </w:r>
    </w:p>
    <w:p w14:paraId="3F2638BD" w14:textId="77777777" w:rsidR="00B15D48" w:rsidRDefault="00B15D48" w:rsidP="00B15D48">
      <w:pPr>
        <w:pStyle w:val="NormalWeb"/>
      </w:pPr>
      <w:r>
        <w:t xml:space="preserve">European Environment Agency (2023). </w:t>
      </w:r>
      <w:r>
        <w:rPr>
          <w:rStyle w:val="Emphasis"/>
          <w:rFonts w:eastAsiaTheme="majorEastAsia"/>
        </w:rPr>
        <w:t>Transport Emissions and Climate Change in Europe</w:t>
      </w:r>
      <w:r>
        <w:t xml:space="preserve">. Available at: </w:t>
      </w:r>
      <w:r w:rsidRPr="00B15D48">
        <w:t>https://www.eea.europa.eu/</w:t>
      </w:r>
      <w:r>
        <w:t xml:space="preserve"> (Accessed: 19 November 2025).</w:t>
      </w:r>
    </w:p>
    <w:p w14:paraId="385B909A" w14:textId="77777777" w:rsidR="00B15D48" w:rsidRDefault="00B15D48" w:rsidP="00B15D48">
      <w:pPr>
        <w:pStyle w:val="NormalWeb"/>
      </w:pPr>
      <w:r>
        <w:t xml:space="preserve">Grant, R. (2021). </w:t>
      </w:r>
      <w:r>
        <w:rPr>
          <w:rStyle w:val="Emphasis"/>
          <w:rFonts w:eastAsiaTheme="majorEastAsia"/>
        </w:rPr>
        <w:t>Contemporary Strategy Analysis</w:t>
      </w:r>
      <w:r>
        <w:t>. Wiley.</w:t>
      </w:r>
    </w:p>
    <w:p w14:paraId="2BC72F53" w14:textId="77777777" w:rsidR="00B15D48" w:rsidRDefault="00B15D48" w:rsidP="00B15D48">
      <w:pPr>
        <w:pStyle w:val="NormalWeb"/>
      </w:pPr>
      <w:r>
        <w:t xml:space="preserve">Harper, G., Sommerville, R., Kendrick, E. et al. (2019). Recycling lithium-ion batteries from electric vehicles. </w:t>
      </w:r>
      <w:r>
        <w:rPr>
          <w:rStyle w:val="Emphasis"/>
          <w:rFonts w:eastAsiaTheme="majorEastAsia"/>
        </w:rPr>
        <w:t>Nature</w:t>
      </w:r>
      <w:r>
        <w:t>, 575(7781), 75–86. https://doi.org/10.1038/s41586-019-1682-5</w:t>
      </w:r>
    </w:p>
    <w:p w14:paraId="136F52A8" w14:textId="77777777" w:rsidR="00B15D48" w:rsidRDefault="00B15D48" w:rsidP="00B15D48">
      <w:pPr>
        <w:pStyle w:val="NormalWeb"/>
      </w:pPr>
      <w:r>
        <w:t xml:space="preserve">Hoffman, A. &amp; Radojevic, T. (2022). Tesla’s strategic diversification into energy markets. </w:t>
      </w:r>
      <w:r>
        <w:rPr>
          <w:rStyle w:val="Emphasis"/>
          <w:rFonts w:eastAsiaTheme="majorEastAsia"/>
        </w:rPr>
        <w:t>Journal of Strategic Innovation</w:t>
      </w:r>
      <w:r>
        <w:t>, 14(3), 211–229.</w:t>
      </w:r>
    </w:p>
    <w:p w14:paraId="30C29FCB" w14:textId="77777777" w:rsidR="00B15D48" w:rsidRDefault="00B15D48" w:rsidP="00B15D48">
      <w:pPr>
        <w:pStyle w:val="NormalWeb"/>
      </w:pPr>
      <w:r>
        <w:t xml:space="preserve">International Energy Agency (IEA) (2022). </w:t>
      </w:r>
      <w:r>
        <w:rPr>
          <w:rStyle w:val="Emphasis"/>
          <w:rFonts w:eastAsiaTheme="majorEastAsia"/>
        </w:rPr>
        <w:t>Global Critical Minerals Review</w:t>
      </w:r>
      <w:r>
        <w:t xml:space="preserve">. Available at: </w:t>
      </w:r>
      <w:r w:rsidRPr="00B15D48">
        <w:t>https://www.iea.org/</w:t>
      </w:r>
      <w:r>
        <w:t xml:space="preserve"> (Accessed: 19 November 2025).</w:t>
      </w:r>
    </w:p>
    <w:p w14:paraId="35790165" w14:textId="77777777" w:rsidR="00B15D48" w:rsidRDefault="00B15D48" w:rsidP="00B15D48">
      <w:pPr>
        <w:pStyle w:val="NormalWeb"/>
      </w:pPr>
      <w:r>
        <w:t xml:space="preserve">International Energy Agency (IEA) (2023). </w:t>
      </w:r>
      <w:r>
        <w:rPr>
          <w:rStyle w:val="Emphasis"/>
          <w:rFonts w:eastAsiaTheme="majorEastAsia"/>
        </w:rPr>
        <w:t>Global EV Outlook 2023</w:t>
      </w:r>
      <w:r>
        <w:t xml:space="preserve">. Available at: </w:t>
      </w:r>
      <w:r w:rsidRPr="00B15D48">
        <w:t>https://www.iea.org/</w:t>
      </w:r>
      <w:r>
        <w:t xml:space="preserve"> (Accessed: 19 November 2025).</w:t>
      </w:r>
    </w:p>
    <w:p w14:paraId="7E374093" w14:textId="77777777" w:rsidR="00B15D48" w:rsidRDefault="00B15D48" w:rsidP="00B15D48">
      <w:pPr>
        <w:pStyle w:val="NormalWeb"/>
      </w:pPr>
      <w:r>
        <w:t xml:space="preserve">International Energy Agency (IEA) (2024). </w:t>
      </w:r>
      <w:r>
        <w:rPr>
          <w:rStyle w:val="Emphasis"/>
          <w:rFonts w:eastAsiaTheme="majorEastAsia"/>
        </w:rPr>
        <w:t>Global EV Outlook 2024</w:t>
      </w:r>
      <w:r>
        <w:t xml:space="preserve">. Available at: </w:t>
      </w:r>
      <w:r w:rsidRPr="00B15D48">
        <w:t>https://www.iea.org/</w:t>
      </w:r>
      <w:r>
        <w:t xml:space="preserve"> (Accessed: 19 November 2025).</w:t>
      </w:r>
    </w:p>
    <w:p w14:paraId="28B55325" w14:textId="77777777" w:rsidR="00B15D48" w:rsidRDefault="00B15D48" w:rsidP="00B15D48">
      <w:pPr>
        <w:pStyle w:val="NormalWeb"/>
      </w:pPr>
      <w:r>
        <w:lastRenderedPageBreak/>
        <w:t xml:space="preserve">Karsten, J. &amp; West, D. (2022). Autonomous driving and AI governance in the EV sector. </w:t>
      </w:r>
      <w:r>
        <w:rPr>
          <w:rStyle w:val="Emphasis"/>
          <w:rFonts w:eastAsiaTheme="majorEastAsia"/>
        </w:rPr>
        <w:t>Tech Policy Review</w:t>
      </w:r>
      <w:r>
        <w:t>, 8(1), 45–62.</w:t>
      </w:r>
    </w:p>
    <w:p w14:paraId="4F438323" w14:textId="77777777" w:rsidR="00B15D48" w:rsidRDefault="00B15D48" w:rsidP="00B15D48">
      <w:pPr>
        <w:pStyle w:val="NormalWeb"/>
      </w:pPr>
      <w:r>
        <w:t xml:space="preserve">Kotler, P., Keller, K. &amp; Chernev, A. (2022). </w:t>
      </w:r>
      <w:r>
        <w:rPr>
          <w:rStyle w:val="Emphasis"/>
          <w:rFonts w:eastAsiaTheme="majorEastAsia"/>
        </w:rPr>
        <w:t>Marketing Management</w:t>
      </w:r>
      <w:r>
        <w:t>. Pearson.</w:t>
      </w:r>
    </w:p>
    <w:p w14:paraId="6C0AC79A" w14:textId="77777777" w:rsidR="00B15D48" w:rsidRDefault="00B15D48" w:rsidP="00B15D48">
      <w:pPr>
        <w:pStyle w:val="NormalWeb"/>
      </w:pPr>
      <w:r>
        <w:t xml:space="preserve">Lieberman, M. &amp; Montgomery, D. (1988). First-mover advantages. </w:t>
      </w:r>
      <w:r>
        <w:rPr>
          <w:rStyle w:val="Emphasis"/>
          <w:rFonts w:eastAsiaTheme="majorEastAsia"/>
        </w:rPr>
        <w:t>Strategic Management Journal</w:t>
      </w:r>
      <w:r>
        <w:t>, 9(S1), 41–58.</w:t>
      </w:r>
    </w:p>
    <w:p w14:paraId="749862BE" w14:textId="77777777" w:rsidR="00B15D48" w:rsidRDefault="00B15D48" w:rsidP="00B15D48">
      <w:pPr>
        <w:pStyle w:val="NormalWeb"/>
      </w:pPr>
      <w:r>
        <w:t xml:space="preserve">Mangram, M. (2012). The globalization of Tesla Motors. </w:t>
      </w:r>
      <w:r>
        <w:rPr>
          <w:rStyle w:val="Emphasis"/>
          <w:rFonts w:eastAsiaTheme="majorEastAsia"/>
        </w:rPr>
        <w:t>Journal of Strategic Marketing</w:t>
      </w:r>
      <w:r>
        <w:t xml:space="preserve">, 20(4), 289–312. </w:t>
      </w:r>
      <w:r w:rsidRPr="00B15D48">
        <w:t>https://doi.org/10.1080/0965254X.2012.657224</w:t>
      </w:r>
    </w:p>
    <w:p w14:paraId="15110059" w14:textId="77777777" w:rsidR="00B15D48" w:rsidRDefault="00B15D48" w:rsidP="00B15D48">
      <w:pPr>
        <w:pStyle w:val="NormalWeb"/>
      </w:pPr>
      <w:r>
        <w:t xml:space="preserve">Nvidia (2023). </w:t>
      </w:r>
      <w:r>
        <w:rPr>
          <w:rStyle w:val="Emphasis"/>
          <w:rFonts w:eastAsiaTheme="majorEastAsia"/>
        </w:rPr>
        <w:t>BYD selects NVIDIA DRIVE for next-generation intelligent vehicles</w:t>
      </w:r>
      <w:r>
        <w:t xml:space="preserve">. Available at: </w:t>
      </w:r>
      <w:r w:rsidRPr="00B15D48">
        <w:t>https://www.nvidia.com/</w:t>
      </w:r>
      <w:r>
        <w:t xml:space="preserve"> (Accessed: 19 November 2025).</w:t>
      </w:r>
    </w:p>
    <w:p w14:paraId="48470A68" w14:textId="77777777" w:rsidR="00B15D48" w:rsidRDefault="00B15D48" w:rsidP="00B15D48">
      <w:pPr>
        <w:pStyle w:val="NormalWeb"/>
      </w:pPr>
      <w:r>
        <w:t xml:space="preserve">Porter, M. (1980). </w:t>
      </w:r>
      <w:r>
        <w:rPr>
          <w:rStyle w:val="Emphasis"/>
          <w:rFonts w:eastAsiaTheme="majorEastAsia"/>
        </w:rPr>
        <w:t>Competitive Strategy</w:t>
      </w:r>
      <w:r>
        <w:t>. Free Press.</w:t>
      </w:r>
    </w:p>
    <w:p w14:paraId="68671AD6" w14:textId="77777777" w:rsidR="00B15D48" w:rsidRDefault="00B15D48" w:rsidP="00B15D48">
      <w:pPr>
        <w:pStyle w:val="NormalWeb"/>
      </w:pPr>
      <w:r>
        <w:t xml:space="preserve">Statista (2023). </w:t>
      </w:r>
      <w:r>
        <w:rPr>
          <w:rStyle w:val="Emphasis"/>
          <w:rFonts w:eastAsiaTheme="majorEastAsia"/>
        </w:rPr>
        <w:t>EV Consumer Insights Report 2023</w:t>
      </w:r>
      <w:r>
        <w:t xml:space="preserve">. Available at: </w:t>
      </w:r>
      <w:r w:rsidRPr="00B15D48">
        <w:t>https://www.statista.com/</w:t>
      </w:r>
      <w:r>
        <w:t xml:space="preserve"> (Accessed: 19 November 2025).</w:t>
      </w:r>
    </w:p>
    <w:p w14:paraId="567D6287" w14:textId="77777777" w:rsidR="00B15D48" w:rsidRDefault="00B15D48" w:rsidP="00B15D48">
      <w:pPr>
        <w:pStyle w:val="NormalWeb"/>
      </w:pPr>
      <w:r>
        <w:t xml:space="preserve">Statista (2024). </w:t>
      </w:r>
      <w:r>
        <w:rPr>
          <w:rStyle w:val="Emphasis"/>
          <w:rFonts w:eastAsiaTheme="majorEastAsia"/>
        </w:rPr>
        <w:t>Tesla – R&amp;D expenditure 2024</w:t>
      </w:r>
      <w:r>
        <w:t xml:space="preserve">. Available at: </w:t>
      </w:r>
      <w:r w:rsidRPr="00B15D48">
        <w:t>https://www.statista.com/</w:t>
      </w:r>
      <w:r>
        <w:t xml:space="preserve"> (Accessed: 19 November 2025).</w:t>
      </w:r>
    </w:p>
    <w:p w14:paraId="2339A644" w14:textId="77777777" w:rsidR="00B15D48" w:rsidRDefault="00B15D48" w:rsidP="00B15D48">
      <w:pPr>
        <w:pStyle w:val="NormalWeb"/>
      </w:pPr>
      <w:r>
        <w:t xml:space="preserve">Tesla (2020). </w:t>
      </w:r>
      <w:r>
        <w:rPr>
          <w:rStyle w:val="Emphasis"/>
          <w:rFonts w:eastAsiaTheme="majorEastAsia"/>
        </w:rPr>
        <w:t>Battery Day Presentation</w:t>
      </w:r>
      <w:r>
        <w:t xml:space="preserve">. Available at: </w:t>
      </w:r>
      <w:r w:rsidRPr="00B15D48">
        <w:t>https://www.tesla.com/</w:t>
      </w:r>
      <w:r>
        <w:t xml:space="preserve"> (Accessed: 19 November 2025).</w:t>
      </w:r>
    </w:p>
    <w:p w14:paraId="75AC54A5" w14:textId="77777777" w:rsidR="00B15D48" w:rsidRDefault="00B15D48" w:rsidP="00B15D48">
      <w:pPr>
        <w:pStyle w:val="NormalWeb"/>
      </w:pPr>
      <w:r>
        <w:t xml:space="preserve">Tesla (2023). </w:t>
      </w:r>
      <w:r>
        <w:rPr>
          <w:rStyle w:val="Emphasis"/>
          <w:rFonts w:eastAsiaTheme="majorEastAsia"/>
        </w:rPr>
        <w:t>Impact Report 2023</w:t>
      </w:r>
      <w:r>
        <w:t xml:space="preserve">. Available at: </w:t>
      </w:r>
      <w:r w:rsidRPr="00B15D48">
        <w:t>https://www.tesla.com/impact</w:t>
      </w:r>
      <w:r>
        <w:t xml:space="preserve"> (Accessed: 19 November 2025).</w:t>
      </w:r>
    </w:p>
    <w:p w14:paraId="6F3824E4" w14:textId="77777777" w:rsidR="00B15D48" w:rsidRDefault="00B15D48" w:rsidP="00B15D48">
      <w:pPr>
        <w:pStyle w:val="NormalWeb"/>
      </w:pPr>
      <w:r>
        <w:t xml:space="preserve">UK Government (2021). </w:t>
      </w:r>
      <w:r>
        <w:rPr>
          <w:rStyle w:val="Emphasis"/>
          <w:rFonts w:eastAsiaTheme="majorEastAsia"/>
        </w:rPr>
        <w:t>Net Zero Strategy: Build Back Greener</w:t>
      </w:r>
      <w:r>
        <w:t xml:space="preserve">. Available at: </w:t>
      </w:r>
      <w:r w:rsidRPr="00B15D48">
        <w:t>https://www.gov.uk/</w:t>
      </w:r>
      <w:r>
        <w:t xml:space="preserve"> (Accessed: 19 November 2025).</w:t>
      </w:r>
    </w:p>
    <w:p w14:paraId="57EC2ED8" w14:textId="77777777" w:rsidR="00B15D48" w:rsidRDefault="00B15D48" w:rsidP="00B15D48">
      <w:pPr>
        <w:pStyle w:val="NormalWeb"/>
      </w:pPr>
      <w:r>
        <w:t xml:space="preserve">Varadarajan, R. (2020). Strategic marketing: A review. </w:t>
      </w:r>
      <w:r>
        <w:rPr>
          <w:rStyle w:val="Emphasis"/>
          <w:rFonts w:eastAsiaTheme="majorEastAsia"/>
        </w:rPr>
        <w:t>Journal of the Academy of Marketing Science</w:t>
      </w:r>
      <w:r>
        <w:t xml:space="preserve">, 48(2), 283–308. </w:t>
      </w:r>
      <w:r w:rsidRPr="00B15D48">
        <w:t>https://doi.org/10.1007/s11747-019-00719-4</w:t>
      </w:r>
    </w:p>
    <w:p w14:paraId="1ACE0397" w14:textId="77777777" w:rsidR="00B15D48" w:rsidRDefault="00B15D48" w:rsidP="00B15D48">
      <w:pPr>
        <w:pStyle w:val="NormalWeb"/>
      </w:pPr>
      <w:r>
        <w:t xml:space="preserve">World Economic Forum (2022). </w:t>
      </w:r>
      <w:r>
        <w:rPr>
          <w:rStyle w:val="Emphasis"/>
          <w:rFonts w:eastAsiaTheme="majorEastAsia"/>
        </w:rPr>
        <w:t>The Critical Minerals Challenge</w:t>
      </w:r>
      <w:r>
        <w:t xml:space="preserve">. Available at: </w:t>
      </w:r>
      <w:r w:rsidRPr="00B15D48">
        <w:t>https://www.weforum.org/</w:t>
      </w:r>
      <w:r>
        <w:t xml:space="preserve"> (Accessed: 19 November 2025).</w:t>
      </w:r>
    </w:p>
    <w:p w14:paraId="6C6C79A4" w14:textId="77777777" w:rsidR="00B15D48" w:rsidRDefault="00B15D48" w:rsidP="00B15D48">
      <w:pPr>
        <w:pStyle w:val="NormalWeb"/>
      </w:pPr>
      <w:r>
        <w:t xml:space="preserve">Yüksel, I. (2012). Developing a PESTEL-based decision model. </w:t>
      </w:r>
      <w:r>
        <w:rPr>
          <w:rStyle w:val="Emphasis"/>
          <w:rFonts w:eastAsiaTheme="majorEastAsia"/>
        </w:rPr>
        <w:t>International Journal of Business and Management</w:t>
      </w:r>
      <w:r>
        <w:t xml:space="preserve">, 7(24), 52–66. </w:t>
      </w:r>
      <w:r w:rsidRPr="00B15D48">
        <w:t>https://doi.org/10.5539/ijbm.v7n24p52</w:t>
      </w:r>
    </w:p>
    <w:p w14:paraId="188374DA" w14:textId="77777777" w:rsidR="00B15D48" w:rsidRDefault="00B15D48" w:rsidP="00B15D48">
      <w:pPr>
        <w:pStyle w:val="NormalWeb"/>
      </w:pPr>
      <w:r>
        <w:t xml:space="preserve">Zhou, Y. &amp; Li, Z. (2022). Vertical integration in China’s EV sector. </w:t>
      </w:r>
      <w:r>
        <w:rPr>
          <w:rStyle w:val="Emphasis"/>
          <w:rFonts w:eastAsiaTheme="majorEastAsia"/>
        </w:rPr>
        <w:t>Technological Forecasting and Social Change</w:t>
      </w:r>
      <w:r>
        <w:t xml:space="preserve">, 185, 121993. </w:t>
      </w:r>
      <w:r w:rsidRPr="00B15D48">
        <w:t>https://doi.org/10.1016/j.techfore.2022.121993</w:t>
      </w:r>
    </w:p>
    <w:p w14:paraId="062694CF" w14:textId="77777777" w:rsidR="00B45F9F" w:rsidRDefault="00B45F9F" w:rsidP="008A1BC3">
      <w:pPr>
        <w:rPr>
          <w:rStyle w:val="Strong"/>
          <w:rFonts w:eastAsiaTheme="majorEastAsia"/>
          <w:b w:val="0"/>
          <w:bCs w:val="0"/>
        </w:rPr>
      </w:pPr>
    </w:p>
    <w:p w14:paraId="634E6514" w14:textId="77777777" w:rsidR="00B45F9F" w:rsidRDefault="00B45F9F" w:rsidP="008A1BC3">
      <w:pPr>
        <w:rPr>
          <w:rStyle w:val="Strong"/>
          <w:rFonts w:eastAsiaTheme="majorEastAsia"/>
          <w:b w:val="0"/>
          <w:bCs w:val="0"/>
        </w:rPr>
      </w:pPr>
    </w:p>
    <w:p w14:paraId="5188A4C7" w14:textId="77777777" w:rsidR="00B45F9F" w:rsidRDefault="00B45F9F" w:rsidP="008A1BC3">
      <w:pPr>
        <w:rPr>
          <w:rStyle w:val="Strong"/>
          <w:rFonts w:eastAsiaTheme="majorEastAsia"/>
          <w:b w:val="0"/>
          <w:bCs w:val="0"/>
        </w:rPr>
      </w:pPr>
    </w:p>
    <w:p w14:paraId="02265172" w14:textId="77777777" w:rsidR="00B45F9F" w:rsidRDefault="00325EAB" w:rsidP="00325EAB">
      <w:pPr>
        <w:pStyle w:val="Heading1"/>
        <w:rPr>
          <w:rStyle w:val="Strong"/>
          <w:rFonts w:eastAsiaTheme="majorEastAsia"/>
          <w:b/>
          <w:bCs/>
        </w:rPr>
      </w:pPr>
      <w:bookmarkStart w:id="35" w:name="_Toc214460727"/>
      <w:r>
        <w:rPr>
          <w:rStyle w:val="Strong"/>
          <w:rFonts w:eastAsiaTheme="majorEastAsia"/>
          <w:b/>
          <w:bCs/>
        </w:rPr>
        <w:t>Appendix</w:t>
      </w:r>
      <w:bookmarkEnd w:id="35"/>
      <w:r>
        <w:rPr>
          <w:rStyle w:val="Strong"/>
          <w:rFonts w:eastAsiaTheme="majorEastAsia"/>
          <w:b/>
          <w:bCs/>
        </w:rPr>
        <w:t xml:space="preserve"> </w:t>
      </w:r>
    </w:p>
    <w:p w14:paraId="130F2C27" w14:textId="77777777" w:rsidR="00325EAB" w:rsidRPr="00802531" w:rsidRDefault="00325EAB" w:rsidP="00325EAB">
      <w:pPr>
        <w:rPr>
          <w:b/>
        </w:rPr>
      </w:pPr>
      <w:r w:rsidRPr="00802531">
        <w:rPr>
          <w:b/>
        </w:rPr>
        <w:t>Comparison Table: Tesla vs BYD Strategic Responses to Technological &amp; Environmental Forces</w:t>
      </w:r>
    </w:p>
    <w:p w14:paraId="481D8E51" w14:textId="77777777" w:rsidR="00325EAB" w:rsidRDefault="00325EAB" w:rsidP="00325EAB">
      <w:pPr>
        <w:rPr>
          <w:lang w:eastAsia="en-GB"/>
        </w:rPr>
      </w:pPr>
    </w:p>
    <w:tbl>
      <w:tblPr>
        <w:tblStyle w:val="LightList-Accent11"/>
        <w:tblW w:w="0" w:type="auto"/>
        <w:tblLook w:val="04A0" w:firstRow="1" w:lastRow="0" w:firstColumn="1" w:lastColumn="0" w:noHBand="0" w:noVBand="1"/>
      </w:tblPr>
      <w:tblGrid>
        <w:gridCol w:w="2153"/>
        <w:gridCol w:w="3859"/>
        <w:gridCol w:w="4032"/>
      </w:tblGrid>
      <w:tr w:rsidR="00325EAB" w:rsidRPr="00802531" w14:paraId="63927D7E" w14:textId="77777777" w:rsidTr="001A16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E9821C" w14:textId="77777777" w:rsidR="00325EAB" w:rsidRPr="00802531" w:rsidRDefault="00325EAB" w:rsidP="001A1606">
            <w:pPr>
              <w:spacing w:line="360" w:lineRule="auto"/>
              <w:jc w:val="center"/>
              <w:rPr>
                <w:rFonts w:ascii="Times New Roman" w:eastAsia="Times New Roman" w:hAnsi="Times New Roman"/>
                <w:lang w:val="en-GB" w:eastAsia="en-GB"/>
              </w:rPr>
            </w:pPr>
            <w:r w:rsidRPr="00802531">
              <w:rPr>
                <w:rFonts w:ascii="Times New Roman" w:eastAsia="Times New Roman" w:hAnsi="Times New Roman"/>
                <w:lang w:val="en-GB" w:eastAsia="en-GB"/>
              </w:rPr>
              <w:t>Strategic Dimension</w:t>
            </w:r>
          </w:p>
        </w:tc>
        <w:tc>
          <w:tcPr>
            <w:tcW w:w="0" w:type="auto"/>
            <w:hideMark/>
          </w:tcPr>
          <w:p w14:paraId="093126FF" w14:textId="77777777" w:rsidR="00325EAB" w:rsidRPr="00802531" w:rsidRDefault="00325EAB" w:rsidP="001A160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Tesla (Pioneer)</w:t>
            </w:r>
          </w:p>
        </w:tc>
        <w:tc>
          <w:tcPr>
            <w:tcW w:w="0" w:type="auto"/>
            <w:hideMark/>
          </w:tcPr>
          <w:p w14:paraId="3DB1A84E" w14:textId="77777777" w:rsidR="00325EAB" w:rsidRPr="00802531" w:rsidRDefault="00325EAB" w:rsidP="001A160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BYD (Follower)</w:t>
            </w:r>
          </w:p>
        </w:tc>
      </w:tr>
      <w:tr w:rsidR="00325EAB" w:rsidRPr="00802531" w14:paraId="52858E98"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E53DB8"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Overall Strategic Orientation</w:t>
            </w:r>
          </w:p>
        </w:tc>
        <w:tc>
          <w:tcPr>
            <w:tcW w:w="0" w:type="auto"/>
            <w:hideMark/>
          </w:tcPr>
          <w:p w14:paraId="467D6162"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 xml:space="preserve">Differentiation leadership driven by high-performance technology, premium </w:t>
            </w:r>
            <w:proofErr w:type="gramStart"/>
            <w:r w:rsidRPr="00802531">
              <w:rPr>
                <w:rFonts w:ascii="Times New Roman" w:eastAsia="Times New Roman" w:hAnsi="Times New Roman"/>
                <w:lang w:val="en-GB" w:eastAsia="en-GB"/>
              </w:rPr>
              <w:t>branding</w:t>
            </w:r>
            <w:proofErr w:type="gramEnd"/>
            <w:r w:rsidRPr="00802531">
              <w:rPr>
                <w:rFonts w:ascii="Times New Roman" w:eastAsia="Times New Roman" w:hAnsi="Times New Roman"/>
                <w:lang w:val="en-GB" w:eastAsia="en-GB"/>
              </w:rPr>
              <w:t xml:space="preserve"> and breakthrough innovation.</w:t>
            </w:r>
          </w:p>
        </w:tc>
        <w:tc>
          <w:tcPr>
            <w:tcW w:w="0" w:type="auto"/>
            <w:hideMark/>
          </w:tcPr>
          <w:p w14:paraId="530DC684"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Cost leadership emphasising affordability, vertical integration, and large-scale mass-market penetration.</w:t>
            </w:r>
          </w:p>
        </w:tc>
      </w:tr>
      <w:tr w:rsidR="00325EAB" w:rsidRPr="00802531" w14:paraId="390BEA86"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68BC327C"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Innovation Approach</w:t>
            </w:r>
          </w:p>
        </w:tc>
        <w:tc>
          <w:tcPr>
            <w:tcW w:w="0" w:type="auto"/>
            <w:hideMark/>
          </w:tcPr>
          <w:p w14:paraId="16E9B403"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Breakthrough, radical innovation (e.g., 4680 batteries, FSD, Dojo supercomputer, Supercharger network).</w:t>
            </w:r>
          </w:p>
        </w:tc>
        <w:tc>
          <w:tcPr>
            <w:tcW w:w="0" w:type="auto"/>
            <w:hideMark/>
          </w:tcPr>
          <w:p w14:paraId="1EAB9F53"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 xml:space="preserve">Incremental innovation (e.g., LFP Blade Battery) prioritising safety, </w:t>
            </w:r>
            <w:proofErr w:type="gramStart"/>
            <w:r w:rsidRPr="00802531">
              <w:rPr>
                <w:rFonts w:ascii="Times New Roman" w:eastAsia="Times New Roman" w:hAnsi="Times New Roman"/>
                <w:lang w:val="en-GB" w:eastAsia="en-GB"/>
              </w:rPr>
              <w:t>durability</w:t>
            </w:r>
            <w:proofErr w:type="gramEnd"/>
            <w:r w:rsidRPr="00802531">
              <w:rPr>
                <w:rFonts w:ascii="Times New Roman" w:eastAsia="Times New Roman" w:hAnsi="Times New Roman"/>
                <w:lang w:val="en-GB" w:eastAsia="en-GB"/>
              </w:rPr>
              <w:t xml:space="preserve"> and cost efficiency.</w:t>
            </w:r>
          </w:p>
        </w:tc>
      </w:tr>
      <w:tr w:rsidR="00325EAB" w:rsidRPr="00802531" w14:paraId="12221E55"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30F970"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Battery Technology Strategy</w:t>
            </w:r>
          </w:p>
        </w:tc>
        <w:tc>
          <w:tcPr>
            <w:tcW w:w="0" w:type="auto"/>
            <w:hideMark/>
          </w:tcPr>
          <w:p w14:paraId="06DE009A"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 xml:space="preserve">High-energy density, high-performance nickel-based </w:t>
            </w:r>
            <w:proofErr w:type="gramStart"/>
            <w:r w:rsidRPr="00802531">
              <w:rPr>
                <w:rFonts w:ascii="Times New Roman" w:eastAsia="Times New Roman" w:hAnsi="Times New Roman"/>
                <w:lang w:val="en-GB" w:eastAsia="en-GB"/>
              </w:rPr>
              <w:t>cells</w:t>
            </w:r>
            <w:proofErr w:type="gramEnd"/>
            <w:r w:rsidRPr="00802531">
              <w:rPr>
                <w:rFonts w:ascii="Times New Roman" w:eastAsia="Times New Roman" w:hAnsi="Times New Roman"/>
                <w:lang w:val="en-GB" w:eastAsia="en-GB"/>
              </w:rPr>
              <w:t xml:space="preserve"> and structural battery packs aimed at long-range premium EVs.</w:t>
            </w:r>
          </w:p>
        </w:tc>
        <w:tc>
          <w:tcPr>
            <w:tcW w:w="0" w:type="auto"/>
            <w:hideMark/>
          </w:tcPr>
          <w:p w14:paraId="0DC9CF4B"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Low-cost LFP Blade Battery eliminating cobalt and reducing supply chain risk; optimised for mass-market EV affordability.</w:t>
            </w:r>
          </w:p>
        </w:tc>
      </w:tr>
      <w:tr w:rsidR="00325EAB" w:rsidRPr="00802531" w14:paraId="78F6552A"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41F24B31"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Autonomous Driving &amp; Software</w:t>
            </w:r>
          </w:p>
        </w:tc>
        <w:tc>
          <w:tcPr>
            <w:tcW w:w="0" w:type="auto"/>
            <w:hideMark/>
          </w:tcPr>
          <w:p w14:paraId="073B6601"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Strong focus on AI-driven autonomy and proprietary software ecosystems; OTA updates central to value creation.</w:t>
            </w:r>
          </w:p>
        </w:tc>
        <w:tc>
          <w:tcPr>
            <w:tcW w:w="0" w:type="auto"/>
            <w:hideMark/>
          </w:tcPr>
          <w:p w14:paraId="0CC4E79E"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 xml:space="preserve">Moderate focus; relies on partnerships (e.g., Huawei, Nvidia) to accelerate ADAS functions; less </w:t>
            </w:r>
            <w:proofErr w:type="gramStart"/>
            <w:r w:rsidRPr="00802531">
              <w:rPr>
                <w:rFonts w:ascii="Times New Roman" w:eastAsia="Times New Roman" w:hAnsi="Times New Roman"/>
                <w:lang w:val="en-GB" w:eastAsia="en-GB"/>
              </w:rPr>
              <w:t>software-centric</w:t>
            </w:r>
            <w:proofErr w:type="gramEnd"/>
            <w:r w:rsidRPr="00802531">
              <w:rPr>
                <w:rFonts w:ascii="Times New Roman" w:eastAsia="Times New Roman" w:hAnsi="Times New Roman"/>
                <w:lang w:val="en-GB" w:eastAsia="en-GB"/>
              </w:rPr>
              <w:t>.</w:t>
            </w:r>
          </w:p>
        </w:tc>
      </w:tr>
      <w:tr w:rsidR="00325EAB" w:rsidRPr="00802531" w14:paraId="7864861B"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2E1203"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Market Positioning</w:t>
            </w:r>
          </w:p>
        </w:tc>
        <w:tc>
          <w:tcPr>
            <w:tcW w:w="0" w:type="auto"/>
            <w:hideMark/>
          </w:tcPr>
          <w:p w14:paraId="0B75CA58"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Premium, technologically advanced brand aimed at early adopters and high-income consumers.</w:t>
            </w:r>
          </w:p>
        </w:tc>
        <w:tc>
          <w:tcPr>
            <w:tcW w:w="0" w:type="auto"/>
            <w:hideMark/>
          </w:tcPr>
          <w:p w14:paraId="40E04FDC"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Affordable, value-driven brand oriented toward middle-income markets and fleet/bus operators.</w:t>
            </w:r>
          </w:p>
        </w:tc>
      </w:tr>
      <w:tr w:rsidR="00325EAB" w:rsidRPr="00802531" w14:paraId="14FE4B8B"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4379BC2F"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Ansoff: Market Penetration</w:t>
            </w:r>
          </w:p>
        </w:tc>
        <w:tc>
          <w:tcPr>
            <w:tcW w:w="0" w:type="auto"/>
            <w:hideMark/>
          </w:tcPr>
          <w:p w14:paraId="30353303"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Enhances penetration via software updates, price adjustments, and ecosystem stickiness.</w:t>
            </w:r>
          </w:p>
        </w:tc>
        <w:tc>
          <w:tcPr>
            <w:tcW w:w="0" w:type="auto"/>
            <w:hideMark/>
          </w:tcPr>
          <w:p w14:paraId="03F2CF10"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 xml:space="preserve">Captures mass adoption through aggressive pricing, high production </w:t>
            </w:r>
            <w:proofErr w:type="gramStart"/>
            <w:r w:rsidRPr="00802531">
              <w:rPr>
                <w:rFonts w:ascii="Times New Roman" w:eastAsia="Times New Roman" w:hAnsi="Times New Roman"/>
                <w:lang w:val="en-GB" w:eastAsia="en-GB"/>
              </w:rPr>
              <w:lastRenderedPageBreak/>
              <w:t>scale</w:t>
            </w:r>
            <w:proofErr w:type="gramEnd"/>
            <w:r w:rsidRPr="00802531">
              <w:rPr>
                <w:rFonts w:ascii="Times New Roman" w:eastAsia="Times New Roman" w:hAnsi="Times New Roman"/>
                <w:lang w:val="en-GB" w:eastAsia="en-GB"/>
              </w:rPr>
              <w:t xml:space="preserve"> and domestic dominance in China.</w:t>
            </w:r>
          </w:p>
        </w:tc>
      </w:tr>
      <w:tr w:rsidR="00325EAB" w:rsidRPr="00802531" w14:paraId="709CD34A"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A4C5D8"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lastRenderedPageBreak/>
              <w:t>Ansoff: Product Development</w:t>
            </w:r>
          </w:p>
        </w:tc>
        <w:tc>
          <w:tcPr>
            <w:tcW w:w="0" w:type="auto"/>
            <w:hideMark/>
          </w:tcPr>
          <w:p w14:paraId="1E46F212"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Strong product development with new models and continuous technological upgrades; high R&amp;D intensity.</w:t>
            </w:r>
          </w:p>
        </w:tc>
        <w:tc>
          <w:tcPr>
            <w:tcW w:w="0" w:type="auto"/>
            <w:hideMark/>
          </w:tcPr>
          <w:p w14:paraId="22C16718"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 xml:space="preserve">Practical product development focusing on reliable, </w:t>
            </w:r>
            <w:proofErr w:type="gramStart"/>
            <w:r w:rsidRPr="00802531">
              <w:rPr>
                <w:rFonts w:ascii="Times New Roman" w:eastAsia="Times New Roman" w:hAnsi="Times New Roman"/>
                <w:lang w:val="en-GB" w:eastAsia="en-GB"/>
              </w:rPr>
              <w:t>safe</w:t>
            </w:r>
            <w:proofErr w:type="gramEnd"/>
            <w:r w:rsidRPr="00802531">
              <w:rPr>
                <w:rFonts w:ascii="Times New Roman" w:eastAsia="Times New Roman" w:hAnsi="Times New Roman"/>
                <w:lang w:val="en-GB" w:eastAsia="en-GB"/>
              </w:rPr>
              <w:t xml:space="preserve"> and cost-effective EV platforms.</w:t>
            </w:r>
          </w:p>
        </w:tc>
      </w:tr>
      <w:tr w:rsidR="00325EAB" w:rsidRPr="00802531" w14:paraId="711CE1C8"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4B62BA57"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Ansoff: Market Development</w:t>
            </w:r>
          </w:p>
        </w:tc>
        <w:tc>
          <w:tcPr>
            <w:tcW w:w="0" w:type="auto"/>
            <w:hideMark/>
          </w:tcPr>
          <w:p w14:paraId="25936A35"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 xml:space="preserve">Global expansion via Gigafactories in Europe, China, </w:t>
            </w:r>
            <w:proofErr w:type="gramStart"/>
            <w:r w:rsidRPr="00802531">
              <w:rPr>
                <w:rFonts w:ascii="Times New Roman" w:eastAsia="Times New Roman" w:hAnsi="Times New Roman"/>
                <w:lang w:val="en-GB" w:eastAsia="en-GB"/>
              </w:rPr>
              <w:t>US</w:t>
            </w:r>
            <w:proofErr w:type="gramEnd"/>
            <w:r w:rsidRPr="00802531">
              <w:rPr>
                <w:rFonts w:ascii="Times New Roman" w:eastAsia="Times New Roman" w:hAnsi="Times New Roman"/>
                <w:lang w:val="en-GB" w:eastAsia="en-GB"/>
              </w:rPr>
              <w:t xml:space="preserve"> and Mexico.</w:t>
            </w:r>
          </w:p>
        </w:tc>
        <w:tc>
          <w:tcPr>
            <w:tcW w:w="0" w:type="auto"/>
            <w:hideMark/>
          </w:tcPr>
          <w:p w14:paraId="235E3B7D"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 xml:space="preserve">Expands through partnerships, overseas assembly </w:t>
            </w:r>
            <w:proofErr w:type="gramStart"/>
            <w:r w:rsidRPr="00802531">
              <w:rPr>
                <w:rFonts w:ascii="Times New Roman" w:eastAsia="Times New Roman" w:hAnsi="Times New Roman"/>
                <w:lang w:val="en-GB" w:eastAsia="en-GB"/>
              </w:rPr>
              <w:t>plants</w:t>
            </w:r>
            <w:proofErr w:type="gramEnd"/>
            <w:r w:rsidRPr="00802531">
              <w:rPr>
                <w:rFonts w:ascii="Times New Roman" w:eastAsia="Times New Roman" w:hAnsi="Times New Roman"/>
                <w:lang w:val="en-GB" w:eastAsia="en-GB"/>
              </w:rPr>
              <w:t xml:space="preserve"> and strong presence in public transport electrification.</w:t>
            </w:r>
          </w:p>
        </w:tc>
      </w:tr>
      <w:tr w:rsidR="00325EAB" w:rsidRPr="00802531" w14:paraId="41473CDD"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0E9869"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Ansoff: Diversification</w:t>
            </w:r>
          </w:p>
        </w:tc>
        <w:tc>
          <w:tcPr>
            <w:tcW w:w="0" w:type="auto"/>
            <w:hideMark/>
          </w:tcPr>
          <w:p w14:paraId="56F9DD91"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Energy storage, solar power, grid services, AI computing.</w:t>
            </w:r>
          </w:p>
        </w:tc>
        <w:tc>
          <w:tcPr>
            <w:tcW w:w="0" w:type="auto"/>
            <w:hideMark/>
          </w:tcPr>
          <w:p w14:paraId="4AB5F365"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 xml:space="preserve">Diversification into electric buses, trucks, monorails, </w:t>
            </w:r>
            <w:proofErr w:type="gramStart"/>
            <w:r w:rsidRPr="00802531">
              <w:rPr>
                <w:rFonts w:ascii="Times New Roman" w:eastAsia="Times New Roman" w:hAnsi="Times New Roman"/>
                <w:lang w:val="en-GB" w:eastAsia="en-GB"/>
              </w:rPr>
              <w:t>batteries</w:t>
            </w:r>
            <w:proofErr w:type="gramEnd"/>
            <w:r w:rsidRPr="00802531">
              <w:rPr>
                <w:rFonts w:ascii="Times New Roman" w:eastAsia="Times New Roman" w:hAnsi="Times New Roman"/>
                <w:lang w:val="en-GB" w:eastAsia="en-GB"/>
              </w:rPr>
              <w:t xml:space="preserve"> and semiconductors.</w:t>
            </w:r>
          </w:p>
        </w:tc>
      </w:tr>
      <w:tr w:rsidR="00325EAB" w:rsidRPr="00802531" w14:paraId="3EC348E4"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64F6B596"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Porter’s Generic Strategy</w:t>
            </w:r>
          </w:p>
        </w:tc>
        <w:tc>
          <w:tcPr>
            <w:tcW w:w="0" w:type="auto"/>
            <w:hideMark/>
          </w:tcPr>
          <w:p w14:paraId="67A12A62"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Differentiation strategy. Unique technology + strong brand equity.</w:t>
            </w:r>
          </w:p>
        </w:tc>
        <w:tc>
          <w:tcPr>
            <w:tcW w:w="0" w:type="auto"/>
            <w:hideMark/>
          </w:tcPr>
          <w:p w14:paraId="2CE3EB36"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Cost leadership strategy. Achieves lowest cost through vertical integration.</w:t>
            </w:r>
          </w:p>
        </w:tc>
      </w:tr>
      <w:tr w:rsidR="00325EAB" w:rsidRPr="00802531" w14:paraId="16D318F4"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D0173C"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Supply Chain Strategy</w:t>
            </w:r>
          </w:p>
        </w:tc>
        <w:tc>
          <w:tcPr>
            <w:tcW w:w="0" w:type="auto"/>
            <w:hideMark/>
          </w:tcPr>
          <w:p w14:paraId="1E1852C8"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Selective integration (e.g., vertical integration in software and batteries) but still reliant on global suppliers.</w:t>
            </w:r>
          </w:p>
        </w:tc>
        <w:tc>
          <w:tcPr>
            <w:tcW w:w="0" w:type="auto"/>
            <w:hideMark/>
          </w:tcPr>
          <w:p w14:paraId="262C9168"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 xml:space="preserve">Deep vertical integration across batteries, chips, </w:t>
            </w:r>
            <w:proofErr w:type="gramStart"/>
            <w:r w:rsidRPr="00802531">
              <w:rPr>
                <w:rFonts w:ascii="Times New Roman" w:eastAsia="Times New Roman" w:hAnsi="Times New Roman"/>
                <w:lang w:val="en-GB" w:eastAsia="en-GB"/>
              </w:rPr>
              <w:t>motors</w:t>
            </w:r>
            <w:proofErr w:type="gramEnd"/>
            <w:r w:rsidRPr="00802531">
              <w:rPr>
                <w:rFonts w:ascii="Times New Roman" w:eastAsia="Times New Roman" w:hAnsi="Times New Roman"/>
                <w:lang w:val="en-GB" w:eastAsia="en-GB"/>
              </w:rPr>
              <w:t xml:space="preserve"> and manufacturing—reducing cost volatility.</w:t>
            </w:r>
          </w:p>
        </w:tc>
      </w:tr>
      <w:tr w:rsidR="00325EAB" w:rsidRPr="00802531" w14:paraId="39C96C80"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3B70F7C5"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Environmental Response</w:t>
            </w:r>
          </w:p>
        </w:tc>
        <w:tc>
          <w:tcPr>
            <w:tcW w:w="0" w:type="auto"/>
            <w:hideMark/>
          </w:tcPr>
          <w:p w14:paraId="77DE2411"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Strong ESG positioning; renewable-powered factories; recycling partnerships (e.g., Redwood Materials).</w:t>
            </w:r>
          </w:p>
        </w:tc>
        <w:tc>
          <w:tcPr>
            <w:tcW w:w="0" w:type="auto"/>
            <w:hideMark/>
          </w:tcPr>
          <w:p w14:paraId="201AA8C6"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Focus on cobalt-free LFP tech; strong alignment with China’s sustainability policies; growing recycling capabilities.</w:t>
            </w:r>
          </w:p>
        </w:tc>
      </w:tr>
      <w:tr w:rsidR="00325EAB" w:rsidRPr="00802531" w14:paraId="7A18A790" w14:textId="77777777" w:rsidTr="001A16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5449A8"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Competitive Strengths</w:t>
            </w:r>
          </w:p>
        </w:tc>
        <w:tc>
          <w:tcPr>
            <w:tcW w:w="0" w:type="auto"/>
            <w:hideMark/>
          </w:tcPr>
          <w:p w14:paraId="5F9AA618"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Strong global brand, superior autonomy, strong software ecosystem, innovation leadership.</w:t>
            </w:r>
          </w:p>
        </w:tc>
        <w:tc>
          <w:tcPr>
            <w:tcW w:w="0" w:type="auto"/>
            <w:hideMark/>
          </w:tcPr>
          <w:p w14:paraId="4AE2CE7E" w14:textId="77777777" w:rsidR="00325EAB" w:rsidRPr="00802531" w:rsidRDefault="00325EAB" w:rsidP="001A1606">
            <w:pPr>
              <w:spacing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Scalability, cost efficiency, manufacturing dominance, affordability for mass markets.</w:t>
            </w:r>
          </w:p>
        </w:tc>
      </w:tr>
      <w:tr w:rsidR="00325EAB" w:rsidRPr="00802531" w14:paraId="6F7643E1" w14:textId="77777777" w:rsidTr="001A1606">
        <w:tc>
          <w:tcPr>
            <w:cnfStyle w:val="001000000000" w:firstRow="0" w:lastRow="0" w:firstColumn="1" w:lastColumn="0" w:oddVBand="0" w:evenVBand="0" w:oddHBand="0" w:evenHBand="0" w:firstRowFirstColumn="0" w:firstRowLastColumn="0" w:lastRowFirstColumn="0" w:lastRowLastColumn="0"/>
            <w:tcW w:w="0" w:type="auto"/>
            <w:hideMark/>
          </w:tcPr>
          <w:p w14:paraId="1EE13FD1" w14:textId="77777777" w:rsidR="00325EAB" w:rsidRPr="00802531" w:rsidRDefault="00325EAB" w:rsidP="001A1606">
            <w:pPr>
              <w:spacing w:line="360" w:lineRule="auto"/>
              <w:jc w:val="left"/>
              <w:rPr>
                <w:rFonts w:ascii="Times New Roman" w:eastAsia="Times New Roman" w:hAnsi="Times New Roman"/>
                <w:lang w:val="en-GB" w:eastAsia="en-GB"/>
              </w:rPr>
            </w:pPr>
            <w:r w:rsidRPr="00802531">
              <w:rPr>
                <w:rFonts w:ascii="Times New Roman" w:eastAsia="Times New Roman" w:hAnsi="Times New Roman"/>
                <w:lang w:val="en-GB" w:eastAsia="en-GB"/>
              </w:rPr>
              <w:t>Competitive Weaknesses</w:t>
            </w:r>
          </w:p>
        </w:tc>
        <w:tc>
          <w:tcPr>
            <w:tcW w:w="0" w:type="auto"/>
            <w:hideMark/>
          </w:tcPr>
          <w:p w14:paraId="4259FC2F"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High production costs, supply chain vulnerabilities, premium pricing limits accessibility.</w:t>
            </w:r>
          </w:p>
        </w:tc>
        <w:tc>
          <w:tcPr>
            <w:tcW w:w="0" w:type="auto"/>
            <w:hideMark/>
          </w:tcPr>
          <w:p w14:paraId="112C66F3" w14:textId="77777777" w:rsidR="00325EAB" w:rsidRPr="00802531" w:rsidRDefault="00325EAB" w:rsidP="001A1606">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lang w:val="en-GB" w:eastAsia="en-GB"/>
              </w:rPr>
            </w:pPr>
            <w:r w:rsidRPr="00802531">
              <w:rPr>
                <w:rFonts w:ascii="Times New Roman" w:eastAsia="Times New Roman" w:hAnsi="Times New Roman"/>
                <w:lang w:val="en-GB" w:eastAsia="en-GB"/>
              </w:rPr>
              <w:t>Weaker brand recognition globally, slower technological leadership, reliance on domestic policy support.</w:t>
            </w:r>
          </w:p>
        </w:tc>
      </w:tr>
    </w:tbl>
    <w:p w14:paraId="0A4E7B00" w14:textId="5F57A140" w:rsidR="00B45F9F" w:rsidRDefault="00B45F9F" w:rsidP="008A1BC3">
      <w:pPr>
        <w:rPr>
          <w:rStyle w:val="Strong"/>
          <w:rFonts w:eastAsiaTheme="majorEastAsia"/>
          <w:b w:val="0"/>
          <w:bCs w:val="0"/>
        </w:rPr>
      </w:pPr>
    </w:p>
    <w:sectPr w:rsidR="00B45F9F" w:rsidSect="00E13804">
      <w:headerReference w:type="default" r:id="rId18"/>
      <w:footerReference w:type="default" r:id="rId19"/>
      <w:pgSz w:w="12240" w:h="15840"/>
      <w:pgMar w:top="1440" w:right="900" w:bottom="993" w:left="127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1F07C9" w14:textId="77777777" w:rsidR="00012CD2" w:rsidRDefault="00012CD2" w:rsidP="006B6657">
      <w:r>
        <w:separator/>
      </w:r>
    </w:p>
  </w:endnote>
  <w:endnote w:type="continuationSeparator" w:id="0">
    <w:p w14:paraId="52AD3559" w14:textId="77777777" w:rsidR="00012CD2" w:rsidRDefault="00012CD2"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1595787"/>
      <w:docPartObj>
        <w:docPartGallery w:val="Page Numbers (Bottom of Page)"/>
        <w:docPartUnique/>
      </w:docPartObj>
    </w:sdtPr>
    <w:sdtEndPr>
      <w:rPr>
        <w:noProof/>
      </w:rPr>
    </w:sdtEndPr>
    <w:sdtContent>
      <w:p w14:paraId="61C6CD28" w14:textId="77777777" w:rsidR="001A1606" w:rsidRDefault="001A1606">
        <w:pPr>
          <w:pStyle w:val="Footer"/>
          <w:jc w:val="center"/>
        </w:pPr>
        <w:r>
          <w:fldChar w:fldCharType="begin"/>
        </w:r>
        <w:r>
          <w:instrText xml:space="preserve"> PAGE   \* MERGEFORMAT </w:instrText>
        </w:r>
        <w:r>
          <w:fldChar w:fldCharType="separate"/>
        </w:r>
        <w:r w:rsidR="00B7406F">
          <w:rPr>
            <w:noProof/>
          </w:rPr>
          <w:t>20</w:t>
        </w:r>
        <w:r>
          <w:rPr>
            <w:noProof/>
          </w:rPr>
          <w:fldChar w:fldCharType="end"/>
        </w:r>
      </w:p>
    </w:sdtContent>
  </w:sdt>
  <w:p w14:paraId="22B95558" w14:textId="77777777" w:rsidR="001A1606" w:rsidRDefault="001A1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45D00" w14:textId="77777777" w:rsidR="00012CD2" w:rsidRDefault="00012CD2" w:rsidP="006B6657">
      <w:r>
        <w:separator/>
      </w:r>
    </w:p>
  </w:footnote>
  <w:footnote w:type="continuationSeparator" w:id="0">
    <w:p w14:paraId="482AB2FB" w14:textId="77777777" w:rsidR="00012CD2" w:rsidRDefault="00012CD2" w:rsidP="006B6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5B219" w14:textId="77777777" w:rsidR="001A1606" w:rsidRDefault="001A1606" w:rsidP="00761BA9">
    <w:pPr>
      <w:pStyle w:val="Header"/>
      <w:ind w:left="6480"/>
    </w:pPr>
    <w:r>
      <w:rPr>
        <w:noProof/>
        <w:lang w:eastAsia="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62423"/>
    <w:multiLevelType w:val="multilevel"/>
    <w:tmpl w:val="0D3C2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C4EAD"/>
    <w:multiLevelType w:val="multilevel"/>
    <w:tmpl w:val="063ED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13DA1"/>
    <w:multiLevelType w:val="multilevel"/>
    <w:tmpl w:val="8A4AA8F0"/>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086002D3"/>
    <w:multiLevelType w:val="multilevel"/>
    <w:tmpl w:val="29586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8C7A1B"/>
    <w:multiLevelType w:val="multilevel"/>
    <w:tmpl w:val="646C1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D03AD4"/>
    <w:multiLevelType w:val="multilevel"/>
    <w:tmpl w:val="3F0E8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9A41AC"/>
    <w:multiLevelType w:val="multilevel"/>
    <w:tmpl w:val="57EEC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092643"/>
    <w:multiLevelType w:val="hybridMultilevel"/>
    <w:tmpl w:val="2CFE76BC"/>
    <w:lvl w:ilvl="0" w:tplc="08090001">
      <w:start w:val="1"/>
      <w:numFmt w:val="bullet"/>
      <w:lvlText w:val=""/>
      <w:lvlJc w:val="left"/>
      <w:pPr>
        <w:ind w:left="1840" w:hanging="360"/>
      </w:pPr>
      <w:rPr>
        <w:rFonts w:ascii="Symbol" w:hAnsi="Symbol" w:hint="default"/>
      </w:rPr>
    </w:lvl>
    <w:lvl w:ilvl="1" w:tplc="08090003" w:tentative="1">
      <w:start w:val="1"/>
      <w:numFmt w:val="bullet"/>
      <w:lvlText w:val="o"/>
      <w:lvlJc w:val="left"/>
      <w:pPr>
        <w:ind w:left="2560" w:hanging="360"/>
      </w:pPr>
      <w:rPr>
        <w:rFonts w:ascii="Courier New" w:hAnsi="Courier New" w:cs="Courier New" w:hint="default"/>
      </w:rPr>
    </w:lvl>
    <w:lvl w:ilvl="2" w:tplc="08090005" w:tentative="1">
      <w:start w:val="1"/>
      <w:numFmt w:val="bullet"/>
      <w:lvlText w:val=""/>
      <w:lvlJc w:val="left"/>
      <w:pPr>
        <w:ind w:left="3280" w:hanging="360"/>
      </w:pPr>
      <w:rPr>
        <w:rFonts w:ascii="Wingdings" w:hAnsi="Wingdings" w:hint="default"/>
      </w:rPr>
    </w:lvl>
    <w:lvl w:ilvl="3" w:tplc="08090001" w:tentative="1">
      <w:start w:val="1"/>
      <w:numFmt w:val="bullet"/>
      <w:lvlText w:val=""/>
      <w:lvlJc w:val="left"/>
      <w:pPr>
        <w:ind w:left="4000" w:hanging="360"/>
      </w:pPr>
      <w:rPr>
        <w:rFonts w:ascii="Symbol" w:hAnsi="Symbol" w:hint="default"/>
      </w:rPr>
    </w:lvl>
    <w:lvl w:ilvl="4" w:tplc="08090003" w:tentative="1">
      <w:start w:val="1"/>
      <w:numFmt w:val="bullet"/>
      <w:lvlText w:val="o"/>
      <w:lvlJc w:val="left"/>
      <w:pPr>
        <w:ind w:left="4720" w:hanging="360"/>
      </w:pPr>
      <w:rPr>
        <w:rFonts w:ascii="Courier New" w:hAnsi="Courier New" w:cs="Courier New" w:hint="default"/>
      </w:rPr>
    </w:lvl>
    <w:lvl w:ilvl="5" w:tplc="08090005" w:tentative="1">
      <w:start w:val="1"/>
      <w:numFmt w:val="bullet"/>
      <w:lvlText w:val=""/>
      <w:lvlJc w:val="left"/>
      <w:pPr>
        <w:ind w:left="5440" w:hanging="360"/>
      </w:pPr>
      <w:rPr>
        <w:rFonts w:ascii="Wingdings" w:hAnsi="Wingdings" w:hint="default"/>
      </w:rPr>
    </w:lvl>
    <w:lvl w:ilvl="6" w:tplc="08090001" w:tentative="1">
      <w:start w:val="1"/>
      <w:numFmt w:val="bullet"/>
      <w:lvlText w:val=""/>
      <w:lvlJc w:val="left"/>
      <w:pPr>
        <w:ind w:left="6160" w:hanging="360"/>
      </w:pPr>
      <w:rPr>
        <w:rFonts w:ascii="Symbol" w:hAnsi="Symbol" w:hint="default"/>
      </w:rPr>
    </w:lvl>
    <w:lvl w:ilvl="7" w:tplc="08090003" w:tentative="1">
      <w:start w:val="1"/>
      <w:numFmt w:val="bullet"/>
      <w:lvlText w:val="o"/>
      <w:lvlJc w:val="left"/>
      <w:pPr>
        <w:ind w:left="6880" w:hanging="360"/>
      </w:pPr>
      <w:rPr>
        <w:rFonts w:ascii="Courier New" w:hAnsi="Courier New" w:cs="Courier New" w:hint="default"/>
      </w:rPr>
    </w:lvl>
    <w:lvl w:ilvl="8" w:tplc="08090005" w:tentative="1">
      <w:start w:val="1"/>
      <w:numFmt w:val="bullet"/>
      <w:lvlText w:val=""/>
      <w:lvlJc w:val="left"/>
      <w:pPr>
        <w:ind w:left="7600" w:hanging="360"/>
      </w:pPr>
      <w:rPr>
        <w:rFonts w:ascii="Wingdings" w:hAnsi="Wingdings" w:hint="default"/>
      </w:rPr>
    </w:lvl>
  </w:abstractNum>
  <w:abstractNum w:abstractNumId="8" w15:restartNumberingAfterBreak="0">
    <w:nsid w:val="1A530DCC"/>
    <w:multiLevelType w:val="hybridMultilevel"/>
    <w:tmpl w:val="E2300EE8"/>
    <w:lvl w:ilvl="0" w:tplc="08090001">
      <w:start w:val="1"/>
      <w:numFmt w:val="bullet"/>
      <w:lvlText w:val=""/>
      <w:lvlJc w:val="left"/>
      <w:pPr>
        <w:ind w:left="1840" w:hanging="360"/>
      </w:pPr>
      <w:rPr>
        <w:rFonts w:ascii="Symbol" w:hAnsi="Symbol" w:hint="default"/>
      </w:rPr>
    </w:lvl>
    <w:lvl w:ilvl="1" w:tplc="08090003" w:tentative="1">
      <w:start w:val="1"/>
      <w:numFmt w:val="bullet"/>
      <w:lvlText w:val="o"/>
      <w:lvlJc w:val="left"/>
      <w:pPr>
        <w:ind w:left="2560" w:hanging="360"/>
      </w:pPr>
      <w:rPr>
        <w:rFonts w:ascii="Courier New" w:hAnsi="Courier New" w:cs="Courier New" w:hint="default"/>
      </w:rPr>
    </w:lvl>
    <w:lvl w:ilvl="2" w:tplc="08090005" w:tentative="1">
      <w:start w:val="1"/>
      <w:numFmt w:val="bullet"/>
      <w:lvlText w:val=""/>
      <w:lvlJc w:val="left"/>
      <w:pPr>
        <w:ind w:left="3280" w:hanging="360"/>
      </w:pPr>
      <w:rPr>
        <w:rFonts w:ascii="Wingdings" w:hAnsi="Wingdings" w:hint="default"/>
      </w:rPr>
    </w:lvl>
    <w:lvl w:ilvl="3" w:tplc="08090001" w:tentative="1">
      <w:start w:val="1"/>
      <w:numFmt w:val="bullet"/>
      <w:lvlText w:val=""/>
      <w:lvlJc w:val="left"/>
      <w:pPr>
        <w:ind w:left="4000" w:hanging="360"/>
      </w:pPr>
      <w:rPr>
        <w:rFonts w:ascii="Symbol" w:hAnsi="Symbol" w:hint="default"/>
      </w:rPr>
    </w:lvl>
    <w:lvl w:ilvl="4" w:tplc="08090003" w:tentative="1">
      <w:start w:val="1"/>
      <w:numFmt w:val="bullet"/>
      <w:lvlText w:val="o"/>
      <w:lvlJc w:val="left"/>
      <w:pPr>
        <w:ind w:left="4720" w:hanging="360"/>
      </w:pPr>
      <w:rPr>
        <w:rFonts w:ascii="Courier New" w:hAnsi="Courier New" w:cs="Courier New" w:hint="default"/>
      </w:rPr>
    </w:lvl>
    <w:lvl w:ilvl="5" w:tplc="08090005" w:tentative="1">
      <w:start w:val="1"/>
      <w:numFmt w:val="bullet"/>
      <w:lvlText w:val=""/>
      <w:lvlJc w:val="left"/>
      <w:pPr>
        <w:ind w:left="5440" w:hanging="360"/>
      </w:pPr>
      <w:rPr>
        <w:rFonts w:ascii="Wingdings" w:hAnsi="Wingdings" w:hint="default"/>
      </w:rPr>
    </w:lvl>
    <w:lvl w:ilvl="6" w:tplc="08090001" w:tentative="1">
      <w:start w:val="1"/>
      <w:numFmt w:val="bullet"/>
      <w:lvlText w:val=""/>
      <w:lvlJc w:val="left"/>
      <w:pPr>
        <w:ind w:left="6160" w:hanging="360"/>
      </w:pPr>
      <w:rPr>
        <w:rFonts w:ascii="Symbol" w:hAnsi="Symbol" w:hint="default"/>
      </w:rPr>
    </w:lvl>
    <w:lvl w:ilvl="7" w:tplc="08090003" w:tentative="1">
      <w:start w:val="1"/>
      <w:numFmt w:val="bullet"/>
      <w:lvlText w:val="o"/>
      <w:lvlJc w:val="left"/>
      <w:pPr>
        <w:ind w:left="6880" w:hanging="360"/>
      </w:pPr>
      <w:rPr>
        <w:rFonts w:ascii="Courier New" w:hAnsi="Courier New" w:cs="Courier New" w:hint="default"/>
      </w:rPr>
    </w:lvl>
    <w:lvl w:ilvl="8" w:tplc="08090005" w:tentative="1">
      <w:start w:val="1"/>
      <w:numFmt w:val="bullet"/>
      <w:lvlText w:val=""/>
      <w:lvlJc w:val="left"/>
      <w:pPr>
        <w:ind w:left="7600" w:hanging="360"/>
      </w:pPr>
      <w:rPr>
        <w:rFonts w:ascii="Wingdings" w:hAnsi="Wingdings" w:hint="default"/>
      </w:rPr>
    </w:lvl>
  </w:abstractNum>
  <w:abstractNum w:abstractNumId="9" w15:restartNumberingAfterBreak="0">
    <w:nsid w:val="208A760D"/>
    <w:multiLevelType w:val="multilevel"/>
    <w:tmpl w:val="44420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496425"/>
    <w:multiLevelType w:val="hybridMultilevel"/>
    <w:tmpl w:val="49A0E988"/>
    <w:lvl w:ilvl="0" w:tplc="08090001">
      <w:start w:val="1"/>
      <w:numFmt w:val="bullet"/>
      <w:lvlText w:val=""/>
      <w:lvlJc w:val="left"/>
      <w:pPr>
        <w:ind w:left="1840" w:hanging="360"/>
      </w:pPr>
      <w:rPr>
        <w:rFonts w:ascii="Symbol" w:hAnsi="Symbol" w:hint="default"/>
      </w:rPr>
    </w:lvl>
    <w:lvl w:ilvl="1" w:tplc="08090003" w:tentative="1">
      <w:start w:val="1"/>
      <w:numFmt w:val="bullet"/>
      <w:lvlText w:val="o"/>
      <w:lvlJc w:val="left"/>
      <w:pPr>
        <w:ind w:left="2560" w:hanging="360"/>
      </w:pPr>
      <w:rPr>
        <w:rFonts w:ascii="Courier New" w:hAnsi="Courier New" w:cs="Courier New" w:hint="default"/>
      </w:rPr>
    </w:lvl>
    <w:lvl w:ilvl="2" w:tplc="08090005" w:tentative="1">
      <w:start w:val="1"/>
      <w:numFmt w:val="bullet"/>
      <w:lvlText w:val=""/>
      <w:lvlJc w:val="left"/>
      <w:pPr>
        <w:ind w:left="3280" w:hanging="360"/>
      </w:pPr>
      <w:rPr>
        <w:rFonts w:ascii="Wingdings" w:hAnsi="Wingdings" w:hint="default"/>
      </w:rPr>
    </w:lvl>
    <w:lvl w:ilvl="3" w:tplc="08090001" w:tentative="1">
      <w:start w:val="1"/>
      <w:numFmt w:val="bullet"/>
      <w:lvlText w:val=""/>
      <w:lvlJc w:val="left"/>
      <w:pPr>
        <w:ind w:left="4000" w:hanging="360"/>
      </w:pPr>
      <w:rPr>
        <w:rFonts w:ascii="Symbol" w:hAnsi="Symbol" w:hint="default"/>
      </w:rPr>
    </w:lvl>
    <w:lvl w:ilvl="4" w:tplc="08090003" w:tentative="1">
      <w:start w:val="1"/>
      <w:numFmt w:val="bullet"/>
      <w:lvlText w:val="o"/>
      <w:lvlJc w:val="left"/>
      <w:pPr>
        <w:ind w:left="4720" w:hanging="360"/>
      </w:pPr>
      <w:rPr>
        <w:rFonts w:ascii="Courier New" w:hAnsi="Courier New" w:cs="Courier New" w:hint="default"/>
      </w:rPr>
    </w:lvl>
    <w:lvl w:ilvl="5" w:tplc="08090005" w:tentative="1">
      <w:start w:val="1"/>
      <w:numFmt w:val="bullet"/>
      <w:lvlText w:val=""/>
      <w:lvlJc w:val="left"/>
      <w:pPr>
        <w:ind w:left="5440" w:hanging="360"/>
      </w:pPr>
      <w:rPr>
        <w:rFonts w:ascii="Wingdings" w:hAnsi="Wingdings" w:hint="default"/>
      </w:rPr>
    </w:lvl>
    <w:lvl w:ilvl="6" w:tplc="08090001" w:tentative="1">
      <w:start w:val="1"/>
      <w:numFmt w:val="bullet"/>
      <w:lvlText w:val=""/>
      <w:lvlJc w:val="left"/>
      <w:pPr>
        <w:ind w:left="6160" w:hanging="360"/>
      </w:pPr>
      <w:rPr>
        <w:rFonts w:ascii="Symbol" w:hAnsi="Symbol" w:hint="default"/>
      </w:rPr>
    </w:lvl>
    <w:lvl w:ilvl="7" w:tplc="08090003" w:tentative="1">
      <w:start w:val="1"/>
      <w:numFmt w:val="bullet"/>
      <w:lvlText w:val="o"/>
      <w:lvlJc w:val="left"/>
      <w:pPr>
        <w:ind w:left="6880" w:hanging="360"/>
      </w:pPr>
      <w:rPr>
        <w:rFonts w:ascii="Courier New" w:hAnsi="Courier New" w:cs="Courier New" w:hint="default"/>
      </w:rPr>
    </w:lvl>
    <w:lvl w:ilvl="8" w:tplc="08090005" w:tentative="1">
      <w:start w:val="1"/>
      <w:numFmt w:val="bullet"/>
      <w:lvlText w:val=""/>
      <w:lvlJc w:val="left"/>
      <w:pPr>
        <w:ind w:left="7600" w:hanging="360"/>
      </w:pPr>
      <w:rPr>
        <w:rFonts w:ascii="Wingdings" w:hAnsi="Wingdings" w:hint="default"/>
      </w:rPr>
    </w:lvl>
  </w:abstractNum>
  <w:abstractNum w:abstractNumId="11" w15:restartNumberingAfterBreak="0">
    <w:nsid w:val="2BC60A60"/>
    <w:multiLevelType w:val="multilevel"/>
    <w:tmpl w:val="727EB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3F2FB5"/>
    <w:multiLevelType w:val="multilevel"/>
    <w:tmpl w:val="F7701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992BA0"/>
    <w:multiLevelType w:val="multilevel"/>
    <w:tmpl w:val="A4549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A124F5"/>
    <w:multiLevelType w:val="multilevel"/>
    <w:tmpl w:val="10747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7D56CF"/>
    <w:multiLevelType w:val="multilevel"/>
    <w:tmpl w:val="05200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412D82"/>
    <w:multiLevelType w:val="multilevel"/>
    <w:tmpl w:val="06FEA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F71235"/>
    <w:multiLevelType w:val="multilevel"/>
    <w:tmpl w:val="7C1E0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521CA7"/>
    <w:multiLevelType w:val="multilevel"/>
    <w:tmpl w:val="E438C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6C13E4"/>
    <w:multiLevelType w:val="hybridMultilevel"/>
    <w:tmpl w:val="A1EC4F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E9E7D68"/>
    <w:multiLevelType w:val="multilevel"/>
    <w:tmpl w:val="BA5A8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4E2ABB"/>
    <w:multiLevelType w:val="multilevel"/>
    <w:tmpl w:val="FADEA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3F18CA"/>
    <w:multiLevelType w:val="multilevel"/>
    <w:tmpl w:val="8898C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780DDD"/>
    <w:multiLevelType w:val="multilevel"/>
    <w:tmpl w:val="F0A8E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972262"/>
    <w:multiLevelType w:val="multilevel"/>
    <w:tmpl w:val="9CCCA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DA43D9"/>
    <w:multiLevelType w:val="multilevel"/>
    <w:tmpl w:val="5112A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F80AED"/>
    <w:multiLevelType w:val="multilevel"/>
    <w:tmpl w:val="8924C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6D09F4"/>
    <w:multiLevelType w:val="hybridMultilevel"/>
    <w:tmpl w:val="EA5C691C"/>
    <w:lvl w:ilvl="0" w:tplc="08090001">
      <w:start w:val="1"/>
      <w:numFmt w:val="bullet"/>
      <w:lvlText w:val=""/>
      <w:lvlJc w:val="left"/>
      <w:pPr>
        <w:ind w:left="1840" w:hanging="360"/>
      </w:pPr>
      <w:rPr>
        <w:rFonts w:ascii="Symbol" w:hAnsi="Symbol" w:hint="default"/>
      </w:rPr>
    </w:lvl>
    <w:lvl w:ilvl="1" w:tplc="08090003" w:tentative="1">
      <w:start w:val="1"/>
      <w:numFmt w:val="bullet"/>
      <w:lvlText w:val="o"/>
      <w:lvlJc w:val="left"/>
      <w:pPr>
        <w:ind w:left="2560" w:hanging="360"/>
      </w:pPr>
      <w:rPr>
        <w:rFonts w:ascii="Courier New" w:hAnsi="Courier New" w:cs="Courier New" w:hint="default"/>
      </w:rPr>
    </w:lvl>
    <w:lvl w:ilvl="2" w:tplc="08090005" w:tentative="1">
      <w:start w:val="1"/>
      <w:numFmt w:val="bullet"/>
      <w:lvlText w:val=""/>
      <w:lvlJc w:val="left"/>
      <w:pPr>
        <w:ind w:left="3280" w:hanging="360"/>
      </w:pPr>
      <w:rPr>
        <w:rFonts w:ascii="Wingdings" w:hAnsi="Wingdings" w:hint="default"/>
      </w:rPr>
    </w:lvl>
    <w:lvl w:ilvl="3" w:tplc="08090001" w:tentative="1">
      <w:start w:val="1"/>
      <w:numFmt w:val="bullet"/>
      <w:lvlText w:val=""/>
      <w:lvlJc w:val="left"/>
      <w:pPr>
        <w:ind w:left="4000" w:hanging="360"/>
      </w:pPr>
      <w:rPr>
        <w:rFonts w:ascii="Symbol" w:hAnsi="Symbol" w:hint="default"/>
      </w:rPr>
    </w:lvl>
    <w:lvl w:ilvl="4" w:tplc="08090003" w:tentative="1">
      <w:start w:val="1"/>
      <w:numFmt w:val="bullet"/>
      <w:lvlText w:val="o"/>
      <w:lvlJc w:val="left"/>
      <w:pPr>
        <w:ind w:left="4720" w:hanging="360"/>
      </w:pPr>
      <w:rPr>
        <w:rFonts w:ascii="Courier New" w:hAnsi="Courier New" w:cs="Courier New" w:hint="default"/>
      </w:rPr>
    </w:lvl>
    <w:lvl w:ilvl="5" w:tplc="08090005" w:tentative="1">
      <w:start w:val="1"/>
      <w:numFmt w:val="bullet"/>
      <w:lvlText w:val=""/>
      <w:lvlJc w:val="left"/>
      <w:pPr>
        <w:ind w:left="5440" w:hanging="360"/>
      </w:pPr>
      <w:rPr>
        <w:rFonts w:ascii="Wingdings" w:hAnsi="Wingdings" w:hint="default"/>
      </w:rPr>
    </w:lvl>
    <w:lvl w:ilvl="6" w:tplc="08090001" w:tentative="1">
      <w:start w:val="1"/>
      <w:numFmt w:val="bullet"/>
      <w:lvlText w:val=""/>
      <w:lvlJc w:val="left"/>
      <w:pPr>
        <w:ind w:left="6160" w:hanging="360"/>
      </w:pPr>
      <w:rPr>
        <w:rFonts w:ascii="Symbol" w:hAnsi="Symbol" w:hint="default"/>
      </w:rPr>
    </w:lvl>
    <w:lvl w:ilvl="7" w:tplc="08090003" w:tentative="1">
      <w:start w:val="1"/>
      <w:numFmt w:val="bullet"/>
      <w:lvlText w:val="o"/>
      <w:lvlJc w:val="left"/>
      <w:pPr>
        <w:ind w:left="6880" w:hanging="360"/>
      </w:pPr>
      <w:rPr>
        <w:rFonts w:ascii="Courier New" w:hAnsi="Courier New" w:cs="Courier New" w:hint="default"/>
      </w:rPr>
    </w:lvl>
    <w:lvl w:ilvl="8" w:tplc="08090005" w:tentative="1">
      <w:start w:val="1"/>
      <w:numFmt w:val="bullet"/>
      <w:lvlText w:val=""/>
      <w:lvlJc w:val="left"/>
      <w:pPr>
        <w:ind w:left="7600" w:hanging="360"/>
      </w:pPr>
      <w:rPr>
        <w:rFonts w:ascii="Wingdings" w:hAnsi="Wingdings" w:hint="default"/>
      </w:rPr>
    </w:lvl>
  </w:abstractNum>
  <w:num w:numId="1" w16cid:durableId="1575357683">
    <w:abstractNumId w:val="26"/>
  </w:num>
  <w:num w:numId="2" w16cid:durableId="1736590525">
    <w:abstractNumId w:val="21"/>
  </w:num>
  <w:num w:numId="3" w16cid:durableId="579215900">
    <w:abstractNumId w:val="3"/>
  </w:num>
  <w:num w:numId="4" w16cid:durableId="978613421">
    <w:abstractNumId w:val="18"/>
  </w:num>
  <w:num w:numId="5" w16cid:durableId="744182930">
    <w:abstractNumId w:val="0"/>
  </w:num>
  <w:num w:numId="6" w16cid:durableId="2134517029">
    <w:abstractNumId w:val="12"/>
  </w:num>
  <w:num w:numId="7" w16cid:durableId="598101928">
    <w:abstractNumId w:val="2"/>
  </w:num>
  <w:num w:numId="8" w16cid:durableId="1441144619">
    <w:abstractNumId w:val="19"/>
  </w:num>
  <w:num w:numId="9" w16cid:durableId="1593662784">
    <w:abstractNumId w:val="8"/>
  </w:num>
  <w:num w:numId="10" w16cid:durableId="1225411069">
    <w:abstractNumId w:val="27"/>
  </w:num>
  <w:num w:numId="11" w16cid:durableId="1375499497">
    <w:abstractNumId w:val="7"/>
  </w:num>
  <w:num w:numId="12" w16cid:durableId="2124109783">
    <w:abstractNumId w:val="10"/>
  </w:num>
  <w:num w:numId="13" w16cid:durableId="926422181">
    <w:abstractNumId w:val="11"/>
  </w:num>
  <w:num w:numId="14" w16cid:durableId="2087216034">
    <w:abstractNumId w:val="5"/>
  </w:num>
  <w:num w:numId="15" w16cid:durableId="489101017">
    <w:abstractNumId w:val="14"/>
  </w:num>
  <w:num w:numId="16" w16cid:durableId="17661908">
    <w:abstractNumId w:val="15"/>
  </w:num>
  <w:num w:numId="17" w16cid:durableId="1134063113">
    <w:abstractNumId w:val="16"/>
  </w:num>
  <w:num w:numId="18" w16cid:durableId="188110275">
    <w:abstractNumId w:val="23"/>
  </w:num>
  <w:num w:numId="19" w16cid:durableId="1103724134">
    <w:abstractNumId w:val="25"/>
  </w:num>
  <w:num w:numId="20" w16cid:durableId="860437595">
    <w:abstractNumId w:val="24"/>
  </w:num>
  <w:num w:numId="21" w16cid:durableId="403643288">
    <w:abstractNumId w:val="17"/>
  </w:num>
  <w:num w:numId="22" w16cid:durableId="1986931163">
    <w:abstractNumId w:val="20"/>
  </w:num>
  <w:num w:numId="23" w16cid:durableId="1395396784">
    <w:abstractNumId w:val="22"/>
  </w:num>
  <w:num w:numId="24" w16cid:durableId="499781976">
    <w:abstractNumId w:val="1"/>
  </w:num>
  <w:num w:numId="25" w16cid:durableId="1553080566">
    <w:abstractNumId w:val="13"/>
  </w:num>
  <w:num w:numId="26" w16cid:durableId="650258837">
    <w:abstractNumId w:val="6"/>
  </w:num>
  <w:num w:numId="27" w16cid:durableId="658729060">
    <w:abstractNumId w:val="4"/>
  </w:num>
  <w:num w:numId="28" w16cid:durableId="864172697">
    <w:abstractNumId w:val="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C3NDQ3Mzc2MbAwNzVR0lEKTi0uzszPAykwNDStBQDslQy1LgAAAA=="/>
  </w:docVars>
  <w:rsids>
    <w:rsidRoot w:val="001E061F"/>
    <w:rsid w:val="00001573"/>
    <w:rsid w:val="00002A18"/>
    <w:rsid w:val="00002EBC"/>
    <w:rsid w:val="0000406B"/>
    <w:rsid w:val="000047F9"/>
    <w:rsid w:val="000048F4"/>
    <w:rsid w:val="000061AE"/>
    <w:rsid w:val="0000735A"/>
    <w:rsid w:val="000103F0"/>
    <w:rsid w:val="000125C6"/>
    <w:rsid w:val="00012CD2"/>
    <w:rsid w:val="00012E37"/>
    <w:rsid w:val="00012FE7"/>
    <w:rsid w:val="00013D2E"/>
    <w:rsid w:val="000141B4"/>
    <w:rsid w:val="00017152"/>
    <w:rsid w:val="000202FC"/>
    <w:rsid w:val="00020B8B"/>
    <w:rsid w:val="00021747"/>
    <w:rsid w:val="00022B7F"/>
    <w:rsid w:val="00023CB3"/>
    <w:rsid w:val="00023EDD"/>
    <w:rsid w:val="00024B83"/>
    <w:rsid w:val="00024E34"/>
    <w:rsid w:val="00024FBF"/>
    <w:rsid w:val="0002571E"/>
    <w:rsid w:val="00025CF2"/>
    <w:rsid w:val="00026234"/>
    <w:rsid w:val="00027E16"/>
    <w:rsid w:val="000334FD"/>
    <w:rsid w:val="000339A8"/>
    <w:rsid w:val="000345D5"/>
    <w:rsid w:val="00034CB8"/>
    <w:rsid w:val="0003611A"/>
    <w:rsid w:val="00036711"/>
    <w:rsid w:val="000369C6"/>
    <w:rsid w:val="00037B1F"/>
    <w:rsid w:val="00040183"/>
    <w:rsid w:val="0004058B"/>
    <w:rsid w:val="0004235C"/>
    <w:rsid w:val="00042E02"/>
    <w:rsid w:val="00044B72"/>
    <w:rsid w:val="00044BEA"/>
    <w:rsid w:val="00046ED3"/>
    <w:rsid w:val="00047CE2"/>
    <w:rsid w:val="000521C5"/>
    <w:rsid w:val="000535BD"/>
    <w:rsid w:val="00055317"/>
    <w:rsid w:val="0005601A"/>
    <w:rsid w:val="0005718E"/>
    <w:rsid w:val="00062FF1"/>
    <w:rsid w:val="000636A1"/>
    <w:rsid w:val="0006381A"/>
    <w:rsid w:val="000655A2"/>
    <w:rsid w:val="0006680D"/>
    <w:rsid w:val="00070133"/>
    <w:rsid w:val="00070B5B"/>
    <w:rsid w:val="00070CCB"/>
    <w:rsid w:val="0007159C"/>
    <w:rsid w:val="0007341E"/>
    <w:rsid w:val="0007483B"/>
    <w:rsid w:val="00076A7A"/>
    <w:rsid w:val="00076F6E"/>
    <w:rsid w:val="00077C8A"/>
    <w:rsid w:val="00081614"/>
    <w:rsid w:val="00081E62"/>
    <w:rsid w:val="00085217"/>
    <w:rsid w:val="00085930"/>
    <w:rsid w:val="000862D5"/>
    <w:rsid w:val="00086597"/>
    <w:rsid w:val="00087592"/>
    <w:rsid w:val="00087F42"/>
    <w:rsid w:val="00090076"/>
    <w:rsid w:val="0009074B"/>
    <w:rsid w:val="0009082F"/>
    <w:rsid w:val="00092E42"/>
    <w:rsid w:val="00093383"/>
    <w:rsid w:val="00094050"/>
    <w:rsid w:val="000940A2"/>
    <w:rsid w:val="00097C95"/>
    <w:rsid w:val="000A1697"/>
    <w:rsid w:val="000A3BED"/>
    <w:rsid w:val="000A3D6B"/>
    <w:rsid w:val="000A5BFA"/>
    <w:rsid w:val="000B167D"/>
    <w:rsid w:val="000B2186"/>
    <w:rsid w:val="000B247B"/>
    <w:rsid w:val="000B2DC6"/>
    <w:rsid w:val="000B3494"/>
    <w:rsid w:val="000B373F"/>
    <w:rsid w:val="000B3A45"/>
    <w:rsid w:val="000B44FB"/>
    <w:rsid w:val="000B4F33"/>
    <w:rsid w:val="000B5F81"/>
    <w:rsid w:val="000B6CC7"/>
    <w:rsid w:val="000B70FA"/>
    <w:rsid w:val="000C0767"/>
    <w:rsid w:val="000C0A78"/>
    <w:rsid w:val="000C14FE"/>
    <w:rsid w:val="000C1590"/>
    <w:rsid w:val="000C2B21"/>
    <w:rsid w:val="000C3FEC"/>
    <w:rsid w:val="000C4E2D"/>
    <w:rsid w:val="000C50B8"/>
    <w:rsid w:val="000C5FB1"/>
    <w:rsid w:val="000C65F3"/>
    <w:rsid w:val="000C6C82"/>
    <w:rsid w:val="000D138D"/>
    <w:rsid w:val="000D1B62"/>
    <w:rsid w:val="000D4F43"/>
    <w:rsid w:val="000D7CF5"/>
    <w:rsid w:val="000E01F0"/>
    <w:rsid w:val="000E203C"/>
    <w:rsid w:val="000E2397"/>
    <w:rsid w:val="000E3574"/>
    <w:rsid w:val="000E35B5"/>
    <w:rsid w:val="000E4F9C"/>
    <w:rsid w:val="000E50A6"/>
    <w:rsid w:val="000E684C"/>
    <w:rsid w:val="000E6FBF"/>
    <w:rsid w:val="000E6FD1"/>
    <w:rsid w:val="000E7159"/>
    <w:rsid w:val="000F0587"/>
    <w:rsid w:val="000F1907"/>
    <w:rsid w:val="000F1AB6"/>
    <w:rsid w:val="000F36BA"/>
    <w:rsid w:val="000F4A13"/>
    <w:rsid w:val="000F4DCC"/>
    <w:rsid w:val="000F6631"/>
    <w:rsid w:val="000F7136"/>
    <w:rsid w:val="00101084"/>
    <w:rsid w:val="001036E4"/>
    <w:rsid w:val="00104775"/>
    <w:rsid w:val="00107BFD"/>
    <w:rsid w:val="0011052E"/>
    <w:rsid w:val="00110F84"/>
    <w:rsid w:val="001135ED"/>
    <w:rsid w:val="0011361B"/>
    <w:rsid w:val="00113AC5"/>
    <w:rsid w:val="00115063"/>
    <w:rsid w:val="00115B71"/>
    <w:rsid w:val="00117BAB"/>
    <w:rsid w:val="00117E07"/>
    <w:rsid w:val="00120D19"/>
    <w:rsid w:val="00121224"/>
    <w:rsid w:val="001222C0"/>
    <w:rsid w:val="00122E16"/>
    <w:rsid w:val="001230B9"/>
    <w:rsid w:val="00123229"/>
    <w:rsid w:val="00126D1E"/>
    <w:rsid w:val="001279E9"/>
    <w:rsid w:val="00127CAA"/>
    <w:rsid w:val="00132088"/>
    <w:rsid w:val="001339B3"/>
    <w:rsid w:val="001377C7"/>
    <w:rsid w:val="00140B67"/>
    <w:rsid w:val="00140BE2"/>
    <w:rsid w:val="00141044"/>
    <w:rsid w:val="00141C7E"/>
    <w:rsid w:val="00143432"/>
    <w:rsid w:val="001438CB"/>
    <w:rsid w:val="0014541F"/>
    <w:rsid w:val="001454E7"/>
    <w:rsid w:val="00145ECF"/>
    <w:rsid w:val="00146847"/>
    <w:rsid w:val="001473BA"/>
    <w:rsid w:val="001475A7"/>
    <w:rsid w:val="00152013"/>
    <w:rsid w:val="001523EF"/>
    <w:rsid w:val="001530C0"/>
    <w:rsid w:val="00154CFE"/>
    <w:rsid w:val="00154E0E"/>
    <w:rsid w:val="001603BE"/>
    <w:rsid w:val="00161656"/>
    <w:rsid w:val="00162BFE"/>
    <w:rsid w:val="00164B03"/>
    <w:rsid w:val="00165177"/>
    <w:rsid w:val="00170142"/>
    <w:rsid w:val="001701DA"/>
    <w:rsid w:val="00172ADD"/>
    <w:rsid w:val="00172CC3"/>
    <w:rsid w:val="00175406"/>
    <w:rsid w:val="00176B3C"/>
    <w:rsid w:val="00177EAD"/>
    <w:rsid w:val="001809E2"/>
    <w:rsid w:val="0018495B"/>
    <w:rsid w:val="001853D4"/>
    <w:rsid w:val="00185683"/>
    <w:rsid w:val="00186088"/>
    <w:rsid w:val="00186694"/>
    <w:rsid w:val="001873A9"/>
    <w:rsid w:val="001875EE"/>
    <w:rsid w:val="00187DD4"/>
    <w:rsid w:val="001904DA"/>
    <w:rsid w:val="00190B8C"/>
    <w:rsid w:val="00194106"/>
    <w:rsid w:val="001944EA"/>
    <w:rsid w:val="0019611A"/>
    <w:rsid w:val="00196A72"/>
    <w:rsid w:val="001A1606"/>
    <w:rsid w:val="001A2602"/>
    <w:rsid w:val="001A2D0F"/>
    <w:rsid w:val="001A3F89"/>
    <w:rsid w:val="001A72AC"/>
    <w:rsid w:val="001A7E54"/>
    <w:rsid w:val="001B1048"/>
    <w:rsid w:val="001B148B"/>
    <w:rsid w:val="001B1F56"/>
    <w:rsid w:val="001B2C06"/>
    <w:rsid w:val="001B3415"/>
    <w:rsid w:val="001B3874"/>
    <w:rsid w:val="001B3877"/>
    <w:rsid w:val="001B3CF0"/>
    <w:rsid w:val="001B3D16"/>
    <w:rsid w:val="001B43C3"/>
    <w:rsid w:val="001B614C"/>
    <w:rsid w:val="001B702C"/>
    <w:rsid w:val="001C26D3"/>
    <w:rsid w:val="001C39F5"/>
    <w:rsid w:val="001C3E0A"/>
    <w:rsid w:val="001C3F2D"/>
    <w:rsid w:val="001C5C01"/>
    <w:rsid w:val="001C707B"/>
    <w:rsid w:val="001C7A06"/>
    <w:rsid w:val="001D1B32"/>
    <w:rsid w:val="001D3967"/>
    <w:rsid w:val="001D45A3"/>
    <w:rsid w:val="001E04B0"/>
    <w:rsid w:val="001E061F"/>
    <w:rsid w:val="001E28FF"/>
    <w:rsid w:val="001E3DB9"/>
    <w:rsid w:val="001E441B"/>
    <w:rsid w:val="001E6236"/>
    <w:rsid w:val="001E65A3"/>
    <w:rsid w:val="001F0DD1"/>
    <w:rsid w:val="001F6445"/>
    <w:rsid w:val="001F644A"/>
    <w:rsid w:val="001F6F14"/>
    <w:rsid w:val="001F7F88"/>
    <w:rsid w:val="0020087B"/>
    <w:rsid w:val="00201A13"/>
    <w:rsid w:val="00206F5D"/>
    <w:rsid w:val="002073CF"/>
    <w:rsid w:val="00207911"/>
    <w:rsid w:val="00207A96"/>
    <w:rsid w:val="0021141D"/>
    <w:rsid w:val="002123BF"/>
    <w:rsid w:val="0021304D"/>
    <w:rsid w:val="00213749"/>
    <w:rsid w:val="00213AC3"/>
    <w:rsid w:val="00213EE7"/>
    <w:rsid w:val="00214858"/>
    <w:rsid w:val="00214B0E"/>
    <w:rsid w:val="0021632C"/>
    <w:rsid w:val="00216A00"/>
    <w:rsid w:val="00220063"/>
    <w:rsid w:val="002222E4"/>
    <w:rsid w:val="00224548"/>
    <w:rsid w:val="0022468A"/>
    <w:rsid w:val="0022476B"/>
    <w:rsid w:val="00224A7A"/>
    <w:rsid w:val="00225064"/>
    <w:rsid w:val="00225744"/>
    <w:rsid w:val="002257B5"/>
    <w:rsid w:val="002260A3"/>
    <w:rsid w:val="00226DB7"/>
    <w:rsid w:val="00227D08"/>
    <w:rsid w:val="00227F2C"/>
    <w:rsid w:val="00233264"/>
    <w:rsid w:val="0023606B"/>
    <w:rsid w:val="002366DD"/>
    <w:rsid w:val="00237100"/>
    <w:rsid w:val="00237198"/>
    <w:rsid w:val="002400E3"/>
    <w:rsid w:val="00241F7A"/>
    <w:rsid w:val="00242B78"/>
    <w:rsid w:val="00245581"/>
    <w:rsid w:val="00251375"/>
    <w:rsid w:val="00252A27"/>
    <w:rsid w:val="00252E51"/>
    <w:rsid w:val="0025431F"/>
    <w:rsid w:val="00254666"/>
    <w:rsid w:val="00255593"/>
    <w:rsid w:val="00256917"/>
    <w:rsid w:val="0026016B"/>
    <w:rsid w:val="00260C2D"/>
    <w:rsid w:val="0026379C"/>
    <w:rsid w:val="002652F5"/>
    <w:rsid w:val="00265646"/>
    <w:rsid w:val="00266CDD"/>
    <w:rsid w:val="0026710F"/>
    <w:rsid w:val="00270208"/>
    <w:rsid w:val="00271F80"/>
    <w:rsid w:val="00272A28"/>
    <w:rsid w:val="00272A9A"/>
    <w:rsid w:val="002738F7"/>
    <w:rsid w:val="002751FA"/>
    <w:rsid w:val="002767A6"/>
    <w:rsid w:val="00276AFE"/>
    <w:rsid w:val="00277510"/>
    <w:rsid w:val="002807B7"/>
    <w:rsid w:val="00280D44"/>
    <w:rsid w:val="00281664"/>
    <w:rsid w:val="002819B3"/>
    <w:rsid w:val="00283E5D"/>
    <w:rsid w:val="00285156"/>
    <w:rsid w:val="002857AB"/>
    <w:rsid w:val="002906A4"/>
    <w:rsid w:val="00290DA4"/>
    <w:rsid w:val="002945B4"/>
    <w:rsid w:val="002945D7"/>
    <w:rsid w:val="00294940"/>
    <w:rsid w:val="0029543F"/>
    <w:rsid w:val="00295E5F"/>
    <w:rsid w:val="0029798A"/>
    <w:rsid w:val="002A0058"/>
    <w:rsid w:val="002A0134"/>
    <w:rsid w:val="002A0425"/>
    <w:rsid w:val="002A0E63"/>
    <w:rsid w:val="002A0F0F"/>
    <w:rsid w:val="002A2B2C"/>
    <w:rsid w:val="002A5B01"/>
    <w:rsid w:val="002A5DE2"/>
    <w:rsid w:val="002A6440"/>
    <w:rsid w:val="002A7158"/>
    <w:rsid w:val="002A7E53"/>
    <w:rsid w:val="002B1E44"/>
    <w:rsid w:val="002B23F5"/>
    <w:rsid w:val="002B255E"/>
    <w:rsid w:val="002B2DCD"/>
    <w:rsid w:val="002B323E"/>
    <w:rsid w:val="002B4434"/>
    <w:rsid w:val="002B7239"/>
    <w:rsid w:val="002B7CB0"/>
    <w:rsid w:val="002C15F4"/>
    <w:rsid w:val="002C2D18"/>
    <w:rsid w:val="002C358B"/>
    <w:rsid w:val="002C410B"/>
    <w:rsid w:val="002C478F"/>
    <w:rsid w:val="002C621D"/>
    <w:rsid w:val="002C621E"/>
    <w:rsid w:val="002C7C61"/>
    <w:rsid w:val="002D00FD"/>
    <w:rsid w:val="002D452E"/>
    <w:rsid w:val="002D4982"/>
    <w:rsid w:val="002D5A8F"/>
    <w:rsid w:val="002D7855"/>
    <w:rsid w:val="002E0244"/>
    <w:rsid w:val="002E039E"/>
    <w:rsid w:val="002E07FC"/>
    <w:rsid w:val="002E1124"/>
    <w:rsid w:val="002E2C20"/>
    <w:rsid w:val="002E316E"/>
    <w:rsid w:val="002E3F57"/>
    <w:rsid w:val="002E4375"/>
    <w:rsid w:val="002E4C95"/>
    <w:rsid w:val="002E5114"/>
    <w:rsid w:val="002E5FBC"/>
    <w:rsid w:val="002F13B5"/>
    <w:rsid w:val="002F1AD9"/>
    <w:rsid w:val="002F21E9"/>
    <w:rsid w:val="002F22ED"/>
    <w:rsid w:val="002F2914"/>
    <w:rsid w:val="002F4575"/>
    <w:rsid w:val="002F4627"/>
    <w:rsid w:val="002F693B"/>
    <w:rsid w:val="002F7288"/>
    <w:rsid w:val="002F7ECF"/>
    <w:rsid w:val="003009FC"/>
    <w:rsid w:val="00302C24"/>
    <w:rsid w:val="003031FE"/>
    <w:rsid w:val="00303D4E"/>
    <w:rsid w:val="00306BE3"/>
    <w:rsid w:val="003071B9"/>
    <w:rsid w:val="00307D0D"/>
    <w:rsid w:val="00310E93"/>
    <w:rsid w:val="00311960"/>
    <w:rsid w:val="00311FD0"/>
    <w:rsid w:val="003125F5"/>
    <w:rsid w:val="003129EF"/>
    <w:rsid w:val="003149AA"/>
    <w:rsid w:val="00314CA2"/>
    <w:rsid w:val="00315411"/>
    <w:rsid w:val="0031581E"/>
    <w:rsid w:val="003205DE"/>
    <w:rsid w:val="00320C9A"/>
    <w:rsid w:val="00321098"/>
    <w:rsid w:val="00323556"/>
    <w:rsid w:val="00325148"/>
    <w:rsid w:val="003258BE"/>
    <w:rsid w:val="00325EAB"/>
    <w:rsid w:val="00327726"/>
    <w:rsid w:val="00330619"/>
    <w:rsid w:val="003322DB"/>
    <w:rsid w:val="003323DC"/>
    <w:rsid w:val="00333620"/>
    <w:rsid w:val="00334759"/>
    <w:rsid w:val="003365FB"/>
    <w:rsid w:val="00336692"/>
    <w:rsid w:val="003418BA"/>
    <w:rsid w:val="003441C0"/>
    <w:rsid w:val="003442F8"/>
    <w:rsid w:val="0034449C"/>
    <w:rsid w:val="0034485A"/>
    <w:rsid w:val="0035077C"/>
    <w:rsid w:val="00350A7E"/>
    <w:rsid w:val="00350E3E"/>
    <w:rsid w:val="0035207F"/>
    <w:rsid w:val="00352EE2"/>
    <w:rsid w:val="003534EF"/>
    <w:rsid w:val="00355C00"/>
    <w:rsid w:val="00355F2B"/>
    <w:rsid w:val="00356B4C"/>
    <w:rsid w:val="00356CB0"/>
    <w:rsid w:val="003573E2"/>
    <w:rsid w:val="00361FE9"/>
    <w:rsid w:val="00364D33"/>
    <w:rsid w:val="003658A2"/>
    <w:rsid w:val="00370C06"/>
    <w:rsid w:val="00370E14"/>
    <w:rsid w:val="003733EF"/>
    <w:rsid w:val="003736C7"/>
    <w:rsid w:val="00375EE3"/>
    <w:rsid w:val="00377091"/>
    <w:rsid w:val="00377341"/>
    <w:rsid w:val="00381526"/>
    <w:rsid w:val="00381740"/>
    <w:rsid w:val="0038205C"/>
    <w:rsid w:val="003830C2"/>
    <w:rsid w:val="003838B5"/>
    <w:rsid w:val="0038521F"/>
    <w:rsid w:val="003865F8"/>
    <w:rsid w:val="00386F5D"/>
    <w:rsid w:val="003878A3"/>
    <w:rsid w:val="00387BD4"/>
    <w:rsid w:val="00392A24"/>
    <w:rsid w:val="00393469"/>
    <w:rsid w:val="00394503"/>
    <w:rsid w:val="00395127"/>
    <w:rsid w:val="00396ECD"/>
    <w:rsid w:val="003A08E0"/>
    <w:rsid w:val="003A182D"/>
    <w:rsid w:val="003A271D"/>
    <w:rsid w:val="003A2B56"/>
    <w:rsid w:val="003A3737"/>
    <w:rsid w:val="003A7E48"/>
    <w:rsid w:val="003B0C23"/>
    <w:rsid w:val="003B107B"/>
    <w:rsid w:val="003B1490"/>
    <w:rsid w:val="003B3D06"/>
    <w:rsid w:val="003B43B4"/>
    <w:rsid w:val="003B4920"/>
    <w:rsid w:val="003B4D2B"/>
    <w:rsid w:val="003B4FF9"/>
    <w:rsid w:val="003B6632"/>
    <w:rsid w:val="003B69A6"/>
    <w:rsid w:val="003B7B62"/>
    <w:rsid w:val="003C07FC"/>
    <w:rsid w:val="003C1843"/>
    <w:rsid w:val="003C26B5"/>
    <w:rsid w:val="003C27A7"/>
    <w:rsid w:val="003C3870"/>
    <w:rsid w:val="003C4181"/>
    <w:rsid w:val="003C7274"/>
    <w:rsid w:val="003C750B"/>
    <w:rsid w:val="003C7EA2"/>
    <w:rsid w:val="003D2C32"/>
    <w:rsid w:val="003D4587"/>
    <w:rsid w:val="003D64D0"/>
    <w:rsid w:val="003D7466"/>
    <w:rsid w:val="003D760C"/>
    <w:rsid w:val="003E0264"/>
    <w:rsid w:val="003E22F9"/>
    <w:rsid w:val="003E27D0"/>
    <w:rsid w:val="003E3BA0"/>
    <w:rsid w:val="003E416F"/>
    <w:rsid w:val="003E4862"/>
    <w:rsid w:val="003E4B56"/>
    <w:rsid w:val="003E4F1D"/>
    <w:rsid w:val="003E5C26"/>
    <w:rsid w:val="003E7572"/>
    <w:rsid w:val="003E7EE4"/>
    <w:rsid w:val="003F10CB"/>
    <w:rsid w:val="003F2252"/>
    <w:rsid w:val="003F23CE"/>
    <w:rsid w:val="003F2971"/>
    <w:rsid w:val="003F3BA5"/>
    <w:rsid w:val="003F416C"/>
    <w:rsid w:val="003F7657"/>
    <w:rsid w:val="003F7BE2"/>
    <w:rsid w:val="00401E43"/>
    <w:rsid w:val="0040382F"/>
    <w:rsid w:val="00405B65"/>
    <w:rsid w:val="004061B8"/>
    <w:rsid w:val="00407B65"/>
    <w:rsid w:val="00410E8D"/>
    <w:rsid w:val="00412B3F"/>
    <w:rsid w:val="00414708"/>
    <w:rsid w:val="004147E6"/>
    <w:rsid w:val="00416057"/>
    <w:rsid w:val="00417EBE"/>
    <w:rsid w:val="004202FA"/>
    <w:rsid w:val="00421761"/>
    <w:rsid w:val="00422771"/>
    <w:rsid w:val="00422B85"/>
    <w:rsid w:val="004232E5"/>
    <w:rsid w:val="004233AA"/>
    <w:rsid w:val="0042384B"/>
    <w:rsid w:val="00430092"/>
    <w:rsid w:val="00430422"/>
    <w:rsid w:val="00430831"/>
    <w:rsid w:val="0043217F"/>
    <w:rsid w:val="00432480"/>
    <w:rsid w:val="00433B4F"/>
    <w:rsid w:val="00434341"/>
    <w:rsid w:val="004343E1"/>
    <w:rsid w:val="0043481B"/>
    <w:rsid w:val="0043511E"/>
    <w:rsid w:val="004363D3"/>
    <w:rsid w:val="00441921"/>
    <w:rsid w:val="00442A83"/>
    <w:rsid w:val="00444A6B"/>
    <w:rsid w:val="0044582E"/>
    <w:rsid w:val="0044717A"/>
    <w:rsid w:val="004476CF"/>
    <w:rsid w:val="004476F2"/>
    <w:rsid w:val="00450767"/>
    <w:rsid w:val="00452487"/>
    <w:rsid w:val="0045384C"/>
    <w:rsid w:val="00454373"/>
    <w:rsid w:val="00454E53"/>
    <w:rsid w:val="004560CC"/>
    <w:rsid w:val="004564CE"/>
    <w:rsid w:val="00456724"/>
    <w:rsid w:val="0045685D"/>
    <w:rsid w:val="00457024"/>
    <w:rsid w:val="0046098E"/>
    <w:rsid w:val="00461256"/>
    <w:rsid w:val="0046187A"/>
    <w:rsid w:val="00461BCC"/>
    <w:rsid w:val="00462168"/>
    <w:rsid w:val="0046248A"/>
    <w:rsid w:val="00462941"/>
    <w:rsid w:val="00463ADD"/>
    <w:rsid w:val="00463CB8"/>
    <w:rsid w:val="00464153"/>
    <w:rsid w:val="00465EB5"/>
    <w:rsid w:val="004669E2"/>
    <w:rsid w:val="00466E6A"/>
    <w:rsid w:val="0046703F"/>
    <w:rsid w:val="004670F6"/>
    <w:rsid w:val="00467281"/>
    <w:rsid w:val="0047126A"/>
    <w:rsid w:val="00472E54"/>
    <w:rsid w:val="004749BD"/>
    <w:rsid w:val="004776A6"/>
    <w:rsid w:val="0047770A"/>
    <w:rsid w:val="00477A8A"/>
    <w:rsid w:val="00477DD5"/>
    <w:rsid w:val="0048004A"/>
    <w:rsid w:val="00480138"/>
    <w:rsid w:val="00480C62"/>
    <w:rsid w:val="00480D36"/>
    <w:rsid w:val="0048205C"/>
    <w:rsid w:val="00483ED5"/>
    <w:rsid w:val="00484252"/>
    <w:rsid w:val="004846AB"/>
    <w:rsid w:val="00484805"/>
    <w:rsid w:val="004858F6"/>
    <w:rsid w:val="004859D2"/>
    <w:rsid w:val="00487377"/>
    <w:rsid w:val="00487757"/>
    <w:rsid w:val="0049131C"/>
    <w:rsid w:val="00492841"/>
    <w:rsid w:val="00492A86"/>
    <w:rsid w:val="00492E6C"/>
    <w:rsid w:val="00494FAA"/>
    <w:rsid w:val="00496C05"/>
    <w:rsid w:val="00496FAA"/>
    <w:rsid w:val="00497B37"/>
    <w:rsid w:val="004A106A"/>
    <w:rsid w:val="004A2467"/>
    <w:rsid w:val="004A2FB3"/>
    <w:rsid w:val="004A31F2"/>
    <w:rsid w:val="004A3D8F"/>
    <w:rsid w:val="004A7B25"/>
    <w:rsid w:val="004A7B28"/>
    <w:rsid w:val="004B20CD"/>
    <w:rsid w:val="004B2B0C"/>
    <w:rsid w:val="004B2BE6"/>
    <w:rsid w:val="004B3A41"/>
    <w:rsid w:val="004B3BB6"/>
    <w:rsid w:val="004B5452"/>
    <w:rsid w:val="004B6FF1"/>
    <w:rsid w:val="004B7626"/>
    <w:rsid w:val="004C00FE"/>
    <w:rsid w:val="004C171E"/>
    <w:rsid w:val="004C1DE7"/>
    <w:rsid w:val="004C3CEB"/>
    <w:rsid w:val="004C465A"/>
    <w:rsid w:val="004C4CD1"/>
    <w:rsid w:val="004C5CE1"/>
    <w:rsid w:val="004D05F9"/>
    <w:rsid w:val="004D070F"/>
    <w:rsid w:val="004D13CC"/>
    <w:rsid w:val="004D20E8"/>
    <w:rsid w:val="004D2AD1"/>
    <w:rsid w:val="004D2FC6"/>
    <w:rsid w:val="004D41BC"/>
    <w:rsid w:val="004D455F"/>
    <w:rsid w:val="004D5023"/>
    <w:rsid w:val="004D5BBF"/>
    <w:rsid w:val="004D5CC6"/>
    <w:rsid w:val="004D642C"/>
    <w:rsid w:val="004E0C62"/>
    <w:rsid w:val="004E1372"/>
    <w:rsid w:val="004E366B"/>
    <w:rsid w:val="004E4317"/>
    <w:rsid w:val="004E45DA"/>
    <w:rsid w:val="004E57E0"/>
    <w:rsid w:val="004F0D2D"/>
    <w:rsid w:val="004F121E"/>
    <w:rsid w:val="004F250B"/>
    <w:rsid w:val="004F2645"/>
    <w:rsid w:val="004F3FAA"/>
    <w:rsid w:val="004F4544"/>
    <w:rsid w:val="004F4AAC"/>
    <w:rsid w:val="004F4B3E"/>
    <w:rsid w:val="004F5223"/>
    <w:rsid w:val="004F6A49"/>
    <w:rsid w:val="004F744B"/>
    <w:rsid w:val="004F78EC"/>
    <w:rsid w:val="0050007C"/>
    <w:rsid w:val="00500E95"/>
    <w:rsid w:val="005017DF"/>
    <w:rsid w:val="00502F29"/>
    <w:rsid w:val="00503D21"/>
    <w:rsid w:val="0050549C"/>
    <w:rsid w:val="0050783A"/>
    <w:rsid w:val="00510E53"/>
    <w:rsid w:val="005111BF"/>
    <w:rsid w:val="0051121A"/>
    <w:rsid w:val="00514C42"/>
    <w:rsid w:val="005170D2"/>
    <w:rsid w:val="00520700"/>
    <w:rsid w:val="0052218E"/>
    <w:rsid w:val="00523C1B"/>
    <w:rsid w:val="005249DF"/>
    <w:rsid w:val="00524A46"/>
    <w:rsid w:val="00524E5E"/>
    <w:rsid w:val="00530820"/>
    <w:rsid w:val="00531606"/>
    <w:rsid w:val="00533C48"/>
    <w:rsid w:val="00536D80"/>
    <w:rsid w:val="00537AB3"/>
    <w:rsid w:val="00540DE5"/>
    <w:rsid w:val="00542B03"/>
    <w:rsid w:val="00543000"/>
    <w:rsid w:val="00543B06"/>
    <w:rsid w:val="005443A8"/>
    <w:rsid w:val="00544866"/>
    <w:rsid w:val="00545345"/>
    <w:rsid w:val="00545B62"/>
    <w:rsid w:val="005505BF"/>
    <w:rsid w:val="00550627"/>
    <w:rsid w:val="005527B0"/>
    <w:rsid w:val="00552A9F"/>
    <w:rsid w:val="00552BA0"/>
    <w:rsid w:val="00555B32"/>
    <w:rsid w:val="00556664"/>
    <w:rsid w:val="0055694C"/>
    <w:rsid w:val="0056072E"/>
    <w:rsid w:val="00561714"/>
    <w:rsid w:val="0056176B"/>
    <w:rsid w:val="00562B1A"/>
    <w:rsid w:val="005642DB"/>
    <w:rsid w:val="005647EC"/>
    <w:rsid w:val="00564854"/>
    <w:rsid w:val="0056678C"/>
    <w:rsid w:val="00567254"/>
    <w:rsid w:val="00567865"/>
    <w:rsid w:val="005703CC"/>
    <w:rsid w:val="005712F3"/>
    <w:rsid w:val="005718DF"/>
    <w:rsid w:val="0057236A"/>
    <w:rsid w:val="00573FCB"/>
    <w:rsid w:val="00577009"/>
    <w:rsid w:val="00583696"/>
    <w:rsid w:val="005840CD"/>
    <w:rsid w:val="00584B52"/>
    <w:rsid w:val="005851C4"/>
    <w:rsid w:val="00585B27"/>
    <w:rsid w:val="00586092"/>
    <w:rsid w:val="005868E3"/>
    <w:rsid w:val="00586D7C"/>
    <w:rsid w:val="00587311"/>
    <w:rsid w:val="0059029C"/>
    <w:rsid w:val="00591735"/>
    <w:rsid w:val="00594C82"/>
    <w:rsid w:val="005952E9"/>
    <w:rsid w:val="005953B4"/>
    <w:rsid w:val="00595C60"/>
    <w:rsid w:val="00595F31"/>
    <w:rsid w:val="005975AE"/>
    <w:rsid w:val="005A1576"/>
    <w:rsid w:val="005A1E43"/>
    <w:rsid w:val="005A2C41"/>
    <w:rsid w:val="005A3DA2"/>
    <w:rsid w:val="005A619D"/>
    <w:rsid w:val="005B038C"/>
    <w:rsid w:val="005B0914"/>
    <w:rsid w:val="005B2AA6"/>
    <w:rsid w:val="005B4212"/>
    <w:rsid w:val="005B4937"/>
    <w:rsid w:val="005B4D18"/>
    <w:rsid w:val="005B53AF"/>
    <w:rsid w:val="005B5466"/>
    <w:rsid w:val="005B6602"/>
    <w:rsid w:val="005B7C25"/>
    <w:rsid w:val="005C0608"/>
    <w:rsid w:val="005C121D"/>
    <w:rsid w:val="005C4779"/>
    <w:rsid w:val="005C5A19"/>
    <w:rsid w:val="005C5E8F"/>
    <w:rsid w:val="005C5F1B"/>
    <w:rsid w:val="005C6305"/>
    <w:rsid w:val="005C646D"/>
    <w:rsid w:val="005C70D3"/>
    <w:rsid w:val="005C74F2"/>
    <w:rsid w:val="005D0355"/>
    <w:rsid w:val="005D11C0"/>
    <w:rsid w:val="005D1735"/>
    <w:rsid w:val="005D28F8"/>
    <w:rsid w:val="005D2F81"/>
    <w:rsid w:val="005D32A0"/>
    <w:rsid w:val="005D352F"/>
    <w:rsid w:val="005D429E"/>
    <w:rsid w:val="005D44EB"/>
    <w:rsid w:val="005D5D7B"/>
    <w:rsid w:val="005D658F"/>
    <w:rsid w:val="005E2696"/>
    <w:rsid w:val="005E282F"/>
    <w:rsid w:val="005E2EC6"/>
    <w:rsid w:val="005E32F6"/>
    <w:rsid w:val="005E5CA6"/>
    <w:rsid w:val="005F0B97"/>
    <w:rsid w:val="005F52EA"/>
    <w:rsid w:val="005F5857"/>
    <w:rsid w:val="005F5F08"/>
    <w:rsid w:val="00601500"/>
    <w:rsid w:val="00601EB3"/>
    <w:rsid w:val="00602F0E"/>
    <w:rsid w:val="006053E8"/>
    <w:rsid w:val="006062EA"/>
    <w:rsid w:val="006111D8"/>
    <w:rsid w:val="0061141E"/>
    <w:rsid w:val="00611FE5"/>
    <w:rsid w:val="00615958"/>
    <w:rsid w:val="00622315"/>
    <w:rsid w:val="006225C0"/>
    <w:rsid w:val="00623C74"/>
    <w:rsid w:val="00623D53"/>
    <w:rsid w:val="00624396"/>
    <w:rsid w:val="006247A2"/>
    <w:rsid w:val="0062559F"/>
    <w:rsid w:val="00626C9B"/>
    <w:rsid w:val="006304C5"/>
    <w:rsid w:val="00631454"/>
    <w:rsid w:val="006340FF"/>
    <w:rsid w:val="006345A6"/>
    <w:rsid w:val="00634A02"/>
    <w:rsid w:val="00635CA4"/>
    <w:rsid w:val="00641A74"/>
    <w:rsid w:val="006446AA"/>
    <w:rsid w:val="00644D7A"/>
    <w:rsid w:val="00645CF4"/>
    <w:rsid w:val="006461DB"/>
    <w:rsid w:val="00651879"/>
    <w:rsid w:val="00651CC5"/>
    <w:rsid w:val="00651D01"/>
    <w:rsid w:val="0065209A"/>
    <w:rsid w:val="0065266E"/>
    <w:rsid w:val="00652B93"/>
    <w:rsid w:val="00652F93"/>
    <w:rsid w:val="00653168"/>
    <w:rsid w:val="00654703"/>
    <w:rsid w:val="00655E58"/>
    <w:rsid w:val="00655F05"/>
    <w:rsid w:val="00656291"/>
    <w:rsid w:val="0065758B"/>
    <w:rsid w:val="0066121E"/>
    <w:rsid w:val="006616BD"/>
    <w:rsid w:val="006636A8"/>
    <w:rsid w:val="006650D8"/>
    <w:rsid w:val="006662C3"/>
    <w:rsid w:val="006662DF"/>
    <w:rsid w:val="00666AE3"/>
    <w:rsid w:val="00667C72"/>
    <w:rsid w:val="006707D1"/>
    <w:rsid w:val="0067476E"/>
    <w:rsid w:val="0067501B"/>
    <w:rsid w:val="00675616"/>
    <w:rsid w:val="00680484"/>
    <w:rsid w:val="00681972"/>
    <w:rsid w:val="00683319"/>
    <w:rsid w:val="00684F9B"/>
    <w:rsid w:val="006851D7"/>
    <w:rsid w:val="0068551E"/>
    <w:rsid w:val="00686368"/>
    <w:rsid w:val="00690529"/>
    <w:rsid w:val="00690A6D"/>
    <w:rsid w:val="00694341"/>
    <w:rsid w:val="00697D91"/>
    <w:rsid w:val="006A0265"/>
    <w:rsid w:val="006A148B"/>
    <w:rsid w:val="006A2DDB"/>
    <w:rsid w:val="006A4D04"/>
    <w:rsid w:val="006A51B3"/>
    <w:rsid w:val="006A5DD4"/>
    <w:rsid w:val="006A5DE3"/>
    <w:rsid w:val="006B15AD"/>
    <w:rsid w:val="006B16A2"/>
    <w:rsid w:val="006B16CE"/>
    <w:rsid w:val="006B16D6"/>
    <w:rsid w:val="006B1AA7"/>
    <w:rsid w:val="006B20B4"/>
    <w:rsid w:val="006B2AF5"/>
    <w:rsid w:val="006B33A0"/>
    <w:rsid w:val="006B3B8D"/>
    <w:rsid w:val="006B5CD5"/>
    <w:rsid w:val="006B6657"/>
    <w:rsid w:val="006B70A5"/>
    <w:rsid w:val="006B719B"/>
    <w:rsid w:val="006C028E"/>
    <w:rsid w:val="006C16DB"/>
    <w:rsid w:val="006C4801"/>
    <w:rsid w:val="006C5A08"/>
    <w:rsid w:val="006D0BFF"/>
    <w:rsid w:val="006D0F51"/>
    <w:rsid w:val="006D1ADA"/>
    <w:rsid w:val="006D2A20"/>
    <w:rsid w:val="006D364C"/>
    <w:rsid w:val="006D3CB4"/>
    <w:rsid w:val="006D3F46"/>
    <w:rsid w:val="006D42F3"/>
    <w:rsid w:val="006D60E8"/>
    <w:rsid w:val="006D628F"/>
    <w:rsid w:val="006D6C1F"/>
    <w:rsid w:val="006D6E62"/>
    <w:rsid w:val="006D7489"/>
    <w:rsid w:val="006D7890"/>
    <w:rsid w:val="006E014C"/>
    <w:rsid w:val="006E0BDB"/>
    <w:rsid w:val="006E2A90"/>
    <w:rsid w:val="006E3C86"/>
    <w:rsid w:val="006E3FDF"/>
    <w:rsid w:val="006E5F9F"/>
    <w:rsid w:val="006E6213"/>
    <w:rsid w:val="006E7D09"/>
    <w:rsid w:val="006E7F0B"/>
    <w:rsid w:val="006F12EB"/>
    <w:rsid w:val="006F224D"/>
    <w:rsid w:val="006F27EF"/>
    <w:rsid w:val="006F294A"/>
    <w:rsid w:val="006F3A80"/>
    <w:rsid w:val="006F4222"/>
    <w:rsid w:val="006F543D"/>
    <w:rsid w:val="006F7E45"/>
    <w:rsid w:val="007003BE"/>
    <w:rsid w:val="00700446"/>
    <w:rsid w:val="00700563"/>
    <w:rsid w:val="007006F1"/>
    <w:rsid w:val="007010DD"/>
    <w:rsid w:val="00701CC9"/>
    <w:rsid w:val="00703114"/>
    <w:rsid w:val="00703EC7"/>
    <w:rsid w:val="00704313"/>
    <w:rsid w:val="00705521"/>
    <w:rsid w:val="00705A1B"/>
    <w:rsid w:val="00706301"/>
    <w:rsid w:val="0071179D"/>
    <w:rsid w:val="007118B6"/>
    <w:rsid w:val="00712018"/>
    <w:rsid w:val="00712CA1"/>
    <w:rsid w:val="007142B8"/>
    <w:rsid w:val="007146DF"/>
    <w:rsid w:val="0071522A"/>
    <w:rsid w:val="007158CC"/>
    <w:rsid w:val="007168BF"/>
    <w:rsid w:val="00717927"/>
    <w:rsid w:val="00720462"/>
    <w:rsid w:val="007214C0"/>
    <w:rsid w:val="0072212C"/>
    <w:rsid w:val="007222BA"/>
    <w:rsid w:val="00722933"/>
    <w:rsid w:val="00722B84"/>
    <w:rsid w:val="00723A5B"/>
    <w:rsid w:val="007251C4"/>
    <w:rsid w:val="007270CD"/>
    <w:rsid w:val="00730C4A"/>
    <w:rsid w:val="007310D3"/>
    <w:rsid w:val="00734BD9"/>
    <w:rsid w:val="00735564"/>
    <w:rsid w:val="00735698"/>
    <w:rsid w:val="00735E51"/>
    <w:rsid w:val="007368A8"/>
    <w:rsid w:val="00737306"/>
    <w:rsid w:val="00737460"/>
    <w:rsid w:val="00740FF5"/>
    <w:rsid w:val="007423FF"/>
    <w:rsid w:val="00745979"/>
    <w:rsid w:val="00746C1C"/>
    <w:rsid w:val="00747225"/>
    <w:rsid w:val="00747B93"/>
    <w:rsid w:val="007512D6"/>
    <w:rsid w:val="00756550"/>
    <w:rsid w:val="00760EAA"/>
    <w:rsid w:val="00761BA9"/>
    <w:rsid w:val="00762343"/>
    <w:rsid w:val="00762976"/>
    <w:rsid w:val="00763B25"/>
    <w:rsid w:val="00763E4B"/>
    <w:rsid w:val="007640DA"/>
    <w:rsid w:val="007649DC"/>
    <w:rsid w:val="00764E9F"/>
    <w:rsid w:val="00765271"/>
    <w:rsid w:val="00765791"/>
    <w:rsid w:val="0076697E"/>
    <w:rsid w:val="007707F2"/>
    <w:rsid w:val="0077431D"/>
    <w:rsid w:val="007743FE"/>
    <w:rsid w:val="00774ABE"/>
    <w:rsid w:val="0077567D"/>
    <w:rsid w:val="00780417"/>
    <w:rsid w:val="007806CC"/>
    <w:rsid w:val="0078078D"/>
    <w:rsid w:val="00781997"/>
    <w:rsid w:val="00784554"/>
    <w:rsid w:val="007866CD"/>
    <w:rsid w:val="007866FD"/>
    <w:rsid w:val="00787A7A"/>
    <w:rsid w:val="00787CB3"/>
    <w:rsid w:val="007910C0"/>
    <w:rsid w:val="00792324"/>
    <w:rsid w:val="007928F4"/>
    <w:rsid w:val="00793391"/>
    <w:rsid w:val="00797B82"/>
    <w:rsid w:val="007A0089"/>
    <w:rsid w:val="007A08F0"/>
    <w:rsid w:val="007A1429"/>
    <w:rsid w:val="007A374C"/>
    <w:rsid w:val="007A3BE5"/>
    <w:rsid w:val="007A44E7"/>
    <w:rsid w:val="007A69A7"/>
    <w:rsid w:val="007A6A73"/>
    <w:rsid w:val="007A7335"/>
    <w:rsid w:val="007B07EA"/>
    <w:rsid w:val="007B413D"/>
    <w:rsid w:val="007B4A99"/>
    <w:rsid w:val="007B59FC"/>
    <w:rsid w:val="007B7E2A"/>
    <w:rsid w:val="007C2413"/>
    <w:rsid w:val="007C2D85"/>
    <w:rsid w:val="007C3536"/>
    <w:rsid w:val="007C52C6"/>
    <w:rsid w:val="007C55AF"/>
    <w:rsid w:val="007C6B0F"/>
    <w:rsid w:val="007D0E7B"/>
    <w:rsid w:val="007D305D"/>
    <w:rsid w:val="007D3430"/>
    <w:rsid w:val="007D383F"/>
    <w:rsid w:val="007D6F5D"/>
    <w:rsid w:val="007E04FD"/>
    <w:rsid w:val="007E202C"/>
    <w:rsid w:val="007E3575"/>
    <w:rsid w:val="007E3838"/>
    <w:rsid w:val="007E3973"/>
    <w:rsid w:val="007E5FE7"/>
    <w:rsid w:val="007E63D3"/>
    <w:rsid w:val="007E6403"/>
    <w:rsid w:val="007F1D3D"/>
    <w:rsid w:val="007F461F"/>
    <w:rsid w:val="007F4624"/>
    <w:rsid w:val="007F4B89"/>
    <w:rsid w:val="007F6CA0"/>
    <w:rsid w:val="007F7B59"/>
    <w:rsid w:val="007F7DA5"/>
    <w:rsid w:val="007F7F0C"/>
    <w:rsid w:val="008004A4"/>
    <w:rsid w:val="0080089B"/>
    <w:rsid w:val="00800B74"/>
    <w:rsid w:val="00802531"/>
    <w:rsid w:val="008032CF"/>
    <w:rsid w:val="00803A99"/>
    <w:rsid w:val="00804E09"/>
    <w:rsid w:val="0080506E"/>
    <w:rsid w:val="00805C82"/>
    <w:rsid w:val="0080678E"/>
    <w:rsid w:val="00810134"/>
    <w:rsid w:val="008117EC"/>
    <w:rsid w:val="008123DE"/>
    <w:rsid w:val="00812E41"/>
    <w:rsid w:val="00814570"/>
    <w:rsid w:val="00815DFE"/>
    <w:rsid w:val="0081604D"/>
    <w:rsid w:val="008167F5"/>
    <w:rsid w:val="00817F10"/>
    <w:rsid w:val="00820E6D"/>
    <w:rsid w:val="008219EF"/>
    <w:rsid w:val="008226AA"/>
    <w:rsid w:val="00822CE5"/>
    <w:rsid w:val="00822E10"/>
    <w:rsid w:val="008233E5"/>
    <w:rsid w:val="00824114"/>
    <w:rsid w:val="0082646B"/>
    <w:rsid w:val="00827F6F"/>
    <w:rsid w:val="008304B7"/>
    <w:rsid w:val="00832695"/>
    <w:rsid w:val="00832DF8"/>
    <w:rsid w:val="0083320F"/>
    <w:rsid w:val="00833422"/>
    <w:rsid w:val="008338DD"/>
    <w:rsid w:val="008340D3"/>
    <w:rsid w:val="00834811"/>
    <w:rsid w:val="00834910"/>
    <w:rsid w:val="0083493F"/>
    <w:rsid w:val="00835373"/>
    <w:rsid w:val="00835A40"/>
    <w:rsid w:val="008363A6"/>
    <w:rsid w:val="008367CE"/>
    <w:rsid w:val="00837E5E"/>
    <w:rsid w:val="00841023"/>
    <w:rsid w:val="00841CDA"/>
    <w:rsid w:val="00842003"/>
    <w:rsid w:val="00842F8D"/>
    <w:rsid w:val="00843077"/>
    <w:rsid w:val="00844817"/>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FDD"/>
    <w:rsid w:val="00854963"/>
    <w:rsid w:val="0085535F"/>
    <w:rsid w:val="00856319"/>
    <w:rsid w:val="00856E48"/>
    <w:rsid w:val="0085739A"/>
    <w:rsid w:val="0085742B"/>
    <w:rsid w:val="008579A5"/>
    <w:rsid w:val="00862CA0"/>
    <w:rsid w:val="00864144"/>
    <w:rsid w:val="00864E3A"/>
    <w:rsid w:val="00865C9A"/>
    <w:rsid w:val="008665E0"/>
    <w:rsid w:val="00866F2A"/>
    <w:rsid w:val="00867368"/>
    <w:rsid w:val="008674A9"/>
    <w:rsid w:val="008717BD"/>
    <w:rsid w:val="00871920"/>
    <w:rsid w:val="00871B31"/>
    <w:rsid w:val="00872A32"/>
    <w:rsid w:val="008807FF"/>
    <w:rsid w:val="0088081F"/>
    <w:rsid w:val="00880D45"/>
    <w:rsid w:val="00882F28"/>
    <w:rsid w:val="00882FBC"/>
    <w:rsid w:val="00884529"/>
    <w:rsid w:val="00885A2C"/>
    <w:rsid w:val="00885BB7"/>
    <w:rsid w:val="00885D51"/>
    <w:rsid w:val="00890A29"/>
    <w:rsid w:val="008913C6"/>
    <w:rsid w:val="00892E52"/>
    <w:rsid w:val="00895982"/>
    <w:rsid w:val="008964AF"/>
    <w:rsid w:val="008A15E3"/>
    <w:rsid w:val="008A1BC3"/>
    <w:rsid w:val="008A62B9"/>
    <w:rsid w:val="008B0731"/>
    <w:rsid w:val="008B0D03"/>
    <w:rsid w:val="008B1087"/>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3341"/>
    <w:rsid w:val="008C350C"/>
    <w:rsid w:val="008C54FB"/>
    <w:rsid w:val="008C62B4"/>
    <w:rsid w:val="008C66F0"/>
    <w:rsid w:val="008C6F17"/>
    <w:rsid w:val="008C7C01"/>
    <w:rsid w:val="008D04C0"/>
    <w:rsid w:val="008D05E7"/>
    <w:rsid w:val="008D0B7F"/>
    <w:rsid w:val="008D184D"/>
    <w:rsid w:val="008D2201"/>
    <w:rsid w:val="008D2DFE"/>
    <w:rsid w:val="008D427C"/>
    <w:rsid w:val="008D476A"/>
    <w:rsid w:val="008D713B"/>
    <w:rsid w:val="008D72E7"/>
    <w:rsid w:val="008E370C"/>
    <w:rsid w:val="008E5753"/>
    <w:rsid w:val="008E6C22"/>
    <w:rsid w:val="008E6D57"/>
    <w:rsid w:val="008F09D5"/>
    <w:rsid w:val="008F0FCD"/>
    <w:rsid w:val="008F2024"/>
    <w:rsid w:val="008F2FF9"/>
    <w:rsid w:val="008F3A80"/>
    <w:rsid w:val="008F4B07"/>
    <w:rsid w:val="008F50AA"/>
    <w:rsid w:val="008F5AE0"/>
    <w:rsid w:val="008F7EF2"/>
    <w:rsid w:val="00900208"/>
    <w:rsid w:val="009005C4"/>
    <w:rsid w:val="00901A51"/>
    <w:rsid w:val="00901CC7"/>
    <w:rsid w:val="00901CED"/>
    <w:rsid w:val="00902EA9"/>
    <w:rsid w:val="00902EC9"/>
    <w:rsid w:val="009037C3"/>
    <w:rsid w:val="00905276"/>
    <w:rsid w:val="009056A9"/>
    <w:rsid w:val="00906433"/>
    <w:rsid w:val="0091100B"/>
    <w:rsid w:val="0091171C"/>
    <w:rsid w:val="009118A0"/>
    <w:rsid w:val="00912690"/>
    <w:rsid w:val="00912DEE"/>
    <w:rsid w:val="00913CB9"/>
    <w:rsid w:val="00914854"/>
    <w:rsid w:val="00914D3A"/>
    <w:rsid w:val="00915634"/>
    <w:rsid w:val="00916988"/>
    <w:rsid w:val="00917201"/>
    <w:rsid w:val="00917AF0"/>
    <w:rsid w:val="0092063C"/>
    <w:rsid w:val="0092134C"/>
    <w:rsid w:val="00921E29"/>
    <w:rsid w:val="009249A0"/>
    <w:rsid w:val="00924EEC"/>
    <w:rsid w:val="00925220"/>
    <w:rsid w:val="0092709B"/>
    <w:rsid w:val="00930A83"/>
    <w:rsid w:val="00933005"/>
    <w:rsid w:val="0093403A"/>
    <w:rsid w:val="00934626"/>
    <w:rsid w:val="00935F86"/>
    <w:rsid w:val="009365B4"/>
    <w:rsid w:val="009379C1"/>
    <w:rsid w:val="00937EE6"/>
    <w:rsid w:val="009420ED"/>
    <w:rsid w:val="009421A8"/>
    <w:rsid w:val="00943DAB"/>
    <w:rsid w:val="00944EAB"/>
    <w:rsid w:val="00945B15"/>
    <w:rsid w:val="0095048A"/>
    <w:rsid w:val="00952504"/>
    <w:rsid w:val="0095382A"/>
    <w:rsid w:val="009539DF"/>
    <w:rsid w:val="009544B2"/>
    <w:rsid w:val="00956C7D"/>
    <w:rsid w:val="00960954"/>
    <w:rsid w:val="00963687"/>
    <w:rsid w:val="00963D29"/>
    <w:rsid w:val="00964066"/>
    <w:rsid w:val="00964CAA"/>
    <w:rsid w:val="00964D56"/>
    <w:rsid w:val="00964DEC"/>
    <w:rsid w:val="009650E2"/>
    <w:rsid w:val="00965D14"/>
    <w:rsid w:val="00966FB8"/>
    <w:rsid w:val="0096742C"/>
    <w:rsid w:val="0097071A"/>
    <w:rsid w:val="0097096F"/>
    <w:rsid w:val="009736D2"/>
    <w:rsid w:val="00975CD2"/>
    <w:rsid w:val="009762A9"/>
    <w:rsid w:val="00980661"/>
    <w:rsid w:val="00980F2B"/>
    <w:rsid w:val="00985CB3"/>
    <w:rsid w:val="00986CD4"/>
    <w:rsid w:val="0098766A"/>
    <w:rsid w:val="00987E6F"/>
    <w:rsid w:val="00991F06"/>
    <w:rsid w:val="009921F8"/>
    <w:rsid w:val="00993CBA"/>
    <w:rsid w:val="00995262"/>
    <w:rsid w:val="00996203"/>
    <w:rsid w:val="009967F9"/>
    <w:rsid w:val="009A0439"/>
    <w:rsid w:val="009A0F66"/>
    <w:rsid w:val="009A5F88"/>
    <w:rsid w:val="009A6582"/>
    <w:rsid w:val="009B1769"/>
    <w:rsid w:val="009B2001"/>
    <w:rsid w:val="009B5761"/>
    <w:rsid w:val="009B6237"/>
    <w:rsid w:val="009B6438"/>
    <w:rsid w:val="009B6BED"/>
    <w:rsid w:val="009B736A"/>
    <w:rsid w:val="009B7551"/>
    <w:rsid w:val="009C1BDB"/>
    <w:rsid w:val="009C228B"/>
    <w:rsid w:val="009C2FC1"/>
    <w:rsid w:val="009C3115"/>
    <w:rsid w:val="009C341A"/>
    <w:rsid w:val="009C3A97"/>
    <w:rsid w:val="009C407B"/>
    <w:rsid w:val="009C4F07"/>
    <w:rsid w:val="009C5169"/>
    <w:rsid w:val="009C580E"/>
    <w:rsid w:val="009C74AA"/>
    <w:rsid w:val="009C7E40"/>
    <w:rsid w:val="009D0199"/>
    <w:rsid w:val="009D09AA"/>
    <w:rsid w:val="009D1B1B"/>
    <w:rsid w:val="009D32F9"/>
    <w:rsid w:val="009D35E2"/>
    <w:rsid w:val="009D399F"/>
    <w:rsid w:val="009D3B2D"/>
    <w:rsid w:val="009D54FB"/>
    <w:rsid w:val="009D60A9"/>
    <w:rsid w:val="009E192C"/>
    <w:rsid w:val="009E3EA9"/>
    <w:rsid w:val="009E50BC"/>
    <w:rsid w:val="009E5BF1"/>
    <w:rsid w:val="009E6E0C"/>
    <w:rsid w:val="009E7B41"/>
    <w:rsid w:val="009F153A"/>
    <w:rsid w:val="009F43FC"/>
    <w:rsid w:val="009F449E"/>
    <w:rsid w:val="009F4EDA"/>
    <w:rsid w:val="009F51C3"/>
    <w:rsid w:val="00A00387"/>
    <w:rsid w:val="00A02B0C"/>
    <w:rsid w:val="00A0352D"/>
    <w:rsid w:val="00A046C8"/>
    <w:rsid w:val="00A04949"/>
    <w:rsid w:val="00A061DD"/>
    <w:rsid w:val="00A0715A"/>
    <w:rsid w:val="00A07E94"/>
    <w:rsid w:val="00A11DA7"/>
    <w:rsid w:val="00A12DC4"/>
    <w:rsid w:val="00A162FE"/>
    <w:rsid w:val="00A1630C"/>
    <w:rsid w:val="00A16DB6"/>
    <w:rsid w:val="00A204C2"/>
    <w:rsid w:val="00A21477"/>
    <w:rsid w:val="00A21AE1"/>
    <w:rsid w:val="00A22969"/>
    <w:rsid w:val="00A25BC4"/>
    <w:rsid w:val="00A26291"/>
    <w:rsid w:val="00A26589"/>
    <w:rsid w:val="00A27281"/>
    <w:rsid w:val="00A30EAC"/>
    <w:rsid w:val="00A3268A"/>
    <w:rsid w:val="00A33637"/>
    <w:rsid w:val="00A34638"/>
    <w:rsid w:val="00A34B46"/>
    <w:rsid w:val="00A35180"/>
    <w:rsid w:val="00A35534"/>
    <w:rsid w:val="00A35B7C"/>
    <w:rsid w:val="00A36AF7"/>
    <w:rsid w:val="00A4080E"/>
    <w:rsid w:val="00A41A66"/>
    <w:rsid w:val="00A41D04"/>
    <w:rsid w:val="00A424BC"/>
    <w:rsid w:val="00A42793"/>
    <w:rsid w:val="00A42CC6"/>
    <w:rsid w:val="00A43A85"/>
    <w:rsid w:val="00A4427C"/>
    <w:rsid w:val="00A45FE2"/>
    <w:rsid w:val="00A465BE"/>
    <w:rsid w:val="00A46D98"/>
    <w:rsid w:val="00A46DBE"/>
    <w:rsid w:val="00A46E26"/>
    <w:rsid w:val="00A5041F"/>
    <w:rsid w:val="00A54369"/>
    <w:rsid w:val="00A55E36"/>
    <w:rsid w:val="00A568BB"/>
    <w:rsid w:val="00A56A78"/>
    <w:rsid w:val="00A60681"/>
    <w:rsid w:val="00A608A8"/>
    <w:rsid w:val="00A60F82"/>
    <w:rsid w:val="00A61455"/>
    <w:rsid w:val="00A61E1C"/>
    <w:rsid w:val="00A62689"/>
    <w:rsid w:val="00A62EC5"/>
    <w:rsid w:val="00A63069"/>
    <w:rsid w:val="00A63FA6"/>
    <w:rsid w:val="00A67BE1"/>
    <w:rsid w:val="00A701F5"/>
    <w:rsid w:val="00A72C35"/>
    <w:rsid w:val="00A72C5A"/>
    <w:rsid w:val="00A75306"/>
    <w:rsid w:val="00A75494"/>
    <w:rsid w:val="00A76424"/>
    <w:rsid w:val="00A77AF9"/>
    <w:rsid w:val="00A804A9"/>
    <w:rsid w:val="00A81086"/>
    <w:rsid w:val="00A83566"/>
    <w:rsid w:val="00A866F9"/>
    <w:rsid w:val="00A9133C"/>
    <w:rsid w:val="00A91DA7"/>
    <w:rsid w:val="00A92454"/>
    <w:rsid w:val="00A927D9"/>
    <w:rsid w:val="00A93E2C"/>
    <w:rsid w:val="00A955BA"/>
    <w:rsid w:val="00A965F0"/>
    <w:rsid w:val="00AA04D5"/>
    <w:rsid w:val="00AA149B"/>
    <w:rsid w:val="00AA2CEB"/>
    <w:rsid w:val="00AA3605"/>
    <w:rsid w:val="00AA45DB"/>
    <w:rsid w:val="00AA51DE"/>
    <w:rsid w:val="00AA5CEA"/>
    <w:rsid w:val="00AA66DD"/>
    <w:rsid w:val="00AA790C"/>
    <w:rsid w:val="00AB0809"/>
    <w:rsid w:val="00AB12B5"/>
    <w:rsid w:val="00AB17FE"/>
    <w:rsid w:val="00AB180C"/>
    <w:rsid w:val="00AB2106"/>
    <w:rsid w:val="00AB22FC"/>
    <w:rsid w:val="00AB5147"/>
    <w:rsid w:val="00AB61FF"/>
    <w:rsid w:val="00AB7D63"/>
    <w:rsid w:val="00AC08FB"/>
    <w:rsid w:val="00AC171B"/>
    <w:rsid w:val="00AC219A"/>
    <w:rsid w:val="00AC24E4"/>
    <w:rsid w:val="00AC4C30"/>
    <w:rsid w:val="00AC4D66"/>
    <w:rsid w:val="00AC5128"/>
    <w:rsid w:val="00AC79F7"/>
    <w:rsid w:val="00AC7B15"/>
    <w:rsid w:val="00AD0790"/>
    <w:rsid w:val="00AD08A1"/>
    <w:rsid w:val="00AD16F6"/>
    <w:rsid w:val="00AD4483"/>
    <w:rsid w:val="00AD6C1A"/>
    <w:rsid w:val="00AD6EF9"/>
    <w:rsid w:val="00AD6F49"/>
    <w:rsid w:val="00AD728E"/>
    <w:rsid w:val="00AE0840"/>
    <w:rsid w:val="00AE2FAF"/>
    <w:rsid w:val="00AE3A23"/>
    <w:rsid w:val="00AE3C4D"/>
    <w:rsid w:val="00AE5813"/>
    <w:rsid w:val="00AE5BCA"/>
    <w:rsid w:val="00AE5F4B"/>
    <w:rsid w:val="00AE6CAB"/>
    <w:rsid w:val="00AE746A"/>
    <w:rsid w:val="00AF08A0"/>
    <w:rsid w:val="00AF2332"/>
    <w:rsid w:val="00AF269A"/>
    <w:rsid w:val="00AF48E9"/>
    <w:rsid w:val="00AF616F"/>
    <w:rsid w:val="00AF6C0C"/>
    <w:rsid w:val="00AF6DE1"/>
    <w:rsid w:val="00B00C03"/>
    <w:rsid w:val="00B00E55"/>
    <w:rsid w:val="00B025A5"/>
    <w:rsid w:val="00B02D75"/>
    <w:rsid w:val="00B039B8"/>
    <w:rsid w:val="00B0426D"/>
    <w:rsid w:val="00B05197"/>
    <w:rsid w:val="00B05F53"/>
    <w:rsid w:val="00B05FD5"/>
    <w:rsid w:val="00B061C8"/>
    <w:rsid w:val="00B06549"/>
    <w:rsid w:val="00B069B4"/>
    <w:rsid w:val="00B0794C"/>
    <w:rsid w:val="00B10823"/>
    <w:rsid w:val="00B12265"/>
    <w:rsid w:val="00B13EEF"/>
    <w:rsid w:val="00B15046"/>
    <w:rsid w:val="00B15B99"/>
    <w:rsid w:val="00B15D48"/>
    <w:rsid w:val="00B17954"/>
    <w:rsid w:val="00B17EAC"/>
    <w:rsid w:val="00B2002E"/>
    <w:rsid w:val="00B2152A"/>
    <w:rsid w:val="00B21A63"/>
    <w:rsid w:val="00B2242A"/>
    <w:rsid w:val="00B22874"/>
    <w:rsid w:val="00B31116"/>
    <w:rsid w:val="00B31333"/>
    <w:rsid w:val="00B335DE"/>
    <w:rsid w:val="00B33AC5"/>
    <w:rsid w:val="00B34627"/>
    <w:rsid w:val="00B347D5"/>
    <w:rsid w:val="00B3598A"/>
    <w:rsid w:val="00B36115"/>
    <w:rsid w:val="00B3631E"/>
    <w:rsid w:val="00B3639B"/>
    <w:rsid w:val="00B369A8"/>
    <w:rsid w:val="00B36C75"/>
    <w:rsid w:val="00B36DA5"/>
    <w:rsid w:val="00B37735"/>
    <w:rsid w:val="00B37D21"/>
    <w:rsid w:val="00B41A63"/>
    <w:rsid w:val="00B426BF"/>
    <w:rsid w:val="00B44B4C"/>
    <w:rsid w:val="00B452C4"/>
    <w:rsid w:val="00B45F9F"/>
    <w:rsid w:val="00B5001C"/>
    <w:rsid w:val="00B507C5"/>
    <w:rsid w:val="00B52C26"/>
    <w:rsid w:val="00B52EB0"/>
    <w:rsid w:val="00B555E6"/>
    <w:rsid w:val="00B55B5E"/>
    <w:rsid w:val="00B57768"/>
    <w:rsid w:val="00B609EC"/>
    <w:rsid w:val="00B611E9"/>
    <w:rsid w:val="00B61392"/>
    <w:rsid w:val="00B62534"/>
    <w:rsid w:val="00B62E87"/>
    <w:rsid w:val="00B62EF8"/>
    <w:rsid w:val="00B632D6"/>
    <w:rsid w:val="00B638BF"/>
    <w:rsid w:val="00B63FFA"/>
    <w:rsid w:val="00B6417E"/>
    <w:rsid w:val="00B64B04"/>
    <w:rsid w:val="00B64BC3"/>
    <w:rsid w:val="00B64E52"/>
    <w:rsid w:val="00B665C6"/>
    <w:rsid w:val="00B667A0"/>
    <w:rsid w:val="00B70DBF"/>
    <w:rsid w:val="00B73B38"/>
    <w:rsid w:val="00B73B74"/>
    <w:rsid w:val="00B7406F"/>
    <w:rsid w:val="00B745CB"/>
    <w:rsid w:val="00B74669"/>
    <w:rsid w:val="00B74677"/>
    <w:rsid w:val="00B74725"/>
    <w:rsid w:val="00B74F39"/>
    <w:rsid w:val="00B74F81"/>
    <w:rsid w:val="00B76B4D"/>
    <w:rsid w:val="00B77F7E"/>
    <w:rsid w:val="00B807AF"/>
    <w:rsid w:val="00B80A4D"/>
    <w:rsid w:val="00B81C14"/>
    <w:rsid w:val="00B831D7"/>
    <w:rsid w:val="00B835B0"/>
    <w:rsid w:val="00B83616"/>
    <w:rsid w:val="00B85B2B"/>
    <w:rsid w:val="00B87A17"/>
    <w:rsid w:val="00B90C50"/>
    <w:rsid w:val="00B910E1"/>
    <w:rsid w:val="00B94568"/>
    <w:rsid w:val="00B9497F"/>
    <w:rsid w:val="00B960D9"/>
    <w:rsid w:val="00B96EE5"/>
    <w:rsid w:val="00BA0187"/>
    <w:rsid w:val="00BA0E89"/>
    <w:rsid w:val="00BA176D"/>
    <w:rsid w:val="00BA28E4"/>
    <w:rsid w:val="00BA2F5D"/>
    <w:rsid w:val="00BA6695"/>
    <w:rsid w:val="00BA6EA2"/>
    <w:rsid w:val="00BA7C53"/>
    <w:rsid w:val="00BB087E"/>
    <w:rsid w:val="00BB178D"/>
    <w:rsid w:val="00BB2B33"/>
    <w:rsid w:val="00BB3F60"/>
    <w:rsid w:val="00BB4073"/>
    <w:rsid w:val="00BB5086"/>
    <w:rsid w:val="00BB52A8"/>
    <w:rsid w:val="00BB62DE"/>
    <w:rsid w:val="00BC143B"/>
    <w:rsid w:val="00BC63C5"/>
    <w:rsid w:val="00BC71CA"/>
    <w:rsid w:val="00BC72DF"/>
    <w:rsid w:val="00BD0C03"/>
    <w:rsid w:val="00BD0E88"/>
    <w:rsid w:val="00BD0F0B"/>
    <w:rsid w:val="00BD342E"/>
    <w:rsid w:val="00BD3608"/>
    <w:rsid w:val="00BD4852"/>
    <w:rsid w:val="00BD5022"/>
    <w:rsid w:val="00BD647C"/>
    <w:rsid w:val="00BE041F"/>
    <w:rsid w:val="00BE101C"/>
    <w:rsid w:val="00BE127A"/>
    <w:rsid w:val="00BE1DBE"/>
    <w:rsid w:val="00BE3165"/>
    <w:rsid w:val="00BE5302"/>
    <w:rsid w:val="00BE594A"/>
    <w:rsid w:val="00BE74AF"/>
    <w:rsid w:val="00BE78F1"/>
    <w:rsid w:val="00BF1222"/>
    <w:rsid w:val="00BF1248"/>
    <w:rsid w:val="00BF2496"/>
    <w:rsid w:val="00BF2DBB"/>
    <w:rsid w:val="00BF54C8"/>
    <w:rsid w:val="00BF6832"/>
    <w:rsid w:val="00BF72B2"/>
    <w:rsid w:val="00BF7B6C"/>
    <w:rsid w:val="00C00388"/>
    <w:rsid w:val="00C01E83"/>
    <w:rsid w:val="00C03038"/>
    <w:rsid w:val="00C0303E"/>
    <w:rsid w:val="00C03295"/>
    <w:rsid w:val="00C033C3"/>
    <w:rsid w:val="00C03EE7"/>
    <w:rsid w:val="00C04F56"/>
    <w:rsid w:val="00C0509A"/>
    <w:rsid w:val="00C05C11"/>
    <w:rsid w:val="00C1017E"/>
    <w:rsid w:val="00C11CC8"/>
    <w:rsid w:val="00C11D39"/>
    <w:rsid w:val="00C11D6E"/>
    <w:rsid w:val="00C13224"/>
    <w:rsid w:val="00C13D8F"/>
    <w:rsid w:val="00C14D49"/>
    <w:rsid w:val="00C15146"/>
    <w:rsid w:val="00C170B7"/>
    <w:rsid w:val="00C170BD"/>
    <w:rsid w:val="00C172C8"/>
    <w:rsid w:val="00C202E0"/>
    <w:rsid w:val="00C207B7"/>
    <w:rsid w:val="00C23720"/>
    <w:rsid w:val="00C243FB"/>
    <w:rsid w:val="00C24714"/>
    <w:rsid w:val="00C26290"/>
    <w:rsid w:val="00C26850"/>
    <w:rsid w:val="00C272F1"/>
    <w:rsid w:val="00C279BE"/>
    <w:rsid w:val="00C279D9"/>
    <w:rsid w:val="00C27B39"/>
    <w:rsid w:val="00C27D43"/>
    <w:rsid w:val="00C3009B"/>
    <w:rsid w:val="00C3131B"/>
    <w:rsid w:val="00C317E9"/>
    <w:rsid w:val="00C33C2F"/>
    <w:rsid w:val="00C34F31"/>
    <w:rsid w:val="00C413A1"/>
    <w:rsid w:val="00C4153F"/>
    <w:rsid w:val="00C416CA"/>
    <w:rsid w:val="00C41D12"/>
    <w:rsid w:val="00C42753"/>
    <w:rsid w:val="00C42BBB"/>
    <w:rsid w:val="00C42E65"/>
    <w:rsid w:val="00C438C6"/>
    <w:rsid w:val="00C43967"/>
    <w:rsid w:val="00C43C89"/>
    <w:rsid w:val="00C45CE8"/>
    <w:rsid w:val="00C46EB0"/>
    <w:rsid w:val="00C50766"/>
    <w:rsid w:val="00C52766"/>
    <w:rsid w:val="00C56331"/>
    <w:rsid w:val="00C6003F"/>
    <w:rsid w:val="00C614C6"/>
    <w:rsid w:val="00C632C5"/>
    <w:rsid w:val="00C63F48"/>
    <w:rsid w:val="00C65BD0"/>
    <w:rsid w:val="00C65DC1"/>
    <w:rsid w:val="00C66A89"/>
    <w:rsid w:val="00C67856"/>
    <w:rsid w:val="00C716CB"/>
    <w:rsid w:val="00C71988"/>
    <w:rsid w:val="00C739C7"/>
    <w:rsid w:val="00C75C6D"/>
    <w:rsid w:val="00C7624A"/>
    <w:rsid w:val="00C771B2"/>
    <w:rsid w:val="00C80106"/>
    <w:rsid w:val="00C82107"/>
    <w:rsid w:val="00C8274E"/>
    <w:rsid w:val="00C8435D"/>
    <w:rsid w:val="00C8455E"/>
    <w:rsid w:val="00C84974"/>
    <w:rsid w:val="00C8657D"/>
    <w:rsid w:val="00C87208"/>
    <w:rsid w:val="00C87C34"/>
    <w:rsid w:val="00C9032D"/>
    <w:rsid w:val="00C90957"/>
    <w:rsid w:val="00C91031"/>
    <w:rsid w:val="00C91DE6"/>
    <w:rsid w:val="00C9200E"/>
    <w:rsid w:val="00C92A42"/>
    <w:rsid w:val="00C9309D"/>
    <w:rsid w:val="00C93222"/>
    <w:rsid w:val="00C9329D"/>
    <w:rsid w:val="00C937AD"/>
    <w:rsid w:val="00C9403B"/>
    <w:rsid w:val="00C944BF"/>
    <w:rsid w:val="00C95305"/>
    <w:rsid w:val="00C95652"/>
    <w:rsid w:val="00C97283"/>
    <w:rsid w:val="00C9746E"/>
    <w:rsid w:val="00CA0C3D"/>
    <w:rsid w:val="00CA18D5"/>
    <w:rsid w:val="00CA1C70"/>
    <w:rsid w:val="00CA2C1A"/>
    <w:rsid w:val="00CA3442"/>
    <w:rsid w:val="00CA38A3"/>
    <w:rsid w:val="00CA6163"/>
    <w:rsid w:val="00CA6324"/>
    <w:rsid w:val="00CA651C"/>
    <w:rsid w:val="00CA74C6"/>
    <w:rsid w:val="00CB0A04"/>
    <w:rsid w:val="00CB0E61"/>
    <w:rsid w:val="00CB1E6D"/>
    <w:rsid w:val="00CB41A1"/>
    <w:rsid w:val="00CB5AA0"/>
    <w:rsid w:val="00CB76B5"/>
    <w:rsid w:val="00CB7E05"/>
    <w:rsid w:val="00CC03E1"/>
    <w:rsid w:val="00CC0666"/>
    <w:rsid w:val="00CC0E02"/>
    <w:rsid w:val="00CC13B2"/>
    <w:rsid w:val="00CC194A"/>
    <w:rsid w:val="00CC2D22"/>
    <w:rsid w:val="00CC3163"/>
    <w:rsid w:val="00CC4259"/>
    <w:rsid w:val="00CC52EB"/>
    <w:rsid w:val="00CC5FD2"/>
    <w:rsid w:val="00CC63CB"/>
    <w:rsid w:val="00CC63F1"/>
    <w:rsid w:val="00CC7F1B"/>
    <w:rsid w:val="00CD08A1"/>
    <w:rsid w:val="00CD1585"/>
    <w:rsid w:val="00CD1A36"/>
    <w:rsid w:val="00CD1A83"/>
    <w:rsid w:val="00CD2A6B"/>
    <w:rsid w:val="00CD34C9"/>
    <w:rsid w:val="00CD3D93"/>
    <w:rsid w:val="00CE0348"/>
    <w:rsid w:val="00CE14A6"/>
    <w:rsid w:val="00CE1891"/>
    <w:rsid w:val="00CE301A"/>
    <w:rsid w:val="00CE3467"/>
    <w:rsid w:val="00CE3BC6"/>
    <w:rsid w:val="00CE3C64"/>
    <w:rsid w:val="00CE4FC4"/>
    <w:rsid w:val="00CE54E5"/>
    <w:rsid w:val="00CE6710"/>
    <w:rsid w:val="00CE6DAD"/>
    <w:rsid w:val="00CE6E0A"/>
    <w:rsid w:val="00CE7B29"/>
    <w:rsid w:val="00CF1033"/>
    <w:rsid w:val="00CF1DAC"/>
    <w:rsid w:val="00CF2E2E"/>
    <w:rsid w:val="00CF52AD"/>
    <w:rsid w:val="00CF6709"/>
    <w:rsid w:val="00CF6745"/>
    <w:rsid w:val="00CF758A"/>
    <w:rsid w:val="00CF7839"/>
    <w:rsid w:val="00CF7B1C"/>
    <w:rsid w:val="00CF7FEF"/>
    <w:rsid w:val="00D03D1F"/>
    <w:rsid w:val="00D0400C"/>
    <w:rsid w:val="00D0422F"/>
    <w:rsid w:val="00D069E8"/>
    <w:rsid w:val="00D06D7A"/>
    <w:rsid w:val="00D071A0"/>
    <w:rsid w:val="00D1082E"/>
    <w:rsid w:val="00D10BFA"/>
    <w:rsid w:val="00D12520"/>
    <w:rsid w:val="00D13005"/>
    <w:rsid w:val="00D15CAB"/>
    <w:rsid w:val="00D16599"/>
    <w:rsid w:val="00D214F3"/>
    <w:rsid w:val="00D219EC"/>
    <w:rsid w:val="00D21C1A"/>
    <w:rsid w:val="00D21EFE"/>
    <w:rsid w:val="00D2235F"/>
    <w:rsid w:val="00D22E63"/>
    <w:rsid w:val="00D23177"/>
    <w:rsid w:val="00D23468"/>
    <w:rsid w:val="00D23984"/>
    <w:rsid w:val="00D3148B"/>
    <w:rsid w:val="00D37275"/>
    <w:rsid w:val="00D37C68"/>
    <w:rsid w:val="00D4040B"/>
    <w:rsid w:val="00D425F9"/>
    <w:rsid w:val="00D4568C"/>
    <w:rsid w:val="00D4586F"/>
    <w:rsid w:val="00D46C84"/>
    <w:rsid w:val="00D46D9F"/>
    <w:rsid w:val="00D522D8"/>
    <w:rsid w:val="00D53FFF"/>
    <w:rsid w:val="00D55A6B"/>
    <w:rsid w:val="00D56046"/>
    <w:rsid w:val="00D567A4"/>
    <w:rsid w:val="00D57552"/>
    <w:rsid w:val="00D60D53"/>
    <w:rsid w:val="00D6306D"/>
    <w:rsid w:val="00D63082"/>
    <w:rsid w:val="00D635A8"/>
    <w:rsid w:val="00D6601D"/>
    <w:rsid w:val="00D6721D"/>
    <w:rsid w:val="00D711F6"/>
    <w:rsid w:val="00D71DC4"/>
    <w:rsid w:val="00D755BA"/>
    <w:rsid w:val="00D75F7D"/>
    <w:rsid w:val="00D76C1D"/>
    <w:rsid w:val="00D77370"/>
    <w:rsid w:val="00D77E26"/>
    <w:rsid w:val="00D8013A"/>
    <w:rsid w:val="00D80D74"/>
    <w:rsid w:val="00D826CB"/>
    <w:rsid w:val="00D82C7A"/>
    <w:rsid w:val="00D85932"/>
    <w:rsid w:val="00D86879"/>
    <w:rsid w:val="00D86CB8"/>
    <w:rsid w:val="00D919FE"/>
    <w:rsid w:val="00D92E14"/>
    <w:rsid w:val="00D93402"/>
    <w:rsid w:val="00D939C7"/>
    <w:rsid w:val="00D93CD4"/>
    <w:rsid w:val="00D952D0"/>
    <w:rsid w:val="00D95481"/>
    <w:rsid w:val="00D95958"/>
    <w:rsid w:val="00D95A5C"/>
    <w:rsid w:val="00D962B5"/>
    <w:rsid w:val="00D966F2"/>
    <w:rsid w:val="00D97506"/>
    <w:rsid w:val="00DA1B40"/>
    <w:rsid w:val="00DA46E7"/>
    <w:rsid w:val="00DA4AE4"/>
    <w:rsid w:val="00DA54FD"/>
    <w:rsid w:val="00DA5B33"/>
    <w:rsid w:val="00DA6DE9"/>
    <w:rsid w:val="00DB0020"/>
    <w:rsid w:val="00DB0047"/>
    <w:rsid w:val="00DB286D"/>
    <w:rsid w:val="00DB4240"/>
    <w:rsid w:val="00DB49A3"/>
    <w:rsid w:val="00DB6797"/>
    <w:rsid w:val="00DC01C8"/>
    <w:rsid w:val="00DC216D"/>
    <w:rsid w:val="00DC34FB"/>
    <w:rsid w:val="00DC3D5F"/>
    <w:rsid w:val="00DC3E74"/>
    <w:rsid w:val="00DC4627"/>
    <w:rsid w:val="00DC49CB"/>
    <w:rsid w:val="00DC574B"/>
    <w:rsid w:val="00DC6A77"/>
    <w:rsid w:val="00DC77A0"/>
    <w:rsid w:val="00DD405A"/>
    <w:rsid w:val="00DD435C"/>
    <w:rsid w:val="00DD4933"/>
    <w:rsid w:val="00DD4BA5"/>
    <w:rsid w:val="00DD59A0"/>
    <w:rsid w:val="00DD6F3C"/>
    <w:rsid w:val="00DE0F80"/>
    <w:rsid w:val="00DE1E02"/>
    <w:rsid w:val="00DE26FD"/>
    <w:rsid w:val="00DE4EB1"/>
    <w:rsid w:val="00DE78D8"/>
    <w:rsid w:val="00DE7B90"/>
    <w:rsid w:val="00DF01C6"/>
    <w:rsid w:val="00DF1B28"/>
    <w:rsid w:val="00DF1FB7"/>
    <w:rsid w:val="00DF1FB8"/>
    <w:rsid w:val="00DF1FCE"/>
    <w:rsid w:val="00DF26C6"/>
    <w:rsid w:val="00DF435C"/>
    <w:rsid w:val="00DF44F7"/>
    <w:rsid w:val="00DF690A"/>
    <w:rsid w:val="00DF79A5"/>
    <w:rsid w:val="00E00259"/>
    <w:rsid w:val="00E005F9"/>
    <w:rsid w:val="00E028D5"/>
    <w:rsid w:val="00E0465C"/>
    <w:rsid w:val="00E074D1"/>
    <w:rsid w:val="00E117AC"/>
    <w:rsid w:val="00E11CA0"/>
    <w:rsid w:val="00E12704"/>
    <w:rsid w:val="00E12D86"/>
    <w:rsid w:val="00E13804"/>
    <w:rsid w:val="00E143E9"/>
    <w:rsid w:val="00E14964"/>
    <w:rsid w:val="00E14A01"/>
    <w:rsid w:val="00E20CA6"/>
    <w:rsid w:val="00E22139"/>
    <w:rsid w:val="00E22477"/>
    <w:rsid w:val="00E225C4"/>
    <w:rsid w:val="00E22801"/>
    <w:rsid w:val="00E24201"/>
    <w:rsid w:val="00E24CC7"/>
    <w:rsid w:val="00E24EB3"/>
    <w:rsid w:val="00E25F79"/>
    <w:rsid w:val="00E26CBB"/>
    <w:rsid w:val="00E306B4"/>
    <w:rsid w:val="00E30A3F"/>
    <w:rsid w:val="00E318BB"/>
    <w:rsid w:val="00E31AE0"/>
    <w:rsid w:val="00E31CF6"/>
    <w:rsid w:val="00E32A5B"/>
    <w:rsid w:val="00E32A95"/>
    <w:rsid w:val="00E3334E"/>
    <w:rsid w:val="00E339B1"/>
    <w:rsid w:val="00E355E0"/>
    <w:rsid w:val="00E358CB"/>
    <w:rsid w:val="00E412D6"/>
    <w:rsid w:val="00E41681"/>
    <w:rsid w:val="00E419BD"/>
    <w:rsid w:val="00E4206C"/>
    <w:rsid w:val="00E42958"/>
    <w:rsid w:val="00E43FE4"/>
    <w:rsid w:val="00E453C0"/>
    <w:rsid w:val="00E4677B"/>
    <w:rsid w:val="00E50DD3"/>
    <w:rsid w:val="00E52938"/>
    <w:rsid w:val="00E52E41"/>
    <w:rsid w:val="00E52F90"/>
    <w:rsid w:val="00E536BF"/>
    <w:rsid w:val="00E54BF9"/>
    <w:rsid w:val="00E56554"/>
    <w:rsid w:val="00E56931"/>
    <w:rsid w:val="00E605AB"/>
    <w:rsid w:val="00E63B1C"/>
    <w:rsid w:val="00E660A0"/>
    <w:rsid w:val="00E664FD"/>
    <w:rsid w:val="00E66B5C"/>
    <w:rsid w:val="00E66F3E"/>
    <w:rsid w:val="00E679E9"/>
    <w:rsid w:val="00E67D40"/>
    <w:rsid w:val="00E7065C"/>
    <w:rsid w:val="00E726B2"/>
    <w:rsid w:val="00E730EA"/>
    <w:rsid w:val="00E77FA9"/>
    <w:rsid w:val="00E80D90"/>
    <w:rsid w:val="00E81CB5"/>
    <w:rsid w:val="00E8251F"/>
    <w:rsid w:val="00E82E31"/>
    <w:rsid w:val="00E83AE8"/>
    <w:rsid w:val="00E83BBA"/>
    <w:rsid w:val="00E84E48"/>
    <w:rsid w:val="00E85FE2"/>
    <w:rsid w:val="00E8719B"/>
    <w:rsid w:val="00E91304"/>
    <w:rsid w:val="00E92B00"/>
    <w:rsid w:val="00E94914"/>
    <w:rsid w:val="00E94AD5"/>
    <w:rsid w:val="00E9526D"/>
    <w:rsid w:val="00E96147"/>
    <w:rsid w:val="00E96447"/>
    <w:rsid w:val="00E96570"/>
    <w:rsid w:val="00E96FE7"/>
    <w:rsid w:val="00E977DD"/>
    <w:rsid w:val="00E97C44"/>
    <w:rsid w:val="00EA1D4C"/>
    <w:rsid w:val="00EA2366"/>
    <w:rsid w:val="00EA23F6"/>
    <w:rsid w:val="00EA3D8D"/>
    <w:rsid w:val="00EA58F5"/>
    <w:rsid w:val="00EA7C27"/>
    <w:rsid w:val="00EB047C"/>
    <w:rsid w:val="00EB10E8"/>
    <w:rsid w:val="00EB24A6"/>
    <w:rsid w:val="00EB2DC9"/>
    <w:rsid w:val="00EB5929"/>
    <w:rsid w:val="00EB5C10"/>
    <w:rsid w:val="00EB65F1"/>
    <w:rsid w:val="00EB6E95"/>
    <w:rsid w:val="00EB6EB6"/>
    <w:rsid w:val="00EB7161"/>
    <w:rsid w:val="00EB79D7"/>
    <w:rsid w:val="00EC083E"/>
    <w:rsid w:val="00EC0844"/>
    <w:rsid w:val="00EC0E9F"/>
    <w:rsid w:val="00EC0FEB"/>
    <w:rsid w:val="00EC15F1"/>
    <w:rsid w:val="00EC471C"/>
    <w:rsid w:val="00EC6E87"/>
    <w:rsid w:val="00ED12F6"/>
    <w:rsid w:val="00ED13B6"/>
    <w:rsid w:val="00ED1668"/>
    <w:rsid w:val="00ED1A68"/>
    <w:rsid w:val="00ED20CA"/>
    <w:rsid w:val="00ED29C4"/>
    <w:rsid w:val="00ED2EBF"/>
    <w:rsid w:val="00ED42D2"/>
    <w:rsid w:val="00ED4665"/>
    <w:rsid w:val="00ED4FB4"/>
    <w:rsid w:val="00ED5BC3"/>
    <w:rsid w:val="00ED6240"/>
    <w:rsid w:val="00EE1D01"/>
    <w:rsid w:val="00EE2D76"/>
    <w:rsid w:val="00EE3651"/>
    <w:rsid w:val="00EE3EA3"/>
    <w:rsid w:val="00EE4E24"/>
    <w:rsid w:val="00EE5E16"/>
    <w:rsid w:val="00EE74CE"/>
    <w:rsid w:val="00EE7DDF"/>
    <w:rsid w:val="00EF01B4"/>
    <w:rsid w:val="00EF14A4"/>
    <w:rsid w:val="00EF2C39"/>
    <w:rsid w:val="00EF302A"/>
    <w:rsid w:val="00EF4561"/>
    <w:rsid w:val="00EF45AB"/>
    <w:rsid w:val="00EF5D37"/>
    <w:rsid w:val="00EF5E7A"/>
    <w:rsid w:val="00EF72EE"/>
    <w:rsid w:val="00EF7BEC"/>
    <w:rsid w:val="00F0065B"/>
    <w:rsid w:val="00F01308"/>
    <w:rsid w:val="00F02C52"/>
    <w:rsid w:val="00F02CE3"/>
    <w:rsid w:val="00F03C67"/>
    <w:rsid w:val="00F04FA1"/>
    <w:rsid w:val="00F05778"/>
    <w:rsid w:val="00F10496"/>
    <w:rsid w:val="00F104F4"/>
    <w:rsid w:val="00F1182B"/>
    <w:rsid w:val="00F11A2F"/>
    <w:rsid w:val="00F11B5F"/>
    <w:rsid w:val="00F14BEA"/>
    <w:rsid w:val="00F21803"/>
    <w:rsid w:val="00F21F28"/>
    <w:rsid w:val="00F243AB"/>
    <w:rsid w:val="00F26328"/>
    <w:rsid w:val="00F26AF4"/>
    <w:rsid w:val="00F274BB"/>
    <w:rsid w:val="00F277A8"/>
    <w:rsid w:val="00F33BB6"/>
    <w:rsid w:val="00F344E6"/>
    <w:rsid w:val="00F34791"/>
    <w:rsid w:val="00F34E69"/>
    <w:rsid w:val="00F352B5"/>
    <w:rsid w:val="00F3557B"/>
    <w:rsid w:val="00F36D4F"/>
    <w:rsid w:val="00F3769C"/>
    <w:rsid w:val="00F417EE"/>
    <w:rsid w:val="00F41F75"/>
    <w:rsid w:val="00F422CF"/>
    <w:rsid w:val="00F427A9"/>
    <w:rsid w:val="00F42E90"/>
    <w:rsid w:val="00F450DA"/>
    <w:rsid w:val="00F4640F"/>
    <w:rsid w:val="00F504EB"/>
    <w:rsid w:val="00F51FFF"/>
    <w:rsid w:val="00F534D4"/>
    <w:rsid w:val="00F55693"/>
    <w:rsid w:val="00F5747C"/>
    <w:rsid w:val="00F649FF"/>
    <w:rsid w:val="00F664BC"/>
    <w:rsid w:val="00F70C7F"/>
    <w:rsid w:val="00F71884"/>
    <w:rsid w:val="00F71EE8"/>
    <w:rsid w:val="00F7298E"/>
    <w:rsid w:val="00F751E6"/>
    <w:rsid w:val="00F77BE1"/>
    <w:rsid w:val="00F77FE3"/>
    <w:rsid w:val="00F83223"/>
    <w:rsid w:val="00F8421A"/>
    <w:rsid w:val="00F91075"/>
    <w:rsid w:val="00F92B5F"/>
    <w:rsid w:val="00F92C48"/>
    <w:rsid w:val="00F94311"/>
    <w:rsid w:val="00F971B5"/>
    <w:rsid w:val="00F97661"/>
    <w:rsid w:val="00FA0754"/>
    <w:rsid w:val="00FA1626"/>
    <w:rsid w:val="00FA20ED"/>
    <w:rsid w:val="00FA3B3A"/>
    <w:rsid w:val="00FA5B01"/>
    <w:rsid w:val="00FA7901"/>
    <w:rsid w:val="00FB006B"/>
    <w:rsid w:val="00FB2817"/>
    <w:rsid w:val="00FB33C3"/>
    <w:rsid w:val="00FB3923"/>
    <w:rsid w:val="00FB519B"/>
    <w:rsid w:val="00FB53B8"/>
    <w:rsid w:val="00FB74E9"/>
    <w:rsid w:val="00FB7EE5"/>
    <w:rsid w:val="00FC283A"/>
    <w:rsid w:val="00FC3823"/>
    <w:rsid w:val="00FC3A35"/>
    <w:rsid w:val="00FC41C3"/>
    <w:rsid w:val="00FC43F7"/>
    <w:rsid w:val="00FC5C82"/>
    <w:rsid w:val="00FC6176"/>
    <w:rsid w:val="00FC665E"/>
    <w:rsid w:val="00FC749E"/>
    <w:rsid w:val="00FC750C"/>
    <w:rsid w:val="00FD1960"/>
    <w:rsid w:val="00FD2B34"/>
    <w:rsid w:val="00FD2F83"/>
    <w:rsid w:val="00FD3141"/>
    <w:rsid w:val="00FD481D"/>
    <w:rsid w:val="00FE0C0F"/>
    <w:rsid w:val="00FE2715"/>
    <w:rsid w:val="00FE2ED0"/>
    <w:rsid w:val="00FE3A0C"/>
    <w:rsid w:val="00FE3D24"/>
    <w:rsid w:val="00FE5A52"/>
    <w:rsid w:val="00FE79FA"/>
    <w:rsid w:val="00FF04FF"/>
    <w:rsid w:val="00FF0EA5"/>
    <w:rsid w:val="00FF140D"/>
    <w:rsid w:val="00FF2283"/>
    <w:rsid w:val="00FF2A13"/>
    <w:rsid w:val="00FF4EE4"/>
    <w:rsid w:val="00FF689D"/>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098CD1"/>
  <w15:docId w15:val="{0C276206-64A8-4C73-B829-0D231F73B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1F"/>
  </w:style>
  <w:style w:type="paragraph" w:styleId="Heading1">
    <w:name w:val="heading 1"/>
    <w:basedOn w:val="Normal"/>
    <w:next w:val="Normal"/>
    <w:link w:val="Heading1Char"/>
    <w:uiPriority w:val="9"/>
    <w:qFormat/>
    <w:rsid w:val="002B4434"/>
    <w:pPr>
      <w:keepNext/>
      <w:spacing w:before="240" w:after="60"/>
      <w:outlineLvl w:val="0"/>
    </w:pPr>
    <w:rPr>
      <w:rFonts w:ascii="Cambria" w:eastAsia="Times New Roman" w:hAnsi="Cambria"/>
      <w:b/>
      <w:bCs/>
      <w:spacing w:val="-3"/>
      <w:kern w:val="32"/>
      <w:sz w:val="32"/>
      <w:szCs w:val="32"/>
      <w:lang w:eastAsia="en-GB"/>
    </w:rPr>
  </w:style>
  <w:style w:type="paragraph" w:styleId="Heading2">
    <w:name w:val="heading 2"/>
    <w:basedOn w:val="Normal"/>
    <w:next w:val="Normal"/>
    <w:link w:val="Heading2Char"/>
    <w:autoRedefine/>
    <w:uiPriority w:val="9"/>
    <w:unhideWhenUsed/>
    <w:qFormat/>
    <w:rsid w:val="00C8435D"/>
    <w:pPr>
      <w:keepNext/>
      <w:keepLines/>
      <w:spacing w:before="40"/>
      <w:outlineLvl w:val="1"/>
    </w:pPr>
    <w:rPr>
      <w:rFonts w:asciiTheme="majorHAnsi" w:eastAsiaTheme="majorEastAsia" w:hAnsiTheme="majorHAnsi" w:cstheme="majorBidi"/>
      <w:b/>
      <w:color w:val="365F91" w:themeColor="accent1" w:themeShade="BF"/>
      <w:sz w:val="28"/>
      <w:szCs w:val="26"/>
    </w:rPr>
  </w:style>
  <w:style w:type="paragraph" w:styleId="Heading3">
    <w:name w:val="heading 3"/>
    <w:basedOn w:val="Normal"/>
    <w:next w:val="Normal"/>
    <w:link w:val="Heading3Char"/>
    <w:uiPriority w:val="9"/>
    <w:unhideWhenUsed/>
    <w:qFormat/>
    <w:rsid w:val="009C4F07"/>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F417E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11FE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D493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061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061F"/>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qFormat/>
    <w:rsid w:val="006B6657"/>
    <w:pPr>
      <w:tabs>
        <w:tab w:val="center" w:pos="4680"/>
        <w:tab w:val="right" w:pos="9360"/>
      </w:tabs>
    </w:pPr>
  </w:style>
  <w:style w:type="character" w:customStyle="1" w:styleId="HeaderChar">
    <w:name w:val="Header Char"/>
    <w:basedOn w:val="DefaultParagraphFont"/>
    <w:link w:val="Header"/>
    <w:uiPriority w:val="99"/>
    <w:qFormat/>
    <w:rsid w:val="006B6657"/>
    <w:rPr>
      <w:rFonts w:eastAsia="Times New Roman"/>
      <w:lang w:val="en-GB"/>
    </w:rPr>
  </w:style>
  <w:style w:type="paragraph" w:styleId="Footer">
    <w:name w:val="footer"/>
    <w:basedOn w:val="Normal"/>
    <w:link w:val="FooterChar"/>
    <w:uiPriority w:val="99"/>
    <w:unhideWhenUsed/>
    <w:qFormat/>
    <w:rsid w:val="006B6657"/>
    <w:pPr>
      <w:tabs>
        <w:tab w:val="center" w:pos="4680"/>
        <w:tab w:val="right" w:pos="9360"/>
      </w:tabs>
    </w:pPr>
  </w:style>
  <w:style w:type="character" w:customStyle="1" w:styleId="FooterChar">
    <w:name w:val="Footer Char"/>
    <w:basedOn w:val="DefaultParagraphFont"/>
    <w:link w:val="Footer"/>
    <w:uiPriority w:val="99"/>
    <w:qFormat/>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jc w:val="left"/>
    </w:pPr>
    <w:rPr>
      <w:lang w:eastAsia="en-GB"/>
    </w:rPr>
  </w:style>
  <w:style w:type="paragraph" w:styleId="TOC1">
    <w:name w:val="toc 1"/>
    <w:basedOn w:val="Normal"/>
    <w:next w:val="Normal"/>
    <w:autoRedefine/>
    <w:uiPriority w:val="39"/>
    <w:unhideWhenUsed/>
    <w:rsid w:val="00A804A9"/>
    <w:pPr>
      <w:tabs>
        <w:tab w:val="left" w:pos="480"/>
        <w:tab w:val="right" w:leader="dot" w:pos="10456"/>
      </w:tabs>
      <w:spacing w:after="100"/>
      <w:jc w:val="left"/>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jc w:val="left"/>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2B4434"/>
    <w:rPr>
      <w:rFonts w:ascii="Cambria" w:eastAsia="Times New Roman" w:hAnsi="Cambria"/>
      <w:b/>
      <w:bCs/>
      <w:spacing w:val="-3"/>
      <w:kern w:val="32"/>
      <w:sz w:val="32"/>
      <w:szCs w:val="32"/>
      <w:lang w:val="en-GB" w:eastAsia="en-GB"/>
    </w:rPr>
  </w:style>
  <w:style w:type="paragraph" w:customStyle="1" w:styleId="font5">
    <w:name w:val="font5"/>
    <w:basedOn w:val="Normal"/>
    <w:rsid w:val="00394503"/>
    <w:pPr>
      <w:spacing w:before="100" w:beforeAutospacing="1" w:after="100" w:afterAutospacing="1" w:line="240" w:lineRule="auto"/>
      <w:jc w:val="left"/>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100" w:beforeAutospacing="1" w:after="100" w:afterAutospacing="1" w:line="240" w:lineRule="auto"/>
      <w:jc w:val="left"/>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100" w:beforeAutospacing="1" w:after="100" w:afterAutospacing="1" w:line="240" w:lineRule="auto"/>
      <w:jc w:val="left"/>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100" w:beforeAutospacing="1" w:after="100" w:afterAutospacing="1" w:line="240" w:lineRule="auto"/>
      <w:jc w:val="left"/>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100"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7">
    <w:name w:val="xl97"/>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98">
    <w:name w:val="xl98"/>
    <w:basedOn w:val="Normal"/>
    <w:rsid w:val="00394503"/>
    <w:pPr>
      <w:spacing w:before="100"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100" w:beforeAutospacing="1" w:after="100" w:afterAutospacing="1" w:line="240" w:lineRule="auto"/>
      <w:jc w:val="left"/>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100" w:beforeAutospacing="1" w:after="100" w:afterAutospacing="1" w:line="240" w:lineRule="auto"/>
      <w:ind w:firstLineChars="100" w:firstLine="100"/>
      <w:jc w:val="left"/>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55593"/>
    <w:pPr>
      <w:keepLines/>
      <w:spacing w:after="0"/>
      <w:outlineLvl w:val="9"/>
    </w:pPr>
    <w:rPr>
      <w:rFonts w:asciiTheme="majorHAnsi" w:eastAsiaTheme="majorEastAsia" w:hAnsiTheme="majorHAnsi" w:cstheme="majorBidi"/>
      <w:b w:val="0"/>
      <w:bCs w:val="0"/>
      <w:color w:val="365F91" w:themeColor="accent1" w:themeShade="BF"/>
      <w:spacing w:val="0"/>
      <w:kern w:val="0"/>
      <w:lang w:eastAsia="en-US"/>
    </w:rPr>
  </w:style>
  <w:style w:type="character" w:customStyle="1" w:styleId="mntl-sc-block-headingtext">
    <w:name w:val="mntl-sc-block-heading__text"/>
    <w:basedOn w:val="DefaultParagraphFont"/>
    <w:rsid w:val="006461DB"/>
  </w:style>
  <w:style w:type="character" w:styleId="Emphasis">
    <w:name w:val="Emphasis"/>
    <w:basedOn w:val="DefaultParagraphFont"/>
    <w:uiPriority w:val="20"/>
    <w:qFormat/>
    <w:rsid w:val="00E8719B"/>
    <w:rPr>
      <w:i/>
      <w:iCs/>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100" w:beforeAutospacing="1" w:after="100" w:afterAutospacing="1" w:line="240" w:lineRule="auto"/>
      <w:jc w:val="left"/>
    </w:pPr>
    <w:rPr>
      <w:rFonts w:ascii="Times New Roman" w:eastAsia="Times New Roman" w:hAnsi="Times New Roman"/>
      <w:lang w:val="en-GB" w:eastAsia="en-GB"/>
    </w:rPr>
  </w:style>
  <w:style w:type="table" w:styleId="GridTable1Light-Accent2">
    <w:name w:val="Grid Table 1 Light Accent 2"/>
    <w:basedOn w:val="TableNormal"/>
    <w:uiPriority w:val="46"/>
    <w:rsid w:val="00492E6C"/>
    <w:pPr>
      <w:spacing w:line="240" w:lineRule="auto"/>
    </w:pPr>
    <w:rPr>
      <w:rFonts w:ascii="Times New Roman" w:hAnsi="Times New Roman"/>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9C4F07"/>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9C4F07"/>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C8435D"/>
    <w:rPr>
      <w:rFonts w:asciiTheme="majorHAnsi" w:eastAsiaTheme="majorEastAsia" w:hAnsiTheme="majorHAnsi" w:cstheme="majorBidi"/>
      <w:b/>
      <w:color w:val="365F91" w:themeColor="accent1" w:themeShade="BF"/>
      <w:sz w:val="28"/>
      <w:szCs w:val="26"/>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rsid w:val="00F417EE"/>
    <w:rPr>
      <w:rFonts w:asciiTheme="majorHAnsi" w:eastAsiaTheme="majorEastAsia" w:hAnsiTheme="majorHAnsi" w:cstheme="majorBidi"/>
      <w:i/>
      <w:iCs/>
      <w:color w:val="365F91" w:themeColor="accent1" w:themeShade="BF"/>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semiHidden/>
    <w:rsid w:val="00611FE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DD4933"/>
    <w:rPr>
      <w:rFonts w:asciiTheme="majorHAnsi" w:eastAsiaTheme="majorEastAsia" w:hAnsiTheme="majorHAnsi" w:cstheme="majorBidi"/>
      <w:color w:val="243F60" w:themeColor="accent1" w:themeShade="7F"/>
    </w:rPr>
  </w:style>
  <w:style w:type="character" w:customStyle="1" w:styleId="relative">
    <w:name w:val="relative"/>
    <w:basedOn w:val="DefaultParagraphFont"/>
    <w:rsid w:val="008A1BC3"/>
  </w:style>
  <w:style w:type="paragraph" w:customStyle="1" w:styleId="not-prose">
    <w:name w:val="not-prose"/>
    <w:basedOn w:val="Normal"/>
    <w:rsid w:val="008A1BC3"/>
    <w:pPr>
      <w:spacing w:before="100" w:beforeAutospacing="1" w:after="100" w:afterAutospacing="1" w:line="240" w:lineRule="auto"/>
      <w:jc w:val="left"/>
    </w:pPr>
    <w:rPr>
      <w:rFonts w:ascii="Times New Roman" w:eastAsia="Times New Roman" w:hAnsi="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26301616">
      <w:bodyDiv w:val="1"/>
      <w:marLeft w:val="0"/>
      <w:marRight w:val="0"/>
      <w:marTop w:val="0"/>
      <w:marBottom w:val="0"/>
      <w:divBdr>
        <w:top w:val="none" w:sz="0" w:space="0" w:color="auto"/>
        <w:left w:val="none" w:sz="0" w:space="0" w:color="auto"/>
        <w:bottom w:val="none" w:sz="0" w:space="0" w:color="auto"/>
        <w:right w:val="none" w:sz="0" w:space="0" w:color="auto"/>
      </w:divBdr>
      <w:divsChild>
        <w:div w:id="1010794094">
          <w:marLeft w:val="0"/>
          <w:marRight w:val="0"/>
          <w:marTop w:val="0"/>
          <w:marBottom w:val="0"/>
          <w:divBdr>
            <w:top w:val="none" w:sz="0" w:space="0" w:color="auto"/>
            <w:left w:val="none" w:sz="0" w:space="0" w:color="auto"/>
            <w:bottom w:val="none" w:sz="0" w:space="0" w:color="auto"/>
            <w:right w:val="none" w:sz="0" w:space="0" w:color="auto"/>
          </w:divBdr>
          <w:divsChild>
            <w:div w:id="157091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305201798">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4795808">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71120912">
      <w:bodyDiv w:val="1"/>
      <w:marLeft w:val="0"/>
      <w:marRight w:val="0"/>
      <w:marTop w:val="0"/>
      <w:marBottom w:val="0"/>
      <w:divBdr>
        <w:top w:val="none" w:sz="0" w:space="0" w:color="auto"/>
        <w:left w:val="none" w:sz="0" w:space="0" w:color="auto"/>
        <w:bottom w:val="none" w:sz="0" w:space="0" w:color="auto"/>
        <w:right w:val="none" w:sz="0" w:space="0" w:color="auto"/>
      </w:divBdr>
    </w:div>
    <w:div w:id="100880644">
      <w:bodyDiv w:val="1"/>
      <w:marLeft w:val="0"/>
      <w:marRight w:val="0"/>
      <w:marTop w:val="0"/>
      <w:marBottom w:val="0"/>
      <w:divBdr>
        <w:top w:val="none" w:sz="0" w:space="0" w:color="auto"/>
        <w:left w:val="none" w:sz="0" w:space="0" w:color="auto"/>
        <w:bottom w:val="none" w:sz="0" w:space="0" w:color="auto"/>
        <w:right w:val="none" w:sz="0" w:space="0" w:color="auto"/>
      </w:divBdr>
    </w:div>
    <w:div w:id="113866716">
      <w:bodyDiv w:val="1"/>
      <w:marLeft w:val="0"/>
      <w:marRight w:val="0"/>
      <w:marTop w:val="0"/>
      <w:marBottom w:val="0"/>
      <w:divBdr>
        <w:top w:val="none" w:sz="0" w:space="0" w:color="auto"/>
        <w:left w:val="none" w:sz="0" w:space="0" w:color="auto"/>
        <w:bottom w:val="none" w:sz="0" w:space="0" w:color="auto"/>
        <w:right w:val="none" w:sz="0" w:space="0" w:color="auto"/>
      </w:divBdr>
      <w:divsChild>
        <w:div w:id="1506482351">
          <w:marLeft w:val="0"/>
          <w:marRight w:val="0"/>
          <w:marTop w:val="0"/>
          <w:marBottom w:val="0"/>
          <w:divBdr>
            <w:top w:val="none" w:sz="0" w:space="0" w:color="auto"/>
            <w:left w:val="none" w:sz="0" w:space="0" w:color="auto"/>
            <w:bottom w:val="none" w:sz="0" w:space="0" w:color="auto"/>
            <w:right w:val="none" w:sz="0" w:space="0" w:color="auto"/>
          </w:divBdr>
          <w:divsChild>
            <w:div w:id="147255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1958021643">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4328555">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41083">
      <w:bodyDiv w:val="1"/>
      <w:marLeft w:val="0"/>
      <w:marRight w:val="0"/>
      <w:marTop w:val="0"/>
      <w:marBottom w:val="0"/>
      <w:divBdr>
        <w:top w:val="none" w:sz="0" w:space="0" w:color="auto"/>
        <w:left w:val="none" w:sz="0" w:space="0" w:color="auto"/>
        <w:bottom w:val="none" w:sz="0" w:space="0" w:color="auto"/>
        <w:right w:val="none" w:sz="0" w:space="0" w:color="auto"/>
      </w:divBdr>
      <w:divsChild>
        <w:div w:id="1700007140">
          <w:marLeft w:val="0"/>
          <w:marRight w:val="0"/>
          <w:marTop w:val="0"/>
          <w:marBottom w:val="0"/>
          <w:divBdr>
            <w:top w:val="none" w:sz="0" w:space="0" w:color="auto"/>
            <w:left w:val="none" w:sz="0" w:space="0" w:color="auto"/>
            <w:bottom w:val="none" w:sz="0" w:space="0" w:color="auto"/>
            <w:right w:val="none" w:sz="0" w:space="0" w:color="auto"/>
          </w:divBdr>
          <w:divsChild>
            <w:div w:id="76002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20758">
      <w:bodyDiv w:val="1"/>
      <w:marLeft w:val="0"/>
      <w:marRight w:val="0"/>
      <w:marTop w:val="0"/>
      <w:marBottom w:val="0"/>
      <w:divBdr>
        <w:top w:val="none" w:sz="0" w:space="0" w:color="auto"/>
        <w:left w:val="none" w:sz="0" w:space="0" w:color="auto"/>
        <w:bottom w:val="none" w:sz="0" w:space="0" w:color="auto"/>
        <w:right w:val="none" w:sz="0" w:space="0" w:color="auto"/>
      </w:divBdr>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2137601885">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89998968">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389971">
      <w:bodyDiv w:val="1"/>
      <w:marLeft w:val="0"/>
      <w:marRight w:val="0"/>
      <w:marTop w:val="0"/>
      <w:marBottom w:val="0"/>
      <w:divBdr>
        <w:top w:val="none" w:sz="0" w:space="0" w:color="auto"/>
        <w:left w:val="none" w:sz="0" w:space="0" w:color="auto"/>
        <w:bottom w:val="none" w:sz="0" w:space="0" w:color="auto"/>
        <w:right w:val="none" w:sz="0" w:space="0" w:color="auto"/>
      </w:divBdr>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1961838009">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3369914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621500921">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138806879">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596255788">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33315447">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912803">
      <w:bodyDiv w:val="1"/>
      <w:marLeft w:val="0"/>
      <w:marRight w:val="0"/>
      <w:marTop w:val="0"/>
      <w:marBottom w:val="0"/>
      <w:divBdr>
        <w:top w:val="none" w:sz="0" w:space="0" w:color="auto"/>
        <w:left w:val="none" w:sz="0" w:space="0" w:color="auto"/>
        <w:bottom w:val="none" w:sz="0" w:space="0" w:color="auto"/>
        <w:right w:val="none" w:sz="0" w:space="0" w:color="auto"/>
      </w:divBdr>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318298">
      <w:bodyDiv w:val="1"/>
      <w:marLeft w:val="0"/>
      <w:marRight w:val="0"/>
      <w:marTop w:val="0"/>
      <w:marBottom w:val="0"/>
      <w:divBdr>
        <w:top w:val="none" w:sz="0" w:space="0" w:color="auto"/>
        <w:left w:val="none" w:sz="0" w:space="0" w:color="auto"/>
        <w:bottom w:val="none" w:sz="0" w:space="0" w:color="auto"/>
        <w:right w:val="none" w:sz="0" w:space="0" w:color="auto"/>
      </w:divBdr>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94234147">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3121689">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781419">
      <w:bodyDiv w:val="1"/>
      <w:marLeft w:val="0"/>
      <w:marRight w:val="0"/>
      <w:marTop w:val="0"/>
      <w:marBottom w:val="0"/>
      <w:divBdr>
        <w:top w:val="none" w:sz="0" w:space="0" w:color="auto"/>
        <w:left w:val="none" w:sz="0" w:space="0" w:color="auto"/>
        <w:bottom w:val="none" w:sz="0" w:space="0" w:color="auto"/>
        <w:right w:val="none" w:sz="0" w:space="0" w:color="auto"/>
      </w:divBdr>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204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60500382">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726607732">
      <w:bodyDiv w:val="1"/>
      <w:marLeft w:val="0"/>
      <w:marRight w:val="0"/>
      <w:marTop w:val="0"/>
      <w:marBottom w:val="0"/>
      <w:divBdr>
        <w:top w:val="none" w:sz="0" w:space="0" w:color="auto"/>
        <w:left w:val="none" w:sz="0" w:space="0" w:color="auto"/>
        <w:bottom w:val="none" w:sz="0" w:space="0" w:color="auto"/>
        <w:right w:val="none" w:sz="0" w:space="0" w:color="auto"/>
      </w:divBdr>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78335133">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2063626555">
              <w:marLeft w:val="0"/>
              <w:marRight w:val="0"/>
              <w:marTop w:val="0"/>
              <w:marBottom w:val="0"/>
              <w:divBdr>
                <w:top w:val="none" w:sz="0" w:space="0" w:color="auto"/>
                <w:left w:val="none" w:sz="0" w:space="0" w:color="auto"/>
                <w:bottom w:val="none" w:sz="0" w:space="0" w:color="auto"/>
                <w:right w:val="none" w:sz="0" w:space="0" w:color="auto"/>
              </w:divBdr>
            </w:div>
            <w:div w:id="44842138">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475608">
      <w:bodyDiv w:val="1"/>
      <w:marLeft w:val="0"/>
      <w:marRight w:val="0"/>
      <w:marTop w:val="0"/>
      <w:marBottom w:val="0"/>
      <w:divBdr>
        <w:top w:val="none" w:sz="0" w:space="0" w:color="auto"/>
        <w:left w:val="none" w:sz="0" w:space="0" w:color="auto"/>
        <w:bottom w:val="none" w:sz="0" w:space="0" w:color="auto"/>
        <w:right w:val="none" w:sz="0" w:space="0" w:color="auto"/>
      </w:divBdr>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79438290">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329866429">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165634419">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608875">
      <w:bodyDiv w:val="1"/>
      <w:marLeft w:val="0"/>
      <w:marRight w:val="0"/>
      <w:marTop w:val="0"/>
      <w:marBottom w:val="0"/>
      <w:divBdr>
        <w:top w:val="none" w:sz="0" w:space="0" w:color="auto"/>
        <w:left w:val="none" w:sz="0" w:space="0" w:color="auto"/>
        <w:bottom w:val="none" w:sz="0" w:space="0" w:color="auto"/>
        <w:right w:val="none" w:sz="0" w:space="0" w:color="auto"/>
      </w:divBdr>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234849253">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185709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64849916">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195541">
      <w:bodyDiv w:val="1"/>
      <w:marLeft w:val="0"/>
      <w:marRight w:val="0"/>
      <w:marTop w:val="0"/>
      <w:marBottom w:val="0"/>
      <w:divBdr>
        <w:top w:val="none" w:sz="0" w:space="0" w:color="auto"/>
        <w:left w:val="none" w:sz="0" w:space="0" w:color="auto"/>
        <w:bottom w:val="none" w:sz="0" w:space="0" w:color="auto"/>
        <w:right w:val="none" w:sz="0" w:space="0" w:color="auto"/>
      </w:divBdr>
    </w:div>
    <w:div w:id="1051537373">
      <w:bodyDiv w:val="1"/>
      <w:marLeft w:val="0"/>
      <w:marRight w:val="0"/>
      <w:marTop w:val="0"/>
      <w:marBottom w:val="0"/>
      <w:divBdr>
        <w:top w:val="none" w:sz="0" w:space="0" w:color="auto"/>
        <w:left w:val="none" w:sz="0" w:space="0" w:color="auto"/>
        <w:bottom w:val="none" w:sz="0" w:space="0" w:color="auto"/>
        <w:right w:val="none" w:sz="0" w:space="0" w:color="auto"/>
      </w:divBdr>
      <w:divsChild>
        <w:div w:id="953561335">
          <w:marLeft w:val="0"/>
          <w:marRight w:val="0"/>
          <w:marTop w:val="0"/>
          <w:marBottom w:val="0"/>
          <w:divBdr>
            <w:top w:val="none" w:sz="0" w:space="0" w:color="auto"/>
            <w:left w:val="none" w:sz="0" w:space="0" w:color="auto"/>
            <w:bottom w:val="none" w:sz="0" w:space="0" w:color="auto"/>
            <w:right w:val="none" w:sz="0" w:space="0" w:color="auto"/>
          </w:divBdr>
          <w:divsChild>
            <w:div w:id="1079206450">
              <w:marLeft w:val="0"/>
              <w:marRight w:val="0"/>
              <w:marTop w:val="0"/>
              <w:marBottom w:val="0"/>
              <w:divBdr>
                <w:top w:val="none" w:sz="0" w:space="0" w:color="auto"/>
                <w:left w:val="none" w:sz="0" w:space="0" w:color="auto"/>
                <w:bottom w:val="none" w:sz="0" w:space="0" w:color="auto"/>
                <w:right w:val="none" w:sz="0" w:space="0" w:color="auto"/>
              </w:divBdr>
            </w:div>
          </w:divsChild>
        </w:div>
        <w:div w:id="870000995">
          <w:marLeft w:val="0"/>
          <w:marRight w:val="0"/>
          <w:marTop w:val="0"/>
          <w:marBottom w:val="0"/>
          <w:divBdr>
            <w:top w:val="none" w:sz="0" w:space="0" w:color="auto"/>
            <w:left w:val="none" w:sz="0" w:space="0" w:color="auto"/>
            <w:bottom w:val="none" w:sz="0" w:space="0" w:color="auto"/>
            <w:right w:val="none" w:sz="0" w:space="0" w:color="auto"/>
          </w:divBdr>
          <w:divsChild>
            <w:div w:id="163200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076127746">
      <w:bodyDiv w:val="1"/>
      <w:marLeft w:val="0"/>
      <w:marRight w:val="0"/>
      <w:marTop w:val="0"/>
      <w:marBottom w:val="0"/>
      <w:divBdr>
        <w:top w:val="none" w:sz="0" w:space="0" w:color="auto"/>
        <w:left w:val="none" w:sz="0" w:space="0" w:color="auto"/>
        <w:bottom w:val="none" w:sz="0" w:space="0" w:color="auto"/>
        <w:right w:val="none" w:sz="0" w:space="0" w:color="auto"/>
      </w:divBdr>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602105211">
              <w:marLeft w:val="0"/>
              <w:marRight w:val="0"/>
              <w:marTop w:val="0"/>
              <w:marBottom w:val="0"/>
              <w:divBdr>
                <w:top w:val="none" w:sz="0" w:space="0" w:color="auto"/>
                <w:left w:val="none" w:sz="0" w:space="0" w:color="auto"/>
                <w:bottom w:val="none" w:sz="0" w:space="0" w:color="auto"/>
                <w:right w:val="none" w:sz="0" w:space="0" w:color="auto"/>
              </w:divBdr>
            </w:div>
            <w:div w:id="171335758">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90886809">
      <w:bodyDiv w:val="1"/>
      <w:marLeft w:val="0"/>
      <w:marRight w:val="0"/>
      <w:marTop w:val="0"/>
      <w:marBottom w:val="0"/>
      <w:divBdr>
        <w:top w:val="none" w:sz="0" w:space="0" w:color="auto"/>
        <w:left w:val="none" w:sz="0" w:space="0" w:color="auto"/>
        <w:bottom w:val="none" w:sz="0" w:space="0" w:color="auto"/>
        <w:right w:val="none" w:sz="0" w:space="0" w:color="auto"/>
      </w:divBdr>
    </w:div>
    <w:div w:id="1433352651">
      <w:bodyDiv w:val="1"/>
      <w:marLeft w:val="0"/>
      <w:marRight w:val="0"/>
      <w:marTop w:val="0"/>
      <w:marBottom w:val="0"/>
      <w:divBdr>
        <w:top w:val="none" w:sz="0" w:space="0" w:color="auto"/>
        <w:left w:val="none" w:sz="0" w:space="0" w:color="auto"/>
        <w:bottom w:val="none" w:sz="0" w:space="0" w:color="auto"/>
        <w:right w:val="none" w:sz="0" w:space="0" w:color="auto"/>
      </w:divBdr>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232089820">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38088577">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149194558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37121495">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7995193">
      <w:bodyDiv w:val="1"/>
      <w:marLeft w:val="0"/>
      <w:marRight w:val="0"/>
      <w:marTop w:val="0"/>
      <w:marBottom w:val="0"/>
      <w:divBdr>
        <w:top w:val="none" w:sz="0" w:space="0" w:color="auto"/>
        <w:left w:val="none" w:sz="0" w:space="0" w:color="auto"/>
        <w:bottom w:val="none" w:sz="0" w:space="0" w:color="auto"/>
        <w:right w:val="none" w:sz="0" w:space="0" w:color="auto"/>
      </w:divBdr>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851845811">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14692568">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16068649">
      <w:bodyDiv w:val="1"/>
      <w:marLeft w:val="0"/>
      <w:marRight w:val="0"/>
      <w:marTop w:val="0"/>
      <w:marBottom w:val="0"/>
      <w:divBdr>
        <w:top w:val="none" w:sz="0" w:space="0" w:color="auto"/>
        <w:left w:val="none" w:sz="0" w:space="0" w:color="auto"/>
        <w:bottom w:val="none" w:sz="0" w:space="0" w:color="auto"/>
        <w:right w:val="none" w:sz="0" w:space="0" w:color="auto"/>
      </w:divBdr>
      <w:divsChild>
        <w:div w:id="222260201">
          <w:marLeft w:val="0"/>
          <w:marRight w:val="0"/>
          <w:marTop w:val="0"/>
          <w:marBottom w:val="0"/>
          <w:divBdr>
            <w:top w:val="none" w:sz="0" w:space="0" w:color="auto"/>
            <w:left w:val="none" w:sz="0" w:space="0" w:color="auto"/>
            <w:bottom w:val="none" w:sz="0" w:space="0" w:color="auto"/>
            <w:right w:val="none" w:sz="0" w:space="0" w:color="auto"/>
          </w:divBdr>
          <w:divsChild>
            <w:div w:id="61737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1555117914">
              <w:marLeft w:val="0"/>
              <w:marRight w:val="0"/>
              <w:marTop w:val="0"/>
              <w:marBottom w:val="0"/>
              <w:divBdr>
                <w:top w:val="none" w:sz="0" w:space="0" w:color="auto"/>
                <w:left w:val="none" w:sz="0" w:space="0" w:color="auto"/>
                <w:bottom w:val="none" w:sz="0" w:space="0" w:color="auto"/>
                <w:right w:val="none" w:sz="0" w:space="0" w:color="auto"/>
              </w:divBdr>
            </w:div>
            <w:div w:id="9818174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1320419857">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41717398">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204758420">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5590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64DAA3D-747A-414E-BD41-18F3EF069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5276</Words>
  <Characters>30075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Tushara Balendran</dc:creator>
  <cp:lastModifiedBy>chandru subbaiah</cp:lastModifiedBy>
  <cp:revision>2</cp:revision>
  <dcterms:created xsi:type="dcterms:W3CDTF">2025-11-21T07:27:00Z</dcterms:created>
  <dcterms:modified xsi:type="dcterms:W3CDTF">2025-11-21T07:27:00Z</dcterms:modified>
</cp:coreProperties>
</file>