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15373988"/>
        <w:docPartObj>
          <w:docPartGallery w:val="Cover Pages"/>
          <w:docPartUnique/>
        </w:docPartObj>
      </w:sdtPr>
      <w:sdtEndPr>
        <w:rPr>
          <w:rFonts w:ascii="Times New Roman" w:hAnsi="Times New Roman" w:cs="Times New Roman"/>
          <w:b/>
          <w:bCs/>
          <w:sz w:val="36"/>
          <w:szCs w:val="36"/>
        </w:rPr>
      </w:sdtEndPr>
      <w:sdtContent>
        <w:p w14:paraId="1FF4BD05" w14:textId="18BA16FD" w:rsidR="00A23FB8" w:rsidRDefault="00A23FB8"/>
        <w:p w14:paraId="24674409" w14:textId="77777777" w:rsidR="00A23FB8" w:rsidRDefault="00A23FB8" w:rsidP="00A23FB8">
          <w:pPr>
            <w:rPr>
              <w:rFonts w:ascii="Times New Roman" w:hAnsi="Times New Roman" w:cs="Times New Roman"/>
              <w:b/>
              <w:bCs/>
              <w:sz w:val="42"/>
              <w:szCs w:val="42"/>
            </w:rPr>
          </w:pPr>
          <w:r w:rsidRPr="00863363">
            <w:rPr>
              <w:rFonts w:ascii="Times New Roman" w:hAnsi="Times New Roman" w:cs="Times New Roman"/>
              <w:b/>
              <w:bCs/>
              <w:noProof/>
              <w:sz w:val="42"/>
              <w:szCs w:val="42"/>
            </w:rPr>
            <w:drawing>
              <wp:anchor distT="0" distB="0" distL="114300" distR="114300" simplePos="0" relativeHeight="251667456" behindDoc="1" locked="0" layoutInCell="1" allowOverlap="1" wp14:anchorId="591FB3A1" wp14:editId="303AFEDB">
                <wp:simplePos x="0" y="0"/>
                <wp:positionH relativeFrom="column">
                  <wp:posOffset>-635</wp:posOffset>
                </wp:positionH>
                <wp:positionV relativeFrom="paragraph">
                  <wp:posOffset>0</wp:posOffset>
                </wp:positionV>
                <wp:extent cx="820420" cy="811530"/>
                <wp:effectExtent l="0" t="0" r="0" b="7620"/>
                <wp:wrapTight wrapText="bothSides">
                  <wp:wrapPolygon edited="0">
                    <wp:start x="0" y="0"/>
                    <wp:lineTo x="0" y="21296"/>
                    <wp:lineTo x="21065" y="21296"/>
                    <wp:lineTo x="21065" y="0"/>
                    <wp:lineTo x="0" y="0"/>
                  </wp:wrapPolygon>
                </wp:wrapTight>
                <wp:docPr id="16009568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20420" cy="811530"/>
                        </a:xfrm>
                        <a:prstGeom prst="rect">
                          <a:avLst/>
                        </a:prstGeom>
                        <a:noFill/>
                      </pic:spPr>
                    </pic:pic>
                  </a:graphicData>
                </a:graphic>
                <wp14:sizeRelH relativeFrom="margin">
                  <wp14:pctWidth>0</wp14:pctWidth>
                </wp14:sizeRelH>
                <wp14:sizeRelV relativeFrom="margin">
                  <wp14:pctHeight>0</wp14:pctHeight>
                </wp14:sizeRelV>
              </wp:anchor>
            </w:drawing>
          </w:r>
          <w:r w:rsidRPr="00863363">
            <w:rPr>
              <w:rFonts w:ascii="Times New Roman" w:hAnsi="Times New Roman" w:cs="Times New Roman"/>
              <w:b/>
              <w:bCs/>
              <w:sz w:val="42"/>
              <w:szCs w:val="42"/>
            </w:rPr>
            <w:t>University of Wales Trinity Saint David – London Campus</w:t>
          </w:r>
        </w:p>
        <w:p w14:paraId="28A9C2FF" w14:textId="77777777" w:rsidR="00A23FB8" w:rsidRPr="00F86C2A" w:rsidRDefault="00A23FB8" w:rsidP="00A23FB8">
          <w:pPr>
            <w:rPr>
              <w:rFonts w:ascii="Times New Roman" w:hAnsi="Times New Roman" w:cs="Times New Roman"/>
              <w:b/>
              <w:bCs/>
              <w:sz w:val="42"/>
              <w:szCs w:val="42"/>
            </w:rPr>
          </w:pPr>
        </w:p>
        <w:p w14:paraId="13AA6D2F" w14:textId="77777777" w:rsidR="00A23FB8" w:rsidRPr="00863363" w:rsidRDefault="00A23FB8" w:rsidP="00A23FB8">
          <w:pPr>
            <w:jc w:val="center"/>
            <w:rPr>
              <w:rFonts w:ascii="Times New Roman" w:hAnsi="Times New Roman" w:cs="Times New Roman"/>
              <w:b/>
              <w:bCs/>
              <w:sz w:val="50"/>
              <w:szCs w:val="50"/>
            </w:rPr>
          </w:pPr>
          <w:r w:rsidRPr="00863363">
            <w:rPr>
              <w:rFonts w:ascii="Times New Roman" w:hAnsi="Times New Roman" w:cs="Times New Roman"/>
              <w:b/>
              <w:bCs/>
              <w:sz w:val="50"/>
              <w:szCs w:val="50"/>
            </w:rPr>
            <w:t>Data Security, Governance and Compliance</w:t>
          </w:r>
        </w:p>
        <w:p w14:paraId="0C2B4E90" w14:textId="3BA4DC49" w:rsidR="00A23FB8" w:rsidRPr="00863363" w:rsidRDefault="00A23FB8" w:rsidP="00A23FB8">
          <w:pPr>
            <w:jc w:val="center"/>
            <w:rPr>
              <w:rFonts w:ascii="Times New Roman" w:hAnsi="Times New Roman" w:cs="Times New Roman"/>
              <w:b/>
              <w:bCs/>
              <w:sz w:val="50"/>
              <w:szCs w:val="50"/>
            </w:rPr>
          </w:pPr>
          <w:r w:rsidRPr="00863363">
            <w:rPr>
              <w:rFonts w:ascii="Times New Roman" w:hAnsi="Times New Roman" w:cs="Times New Roman"/>
              <w:b/>
              <w:bCs/>
              <w:sz w:val="50"/>
              <w:szCs w:val="50"/>
            </w:rPr>
            <w:t>ACCA702</w:t>
          </w:r>
          <w:r w:rsidR="00772E2E">
            <w:rPr>
              <w:rFonts w:ascii="Times New Roman" w:hAnsi="Times New Roman" w:cs="Times New Roman"/>
              <w:b/>
              <w:bCs/>
              <w:sz w:val="50"/>
              <w:szCs w:val="50"/>
            </w:rPr>
            <w:t>8</w:t>
          </w:r>
        </w:p>
        <w:p w14:paraId="74719D69" w14:textId="77777777" w:rsidR="00A23FB8" w:rsidRPr="00863363" w:rsidRDefault="00A23FB8" w:rsidP="00A23FB8">
          <w:pPr>
            <w:jc w:val="both"/>
            <w:rPr>
              <w:rFonts w:ascii="Times New Roman" w:hAnsi="Times New Roman" w:cs="Times New Roman"/>
              <w:i/>
              <w:iCs/>
              <w:sz w:val="32"/>
              <w:szCs w:val="32"/>
            </w:rPr>
          </w:pPr>
          <w:r w:rsidRPr="00863363">
            <w:rPr>
              <w:rFonts w:ascii="Times New Roman" w:hAnsi="Times New Roman" w:cs="Times New Roman"/>
              <w:sz w:val="32"/>
              <w:szCs w:val="32"/>
            </w:rPr>
            <w:t>Assignment Title:</w:t>
          </w:r>
          <w:r w:rsidRPr="00863363">
            <w:rPr>
              <w:rFonts w:ascii="Times New Roman" w:hAnsi="Times New Roman" w:cs="Times New Roman"/>
              <w:b/>
              <w:bCs/>
              <w:sz w:val="40"/>
              <w:szCs w:val="40"/>
            </w:rPr>
            <w:t xml:space="preserve"> </w:t>
          </w:r>
          <w:r w:rsidRPr="00863363">
            <w:rPr>
              <w:rFonts w:ascii="Times New Roman" w:hAnsi="Times New Roman" w:cs="Times New Roman"/>
              <w:i/>
              <w:iCs/>
              <w:sz w:val="28"/>
              <w:szCs w:val="28"/>
            </w:rPr>
            <w:t>Apply the Principles and Practices of Data Security, Governance and Compliance Based on a Given Scenario</w:t>
          </w:r>
        </w:p>
        <w:p w14:paraId="45B0C0B4" w14:textId="77777777" w:rsidR="00A23FB8" w:rsidRPr="00863363" w:rsidRDefault="00A23FB8" w:rsidP="00A23FB8">
          <w:pPr>
            <w:rPr>
              <w:rFonts w:ascii="Times New Roman" w:hAnsi="Times New Roman" w:cs="Times New Roman"/>
              <w:b/>
              <w:bCs/>
              <w:sz w:val="32"/>
              <w:szCs w:val="32"/>
            </w:rPr>
          </w:pPr>
        </w:p>
        <w:p w14:paraId="28DD8119" w14:textId="77777777" w:rsidR="00A23FB8" w:rsidRPr="00863363" w:rsidRDefault="00A23FB8" w:rsidP="00A23FB8">
          <w:pPr>
            <w:jc w:val="both"/>
            <w:rPr>
              <w:rFonts w:ascii="Times New Roman" w:hAnsi="Times New Roman" w:cs="Times New Roman"/>
              <w:b/>
              <w:bCs/>
              <w:sz w:val="32"/>
              <w:szCs w:val="32"/>
              <w:u w:val="single"/>
            </w:rPr>
          </w:pPr>
          <w:r w:rsidRPr="00863363">
            <w:rPr>
              <w:rFonts w:ascii="Times New Roman" w:hAnsi="Times New Roman" w:cs="Times New Roman"/>
              <w:b/>
              <w:bCs/>
              <w:sz w:val="32"/>
              <w:szCs w:val="32"/>
              <w:u w:val="single"/>
            </w:rPr>
            <w:t>Student Detail</w:t>
          </w:r>
        </w:p>
        <w:p w14:paraId="54AE6F67" w14:textId="77777777" w:rsidR="00A23FB8" w:rsidRPr="00863363" w:rsidRDefault="00A23FB8" w:rsidP="00A23FB8">
          <w:pPr>
            <w:jc w:val="both"/>
            <w:rPr>
              <w:rFonts w:ascii="Times New Roman" w:hAnsi="Times New Roman" w:cs="Times New Roman"/>
              <w:sz w:val="32"/>
              <w:szCs w:val="32"/>
            </w:rPr>
          </w:pPr>
          <w:r w:rsidRPr="00863363">
            <w:rPr>
              <w:rFonts w:ascii="Times New Roman" w:hAnsi="Times New Roman" w:cs="Times New Roman"/>
              <w:sz w:val="32"/>
              <w:szCs w:val="32"/>
            </w:rPr>
            <w:t xml:space="preserve">Student Name: </w:t>
          </w:r>
          <w:r w:rsidRPr="00863363">
            <w:rPr>
              <w:rFonts w:ascii="Times New Roman" w:hAnsi="Times New Roman" w:cs="Times New Roman"/>
              <w:sz w:val="32"/>
              <w:szCs w:val="32"/>
            </w:rPr>
            <w:tab/>
          </w:r>
          <w:r w:rsidRPr="00863363">
            <w:rPr>
              <w:rFonts w:ascii="Times New Roman" w:hAnsi="Times New Roman" w:cs="Times New Roman"/>
              <w:sz w:val="32"/>
              <w:szCs w:val="32"/>
            </w:rPr>
            <w:tab/>
          </w:r>
          <w:r w:rsidRPr="00863363">
            <w:rPr>
              <w:rFonts w:ascii="Times New Roman" w:hAnsi="Times New Roman" w:cs="Times New Roman"/>
              <w:sz w:val="32"/>
              <w:szCs w:val="32"/>
            </w:rPr>
            <w:tab/>
            <w:t>SAMEER SUKHADIYA</w:t>
          </w:r>
        </w:p>
        <w:p w14:paraId="42F49BA8" w14:textId="77777777" w:rsidR="00A23FB8" w:rsidRPr="00863363" w:rsidRDefault="00A23FB8" w:rsidP="00A23FB8">
          <w:pPr>
            <w:jc w:val="both"/>
            <w:rPr>
              <w:rFonts w:ascii="Times New Roman" w:hAnsi="Times New Roman" w:cs="Times New Roman"/>
              <w:sz w:val="32"/>
              <w:szCs w:val="32"/>
            </w:rPr>
          </w:pPr>
          <w:r w:rsidRPr="00863363">
            <w:rPr>
              <w:rFonts w:ascii="Times New Roman" w:hAnsi="Times New Roman" w:cs="Times New Roman"/>
              <w:sz w:val="32"/>
              <w:szCs w:val="32"/>
            </w:rPr>
            <w:t xml:space="preserve">Student ID: </w:t>
          </w:r>
          <w:r w:rsidRPr="00863363">
            <w:rPr>
              <w:rFonts w:ascii="Times New Roman" w:hAnsi="Times New Roman" w:cs="Times New Roman"/>
              <w:sz w:val="32"/>
              <w:szCs w:val="32"/>
            </w:rPr>
            <w:tab/>
          </w:r>
          <w:r w:rsidRPr="00863363">
            <w:rPr>
              <w:rFonts w:ascii="Times New Roman" w:hAnsi="Times New Roman" w:cs="Times New Roman"/>
              <w:sz w:val="32"/>
              <w:szCs w:val="32"/>
            </w:rPr>
            <w:tab/>
          </w:r>
          <w:r w:rsidRPr="00863363">
            <w:rPr>
              <w:rFonts w:ascii="Times New Roman" w:hAnsi="Times New Roman" w:cs="Times New Roman"/>
              <w:sz w:val="32"/>
              <w:szCs w:val="32"/>
            </w:rPr>
            <w:tab/>
            <w:t>2536690</w:t>
          </w:r>
        </w:p>
        <w:p w14:paraId="3D0462AF" w14:textId="77777777" w:rsidR="00A23FB8" w:rsidRPr="00863363" w:rsidRDefault="00A23FB8" w:rsidP="00A23FB8">
          <w:pPr>
            <w:jc w:val="both"/>
            <w:rPr>
              <w:rFonts w:ascii="Times New Roman" w:hAnsi="Times New Roman" w:cs="Times New Roman"/>
              <w:sz w:val="32"/>
              <w:szCs w:val="32"/>
            </w:rPr>
          </w:pPr>
          <w:r w:rsidRPr="00863363">
            <w:rPr>
              <w:rFonts w:ascii="Times New Roman" w:hAnsi="Times New Roman" w:cs="Times New Roman"/>
              <w:sz w:val="32"/>
              <w:szCs w:val="32"/>
            </w:rPr>
            <w:t xml:space="preserve">Programme: </w:t>
          </w:r>
          <w:r w:rsidRPr="00863363">
            <w:rPr>
              <w:rFonts w:ascii="Times New Roman" w:hAnsi="Times New Roman" w:cs="Times New Roman"/>
              <w:sz w:val="32"/>
              <w:szCs w:val="32"/>
            </w:rPr>
            <w:tab/>
          </w:r>
          <w:r w:rsidRPr="00863363">
            <w:rPr>
              <w:rFonts w:ascii="Times New Roman" w:hAnsi="Times New Roman" w:cs="Times New Roman"/>
              <w:sz w:val="32"/>
              <w:szCs w:val="32"/>
            </w:rPr>
            <w:tab/>
          </w:r>
          <w:r w:rsidRPr="00863363">
            <w:rPr>
              <w:rFonts w:ascii="Times New Roman" w:hAnsi="Times New Roman" w:cs="Times New Roman"/>
              <w:sz w:val="32"/>
              <w:szCs w:val="32"/>
            </w:rPr>
            <w:tab/>
            <w:t>MSc Cybersecurity and Digital Forensics</w:t>
          </w:r>
        </w:p>
        <w:p w14:paraId="6C4AA791" w14:textId="77777777" w:rsidR="00A23FB8" w:rsidRPr="00863363" w:rsidRDefault="00A23FB8" w:rsidP="00A23FB8">
          <w:pPr>
            <w:jc w:val="both"/>
            <w:rPr>
              <w:rFonts w:ascii="Times New Roman" w:hAnsi="Times New Roman" w:cs="Times New Roman"/>
              <w:sz w:val="32"/>
              <w:szCs w:val="32"/>
            </w:rPr>
          </w:pPr>
          <w:r w:rsidRPr="00CB460D">
            <w:rPr>
              <w:rFonts w:ascii="Times New Roman" w:hAnsi="Times New Roman" w:cs="Times New Roman"/>
              <w:sz w:val="32"/>
              <w:szCs w:val="32"/>
            </w:rPr>
            <w:t>Lecturer</w:t>
          </w:r>
          <w:r w:rsidRPr="00863363">
            <w:rPr>
              <w:rFonts w:ascii="Times New Roman" w:hAnsi="Times New Roman" w:cs="Times New Roman"/>
              <w:sz w:val="32"/>
              <w:szCs w:val="32"/>
            </w:rPr>
            <w:t xml:space="preserve">: </w:t>
          </w:r>
          <w:r w:rsidRPr="00863363">
            <w:rPr>
              <w:rFonts w:ascii="Times New Roman" w:hAnsi="Times New Roman" w:cs="Times New Roman"/>
              <w:sz w:val="32"/>
              <w:szCs w:val="32"/>
            </w:rPr>
            <w:tab/>
          </w:r>
          <w:r w:rsidRPr="00863363">
            <w:rPr>
              <w:rFonts w:ascii="Times New Roman" w:hAnsi="Times New Roman" w:cs="Times New Roman"/>
              <w:sz w:val="32"/>
              <w:szCs w:val="32"/>
            </w:rPr>
            <w:tab/>
          </w:r>
          <w:r w:rsidRPr="00863363">
            <w:rPr>
              <w:rFonts w:ascii="Times New Roman" w:hAnsi="Times New Roman" w:cs="Times New Roman"/>
              <w:sz w:val="32"/>
              <w:szCs w:val="32"/>
            </w:rPr>
            <w:tab/>
          </w:r>
          <w:r w:rsidRPr="00863363">
            <w:rPr>
              <w:rFonts w:ascii="Times New Roman" w:hAnsi="Times New Roman" w:cs="Times New Roman"/>
              <w:sz w:val="32"/>
              <w:szCs w:val="32"/>
            </w:rPr>
            <w:tab/>
            <w:t>Dr Ayman El Hajjar</w:t>
          </w:r>
        </w:p>
        <w:p w14:paraId="070B5745" w14:textId="77777777" w:rsidR="00A23FB8" w:rsidRPr="00863363" w:rsidRDefault="00A23FB8" w:rsidP="00A23FB8">
          <w:pPr>
            <w:jc w:val="both"/>
            <w:rPr>
              <w:rFonts w:ascii="Times New Roman" w:hAnsi="Times New Roman" w:cs="Times New Roman"/>
              <w:sz w:val="32"/>
              <w:szCs w:val="32"/>
            </w:rPr>
          </w:pPr>
          <w:r w:rsidRPr="00863363">
            <w:rPr>
              <w:rFonts w:ascii="Times New Roman" w:hAnsi="Times New Roman" w:cs="Times New Roman"/>
              <w:sz w:val="32"/>
              <w:szCs w:val="32"/>
            </w:rPr>
            <w:t xml:space="preserve">Submission Date: </w:t>
          </w:r>
          <w:r w:rsidRPr="00863363">
            <w:rPr>
              <w:rFonts w:ascii="Times New Roman" w:hAnsi="Times New Roman" w:cs="Times New Roman"/>
              <w:sz w:val="32"/>
              <w:szCs w:val="32"/>
            </w:rPr>
            <w:tab/>
          </w:r>
          <w:r w:rsidRPr="00863363">
            <w:rPr>
              <w:rFonts w:ascii="Times New Roman" w:hAnsi="Times New Roman" w:cs="Times New Roman"/>
              <w:sz w:val="32"/>
              <w:szCs w:val="32"/>
            </w:rPr>
            <w:tab/>
            <w:t>12 August 2026</w:t>
          </w:r>
        </w:p>
        <w:p w14:paraId="32BE0E2D" w14:textId="5AAED047" w:rsidR="003A1269" w:rsidRPr="00AC5857" w:rsidRDefault="00A23FB8" w:rsidP="00E22D90">
          <w:pPr>
            <w:rPr>
              <w:rFonts w:ascii="Times New Roman" w:hAnsi="Times New Roman" w:cs="Times New Roman"/>
              <w:sz w:val="32"/>
              <w:szCs w:val="32"/>
            </w:rPr>
            <w:sectPr w:rsidR="003A1269" w:rsidRPr="00AC5857" w:rsidSect="00A23FB8">
              <w:footerReference w:type="default" r:id="rId9"/>
              <w:footerReference w:type="first" r:id="rId10"/>
              <w:pgSz w:w="11906" w:h="16838"/>
              <w:pgMar w:top="1440" w:right="1440" w:bottom="1440" w:left="1440" w:header="708" w:footer="708" w:gutter="0"/>
              <w:pgNumType w:fmt="lowerRoman" w:start="0"/>
              <w:cols w:space="708"/>
              <w:titlePg/>
              <w:docGrid w:linePitch="360"/>
            </w:sectPr>
          </w:pPr>
          <w:r>
            <w:rPr>
              <w:rFonts w:ascii="Times New Roman" w:hAnsi="Times New Roman" w:cs="Times New Roman"/>
              <w:b/>
              <w:bCs/>
              <w:sz w:val="36"/>
              <w:szCs w:val="36"/>
            </w:rPr>
            <w:br w:type="page"/>
          </w:r>
        </w:p>
      </w:sdtContent>
    </w:sdt>
    <w:p w14:paraId="62F56E58" w14:textId="0DB19FEC" w:rsidR="00EA09D8" w:rsidRDefault="00EA09D8" w:rsidP="00EA09D8">
      <w:pPr>
        <w:pStyle w:val="TableofContent"/>
      </w:pPr>
      <w:r>
        <w:lastRenderedPageBreak/>
        <w:t>Index</w:t>
      </w:r>
    </w:p>
    <w:p w14:paraId="20584F95" w14:textId="5F8A97FB" w:rsidR="00EA09D8" w:rsidRPr="00EA09D8" w:rsidRDefault="00EA09D8">
      <w:pPr>
        <w:pStyle w:val="TOC1"/>
        <w:tabs>
          <w:tab w:val="right" w:leader="dot" w:pos="9016"/>
        </w:tabs>
        <w:rPr>
          <w:rFonts w:ascii="Times New Roman" w:eastAsiaTheme="minorEastAsia" w:hAnsi="Times New Roman" w:cs="Times New Roman"/>
          <w:b w:val="0"/>
          <w:bCs w:val="0"/>
          <w:caps w:val="0"/>
          <w:noProof/>
          <w:sz w:val="24"/>
          <w:szCs w:val="24"/>
          <w:lang w:val="en-IN" w:eastAsia="en-IN"/>
        </w:rPr>
      </w:pPr>
      <w:r w:rsidRPr="00EA09D8">
        <w:rPr>
          <w:rFonts w:ascii="Times New Roman" w:hAnsi="Times New Roman" w:cs="Times New Roman"/>
          <w:caps w:val="0"/>
          <w:sz w:val="24"/>
          <w:szCs w:val="24"/>
        </w:rPr>
        <w:fldChar w:fldCharType="begin"/>
      </w:r>
      <w:r w:rsidRPr="00EA09D8">
        <w:rPr>
          <w:rFonts w:ascii="Times New Roman" w:hAnsi="Times New Roman" w:cs="Times New Roman"/>
          <w:caps w:val="0"/>
          <w:sz w:val="24"/>
          <w:szCs w:val="24"/>
        </w:rPr>
        <w:instrText xml:space="preserve"> TOC \o "1-2" \u </w:instrText>
      </w:r>
      <w:r w:rsidRPr="00EA09D8">
        <w:rPr>
          <w:rFonts w:ascii="Times New Roman" w:hAnsi="Times New Roman" w:cs="Times New Roman"/>
          <w:caps w:val="0"/>
          <w:sz w:val="24"/>
          <w:szCs w:val="24"/>
        </w:rPr>
        <w:fldChar w:fldCharType="separate"/>
      </w:r>
      <w:r w:rsidRPr="00EA09D8">
        <w:rPr>
          <w:rFonts w:ascii="Times New Roman" w:hAnsi="Times New Roman" w:cs="Times New Roman"/>
          <w:noProof/>
          <w:sz w:val="24"/>
          <w:szCs w:val="24"/>
        </w:rPr>
        <w:t>Abstract</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_Toc237168257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ii</w:t>
      </w:r>
      <w:r w:rsidRPr="00EA09D8">
        <w:rPr>
          <w:rFonts w:ascii="Times New Roman" w:hAnsi="Times New Roman" w:cs="Times New Roman"/>
          <w:noProof/>
          <w:sz w:val="24"/>
          <w:szCs w:val="24"/>
        </w:rPr>
        <w:fldChar w:fldCharType="end"/>
      </w:r>
    </w:p>
    <w:p w14:paraId="76F1C04C" w14:textId="5654CF7F" w:rsidR="00EA09D8" w:rsidRPr="00EA09D8" w:rsidRDefault="00EA09D8">
      <w:pPr>
        <w:pStyle w:val="TOC1"/>
        <w:tabs>
          <w:tab w:val="left" w:pos="480"/>
          <w:tab w:val="right" w:leader="dot" w:pos="9016"/>
        </w:tabs>
        <w:rPr>
          <w:rFonts w:ascii="Times New Roman" w:eastAsiaTheme="minorEastAsia" w:hAnsi="Times New Roman" w:cs="Times New Roman"/>
          <w:b w:val="0"/>
          <w:bCs w:val="0"/>
          <w:caps w:val="0"/>
          <w:noProof/>
          <w:sz w:val="24"/>
          <w:szCs w:val="24"/>
          <w:lang w:val="en-IN" w:eastAsia="en-IN"/>
        </w:rPr>
      </w:pPr>
      <w:r w:rsidRPr="00EA09D8">
        <w:rPr>
          <w:rFonts w:ascii="Times New Roman" w:hAnsi="Times New Roman" w:cs="Times New Roman"/>
          <w:iCs/>
          <w:noProof/>
          <w:sz w:val="24"/>
          <w:szCs w:val="24"/>
        </w:rPr>
        <w:t>1.</w:t>
      </w:r>
      <w:r w:rsidRPr="00EA09D8">
        <w:rPr>
          <w:rFonts w:ascii="Times New Roman" w:eastAsiaTheme="minorEastAsia" w:hAnsi="Times New Roman" w:cs="Times New Roman"/>
          <w:b w:val="0"/>
          <w:bCs w:val="0"/>
          <w:caps w:val="0"/>
          <w:noProof/>
          <w:sz w:val="24"/>
          <w:szCs w:val="24"/>
          <w:lang w:val="en-IN" w:eastAsia="en-IN"/>
        </w:rPr>
        <w:tab/>
      </w:r>
      <w:r w:rsidRPr="00EA09D8">
        <w:rPr>
          <w:rFonts w:ascii="Times New Roman" w:hAnsi="Times New Roman" w:cs="Times New Roman"/>
          <w:noProof/>
          <w:sz w:val="24"/>
          <w:szCs w:val="24"/>
        </w:rPr>
        <w:t>Introduction</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_Toc237168258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w:t>
      </w:r>
      <w:r w:rsidRPr="00EA09D8">
        <w:rPr>
          <w:rFonts w:ascii="Times New Roman" w:hAnsi="Times New Roman" w:cs="Times New Roman"/>
          <w:noProof/>
          <w:sz w:val="24"/>
          <w:szCs w:val="24"/>
        </w:rPr>
        <w:fldChar w:fldCharType="end"/>
      </w:r>
    </w:p>
    <w:p w14:paraId="336B1427" w14:textId="084024DE" w:rsidR="00EA09D8" w:rsidRPr="00EA09D8" w:rsidRDefault="00EA09D8">
      <w:pPr>
        <w:pStyle w:val="TOC1"/>
        <w:tabs>
          <w:tab w:val="left" w:pos="480"/>
          <w:tab w:val="right" w:leader="dot" w:pos="9016"/>
        </w:tabs>
        <w:rPr>
          <w:rFonts w:ascii="Times New Roman" w:eastAsiaTheme="minorEastAsia" w:hAnsi="Times New Roman" w:cs="Times New Roman"/>
          <w:b w:val="0"/>
          <w:bCs w:val="0"/>
          <w:caps w:val="0"/>
          <w:noProof/>
          <w:sz w:val="24"/>
          <w:szCs w:val="24"/>
          <w:lang w:val="en-IN" w:eastAsia="en-IN"/>
        </w:rPr>
      </w:pPr>
      <w:r w:rsidRPr="00EA09D8">
        <w:rPr>
          <w:rFonts w:ascii="Times New Roman" w:hAnsi="Times New Roman" w:cs="Times New Roman"/>
          <w:noProof/>
          <w:sz w:val="24"/>
          <w:szCs w:val="24"/>
        </w:rPr>
        <w:t>2.</w:t>
      </w:r>
      <w:r w:rsidRPr="00EA09D8">
        <w:rPr>
          <w:rFonts w:ascii="Times New Roman" w:eastAsiaTheme="minorEastAsia" w:hAnsi="Times New Roman" w:cs="Times New Roman"/>
          <w:b w:val="0"/>
          <w:bCs w:val="0"/>
          <w:caps w:val="0"/>
          <w:noProof/>
          <w:sz w:val="24"/>
          <w:szCs w:val="24"/>
          <w:lang w:val="en-IN" w:eastAsia="en-IN"/>
        </w:rPr>
        <w:tab/>
      </w:r>
      <w:r w:rsidRPr="00EA09D8">
        <w:rPr>
          <w:rFonts w:ascii="Times New Roman" w:hAnsi="Times New Roman" w:cs="Times New Roman"/>
          <w:noProof/>
          <w:sz w:val="24"/>
          <w:szCs w:val="24"/>
        </w:rPr>
        <w:t>AeroLink Logistics: Organisational context and Cybersecurity Challenges</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_Toc237168259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2</w:t>
      </w:r>
      <w:r w:rsidRPr="00EA09D8">
        <w:rPr>
          <w:rFonts w:ascii="Times New Roman" w:hAnsi="Times New Roman" w:cs="Times New Roman"/>
          <w:noProof/>
          <w:sz w:val="24"/>
          <w:szCs w:val="24"/>
        </w:rPr>
        <w:fldChar w:fldCharType="end"/>
      </w:r>
    </w:p>
    <w:p w14:paraId="2DF0EF6A" w14:textId="7C827071" w:rsidR="00EA09D8" w:rsidRPr="00EA09D8" w:rsidRDefault="00EA09D8">
      <w:pPr>
        <w:pStyle w:val="TOC1"/>
        <w:tabs>
          <w:tab w:val="left" w:pos="480"/>
          <w:tab w:val="right" w:leader="dot" w:pos="9016"/>
        </w:tabs>
        <w:rPr>
          <w:rFonts w:ascii="Times New Roman" w:eastAsiaTheme="minorEastAsia" w:hAnsi="Times New Roman" w:cs="Times New Roman"/>
          <w:b w:val="0"/>
          <w:bCs w:val="0"/>
          <w:caps w:val="0"/>
          <w:noProof/>
          <w:sz w:val="24"/>
          <w:szCs w:val="24"/>
          <w:lang w:val="en-IN" w:eastAsia="en-IN"/>
        </w:rPr>
      </w:pPr>
      <w:r w:rsidRPr="00EA09D8">
        <w:rPr>
          <w:rFonts w:ascii="Times New Roman" w:hAnsi="Times New Roman" w:cs="Times New Roman"/>
          <w:noProof/>
          <w:sz w:val="24"/>
          <w:szCs w:val="24"/>
        </w:rPr>
        <w:t>3.</w:t>
      </w:r>
      <w:r w:rsidRPr="00EA09D8">
        <w:rPr>
          <w:rFonts w:ascii="Times New Roman" w:eastAsiaTheme="minorEastAsia" w:hAnsi="Times New Roman" w:cs="Times New Roman"/>
          <w:b w:val="0"/>
          <w:bCs w:val="0"/>
          <w:caps w:val="0"/>
          <w:noProof/>
          <w:sz w:val="24"/>
          <w:szCs w:val="24"/>
          <w:lang w:val="en-IN" w:eastAsia="en-IN"/>
        </w:rPr>
        <w:tab/>
      </w:r>
      <w:r w:rsidRPr="00EA09D8">
        <w:rPr>
          <w:rFonts w:ascii="Times New Roman" w:hAnsi="Times New Roman" w:cs="Times New Roman"/>
          <w:noProof/>
          <w:sz w:val="24"/>
          <w:szCs w:val="24"/>
        </w:rPr>
        <w:t>Security Framework Research and Evaluation</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_Toc237168260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4</w:t>
      </w:r>
      <w:r w:rsidRPr="00EA09D8">
        <w:rPr>
          <w:rFonts w:ascii="Times New Roman" w:hAnsi="Times New Roman" w:cs="Times New Roman"/>
          <w:noProof/>
          <w:sz w:val="24"/>
          <w:szCs w:val="24"/>
        </w:rPr>
        <w:fldChar w:fldCharType="end"/>
      </w:r>
    </w:p>
    <w:p w14:paraId="0F1D87C8" w14:textId="06C96415"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3.1 ISO/IEC 27001:2022</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_Toc237168261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4</w:t>
      </w:r>
      <w:r w:rsidRPr="00EA09D8">
        <w:rPr>
          <w:rFonts w:ascii="Times New Roman" w:hAnsi="Times New Roman" w:cs="Times New Roman"/>
          <w:noProof/>
          <w:sz w:val="24"/>
          <w:szCs w:val="24"/>
        </w:rPr>
        <w:fldChar w:fldCharType="end"/>
      </w:r>
    </w:p>
    <w:p w14:paraId="7AEEC810" w14:textId="6B71BA28"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3.2 NIST Cybersecurity Framework 2.0</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_Toc237168262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4</w:t>
      </w:r>
      <w:r w:rsidRPr="00EA09D8">
        <w:rPr>
          <w:rFonts w:ascii="Times New Roman" w:hAnsi="Times New Roman" w:cs="Times New Roman"/>
          <w:noProof/>
          <w:sz w:val="24"/>
          <w:szCs w:val="24"/>
        </w:rPr>
        <w:fldChar w:fldCharType="end"/>
      </w:r>
    </w:p>
    <w:p w14:paraId="357E07CC" w14:textId="584CB17A"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3.3 Comparative Evaluation</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_Toc237168263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5</w:t>
      </w:r>
      <w:r w:rsidRPr="00EA09D8">
        <w:rPr>
          <w:rFonts w:ascii="Times New Roman" w:hAnsi="Times New Roman" w:cs="Times New Roman"/>
          <w:noProof/>
          <w:sz w:val="24"/>
          <w:szCs w:val="24"/>
        </w:rPr>
        <w:fldChar w:fldCharType="end"/>
      </w:r>
    </w:p>
    <w:p w14:paraId="3EFDEBDC" w14:textId="19CA819B" w:rsidR="00EA09D8" w:rsidRPr="00EA09D8" w:rsidRDefault="00EA09D8">
      <w:pPr>
        <w:pStyle w:val="TOC1"/>
        <w:tabs>
          <w:tab w:val="left" w:pos="480"/>
          <w:tab w:val="right" w:leader="dot" w:pos="9016"/>
        </w:tabs>
        <w:rPr>
          <w:rFonts w:ascii="Times New Roman" w:eastAsiaTheme="minorEastAsia" w:hAnsi="Times New Roman" w:cs="Times New Roman"/>
          <w:b w:val="0"/>
          <w:bCs w:val="0"/>
          <w:caps w:val="0"/>
          <w:noProof/>
          <w:sz w:val="24"/>
          <w:szCs w:val="24"/>
          <w:lang w:val="en-IN" w:eastAsia="en-IN"/>
        </w:rPr>
      </w:pPr>
      <w:r w:rsidRPr="00EA09D8">
        <w:rPr>
          <w:rFonts w:ascii="Times New Roman" w:hAnsi="Times New Roman" w:cs="Times New Roman"/>
          <w:noProof/>
          <w:sz w:val="24"/>
          <w:szCs w:val="24"/>
        </w:rPr>
        <w:t>4.</w:t>
      </w:r>
      <w:r w:rsidRPr="00EA09D8">
        <w:rPr>
          <w:rFonts w:ascii="Times New Roman" w:eastAsiaTheme="minorEastAsia" w:hAnsi="Times New Roman" w:cs="Times New Roman"/>
          <w:b w:val="0"/>
          <w:bCs w:val="0"/>
          <w:caps w:val="0"/>
          <w:noProof/>
          <w:sz w:val="24"/>
          <w:szCs w:val="24"/>
          <w:lang w:val="en-IN" w:eastAsia="en-IN"/>
        </w:rPr>
        <w:tab/>
      </w:r>
      <w:r w:rsidRPr="00EA09D8">
        <w:rPr>
          <w:rFonts w:ascii="Times New Roman" w:hAnsi="Times New Roman" w:cs="Times New Roman"/>
          <w:noProof/>
          <w:sz w:val="24"/>
          <w:szCs w:val="24"/>
        </w:rPr>
        <w:t>Proposed Security Governance and Compliance Framework</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_Toc237168264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7</w:t>
      </w:r>
      <w:r w:rsidRPr="00EA09D8">
        <w:rPr>
          <w:rFonts w:ascii="Times New Roman" w:hAnsi="Times New Roman" w:cs="Times New Roman"/>
          <w:noProof/>
          <w:sz w:val="24"/>
          <w:szCs w:val="24"/>
        </w:rPr>
        <w:fldChar w:fldCharType="end"/>
      </w:r>
    </w:p>
    <w:p w14:paraId="2E4E2D17" w14:textId="51343E0E"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4.1 Governance Structure and Accountability</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_Toc237168265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7</w:t>
      </w:r>
      <w:r w:rsidRPr="00EA09D8">
        <w:rPr>
          <w:rFonts w:ascii="Times New Roman" w:hAnsi="Times New Roman" w:cs="Times New Roman"/>
          <w:noProof/>
          <w:sz w:val="24"/>
          <w:szCs w:val="24"/>
        </w:rPr>
        <w:fldChar w:fldCharType="end"/>
      </w:r>
    </w:p>
    <w:p w14:paraId="0824A0DA" w14:textId="3EDEBC0D"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4.2 Legal, Regulatory and Contractual Compliance</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_Toc237168266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8</w:t>
      </w:r>
      <w:r w:rsidRPr="00EA09D8">
        <w:rPr>
          <w:rFonts w:ascii="Times New Roman" w:hAnsi="Times New Roman" w:cs="Times New Roman"/>
          <w:noProof/>
          <w:sz w:val="24"/>
          <w:szCs w:val="24"/>
        </w:rPr>
        <w:fldChar w:fldCharType="end"/>
      </w:r>
    </w:p>
    <w:p w14:paraId="003B8857" w14:textId="3507AC02"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4.3 Audit, Evidence and Compliance Monitoring</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_Toc237168267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9</w:t>
      </w:r>
      <w:r w:rsidRPr="00EA09D8">
        <w:rPr>
          <w:rFonts w:ascii="Times New Roman" w:hAnsi="Times New Roman" w:cs="Times New Roman"/>
          <w:noProof/>
          <w:sz w:val="24"/>
          <w:szCs w:val="24"/>
        </w:rPr>
        <w:fldChar w:fldCharType="end"/>
      </w:r>
    </w:p>
    <w:p w14:paraId="06EA2D7A" w14:textId="03E2D99B"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4.4 Phased Implementation</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_Toc237168268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9</w:t>
      </w:r>
      <w:r w:rsidRPr="00EA09D8">
        <w:rPr>
          <w:rFonts w:ascii="Times New Roman" w:hAnsi="Times New Roman" w:cs="Times New Roman"/>
          <w:noProof/>
          <w:sz w:val="24"/>
          <w:szCs w:val="24"/>
        </w:rPr>
        <w:fldChar w:fldCharType="end"/>
      </w:r>
    </w:p>
    <w:p w14:paraId="60DF59D1" w14:textId="38A0D9BE" w:rsidR="00EA09D8" w:rsidRPr="00EA09D8" w:rsidRDefault="00EA09D8">
      <w:pPr>
        <w:pStyle w:val="TOC1"/>
        <w:tabs>
          <w:tab w:val="left" w:pos="480"/>
          <w:tab w:val="right" w:leader="dot" w:pos="9016"/>
        </w:tabs>
        <w:rPr>
          <w:rFonts w:ascii="Times New Roman" w:eastAsiaTheme="minorEastAsia" w:hAnsi="Times New Roman" w:cs="Times New Roman"/>
          <w:b w:val="0"/>
          <w:bCs w:val="0"/>
          <w:caps w:val="0"/>
          <w:noProof/>
          <w:sz w:val="24"/>
          <w:szCs w:val="24"/>
          <w:lang w:val="en-IN" w:eastAsia="en-IN"/>
        </w:rPr>
      </w:pPr>
      <w:r w:rsidRPr="00EA09D8">
        <w:rPr>
          <w:rFonts w:ascii="Times New Roman" w:hAnsi="Times New Roman" w:cs="Times New Roman"/>
          <w:noProof/>
          <w:sz w:val="24"/>
          <w:szCs w:val="24"/>
        </w:rPr>
        <w:t>5.</w:t>
      </w:r>
      <w:r w:rsidRPr="00EA09D8">
        <w:rPr>
          <w:rFonts w:ascii="Times New Roman" w:eastAsiaTheme="minorEastAsia" w:hAnsi="Times New Roman" w:cs="Times New Roman"/>
          <w:b w:val="0"/>
          <w:bCs w:val="0"/>
          <w:caps w:val="0"/>
          <w:noProof/>
          <w:sz w:val="24"/>
          <w:szCs w:val="24"/>
          <w:lang w:val="en-IN" w:eastAsia="en-IN"/>
        </w:rPr>
        <w:tab/>
      </w:r>
      <w:r w:rsidRPr="00EA09D8">
        <w:rPr>
          <w:rFonts w:ascii="Times New Roman" w:hAnsi="Times New Roman" w:cs="Times New Roman"/>
          <w:noProof/>
          <w:sz w:val="24"/>
          <w:szCs w:val="24"/>
        </w:rPr>
        <w:t>Cybersecurity Risk Management</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_Toc237168269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10</w:t>
      </w:r>
      <w:r w:rsidRPr="00EA09D8">
        <w:rPr>
          <w:rFonts w:ascii="Times New Roman" w:hAnsi="Times New Roman" w:cs="Times New Roman"/>
          <w:noProof/>
          <w:sz w:val="24"/>
          <w:szCs w:val="24"/>
        </w:rPr>
        <w:fldChar w:fldCharType="end"/>
      </w:r>
    </w:p>
    <w:p w14:paraId="73858D7E" w14:textId="35095708"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5.1 Risk Identification and Assessment</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_Toc237168270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10</w:t>
      </w:r>
      <w:r w:rsidRPr="00EA09D8">
        <w:rPr>
          <w:rFonts w:ascii="Times New Roman" w:hAnsi="Times New Roman" w:cs="Times New Roman"/>
          <w:noProof/>
          <w:sz w:val="24"/>
          <w:szCs w:val="24"/>
        </w:rPr>
        <w:fldChar w:fldCharType="end"/>
      </w:r>
    </w:p>
    <w:p w14:paraId="6591FEE0" w14:textId="75A232D1"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5.2 Bow-Tie Risk Analysis</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_Toc237168271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11</w:t>
      </w:r>
      <w:r w:rsidRPr="00EA09D8">
        <w:rPr>
          <w:rFonts w:ascii="Times New Roman" w:hAnsi="Times New Roman" w:cs="Times New Roman"/>
          <w:noProof/>
          <w:sz w:val="24"/>
          <w:szCs w:val="24"/>
        </w:rPr>
        <w:fldChar w:fldCharType="end"/>
      </w:r>
    </w:p>
    <w:p w14:paraId="2CEBCAFE" w14:textId="76FF96B7"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5.3 Treatment and Review</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_Toc237168272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11</w:t>
      </w:r>
      <w:r w:rsidRPr="00EA09D8">
        <w:rPr>
          <w:rFonts w:ascii="Times New Roman" w:hAnsi="Times New Roman" w:cs="Times New Roman"/>
          <w:noProof/>
          <w:sz w:val="24"/>
          <w:szCs w:val="24"/>
        </w:rPr>
        <w:fldChar w:fldCharType="end"/>
      </w:r>
    </w:p>
    <w:p w14:paraId="6CD73029" w14:textId="031DEF31" w:rsidR="00EA09D8" w:rsidRPr="00EA09D8" w:rsidRDefault="00EA09D8">
      <w:pPr>
        <w:pStyle w:val="TOC1"/>
        <w:tabs>
          <w:tab w:val="left" w:pos="480"/>
          <w:tab w:val="right" w:leader="dot" w:pos="9016"/>
        </w:tabs>
        <w:rPr>
          <w:rFonts w:ascii="Times New Roman" w:eastAsiaTheme="minorEastAsia" w:hAnsi="Times New Roman" w:cs="Times New Roman"/>
          <w:b w:val="0"/>
          <w:bCs w:val="0"/>
          <w:caps w:val="0"/>
          <w:noProof/>
          <w:sz w:val="24"/>
          <w:szCs w:val="24"/>
          <w:lang w:val="en-IN" w:eastAsia="en-IN"/>
        </w:rPr>
      </w:pPr>
      <w:r w:rsidRPr="00EA09D8">
        <w:rPr>
          <w:rFonts w:ascii="Times New Roman" w:hAnsi="Times New Roman" w:cs="Times New Roman"/>
          <w:noProof/>
          <w:sz w:val="24"/>
          <w:szCs w:val="24"/>
        </w:rPr>
        <w:t>6.</w:t>
      </w:r>
      <w:r w:rsidRPr="00EA09D8">
        <w:rPr>
          <w:rFonts w:ascii="Times New Roman" w:eastAsiaTheme="minorEastAsia" w:hAnsi="Times New Roman" w:cs="Times New Roman"/>
          <w:b w:val="0"/>
          <w:bCs w:val="0"/>
          <w:caps w:val="0"/>
          <w:noProof/>
          <w:sz w:val="24"/>
          <w:szCs w:val="24"/>
          <w:lang w:val="en-IN" w:eastAsia="en-IN"/>
        </w:rPr>
        <w:tab/>
      </w:r>
      <w:r w:rsidRPr="00EA09D8">
        <w:rPr>
          <w:rFonts w:ascii="Times New Roman" w:hAnsi="Times New Roman" w:cs="Times New Roman"/>
          <w:noProof/>
          <w:sz w:val="24"/>
          <w:szCs w:val="24"/>
        </w:rPr>
        <w:t>Security Control Selection and Implementation</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_Toc237168273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12</w:t>
      </w:r>
      <w:r w:rsidRPr="00EA09D8">
        <w:rPr>
          <w:rFonts w:ascii="Times New Roman" w:hAnsi="Times New Roman" w:cs="Times New Roman"/>
          <w:noProof/>
          <w:sz w:val="24"/>
          <w:szCs w:val="24"/>
        </w:rPr>
        <w:fldChar w:fldCharType="end"/>
      </w:r>
    </w:p>
    <w:p w14:paraId="165F9673" w14:textId="45A7D5FB"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6.1 Risk-Based Control Selection</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_Toc237168274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12</w:t>
      </w:r>
      <w:r w:rsidRPr="00EA09D8">
        <w:rPr>
          <w:rFonts w:ascii="Times New Roman" w:hAnsi="Times New Roman" w:cs="Times New Roman"/>
          <w:noProof/>
          <w:sz w:val="24"/>
          <w:szCs w:val="24"/>
        </w:rPr>
        <w:fldChar w:fldCharType="end"/>
      </w:r>
    </w:p>
    <w:p w14:paraId="6C1B6F80" w14:textId="7BD549B7"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6.2 Phased Implementation</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_Toc237168275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12</w:t>
      </w:r>
      <w:r w:rsidRPr="00EA09D8">
        <w:rPr>
          <w:rFonts w:ascii="Times New Roman" w:hAnsi="Times New Roman" w:cs="Times New Roman"/>
          <w:noProof/>
          <w:sz w:val="24"/>
          <w:szCs w:val="24"/>
        </w:rPr>
        <w:fldChar w:fldCharType="end"/>
      </w:r>
    </w:p>
    <w:p w14:paraId="73916467" w14:textId="1E317B3E" w:rsidR="00EA09D8" w:rsidRPr="00EA09D8" w:rsidRDefault="00EA09D8">
      <w:pPr>
        <w:pStyle w:val="TOC1"/>
        <w:tabs>
          <w:tab w:val="left" w:pos="480"/>
          <w:tab w:val="right" w:leader="dot" w:pos="9016"/>
        </w:tabs>
        <w:rPr>
          <w:rFonts w:ascii="Times New Roman" w:eastAsiaTheme="minorEastAsia" w:hAnsi="Times New Roman" w:cs="Times New Roman"/>
          <w:b w:val="0"/>
          <w:bCs w:val="0"/>
          <w:caps w:val="0"/>
          <w:noProof/>
          <w:sz w:val="24"/>
          <w:szCs w:val="24"/>
          <w:lang w:val="en-IN" w:eastAsia="en-IN"/>
        </w:rPr>
      </w:pPr>
      <w:r w:rsidRPr="00EA09D8">
        <w:rPr>
          <w:rFonts w:ascii="Times New Roman" w:hAnsi="Times New Roman" w:cs="Times New Roman"/>
          <w:noProof/>
          <w:sz w:val="24"/>
          <w:szCs w:val="24"/>
        </w:rPr>
        <w:t>7.</w:t>
      </w:r>
      <w:r w:rsidRPr="00EA09D8">
        <w:rPr>
          <w:rFonts w:ascii="Times New Roman" w:eastAsiaTheme="minorEastAsia" w:hAnsi="Times New Roman" w:cs="Times New Roman"/>
          <w:b w:val="0"/>
          <w:bCs w:val="0"/>
          <w:caps w:val="0"/>
          <w:noProof/>
          <w:sz w:val="24"/>
          <w:szCs w:val="24"/>
          <w:lang w:val="en-IN" w:eastAsia="en-IN"/>
        </w:rPr>
        <w:tab/>
      </w:r>
      <w:r w:rsidRPr="00EA09D8">
        <w:rPr>
          <w:rFonts w:ascii="Times New Roman" w:hAnsi="Times New Roman" w:cs="Times New Roman"/>
          <w:noProof/>
          <w:sz w:val="24"/>
          <w:szCs w:val="24"/>
        </w:rPr>
        <w:t>Business Continuity and Third-Party Vendor Management</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_Toc237168276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14</w:t>
      </w:r>
      <w:r w:rsidRPr="00EA09D8">
        <w:rPr>
          <w:rFonts w:ascii="Times New Roman" w:hAnsi="Times New Roman" w:cs="Times New Roman"/>
          <w:noProof/>
          <w:sz w:val="24"/>
          <w:szCs w:val="24"/>
        </w:rPr>
        <w:fldChar w:fldCharType="end"/>
      </w:r>
    </w:p>
    <w:p w14:paraId="2BC5BAA1" w14:textId="38667F2A"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7.1 Business Continuity Planning</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_Toc237168277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14</w:t>
      </w:r>
      <w:r w:rsidRPr="00EA09D8">
        <w:rPr>
          <w:rFonts w:ascii="Times New Roman" w:hAnsi="Times New Roman" w:cs="Times New Roman"/>
          <w:noProof/>
          <w:sz w:val="24"/>
          <w:szCs w:val="24"/>
        </w:rPr>
        <w:fldChar w:fldCharType="end"/>
      </w:r>
    </w:p>
    <w:p w14:paraId="5B958C07" w14:textId="7A785E84"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7.2 Third-Party Vendor Management</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_Toc237168278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15</w:t>
      </w:r>
      <w:r w:rsidRPr="00EA09D8">
        <w:rPr>
          <w:rFonts w:ascii="Times New Roman" w:hAnsi="Times New Roman" w:cs="Times New Roman"/>
          <w:noProof/>
          <w:sz w:val="24"/>
          <w:szCs w:val="24"/>
        </w:rPr>
        <w:fldChar w:fldCharType="end"/>
      </w:r>
    </w:p>
    <w:p w14:paraId="1329C4B5" w14:textId="77DEB0F4"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7.3 Exercising and Improvement</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_Toc237168279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15</w:t>
      </w:r>
      <w:r w:rsidRPr="00EA09D8">
        <w:rPr>
          <w:rFonts w:ascii="Times New Roman" w:hAnsi="Times New Roman" w:cs="Times New Roman"/>
          <w:noProof/>
          <w:sz w:val="24"/>
          <w:szCs w:val="24"/>
        </w:rPr>
        <w:fldChar w:fldCharType="end"/>
      </w:r>
    </w:p>
    <w:p w14:paraId="446C1744" w14:textId="2B29094E" w:rsidR="00EA09D8" w:rsidRPr="00EA09D8" w:rsidRDefault="00EA09D8">
      <w:pPr>
        <w:pStyle w:val="TOC1"/>
        <w:tabs>
          <w:tab w:val="left" w:pos="480"/>
          <w:tab w:val="right" w:leader="dot" w:pos="9016"/>
        </w:tabs>
        <w:rPr>
          <w:rFonts w:ascii="Times New Roman" w:eastAsiaTheme="minorEastAsia" w:hAnsi="Times New Roman" w:cs="Times New Roman"/>
          <w:b w:val="0"/>
          <w:bCs w:val="0"/>
          <w:caps w:val="0"/>
          <w:noProof/>
          <w:sz w:val="24"/>
          <w:szCs w:val="24"/>
          <w:lang w:val="en-IN" w:eastAsia="en-IN"/>
        </w:rPr>
      </w:pPr>
      <w:r w:rsidRPr="00EA09D8">
        <w:rPr>
          <w:rFonts w:ascii="Times New Roman" w:hAnsi="Times New Roman" w:cs="Times New Roman"/>
          <w:noProof/>
          <w:sz w:val="24"/>
          <w:szCs w:val="24"/>
        </w:rPr>
        <w:t>8.</w:t>
      </w:r>
      <w:r w:rsidRPr="00EA09D8">
        <w:rPr>
          <w:rFonts w:ascii="Times New Roman" w:eastAsiaTheme="minorEastAsia" w:hAnsi="Times New Roman" w:cs="Times New Roman"/>
          <w:b w:val="0"/>
          <w:bCs w:val="0"/>
          <w:caps w:val="0"/>
          <w:noProof/>
          <w:sz w:val="24"/>
          <w:szCs w:val="24"/>
          <w:lang w:val="en-IN" w:eastAsia="en-IN"/>
        </w:rPr>
        <w:tab/>
      </w:r>
      <w:r w:rsidRPr="00EA09D8">
        <w:rPr>
          <w:rFonts w:ascii="Times New Roman" w:hAnsi="Times New Roman" w:cs="Times New Roman"/>
          <w:noProof/>
          <w:sz w:val="24"/>
          <w:szCs w:val="24"/>
        </w:rPr>
        <w:t>Critical Evaluation and Future Improvement Roadmap</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_Toc237168280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16</w:t>
      </w:r>
      <w:r w:rsidRPr="00EA09D8">
        <w:rPr>
          <w:rFonts w:ascii="Times New Roman" w:hAnsi="Times New Roman" w:cs="Times New Roman"/>
          <w:noProof/>
          <w:sz w:val="24"/>
          <w:szCs w:val="24"/>
        </w:rPr>
        <w:fldChar w:fldCharType="end"/>
      </w:r>
    </w:p>
    <w:p w14:paraId="01C5586F" w14:textId="7D65225F"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8.1 Critical Evaluation</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_Toc237168281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16</w:t>
      </w:r>
      <w:r w:rsidRPr="00EA09D8">
        <w:rPr>
          <w:rFonts w:ascii="Times New Roman" w:hAnsi="Times New Roman" w:cs="Times New Roman"/>
          <w:noProof/>
          <w:sz w:val="24"/>
          <w:szCs w:val="24"/>
        </w:rPr>
        <w:fldChar w:fldCharType="end"/>
      </w:r>
    </w:p>
    <w:p w14:paraId="0ADE4DCE" w14:textId="784F00A4"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8.2 Future Improvement Roadmap</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_Toc237168282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16</w:t>
      </w:r>
      <w:r w:rsidRPr="00EA09D8">
        <w:rPr>
          <w:rFonts w:ascii="Times New Roman" w:hAnsi="Times New Roman" w:cs="Times New Roman"/>
          <w:noProof/>
          <w:sz w:val="24"/>
          <w:szCs w:val="24"/>
        </w:rPr>
        <w:fldChar w:fldCharType="end"/>
      </w:r>
    </w:p>
    <w:p w14:paraId="0D5B8326" w14:textId="5200F021" w:rsidR="00EA09D8" w:rsidRPr="00EA09D8" w:rsidRDefault="00EA09D8">
      <w:pPr>
        <w:pStyle w:val="TOC2"/>
        <w:tabs>
          <w:tab w:val="right" w:leader="dot" w:pos="9016"/>
        </w:tabs>
        <w:rPr>
          <w:rFonts w:ascii="Times New Roman" w:eastAsiaTheme="minorEastAsia" w:hAnsi="Times New Roman" w:cs="Times New Roman"/>
          <w:smallCaps w:val="0"/>
          <w:noProof/>
          <w:sz w:val="24"/>
          <w:szCs w:val="24"/>
          <w:lang w:val="en-IN" w:eastAsia="en-IN"/>
        </w:rPr>
      </w:pPr>
      <w:r w:rsidRPr="00EA09D8">
        <w:rPr>
          <w:rFonts w:ascii="Times New Roman" w:hAnsi="Times New Roman" w:cs="Times New Roman"/>
          <w:noProof/>
          <w:sz w:val="24"/>
          <w:szCs w:val="24"/>
        </w:rPr>
        <w:t>8.3 Evidence-to-Decision Loop</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_Toc237168283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17</w:t>
      </w:r>
      <w:r w:rsidRPr="00EA09D8">
        <w:rPr>
          <w:rFonts w:ascii="Times New Roman" w:hAnsi="Times New Roman" w:cs="Times New Roman"/>
          <w:noProof/>
          <w:sz w:val="24"/>
          <w:szCs w:val="24"/>
        </w:rPr>
        <w:fldChar w:fldCharType="end"/>
      </w:r>
    </w:p>
    <w:p w14:paraId="0AC312D4" w14:textId="379AF23C" w:rsidR="00EA09D8" w:rsidRPr="00EA09D8" w:rsidRDefault="00EA09D8">
      <w:pPr>
        <w:pStyle w:val="TOC1"/>
        <w:tabs>
          <w:tab w:val="left" w:pos="480"/>
          <w:tab w:val="right" w:leader="dot" w:pos="9016"/>
        </w:tabs>
        <w:rPr>
          <w:rFonts w:ascii="Times New Roman" w:eastAsiaTheme="minorEastAsia" w:hAnsi="Times New Roman" w:cs="Times New Roman"/>
          <w:b w:val="0"/>
          <w:bCs w:val="0"/>
          <w:caps w:val="0"/>
          <w:noProof/>
          <w:sz w:val="24"/>
          <w:szCs w:val="24"/>
          <w:lang w:val="en-IN" w:eastAsia="en-IN"/>
        </w:rPr>
      </w:pPr>
      <w:r w:rsidRPr="00EA09D8">
        <w:rPr>
          <w:rFonts w:ascii="Times New Roman" w:hAnsi="Times New Roman" w:cs="Times New Roman"/>
          <w:noProof/>
          <w:sz w:val="24"/>
          <w:szCs w:val="24"/>
        </w:rPr>
        <w:t>9.</w:t>
      </w:r>
      <w:r w:rsidRPr="00EA09D8">
        <w:rPr>
          <w:rFonts w:ascii="Times New Roman" w:eastAsiaTheme="minorEastAsia" w:hAnsi="Times New Roman" w:cs="Times New Roman"/>
          <w:b w:val="0"/>
          <w:bCs w:val="0"/>
          <w:caps w:val="0"/>
          <w:noProof/>
          <w:sz w:val="24"/>
          <w:szCs w:val="24"/>
          <w:lang w:val="en-IN" w:eastAsia="en-IN"/>
        </w:rPr>
        <w:tab/>
      </w:r>
      <w:r w:rsidRPr="00EA09D8">
        <w:rPr>
          <w:rFonts w:ascii="Times New Roman" w:hAnsi="Times New Roman" w:cs="Times New Roman"/>
          <w:noProof/>
          <w:sz w:val="24"/>
          <w:szCs w:val="24"/>
        </w:rPr>
        <w:t>Conclusion</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_Toc237168284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18</w:t>
      </w:r>
      <w:r w:rsidRPr="00EA09D8">
        <w:rPr>
          <w:rFonts w:ascii="Times New Roman" w:hAnsi="Times New Roman" w:cs="Times New Roman"/>
          <w:noProof/>
          <w:sz w:val="24"/>
          <w:szCs w:val="24"/>
        </w:rPr>
        <w:fldChar w:fldCharType="end"/>
      </w:r>
    </w:p>
    <w:p w14:paraId="78B604EC" w14:textId="47E96312" w:rsidR="00EA09D8" w:rsidRPr="00EA09D8" w:rsidRDefault="00EA09D8">
      <w:pPr>
        <w:pStyle w:val="TOC1"/>
        <w:tabs>
          <w:tab w:val="right" w:leader="dot" w:pos="9016"/>
        </w:tabs>
        <w:rPr>
          <w:rFonts w:ascii="Times New Roman" w:eastAsiaTheme="minorEastAsia" w:hAnsi="Times New Roman" w:cs="Times New Roman"/>
          <w:b w:val="0"/>
          <w:bCs w:val="0"/>
          <w:caps w:val="0"/>
          <w:noProof/>
          <w:sz w:val="24"/>
          <w:szCs w:val="24"/>
          <w:lang w:val="en-IN" w:eastAsia="en-IN"/>
        </w:rPr>
      </w:pPr>
      <w:r w:rsidRPr="00EA09D8">
        <w:rPr>
          <w:rFonts w:ascii="Times New Roman" w:hAnsi="Times New Roman" w:cs="Times New Roman"/>
          <w:noProof/>
          <w:sz w:val="24"/>
          <w:szCs w:val="24"/>
        </w:rPr>
        <w:t>References</w:t>
      </w:r>
      <w:r w:rsidRPr="00EA09D8">
        <w:rPr>
          <w:rFonts w:ascii="Times New Roman" w:hAnsi="Times New Roman" w:cs="Times New Roman"/>
          <w:noProof/>
          <w:sz w:val="24"/>
          <w:szCs w:val="24"/>
        </w:rPr>
        <w:tab/>
      </w:r>
      <w:r w:rsidRPr="00EA09D8">
        <w:rPr>
          <w:rFonts w:ascii="Times New Roman" w:hAnsi="Times New Roman" w:cs="Times New Roman"/>
          <w:noProof/>
          <w:sz w:val="24"/>
          <w:szCs w:val="24"/>
        </w:rPr>
        <w:fldChar w:fldCharType="begin"/>
      </w:r>
      <w:r w:rsidRPr="00EA09D8">
        <w:rPr>
          <w:rFonts w:ascii="Times New Roman" w:hAnsi="Times New Roman" w:cs="Times New Roman"/>
          <w:noProof/>
          <w:sz w:val="24"/>
          <w:szCs w:val="24"/>
        </w:rPr>
        <w:instrText xml:space="preserve"> PAGEREF _Toc237168285 \h </w:instrText>
      </w:r>
      <w:r w:rsidRPr="00EA09D8">
        <w:rPr>
          <w:rFonts w:ascii="Times New Roman" w:hAnsi="Times New Roman" w:cs="Times New Roman"/>
          <w:noProof/>
          <w:sz w:val="24"/>
          <w:szCs w:val="24"/>
        </w:rPr>
      </w:r>
      <w:r w:rsidRPr="00EA09D8">
        <w:rPr>
          <w:rFonts w:ascii="Times New Roman" w:hAnsi="Times New Roman" w:cs="Times New Roman"/>
          <w:noProof/>
          <w:sz w:val="24"/>
          <w:szCs w:val="24"/>
        </w:rPr>
        <w:fldChar w:fldCharType="separate"/>
      </w:r>
      <w:r w:rsidRPr="00EA09D8">
        <w:rPr>
          <w:rFonts w:ascii="Times New Roman" w:hAnsi="Times New Roman" w:cs="Times New Roman"/>
          <w:noProof/>
          <w:sz w:val="24"/>
          <w:szCs w:val="24"/>
        </w:rPr>
        <w:t>19</w:t>
      </w:r>
      <w:r w:rsidRPr="00EA09D8">
        <w:rPr>
          <w:rFonts w:ascii="Times New Roman" w:hAnsi="Times New Roman" w:cs="Times New Roman"/>
          <w:noProof/>
          <w:sz w:val="24"/>
          <w:szCs w:val="24"/>
        </w:rPr>
        <w:fldChar w:fldCharType="end"/>
      </w:r>
    </w:p>
    <w:p w14:paraId="7968CAC5" w14:textId="79E7D93D" w:rsidR="003A1269" w:rsidRPr="00EA09D8" w:rsidRDefault="00EA09D8" w:rsidP="0091117C">
      <w:pPr>
        <w:ind w:firstLine="360"/>
        <w:jc w:val="both"/>
        <w:rPr>
          <w:rFonts w:ascii="Times New Roman" w:hAnsi="Times New Roman" w:cs="Times New Roman"/>
          <w:b/>
          <w:bCs/>
          <w:i/>
          <w:iCs/>
          <w:sz w:val="32"/>
          <w:szCs w:val="32"/>
        </w:rPr>
        <w:sectPr w:rsidR="003A1269" w:rsidRPr="00EA09D8" w:rsidSect="00A23FB8">
          <w:pgSz w:w="11906" w:h="16838"/>
          <w:pgMar w:top="1440" w:right="1440" w:bottom="1440" w:left="1440" w:header="708" w:footer="708" w:gutter="0"/>
          <w:pgNumType w:fmt="lowerRoman"/>
          <w:cols w:space="708"/>
          <w:docGrid w:linePitch="360"/>
        </w:sectPr>
      </w:pPr>
      <w:r w:rsidRPr="00EA09D8">
        <w:rPr>
          <w:rFonts w:ascii="Times New Roman" w:hAnsi="Times New Roman" w:cs="Times New Roman"/>
          <w:caps/>
        </w:rPr>
        <w:fldChar w:fldCharType="end"/>
      </w:r>
    </w:p>
    <w:p w14:paraId="707DB272" w14:textId="692457B8" w:rsidR="00D57B04" w:rsidRPr="00D57B04" w:rsidRDefault="00907CCF" w:rsidP="004772DE">
      <w:pPr>
        <w:pStyle w:val="Heading1"/>
      </w:pPr>
      <w:bookmarkStart w:id="0" w:name="_Toc237168257"/>
      <w:r w:rsidRPr="00863363">
        <w:lastRenderedPageBreak/>
        <w:t>Abstract</w:t>
      </w:r>
      <w:bookmarkEnd w:id="0"/>
    </w:p>
    <w:p w14:paraId="0D362C51" w14:textId="4860B647" w:rsidR="00D57B04" w:rsidRPr="00D57B04" w:rsidRDefault="00D57B04" w:rsidP="00D57B04">
      <w:pPr>
        <w:jc w:val="both"/>
        <w:rPr>
          <w:rFonts w:ascii="Times New Roman" w:hAnsi="Times New Roman" w:cs="Times New Roman"/>
          <w:i/>
          <w:iCs/>
          <w:sz w:val="26"/>
          <w:szCs w:val="26"/>
        </w:rPr>
      </w:pPr>
      <w:r w:rsidRPr="00D57B04">
        <w:rPr>
          <w:rFonts w:ascii="Times New Roman" w:hAnsi="Times New Roman" w:cs="Times New Roman"/>
          <w:i/>
          <w:iCs/>
          <w:sz w:val="26"/>
          <w:szCs w:val="26"/>
        </w:rPr>
        <w:t>Cybersecurity has become an important business concern for AeroLink Logistics because its daily operations rely on connected systems, cloud services, warehouse applications, fleet-tracking platforms and external suppliers. This report examines the organisation’s current cybersecurity position and identifies governance and compliance gaps that may place its services, information and reputation at risk. Its purpose is to recommend a practical security approach that protects essential operations, supports legal and contractual responsibilities, and remains suitable as the business continues to grow.</w:t>
      </w:r>
    </w:p>
    <w:p w14:paraId="2CE2F3F2" w14:textId="31BD5B34" w:rsidR="00D57B04" w:rsidRPr="00D57B04" w:rsidRDefault="00D57B04" w:rsidP="00D57B04">
      <w:pPr>
        <w:jc w:val="both"/>
        <w:rPr>
          <w:rFonts w:ascii="Times New Roman" w:hAnsi="Times New Roman" w:cs="Times New Roman"/>
          <w:i/>
          <w:iCs/>
          <w:sz w:val="26"/>
          <w:szCs w:val="26"/>
        </w:rPr>
      </w:pPr>
      <w:r w:rsidRPr="00D57B04">
        <w:rPr>
          <w:rFonts w:ascii="Times New Roman" w:hAnsi="Times New Roman" w:cs="Times New Roman"/>
          <w:i/>
          <w:iCs/>
          <w:sz w:val="26"/>
          <w:szCs w:val="26"/>
        </w:rPr>
        <w:t>The discussion considers leadership, accountability, compliance monitoring, risk management, security controls, business continuity and supplier oversight. The findings show that the main concern is not simply a lack of technical safeguards. Security duties are spread across different departments, ownership is not always clear, supplier risks are managed inconsistently, and recovery arrangements may not be tested regularly. If these weaknesses are left unresolved, they could result in delivery delays, financial loss, legal difficulties and a decline in customer confidence.</w:t>
      </w:r>
    </w:p>
    <w:p w14:paraId="4819BE6E" w14:textId="14C3AC80" w:rsidR="00D57B04" w:rsidRPr="00D57B04" w:rsidRDefault="00D57B04" w:rsidP="00D57B04">
      <w:pPr>
        <w:jc w:val="both"/>
        <w:rPr>
          <w:rFonts w:ascii="Times New Roman" w:hAnsi="Times New Roman" w:cs="Times New Roman"/>
          <w:i/>
          <w:iCs/>
          <w:sz w:val="26"/>
          <w:szCs w:val="26"/>
        </w:rPr>
      </w:pPr>
      <w:r w:rsidRPr="00D57B04">
        <w:rPr>
          <w:rFonts w:ascii="Times New Roman" w:hAnsi="Times New Roman" w:cs="Times New Roman"/>
          <w:i/>
          <w:iCs/>
          <w:sz w:val="26"/>
          <w:szCs w:val="26"/>
        </w:rPr>
        <w:t>To improve the present situation, the proposed changes should be introduced in realistic and manageable phases. Senior management needs to provide clear direction, assign risk and control owners, and review performance using reliable evidence. Early priorities include multi-factor authentication, privileged-access reviews, employee awareness, centralised monitoring and properly tested backups. Critical suppliers also require careful assessment throughout the relationship, supported by clear contractual requirements for data protection, incident reporting and service recovery. Regular exercises are needed to confirm that essential operations can continue during a serious disruption.</w:t>
      </w:r>
    </w:p>
    <w:p w14:paraId="3B3E4254" w14:textId="20AEB361" w:rsidR="00A8574B" w:rsidRPr="00D57B04" w:rsidRDefault="00D57B04" w:rsidP="00D57B04">
      <w:pPr>
        <w:jc w:val="both"/>
        <w:rPr>
          <w:rFonts w:ascii="Times New Roman" w:hAnsi="Times New Roman" w:cs="Times New Roman"/>
          <w:i/>
          <w:iCs/>
          <w:sz w:val="26"/>
          <w:szCs w:val="26"/>
        </w:rPr>
      </w:pPr>
      <w:r w:rsidRPr="00D57B04">
        <w:rPr>
          <w:rFonts w:ascii="Times New Roman" w:hAnsi="Times New Roman" w:cs="Times New Roman"/>
          <w:i/>
          <w:iCs/>
          <w:sz w:val="26"/>
          <w:szCs w:val="26"/>
        </w:rPr>
        <w:t>The report concludes that cybersecurity becomes more effective when people, processes, technology and suppliers are treated as connected parts of one programme. With consistent leadership, suitable resources and regular review, the company can reduce exposure, respond more effectively to incidents and support future growth with greater confidence, while protecting service reliability, stakeholder trust and long-term business value.</w:t>
      </w:r>
    </w:p>
    <w:p w14:paraId="51CF67C8" w14:textId="77777777" w:rsidR="002766C3" w:rsidRPr="00863363" w:rsidRDefault="002766C3" w:rsidP="00A8574B">
      <w:pPr>
        <w:ind w:left="360"/>
        <w:jc w:val="both"/>
        <w:rPr>
          <w:rFonts w:ascii="Times New Roman" w:hAnsi="Times New Roman" w:cs="Times New Roman"/>
          <w:i/>
          <w:iCs/>
          <w:sz w:val="32"/>
          <w:szCs w:val="32"/>
        </w:rPr>
      </w:pPr>
    </w:p>
    <w:p w14:paraId="3BA5883C" w14:textId="77777777" w:rsidR="003A1269" w:rsidRDefault="003A1269" w:rsidP="0091117C">
      <w:pPr>
        <w:pStyle w:val="ListParagraph"/>
        <w:numPr>
          <w:ilvl w:val="0"/>
          <w:numId w:val="6"/>
        </w:numPr>
        <w:rPr>
          <w:rFonts w:ascii="Times New Roman" w:hAnsi="Times New Roman" w:cs="Times New Roman"/>
          <w:b/>
          <w:bCs/>
          <w:sz w:val="32"/>
          <w:szCs w:val="32"/>
        </w:rPr>
        <w:sectPr w:rsidR="003A1269" w:rsidSect="002231AF">
          <w:pgSz w:w="11906" w:h="16838"/>
          <w:pgMar w:top="1440" w:right="1440" w:bottom="1440" w:left="1440" w:header="708" w:footer="708" w:gutter="0"/>
          <w:pgNumType w:fmt="lowerRoman"/>
          <w:cols w:space="708"/>
          <w:docGrid w:linePitch="360"/>
        </w:sectPr>
      </w:pPr>
    </w:p>
    <w:p w14:paraId="36675C8A" w14:textId="0FCB8A30" w:rsidR="002766C3" w:rsidRPr="0091117C" w:rsidRDefault="002766C3" w:rsidP="004772DE">
      <w:pPr>
        <w:pStyle w:val="Heading1"/>
        <w:numPr>
          <w:ilvl w:val="0"/>
          <w:numId w:val="13"/>
        </w:numPr>
        <w:rPr>
          <w:i/>
          <w:iCs/>
        </w:rPr>
      </w:pPr>
      <w:bookmarkStart w:id="1" w:name="_Toc237168258"/>
      <w:r w:rsidRPr="0091117C">
        <w:lastRenderedPageBreak/>
        <w:t>Introduction</w:t>
      </w:r>
      <w:bookmarkEnd w:id="1"/>
      <w:r w:rsidRPr="0091117C">
        <w:t xml:space="preserve"> </w:t>
      </w:r>
    </w:p>
    <w:p w14:paraId="45E963FB" w14:textId="04C2AD48" w:rsidR="006E4173" w:rsidRPr="006E4173" w:rsidRDefault="006E4173" w:rsidP="006E4173">
      <w:pPr>
        <w:jc w:val="both"/>
        <w:rPr>
          <w:rFonts w:ascii="Times New Roman" w:hAnsi="Times New Roman" w:cs="Times New Roman"/>
          <w:sz w:val="26"/>
          <w:szCs w:val="26"/>
        </w:rPr>
      </w:pPr>
      <w:r w:rsidRPr="006E4173">
        <w:rPr>
          <w:rFonts w:ascii="Times New Roman" w:hAnsi="Times New Roman" w:cs="Times New Roman"/>
          <w:sz w:val="26"/>
          <w:szCs w:val="26"/>
        </w:rPr>
        <w:t xml:space="preserve">Digital technology performs a central role in modern logistics, supporting </w:t>
      </w:r>
      <w:r w:rsidR="0091117C" w:rsidRPr="0091117C">
        <w:rPr>
          <w:rFonts w:ascii="Times New Roman" w:hAnsi="Times New Roman" w:cs="Times New Roman"/>
          <w:sz w:val="26"/>
          <w:szCs w:val="26"/>
        </w:rPr>
        <w:t>stock control</w:t>
      </w:r>
      <w:r w:rsidRPr="006E4173">
        <w:rPr>
          <w:rFonts w:ascii="Times New Roman" w:hAnsi="Times New Roman" w:cs="Times New Roman"/>
          <w:sz w:val="26"/>
          <w:szCs w:val="26"/>
        </w:rPr>
        <w:t>, fleet tracking, customer communication and the exchange of information with business partners. Although these systems improve speed and efficiency, they also create wider exposure to cyber threats. A compromised account, unavailable cloud service or security failure within the supply chain could delay deliveries, expose sensitive information and damage customer confidence. For AeroLink Logistics, cybersecurity is therefore a business concern that requires attention beyond the IT department</w:t>
      </w:r>
      <w:sdt>
        <w:sdtPr>
          <w:rPr>
            <w:rFonts w:ascii="Times New Roman" w:hAnsi="Times New Roman" w:cs="Times New Roman"/>
            <w:sz w:val="26"/>
            <w:szCs w:val="26"/>
          </w:rPr>
          <w:id w:val="-513149382"/>
          <w:citation/>
        </w:sdtPr>
        <w:sdtContent>
          <w:r w:rsidR="000E68BA">
            <w:rPr>
              <w:rFonts w:ascii="Times New Roman" w:hAnsi="Times New Roman" w:cs="Times New Roman"/>
              <w:sz w:val="26"/>
              <w:szCs w:val="26"/>
            </w:rPr>
            <w:fldChar w:fldCharType="begin"/>
          </w:r>
          <w:r w:rsidR="000E68BA">
            <w:rPr>
              <w:rFonts w:ascii="Times New Roman" w:hAnsi="Times New Roman" w:cs="Times New Roman"/>
              <w:sz w:val="26"/>
              <w:szCs w:val="26"/>
              <w:lang w:val="en-US"/>
            </w:rPr>
            <w:instrText xml:space="preserve"> CITATION Cul21 \l 1033 </w:instrText>
          </w:r>
          <w:r w:rsidR="000E68BA">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[1]</w:t>
          </w:r>
          <w:r w:rsidR="000E68BA">
            <w:rPr>
              <w:rFonts w:ascii="Times New Roman" w:hAnsi="Times New Roman" w:cs="Times New Roman"/>
              <w:sz w:val="26"/>
              <w:szCs w:val="26"/>
            </w:rPr>
            <w:fldChar w:fldCharType="end"/>
          </w:r>
        </w:sdtContent>
      </w:sdt>
      <w:r w:rsidRPr="006E4173">
        <w:rPr>
          <w:rFonts w:ascii="Times New Roman" w:hAnsi="Times New Roman" w:cs="Times New Roman"/>
          <w:sz w:val="26"/>
          <w:szCs w:val="26"/>
        </w:rPr>
        <w:t>.</w:t>
      </w:r>
    </w:p>
    <w:p w14:paraId="0A8220EC" w14:textId="441664B6" w:rsidR="006E4173" w:rsidRPr="006E4173" w:rsidRDefault="006E4173" w:rsidP="006E4173">
      <w:pPr>
        <w:jc w:val="both"/>
        <w:rPr>
          <w:rFonts w:ascii="Times New Roman" w:hAnsi="Times New Roman" w:cs="Times New Roman"/>
          <w:sz w:val="26"/>
          <w:szCs w:val="26"/>
        </w:rPr>
      </w:pPr>
      <w:r w:rsidRPr="006E4173">
        <w:rPr>
          <w:rFonts w:ascii="Times New Roman" w:hAnsi="Times New Roman" w:cs="Times New Roman"/>
          <w:sz w:val="26"/>
          <w:szCs w:val="26"/>
        </w:rPr>
        <w:t>Strong governance is necessary to provide direction, assign responsibility and ensure that security decisions support operational priorities. Compliance is equally important, as the organisation must meet its legal, regulatory and contractual obligations and demonstrate that appropriate measures are operating effectively</w:t>
      </w:r>
      <w:sdt>
        <w:sdtPr>
          <w:rPr>
            <w:rFonts w:ascii="Times New Roman" w:hAnsi="Times New Roman" w:cs="Times New Roman"/>
            <w:sz w:val="26"/>
            <w:szCs w:val="26"/>
          </w:rPr>
          <w:id w:val="449437282"/>
          <w:citation/>
        </w:sdtPr>
        <w:sdtContent>
          <w:r w:rsidR="002F3494">
            <w:rPr>
              <w:rFonts w:ascii="Times New Roman" w:hAnsi="Times New Roman" w:cs="Times New Roman"/>
              <w:sz w:val="26"/>
              <w:szCs w:val="26"/>
            </w:rPr>
            <w:fldChar w:fldCharType="begin"/>
          </w:r>
          <w:r w:rsidR="002F3494">
            <w:rPr>
              <w:rFonts w:ascii="Times New Roman" w:hAnsi="Times New Roman" w:cs="Times New Roman"/>
              <w:sz w:val="26"/>
              <w:szCs w:val="26"/>
              <w:lang w:val="en-US"/>
            </w:rPr>
            <w:instrText xml:space="preserve"> CITATION Ser22 \l 1033 </w:instrText>
          </w:r>
          <w:r w:rsidR="002F3494">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[2]</w:t>
          </w:r>
          <w:r w:rsidR="002F3494">
            <w:rPr>
              <w:rFonts w:ascii="Times New Roman" w:hAnsi="Times New Roman" w:cs="Times New Roman"/>
              <w:sz w:val="26"/>
              <w:szCs w:val="26"/>
            </w:rPr>
            <w:fldChar w:fldCharType="end"/>
          </w:r>
        </w:sdtContent>
      </w:sdt>
      <w:r w:rsidRPr="006E4173">
        <w:rPr>
          <w:rFonts w:ascii="Times New Roman" w:hAnsi="Times New Roman" w:cs="Times New Roman"/>
          <w:sz w:val="26"/>
          <w:szCs w:val="26"/>
        </w:rPr>
        <w:t>. Technical safeguards and written policies may offer limited value when ownership is unclear, risks are assessed inconsistently, or supplier access is not controlled. An organised approach is needed to bring leadership, employees, processes, technology and external providers together</w:t>
      </w:r>
      <w:sdt>
        <w:sdtPr>
          <w:rPr>
            <w:rFonts w:ascii="Times New Roman" w:hAnsi="Times New Roman" w:cs="Times New Roman"/>
            <w:sz w:val="26"/>
            <w:szCs w:val="26"/>
          </w:rPr>
          <w:id w:val="1106774009"/>
          <w:citation/>
        </w:sdtPr>
        <w:sdtContent>
          <w:r w:rsidR="002F3494">
            <w:rPr>
              <w:rFonts w:ascii="Times New Roman" w:hAnsi="Times New Roman" w:cs="Times New Roman"/>
              <w:sz w:val="26"/>
              <w:szCs w:val="26"/>
            </w:rPr>
            <w:fldChar w:fldCharType="begin"/>
          </w:r>
          <w:r w:rsidR="002F3494">
            <w:rPr>
              <w:rFonts w:ascii="Times New Roman" w:hAnsi="Times New Roman" w:cs="Times New Roman"/>
              <w:sz w:val="26"/>
              <w:szCs w:val="26"/>
              <w:lang w:val="en-US"/>
            </w:rPr>
            <w:instrText xml:space="preserve"> CITATION Ray14 \l 1033 </w:instrText>
          </w:r>
          <w:r w:rsidR="002F3494">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[3]</w:t>
          </w:r>
          <w:r w:rsidR="002F3494">
            <w:rPr>
              <w:rFonts w:ascii="Times New Roman" w:hAnsi="Times New Roman" w:cs="Times New Roman"/>
              <w:sz w:val="26"/>
              <w:szCs w:val="26"/>
            </w:rPr>
            <w:fldChar w:fldCharType="end"/>
          </w:r>
        </w:sdtContent>
      </w:sdt>
      <w:r w:rsidRPr="006E4173">
        <w:rPr>
          <w:rFonts w:ascii="Times New Roman" w:hAnsi="Times New Roman" w:cs="Times New Roman"/>
          <w:sz w:val="26"/>
          <w:szCs w:val="26"/>
        </w:rPr>
        <w:t>.</w:t>
      </w:r>
    </w:p>
    <w:p w14:paraId="3417D643" w14:textId="3D35BAA7" w:rsidR="0089016E" w:rsidRPr="00863363" w:rsidRDefault="006E4173" w:rsidP="006E4173">
      <w:pPr>
        <w:jc w:val="both"/>
        <w:rPr>
          <w:rFonts w:ascii="Times New Roman" w:hAnsi="Times New Roman" w:cs="Times New Roman"/>
          <w:sz w:val="28"/>
          <w:szCs w:val="28"/>
        </w:rPr>
      </w:pPr>
      <w:r w:rsidRPr="006E4173">
        <w:rPr>
          <w:rFonts w:ascii="Times New Roman" w:hAnsi="Times New Roman" w:cs="Times New Roman"/>
          <w:sz w:val="26"/>
          <w:szCs w:val="26"/>
        </w:rPr>
        <w:t xml:space="preserve">The organisation’s current cybersecurity position and the challenges linked to its growing dependence on digital services. It evaluates recognised security frameworks and uses their relevant principles to develop a governance and compliance model suited to the business. The discussion considers organisational context, framework selection, accountability, compliance monitoring, risk management and security-control implementation. It also addresses business continuity, third-party vendor oversight and the need for continuing improvement. By exploring these areas in sequence, the report provides a clear basis for understanding </w:t>
      </w:r>
      <w:proofErr w:type="spellStart"/>
      <w:r w:rsidRPr="006E4173">
        <w:rPr>
          <w:rFonts w:ascii="Times New Roman" w:hAnsi="Times New Roman" w:cs="Times New Roman"/>
          <w:sz w:val="26"/>
          <w:szCs w:val="26"/>
        </w:rPr>
        <w:t>AeroLink’s</w:t>
      </w:r>
      <w:proofErr w:type="spellEnd"/>
      <w:r w:rsidRPr="006E4173">
        <w:rPr>
          <w:rFonts w:ascii="Times New Roman" w:hAnsi="Times New Roman" w:cs="Times New Roman"/>
          <w:sz w:val="26"/>
          <w:szCs w:val="26"/>
        </w:rPr>
        <w:t xml:space="preserve"> security needs before presenting practical recommendations in the later chapters.</w:t>
      </w:r>
      <w:r w:rsidR="0089016E" w:rsidRPr="00863363">
        <w:rPr>
          <w:rFonts w:ascii="Times New Roman" w:hAnsi="Times New Roman" w:cs="Times New Roman"/>
          <w:sz w:val="28"/>
          <w:szCs w:val="28"/>
        </w:rPr>
        <w:br w:type="page"/>
      </w:r>
    </w:p>
    <w:p w14:paraId="0BBF3DE2" w14:textId="4A72E9ED" w:rsidR="00E41DC0" w:rsidRPr="00F11F0A" w:rsidRDefault="00E41DC0" w:rsidP="004772DE">
      <w:pPr>
        <w:pStyle w:val="Heading1"/>
        <w:numPr>
          <w:ilvl w:val="0"/>
          <w:numId w:val="13"/>
        </w:numPr>
      </w:pPr>
      <w:bookmarkStart w:id="2" w:name="_Toc237168259"/>
      <w:r w:rsidRPr="00F11F0A">
        <w:lastRenderedPageBreak/>
        <w:t>AeroLink Logistics</w:t>
      </w:r>
      <w:r w:rsidR="0091117C" w:rsidRPr="00F11F0A">
        <w:t>: Organisational context and Cybersecurity Challenges</w:t>
      </w:r>
      <w:bookmarkEnd w:id="2"/>
    </w:p>
    <w:p w14:paraId="14C03951" w14:textId="1599843C" w:rsidR="00F11F0A" w:rsidRPr="00F11F0A" w:rsidRDefault="00F11F0A" w:rsidP="00F11F0A">
      <w:pPr>
        <w:jc w:val="both"/>
        <w:rPr>
          <w:rFonts w:ascii="Times New Roman" w:hAnsi="Times New Roman" w:cs="Times New Roman"/>
          <w:sz w:val="26"/>
          <w:szCs w:val="26"/>
        </w:rPr>
      </w:pPr>
      <w:r w:rsidRPr="00F11F0A">
        <w:rPr>
          <w:rFonts w:ascii="Times New Roman" w:hAnsi="Times New Roman" w:cs="Times New Roman"/>
          <w:sz w:val="26"/>
          <w:szCs w:val="26"/>
        </w:rPr>
        <w:t>AeroLink Logistics works in an environment where speed, accuracy and uninterrupted information flow are essential. Its everyday activities depend on cloud services, warehouse applications, fleet-tracking tools, customer portals and links with external suppliers. These technologies help the organisation coordinate deliveries and respond quickly to demand; however, they also create a closely connected operating model in which one failure may affect several services. Modern logistics networks gain value from digital connectivity, yet this same interdependence can make disruption spread across the supply chain</w:t>
      </w:r>
      <w:sdt>
        <w:sdtPr>
          <w:rPr>
            <w:rFonts w:ascii="Times New Roman" w:hAnsi="Times New Roman" w:cs="Times New Roman"/>
            <w:sz w:val="26"/>
            <w:szCs w:val="26"/>
          </w:rPr>
          <w:id w:val="-658223963"/>
          <w:citation/>
        </w:sdtPr>
        <w:sdtContent>
          <w:r w:rsidR="00B44015">
            <w:rPr>
              <w:rFonts w:ascii="Times New Roman" w:hAnsi="Times New Roman" w:cs="Times New Roman"/>
              <w:sz w:val="26"/>
              <w:szCs w:val="26"/>
            </w:rPr>
            <w:fldChar w:fldCharType="begin"/>
          </w:r>
          <w:r w:rsidR="00DC3667">
            <w:rPr>
              <w:rFonts w:ascii="Times New Roman" w:hAnsi="Times New Roman" w:cs="Times New Roman"/>
              <w:sz w:val="26"/>
              <w:szCs w:val="26"/>
              <w:lang w:val="en-US"/>
            </w:rPr>
            <w:instrText xml:space="preserve">CITATION Fra02 \n  \y  \t  \l 1033 </w:instrText>
          </w:r>
          <w:r w:rsidR="00B44015">
            <w:rPr>
              <w:rFonts w:ascii="Times New Roman" w:hAnsi="Times New Roman" w:cs="Times New Roman"/>
              <w:sz w:val="26"/>
              <w:szCs w:val="26"/>
            </w:rPr>
            <w:fldChar w:fldCharType="separate"/>
          </w:r>
          <w:r w:rsidR="00DC3667">
            <w:rPr>
              <w:rFonts w:ascii="Times New Roman" w:hAnsi="Times New Roman" w:cs="Times New Roman"/>
              <w:noProof/>
              <w:sz w:val="26"/>
              <w:szCs w:val="26"/>
            </w:rPr>
            <w:t xml:space="preserve"> </w:t>
          </w:r>
          <w:r w:rsidR="00DC3667" w:rsidRPr="00DC3667">
            <w:rPr>
              <w:rFonts w:ascii="Times New Roman" w:hAnsi="Times New Roman" w:cs="Times New Roman"/>
              <w:noProof/>
              <w:sz w:val="26"/>
              <w:szCs w:val="26"/>
            </w:rPr>
            <w:t>[4]</w:t>
          </w:r>
          <w:r w:rsidR="00B44015">
            <w:rPr>
              <w:rFonts w:ascii="Times New Roman" w:hAnsi="Times New Roman" w:cs="Times New Roman"/>
              <w:sz w:val="26"/>
              <w:szCs w:val="26"/>
            </w:rPr>
            <w:fldChar w:fldCharType="end"/>
          </w:r>
        </w:sdtContent>
      </w:sdt>
      <w:r w:rsidRPr="00F11F0A">
        <w:rPr>
          <w:rFonts w:ascii="Times New Roman" w:hAnsi="Times New Roman" w:cs="Times New Roman"/>
          <w:sz w:val="26"/>
          <w:szCs w:val="26"/>
        </w:rPr>
        <w:t>.</w:t>
      </w:r>
    </w:p>
    <w:p w14:paraId="09C93BA3" w14:textId="216D6A2F" w:rsidR="00F11F0A" w:rsidRPr="00F11F0A" w:rsidRDefault="00BD6291" w:rsidP="00F11F0A">
      <w:pPr>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1CE7510A" wp14:editId="4DCE536E">
            <wp:extent cx="5743128" cy="3873985"/>
            <wp:effectExtent l="0" t="0" r="0" b="0"/>
            <wp:docPr id="787118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89304" cy="3905133"/>
                    </a:xfrm>
                    <a:prstGeom prst="rect">
                      <a:avLst/>
                    </a:prstGeom>
                    <a:noFill/>
                  </pic:spPr>
                </pic:pic>
              </a:graphicData>
            </a:graphic>
          </wp:inline>
        </w:drawing>
      </w:r>
    </w:p>
    <w:p w14:paraId="2D6389E1" w14:textId="2C8CAF0B" w:rsidR="00F11F0A" w:rsidRPr="00621DA3" w:rsidRDefault="00F11F0A" w:rsidP="00621DA3">
      <w:pPr>
        <w:pStyle w:val="FigureTitle"/>
      </w:pPr>
      <w:r w:rsidRPr="00621DA3">
        <w:t>Figure 1: Current digital operating environment</w:t>
      </w:r>
    </w:p>
    <w:p w14:paraId="7F01E3C4" w14:textId="5F4A1060" w:rsidR="00F11F0A" w:rsidRDefault="00F11F0A" w:rsidP="00BD6291">
      <w:pPr>
        <w:jc w:val="both"/>
        <w:rPr>
          <w:rFonts w:ascii="Times New Roman" w:hAnsi="Times New Roman" w:cs="Times New Roman"/>
          <w:sz w:val="26"/>
          <w:szCs w:val="26"/>
        </w:rPr>
      </w:pPr>
      <w:r w:rsidRPr="00F11F0A">
        <w:rPr>
          <w:rFonts w:ascii="Times New Roman" w:hAnsi="Times New Roman" w:cs="Times New Roman"/>
          <w:sz w:val="26"/>
          <w:szCs w:val="26"/>
        </w:rPr>
        <w:t xml:space="preserve">The present cybersecurity position appears to have developed gradually alongside business growth rather than through one coordinated plan. Security responsibilities are distributed across departments, making it difficult to identify who approves risk decisions, monitors controls or reports concerns to senior management. Technical measures may already be in place, but their effectiveness cannot be assumed when access reviews, monitoring and recovery testing are inconsistent. </w:t>
      </w:r>
      <w:r w:rsidR="00BD6291">
        <w:rPr>
          <w:rFonts w:ascii="Times New Roman" w:hAnsi="Times New Roman" w:cs="Times New Roman"/>
          <w:sz w:val="26"/>
          <w:szCs w:val="26"/>
        </w:rPr>
        <w:t>Information</w:t>
      </w:r>
      <w:r w:rsidRPr="00F11F0A">
        <w:rPr>
          <w:rFonts w:ascii="Times New Roman" w:hAnsi="Times New Roman" w:cs="Times New Roman"/>
          <w:sz w:val="26"/>
          <w:szCs w:val="26"/>
        </w:rPr>
        <w:t xml:space="preserve"> security depends on management, policy, people and technology working together, rather than on technical tools </w:t>
      </w:r>
      <w:r w:rsidR="0057471C">
        <w:rPr>
          <w:rFonts w:ascii="Times New Roman" w:hAnsi="Times New Roman" w:cs="Times New Roman"/>
          <w:sz w:val="26"/>
          <w:szCs w:val="26"/>
        </w:rPr>
        <w:t>alone</w:t>
      </w:r>
      <w:r w:rsidR="0057471C" w:rsidRPr="0057471C">
        <w:rPr>
          <w:rFonts w:ascii="Times New Roman" w:hAnsi="Times New Roman" w:cs="Times New Roman"/>
          <w:sz w:val="26"/>
          <w:szCs w:val="26"/>
        </w:rPr>
        <w:t xml:space="preserve"> </w:t>
      </w:r>
      <w:sdt>
        <w:sdtPr>
          <w:rPr>
            <w:rFonts w:ascii="Times New Roman" w:hAnsi="Times New Roman" w:cs="Times New Roman"/>
            <w:sz w:val="26"/>
            <w:szCs w:val="26"/>
          </w:rPr>
          <w:id w:val="-468749263"/>
          <w:citation/>
        </w:sdtPr>
        <w:sdtContent>
          <w:r w:rsidR="0057471C">
            <w:rPr>
              <w:rFonts w:ascii="Times New Roman" w:hAnsi="Times New Roman" w:cs="Times New Roman"/>
              <w:sz w:val="26"/>
              <w:szCs w:val="26"/>
            </w:rPr>
            <w:fldChar w:fldCharType="begin"/>
          </w:r>
          <w:r w:rsidR="00DC3667">
            <w:rPr>
              <w:rFonts w:ascii="Times New Roman" w:hAnsi="Times New Roman" w:cs="Times New Roman"/>
              <w:sz w:val="26"/>
              <w:szCs w:val="26"/>
              <w:lang w:val="en-US"/>
            </w:rPr>
            <w:instrText xml:space="preserve">CITATION Sta02 \l 1033 </w:instrText>
          </w:r>
          <w:r w:rsidR="0057471C">
            <w:rPr>
              <w:rFonts w:ascii="Times New Roman" w:hAnsi="Times New Roman" w:cs="Times New Roman"/>
              <w:sz w:val="26"/>
              <w:szCs w:val="26"/>
            </w:rPr>
            <w:fldChar w:fldCharType="separate"/>
          </w:r>
          <w:r w:rsidR="00DC3667" w:rsidRPr="00DC3667">
            <w:rPr>
              <w:rFonts w:ascii="Times New Roman" w:hAnsi="Times New Roman" w:cs="Times New Roman"/>
              <w:noProof/>
              <w:sz w:val="26"/>
              <w:szCs w:val="26"/>
            </w:rPr>
            <w:t>[5]</w:t>
          </w:r>
          <w:r w:rsidR="0057471C">
            <w:rPr>
              <w:rFonts w:ascii="Times New Roman" w:hAnsi="Times New Roman" w:cs="Times New Roman"/>
              <w:sz w:val="26"/>
              <w:szCs w:val="26"/>
            </w:rPr>
            <w:fldChar w:fldCharType="end"/>
          </w:r>
        </w:sdtContent>
      </w:sdt>
      <w:r w:rsidRPr="00F11F0A">
        <w:rPr>
          <w:rFonts w:ascii="Times New Roman" w:hAnsi="Times New Roman" w:cs="Times New Roman"/>
          <w:sz w:val="26"/>
          <w:szCs w:val="26"/>
        </w:rPr>
        <w:t>. This is particularly relevant where operational staff, warehouse teams, drivers and contractors use shared digital services.</w:t>
      </w:r>
    </w:p>
    <w:p w14:paraId="48C3F9A3" w14:textId="2C241337" w:rsidR="00F11F0A" w:rsidRDefault="00F11F0A" w:rsidP="00F11F0A">
      <w:pPr>
        <w:jc w:val="both"/>
        <w:rPr>
          <w:rFonts w:ascii="Times New Roman" w:hAnsi="Times New Roman" w:cs="Times New Roman"/>
          <w:sz w:val="26"/>
          <w:szCs w:val="26"/>
        </w:rPr>
      </w:pPr>
      <w:r w:rsidRPr="00F11F0A">
        <w:rPr>
          <w:rFonts w:ascii="Times New Roman" w:hAnsi="Times New Roman" w:cs="Times New Roman"/>
          <w:sz w:val="26"/>
          <w:szCs w:val="26"/>
        </w:rPr>
        <w:lastRenderedPageBreak/>
        <w:t>Third-party dependence adds another layer of exposure. Cloud providers, software vendors and logistics partners may process information or support systems that are essential for daily operations. A weakness within one supplier could therefore interrupt deliveries, expose customer data or reduce visibility across the fleet. Limited assurance over vendor access and recovery capability may leave the organisation responsible for consequences that originate outside its direct control.</w:t>
      </w:r>
    </w:p>
    <w:p w14:paraId="6B1E98BF" w14:textId="4D78B458" w:rsidR="00B44015" w:rsidRPr="00CC0CC3" w:rsidRDefault="00CC0CC3" w:rsidP="004830FD">
      <w:pPr>
        <w:pStyle w:val="Tabletitle0"/>
      </w:pPr>
      <w:r w:rsidRPr="00CC0CC3">
        <w:t>Table 1: Key cybersecurity weaknesses and business effects</w:t>
      </w:r>
    </w:p>
    <w:tbl>
      <w:tblPr>
        <w:tblStyle w:val="TableGrid"/>
        <w:tblW w:w="9558" w:type="dxa"/>
        <w:tblLook w:val="04A0" w:firstRow="1" w:lastRow="0" w:firstColumn="1" w:lastColumn="0" w:noHBand="0" w:noVBand="1"/>
      </w:tblPr>
      <w:tblGrid>
        <w:gridCol w:w="4779"/>
        <w:gridCol w:w="4779"/>
      </w:tblGrid>
      <w:tr w:rsidR="00F11F0A" w14:paraId="17AAC5DC" w14:textId="77777777" w:rsidTr="00753A3C">
        <w:trPr>
          <w:trHeight w:val="550"/>
        </w:trPr>
        <w:tc>
          <w:tcPr>
            <w:tcW w:w="4779" w:type="dxa"/>
          </w:tcPr>
          <w:p w14:paraId="44E28E6E" w14:textId="514A4DF1" w:rsidR="00F11F0A" w:rsidRPr="00F11F0A" w:rsidRDefault="004A3BF9" w:rsidP="00F11F0A">
            <w:pPr>
              <w:rPr>
                <w:rFonts w:ascii="Times New Roman" w:hAnsi="Times New Roman" w:cs="Times New Roman"/>
                <w:b/>
                <w:bCs/>
                <w:sz w:val="26"/>
                <w:szCs w:val="26"/>
              </w:rPr>
            </w:pPr>
            <w:r w:rsidRPr="004A3BF9">
              <w:rPr>
                <w:rFonts w:ascii="Times New Roman" w:hAnsi="Times New Roman" w:cs="Times New Roman"/>
                <w:b/>
                <w:bCs/>
                <w:sz w:val="26"/>
                <w:szCs w:val="26"/>
              </w:rPr>
              <w:t>Identified weakness</w:t>
            </w:r>
          </w:p>
        </w:tc>
        <w:tc>
          <w:tcPr>
            <w:tcW w:w="4779" w:type="dxa"/>
          </w:tcPr>
          <w:p w14:paraId="427EDB2B" w14:textId="204A7484" w:rsidR="00F11F0A" w:rsidRPr="00F11F0A" w:rsidRDefault="00F11F0A" w:rsidP="00F11F0A">
            <w:pPr>
              <w:rPr>
                <w:rFonts w:ascii="Times New Roman" w:hAnsi="Times New Roman" w:cs="Times New Roman"/>
                <w:b/>
                <w:bCs/>
                <w:sz w:val="26"/>
                <w:szCs w:val="26"/>
              </w:rPr>
            </w:pPr>
            <w:r>
              <w:rPr>
                <w:rFonts w:ascii="Times New Roman" w:hAnsi="Times New Roman" w:cs="Times New Roman"/>
                <w:b/>
                <w:bCs/>
                <w:sz w:val="26"/>
                <w:szCs w:val="26"/>
              </w:rPr>
              <w:t>Possible business effect</w:t>
            </w:r>
          </w:p>
        </w:tc>
      </w:tr>
      <w:tr w:rsidR="00F11F0A" w14:paraId="53778825" w14:textId="77777777" w:rsidTr="00753A3C">
        <w:trPr>
          <w:trHeight w:val="550"/>
        </w:trPr>
        <w:tc>
          <w:tcPr>
            <w:tcW w:w="4779" w:type="dxa"/>
          </w:tcPr>
          <w:p w14:paraId="0D75361B" w14:textId="7B2F8A56" w:rsidR="00F11F0A" w:rsidRDefault="00753A3C" w:rsidP="00F11F0A">
            <w:pPr>
              <w:rPr>
                <w:rFonts w:ascii="Times New Roman" w:hAnsi="Times New Roman" w:cs="Times New Roman"/>
                <w:sz w:val="26"/>
                <w:szCs w:val="26"/>
              </w:rPr>
            </w:pPr>
            <w:r>
              <w:rPr>
                <w:rFonts w:ascii="Times New Roman" w:hAnsi="Times New Roman" w:cs="Times New Roman"/>
                <w:sz w:val="26"/>
                <w:szCs w:val="26"/>
              </w:rPr>
              <w:t>Fragmented security ownership</w:t>
            </w:r>
          </w:p>
        </w:tc>
        <w:tc>
          <w:tcPr>
            <w:tcW w:w="4779" w:type="dxa"/>
          </w:tcPr>
          <w:p w14:paraId="64A97197" w14:textId="3A8C4BEB" w:rsidR="00F11F0A" w:rsidRDefault="00753A3C" w:rsidP="00F11F0A">
            <w:pPr>
              <w:rPr>
                <w:rFonts w:ascii="Times New Roman" w:hAnsi="Times New Roman" w:cs="Times New Roman"/>
                <w:sz w:val="26"/>
                <w:szCs w:val="26"/>
              </w:rPr>
            </w:pPr>
            <w:r>
              <w:rPr>
                <w:rFonts w:ascii="Times New Roman" w:hAnsi="Times New Roman" w:cs="Times New Roman"/>
                <w:sz w:val="26"/>
                <w:szCs w:val="26"/>
              </w:rPr>
              <w:t>Inconsistent decisions and weak accountability</w:t>
            </w:r>
          </w:p>
        </w:tc>
      </w:tr>
      <w:tr w:rsidR="00F11F0A" w14:paraId="1D05D34C" w14:textId="77777777" w:rsidTr="00753A3C">
        <w:trPr>
          <w:trHeight w:val="550"/>
        </w:trPr>
        <w:tc>
          <w:tcPr>
            <w:tcW w:w="4779" w:type="dxa"/>
          </w:tcPr>
          <w:p w14:paraId="2BAEC890" w14:textId="7B8E4463" w:rsidR="00F11F0A" w:rsidRDefault="00753A3C" w:rsidP="00F11F0A">
            <w:pPr>
              <w:rPr>
                <w:rFonts w:ascii="Times New Roman" w:hAnsi="Times New Roman" w:cs="Times New Roman"/>
                <w:sz w:val="26"/>
                <w:szCs w:val="26"/>
              </w:rPr>
            </w:pPr>
            <w:r>
              <w:rPr>
                <w:rFonts w:ascii="Times New Roman" w:hAnsi="Times New Roman" w:cs="Times New Roman"/>
                <w:sz w:val="26"/>
                <w:szCs w:val="26"/>
              </w:rPr>
              <w:t>Heavy supplier dependence</w:t>
            </w:r>
          </w:p>
        </w:tc>
        <w:tc>
          <w:tcPr>
            <w:tcW w:w="4779" w:type="dxa"/>
          </w:tcPr>
          <w:p w14:paraId="6B50FCF9" w14:textId="17AD6B48" w:rsidR="00F11F0A" w:rsidRDefault="00753A3C" w:rsidP="00F11F0A">
            <w:pPr>
              <w:rPr>
                <w:rFonts w:ascii="Times New Roman" w:hAnsi="Times New Roman" w:cs="Times New Roman"/>
                <w:sz w:val="26"/>
                <w:szCs w:val="26"/>
              </w:rPr>
            </w:pPr>
            <w:r>
              <w:rPr>
                <w:rFonts w:ascii="Times New Roman" w:hAnsi="Times New Roman" w:cs="Times New Roman"/>
                <w:sz w:val="26"/>
                <w:szCs w:val="26"/>
              </w:rPr>
              <w:t>Service disruption or data exposure</w:t>
            </w:r>
          </w:p>
        </w:tc>
      </w:tr>
      <w:tr w:rsidR="00F11F0A" w14:paraId="07433D57" w14:textId="77777777" w:rsidTr="00753A3C">
        <w:trPr>
          <w:trHeight w:val="550"/>
        </w:trPr>
        <w:tc>
          <w:tcPr>
            <w:tcW w:w="4779" w:type="dxa"/>
          </w:tcPr>
          <w:p w14:paraId="0387C163" w14:textId="23EBE7DB" w:rsidR="00F11F0A" w:rsidRDefault="00753A3C" w:rsidP="00F11F0A">
            <w:pPr>
              <w:rPr>
                <w:rFonts w:ascii="Times New Roman" w:hAnsi="Times New Roman" w:cs="Times New Roman"/>
                <w:sz w:val="26"/>
                <w:szCs w:val="26"/>
              </w:rPr>
            </w:pPr>
            <w:r>
              <w:rPr>
                <w:rFonts w:ascii="Times New Roman" w:hAnsi="Times New Roman" w:cs="Times New Roman"/>
                <w:sz w:val="26"/>
                <w:szCs w:val="26"/>
              </w:rPr>
              <w:t>Uneven access management</w:t>
            </w:r>
          </w:p>
        </w:tc>
        <w:tc>
          <w:tcPr>
            <w:tcW w:w="4779" w:type="dxa"/>
          </w:tcPr>
          <w:p w14:paraId="0A129DFA" w14:textId="5740BC2E" w:rsidR="00F11F0A" w:rsidRDefault="00753A3C" w:rsidP="00F11F0A">
            <w:pPr>
              <w:rPr>
                <w:rFonts w:ascii="Times New Roman" w:hAnsi="Times New Roman" w:cs="Times New Roman"/>
                <w:sz w:val="26"/>
                <w:szCs w:val="26"/>
              </w:rPr>
            </w:pPr>
            <w:r>
              <w:rPr>
                <w:rFonts w:ascii="Times New Roman" w:hAnsi="Times New Roman" w:cs="Times New Roman"/>
                <w:sz w:val="26"/>
                <w:szCs w:val="26"/>
              </w:rPr>
              <w:t>Unauthorised access to sensitive systems</w:t>
            </w:r>
          </w:p>
        </w:tc>
      </w:tr>
      <w:tr w:rsidR="00F11F0A" w14:paraId="0C269742" w14:textId="77777777" w:rsidTr="00753A3C">
        <w:trPr>
          <w:trHeight w:val="571"/>
        </w:trPr>
        <w:tc>
          <w:tcPr>
            <w:tcW w:w="4779" w:type="dxa"/>
          </w:tcPr>
          <w:p w14:paraId="3994EAF4" w14:textId="599466AB" w:rsidR="00F11F0A" w:rsidRDefault="00753A3C" w:rsidP="00F11F0A">
            <w:pPr>
              <w:rPr>
                <w:rFonts w:ascii="Times New Roman" w:hAnsi="Times New Roman" w:cs="Times New Roman"/>
                <w:sz w:val="26"/>
                <w:szCs w:val="26"/>
              </w:rPr>
            </w:pPr>
            <w:r>
              <w:rPr>
                <w:rFonts w:ascii="Times New Roman" w:hAnsi="Times New Roman" w:cs="Times New Roman"/>
                <w:sz w:val="26"/>
                <w:szCs w:val="26"/>
              </w:rPr>
              <w:t>Limited central monitoring</w:t>
            </w:r>
          </w:p>
        </w:tc>
        <w:tc>
          <w:tcPr>
            <w:tcW w:w="4779" w:type="dxa"/>
          </w:tcPr>
          <w:p w14:paraId="21065CE6" w14:textId="2FD04325" w:rsidR="00F11F0A" w:rsidRDefault="00753A3C" w:rsidP="00F11F0A">
            <w:pPr>
              <w:rPr>
                <w:rFonts w:ascii="Times New Roman" w:hAnsi="Times New Roman" w:cs="Times New Roman"/>
                <w:sz w:val="26"/>
                <w:szCs w:val="26"/>
              </w:rPr>
            </w:pPr>
            <w:r>
              <w:rPr>
                <w:rFonts w:ascii="Times New Roman" w:hAnsi="Times New Roman" w:cs="Times New Roman"/>
                <w:sz w:val="26"/>
                <w:szCs w:val="26"/>
              </w:rPr>
              <w:t>Delayed detection and response</w:t>
            </w:r>
          </w:p>
        </w:tc>
      </w:tr>
      <w:tr w:rsidR="00F11F0A" w14:paraId="1E695F5E" w14:textId="77777777" w:rsidTr="00753A3C">
        <w:trPr>
          <w:trHeight w:val="550"/>
        </w:trPr>
        <w:tc>
          <w:tcPr>
            <w:tcW w:w="4779" w:type="dxa"/>
          </w:tcPr>
          <w:p w14:paraId="3F857F31" w14:textId="062815E3" w:rsidR="00F11F0A" w:rsidRDefault="00753A3C" w:rsidP="00F11F0A">
            <w:pPr>
              <w:rPr>
                <w:rFonts w:ascii="Times New Roman" w:hAnsi="Times New Roman" w:cs="Times New Roman"/>
                <w:sz w:val="26"/>
                <w:szCs w:val="26"/>
              </w:rPr>
            </w:pPr>
            <w:r>
              <w:rPr>
                <w:rFonts w:ascii="Times New Roman" w:hAnsi="Times New Roman" w:cs="Times New Roman"/>
                <w:sz w:val="26"/>
                <w:szCs w:val="26"/>
              </w:rPr>
              <w:t>Insufficient recovery testing</w:t>
            </w:r>
          </w:p>
        </w:tc>
        <w:tc>
          <w:tcPr>
            <w:tcW w:w="4779" w:type="dxa"/>
          </w:tcPr>
          <w:p w14:paraId="7F6D47D3" w14:textId="7A03EBD8" w:rsidR="00F11F0A" w:rsidRDefault="00753A3C" w:rsidP="00F11F0A">
            <w:pPr>
              <w:rPr>
                <w:rFonts w:ascii="Times New Roman" w:hAnsi="Times New Roman" w:cs="Times New Roman"/>
                <w:sz w:val="26"/>
                <w:szCs w:val="26"/>
              </w:rPr>
            </w:pPr>
            <w:r>
              <w:rPr>
                <w:rFonts w:ascii="Times New Roman" w:hAnsi="Times New Roman" w:cs="Times New Roman"/>
                <w:sz w:val="26"/>
                <w:szCs w:val="26"/>
              </w:rPr>
              <w:t>Longer outages and delivery disruption</w:t>
            </w:r>
          </w:p>
        </w:tc>
      </w:tr>
    </w:tbl>
    <w:p w14:paraId="35517B73" w14:textId="77777777" w:rsidR="00CC0CC3" w:rsidRDefault="00CC0CC3" w:rsidP="00F11F0A">
      <w:pPr>
        <w:jc w:val="both"/>
        <w:rPr>
          <w:rFonts w:ascii="Times New Roman" w:hAnsi="Times New Roman" w:cs="Times New Roman"/>
          <w:sz w:val="26"/>
          <w:szCs w:val="26"/>
        </w:rPr>
      </w:pPr>
    </w:p>
    <w:p w14:paraId="187B0F64" w14:textId="59B5FA55" w:rsidR="00F11F0A" w:rsidRPr="00F11F0A" w:rsidRDefault="00F11F0A" w:rsidP="00F11F0A">
      <w:pPr>
        <w:jc w:val="both"/>
        <w:rPr>
          <w:rFonts w:ascii="Times New Roman" w:hAnsi="Times New Roman" w:cs="Times New Roman"/>
          <w:sz w:val="26"/>
          <w:szCs w:val="26"/>
        </w:rPr>
      </w:pPr>
      <w:r w:rsidRPr="00F11F0A">
        <w:rPr>
          <w:rFonts w:ascii="Times New Roman" w:hAnsi="Times New Roman" w:cs="Times New Roman"/>
          <w:sz w:val="26"/>
          <w:szCs w:val="26"/>
        </w:rPr>
        <w:t>These conditions create operational, financial, legal and reputational concerns. A compromised account may allow unauthorised access, while poor monitoring could delay the discovery of suspicious activity. An unavailable warehouse or tracking platform could lead to missed collections, customer complaints and contractual penalties. The central challenge is therefore not one isolated vulnerability, but the absence of consistent ownership and oversight across an interconnected business environment. This chapter establishes the current context and key weaknesses that the later sections will assess through governance, compliance, risk and control perspectives.</w:t>
      </w:r>
    </w:p>
    <w:p w14:paraId="440A1DA2" w14:textId="77777777" w:rsidR="00F11F0A" w:rsidRPr="00F11F0A" w:rsidRDefault="00F11F0A" w:rsidP="00F11F0A">
      <w:pPr>
        <w:jc w:val="both"/>
        <w:rPr>
          <w:rFonts w:ascii="Times New Roman" w:hAnsi="Times New Roman" w:cs="Times New Roman"/>
          <w:sz w:val="26"/>
          <w:szCs w:val="26"/>
        </w:rPr>
      </w:pPr>
    </w:p>
    <w:p w14:paraId="16AF13F6" w14:textId="531FB36E" w:rsidR="00E41DC0" w:rsidRPr="00F11F0A" w:rsidRDefault="00F11F0A" w:rsidP="00F11F0A">
      <w:pPr>
        <w:jc w:val="both"/>
        <w:rPr>
          <w:rFonts w:ascii="Times New Roman" w:hAnsi="Times New Roman" w:cs="Times New Roman"/>
          <w:sz w:val="26"/>
          <w:szCs w:val="26"/>
        </w:rPr>
      </w:pPr>
      <w:r w:rsidRPr="00F11F0A">
        <w:rPr>
          <w:rFonts w:ascii="Times New Roman" w:hAnsi="Times New Roman" w:cs="Times New Roman"/>
          <w:sz w:val="26"/>
          <w:szCs w:val="26"/>
        </w:rPr>
        <w:t>Taken together, these issues clearly show how a local security weakness could become a wider business problem affecting service continuity, customer trust and organisational performance.</w:t>
      </w:r>
    </w:p>
    <w:p w14:paraId="23BBA462" w14:textId="709E040A" w:rsidR="00E41DC0" w:rsidRPr="00863363" w:rsidRDefault="0004377B" w:rsidP="0004377B">
      <w:pPr>
        <w:rPr>
          <w:rFonts w:ascii="Times New Roman" w:hAnsi="Times New Roman" w:cs="Times New Roman"/>
          <w:sz w:val="28"/>
          <w:szCs w:val="28"/>
        </w:rPr>
      </w:pPr>
      <w:r w:rsidRPr="00863363">
        <w:rPr>
          <w:rFonts w:ascii="Times New Roman" w:hAnsi="Times New Roman" w:cs="Times New Roman"/>
          <w:sz w:val="28"/>
          <w:szCs w:val="28"/>
        </w:rPr>
        <w:br w:type="page"/>
      </w:r>
    </w:p>
    <w:p w14:paraId="4DA02DD3" w14:textId="42F1DEFA" w:rsidR="00E41DC0" w:rsidRPr="004772DE" w:rsidRDefault="00E41DC0" w:rsidP="004772DE">
      <w:pPr>
        <w:pStyle w:val="Heading1"/>
        <w:numPr>
          <w:ilvl w:val="0"/>
          <w:numId w:val="13"/>
        </w:numPr>
      </w:pPr>
      <w:bookmarkStart w:id="3" w:name="_Toc237168260"/>
      <w:r w:rsidRPr="004772DE">
        <w:lastRenderedPageBreak/>
        <w:t>Security Framework Research and Evaluation</w:t>
      </w:r>
      <w:bookmarkEnd w:id="3"/>
      <w:r w:rsidRPr="004772DE">
        <w:t xml:space="preserve"> </w:t>
      </w:r>
    </w:p>
    <w:p w14:paraId="059DA653" w14:textId="77777777" w:rsidR="00F14342" w:rsidRPr="00F14342" w:rsidRDefault="00F14342" w:rsidP="00F14342">
      <w:pPr>
        <w:jc w:val="both"/>
        <w:rPr>
          <w:rFonts w:ascii="Times New Roman" w:hAnsi="Times New Roman" w:cs="Times New Roman"/>
          <w:sz w:val="26"/>
          <w:szCs w:val="26"/>
        </w:rPr>
      </w:pPr>
      <w:r w:rsidRPr="00F14342">
        <w:rPr>
          <w:rFonts w:ascii="Times New Roman" w:hAnsi="Times New Roman" w:cs="Times New Roman"/>
          <w:sz w:val="26"/>
          <w:szCs w:val="26"/>
        </w:rPr>
        <w:t>Selecting a suitable security framework is important because the organisation needs more than isolated technical measures. It requires a repeatable way to connect business priorities, legal duties, risk decisions and day-to-day security work. A framework can provide this structure, but it must be assessed against the company’s size, digital dependence, supplier relationships and available resources. This chapter evaluates ISO/IEC 27001:2022 and NIST Cybersecurity Framework (CSF) 2.0 for that purpose.</w:t>
      </w:r>
    </w:p>
    <w:p w14:paraId="4A97254B" w14:textId="77777777" w:rsidR="00F14342" w:rsidRDefault="00F14342" w:rsidP="00F14342">
      <w:pPr>
        <w:jc w:val="both"/>
        <w:rPr>
          <w:rFonts w:ascii="Times New Roman" w:hAnsi="Times New Roman" w:cs="Times New Roman"/>
          <w:sz w:val="28"/>
          <w:szCs w:val="28"/>
        </w:rPr>
      </w:pPr>
    </w:p>
    <w:p w14:paraId="0B553D19" w14:textId="3F6A55E7" w:rsidR="00F14342" w:rsidRPr="00044359" w:rsidRDefault="00F14342" w:rsidP="00EA09D8">
      <w:pPr>
        <w:pStyle w:val="Heading2"/>
      </w:pPr>
      <w:bookmarkStart w:id="4" w:name="_Toc237168261"/>
      <w:r w:rsidRPr="00044359">
        <w:t>3.1 ISO/IEC 27001:2022</w:t>
      </w:r>
      <w:bookmarkEnd w:id="4"/>
    </w:p>
    <w:p w14:paraId="4D671FB0" w14:textId="60A5AC15" w:rsidR="00F14342" w:rsidRPr="00F14342" w:rsidRDefault="00F14342" w:rsidP="00F14342">
      <w:pPr>
        <w:jc w:val="both"/>
        <w:rPr>
          <w:rFonts w:ascii="Times New Roman" w:hAnsi="Times New Roman" w:cs="Times New Roman"/>
          <w:sz w:val="26"/>
          <w:szCs w:val="26"/>
        </w:rPr>
      </w:pPr>
      <w:r w:rsidRPr="00F14342">
        <w:rPr>
          <w:rFonts w:ascii="Times New Roman" w:hAnsi="Times New Roman" w:cs="Times New Roman"/>
          <w:sz w:val="26"/>
          <w:szCs w:val="26"/>
        </w:rPr>
        <w:t>ISO/IEC 27001:2022 provides requirements for establishing, maintaining and continually improving an Information Security Management System (ISMS)</w:t>
      </w:r>
      <w:sdt>
        <w:sdtPr>
          <w:rPr>
            <w:rFonts w:ascii="Times New Roman" w:hAnsi="Times New Roman" w:cs="Times New Roman"/>
            <w:sz w:val="26"/>
            <w:szCs w:val="26"/>
          </w:rPr>
          <w:id w:val="-1878926897"/>
          <w:citation/>
        </w:sdtPr>
        <w:sdtContent>
          <w:r w:rsidR="00ED1942">
            <w:rPr>
              <w:rFonts w:ascii="Times New Roman" w:hAnsi="Times New Roman" w:cs="Times New Roman"/>
              <w:sz w:val="26"/>
              <w:szCs w:val="26"/>
            </w:rPr>
            <w:fldChar w:fldCharType="begin"/>
          </w:r>
          <w:r w:rsidR="00ED1942">
            <w:rPr>
              <w:rFonts w:ascii="Times New Roman" w:hAnsi="Times New Roman" w:cs="Times New Roman"/>
              <w:sz w:val="26"/>
              <w:szCs w:val="26"/>
              <w:lang w:val="en-US"/>
            </w:rPr>
            <w:instrText xml:space="preserve"> CITATION Cha24 \l 1033 </w:instrText>
          </w:r>
          <w:r w:rsidR="00ED1942">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[6]</w:t>
          </w:r>
          <w:r w:rsidR="00ED1942">
            <w:rPr>
              <w:rFonts w:ascii="Times New Roman" w:hAnsi="Times New Roman" w:cs="Times New Roman"/>
              <w:sz w:val="26"/>
              <w:szCs w:val="26"/>
            </w:rPr>
            <w:fldChar w:fldCharType="end"/>
          </w:r>
        </w:sdtContent>
      </w:sdt>
      <w:r w:rsidRPr="00F14342">
        <w:rPr>
          <w:rFonts w:ascii="Times New Roman" w:hAnsi="Times New Roman" w:cs="Times New Roman"/>
          <w:sz w:val="26"/>
          <w:szCs w:val="26"/>
        </w:rPr>
        <w:t>. Its main value is the disciplined management structure it creates through leadership commitment, defined scope, risk assessment, documented responsibilities, performance evaluation and corrective action. This makes it particularly useful where the organisation must demonstrate accountability to customers, regulators and commercial partners. Certification can also provide independent assurance, although adopting the standard does not require immediate certification.</w:t>
      </w:r>
    </w:p>
    <w:p w14:paraId="08377FA1" w14:textId="77777777" w:rsidR="00F14342" w:rsidRPr="00F14342" w:rsidRDefault="00F14342" w:rsidP="00F14342">
      <w:pPr>
        <w:jc w:val="both"/>
        <w:rPr>
          <w:rFonts w:ascii="Times New Roman" w:hAnsi="Times New Roman" w:cs="Times New Roman"/>
          <w:sz w:val="26"/>
          <w:szCs w:val="26"/>
        </w:rPr>
      </w:pPr>
    </w:p>
    <w:p w14:paraId="551A0775" w14:textId="76B24C70" w:rsidR="00F14342" w:rsidRDefault="00F14342" w:rsidP="00F14342">
      <w:pPr>
        <w:jc w:val="both"/>
        <w:rPr>
          <w:rFonts w:ascii="Times New Roman" w:hAnsi="Times New Roman" w:cs="Times New Roman"/>
          <w:sz w:val="26"/>
          <w:szCs w:val="26"/>
        </w:rPr>
      </w:pPr>
      <w:r w:rsidRPr="00F14342">
        <w:rPr>
          <w:rFonts w:ascii="Times New Roman" w:hAnsi="Times New Roman" w:cs="Times New Roman"/>
          <w:sz w:val="26"/>
          <w:szCs w:val="26"/>
        </w:rPr>
        <w:t>Its strength is also a possible limitation. Establishing an ISMS requires time, skilled staff, reliable evidence and regular internal review. If applied mechanically, it may create excessive documentation without improving operational security. Practical security-management guidance therefore supports keeping the scope, risk treatment and controls closely connected to business needs</w:t>
      </w:r>
      <w:sdt>
        <w:sdtPr>
          <w:rPr>
            <w:rFonts w:ascii="Times New Roman" w:hAnsi="Times New Roman" w:cs="Times New Roman"/>
            <w:sz w:val="26"/>
            <w:szCs w:val="26"/>
          </w:rPr>
          <w:id w:val="-1203472640"/>
          <w:citation/>
        </w:sdtPr>
        <w:sdtContent>
          <w:r w:rsidR="00ED1942">
            <w:rPr>
              <w:rFonts w:ascii="Times New Roman" w:hAnsi="Times New Roman" w:cs="Times New Roman"/>
              <w:sz w:val="26"/>
              <w:szCs w:val="26"/>
            </w:rPr>
            <w:fldChar w:fldCharType="begin"/>
          </w:r>
          <w:r w:rsidR="00ED1942">
            <w:rPr>
              <w:rFonts w:ascii="Times New Roman" w:hAnsi="Times New Roman" w:cs="Times New Roman"/>
              <w:sz w:val="26"/>
              <w:szCs w:val="26"/>
              <w:lang w:val="en-US"/>
            </w:rPr>
            <w:instrText xml:space="preserve"> CITATION Sta26 \l 1033 </w:instrText>
          </w:r>
          <w:r w:rsidR="00ED1942">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[7]</w:t>
          </w:r>
          <w:r w:rsidR="00ED1942">
            <w:rPr>
              <w:rFonts w:ascii="Times New Roman" w:hAnsi="Times New Roman" w:cs="Times New Roman"/>
              <w:sz w:val="26"/>
              <w:szCs w:val="26"/>
            </w:rPr>
            <w:fldChar w:fldCharType="end"/>
          </w:r>
        </w:sdtContent>
      </w:sdt>
      <w:r w:rsidRPr="00F14342">
        <w:rPr>
          <w:rFonts w:ascii="Times New Roman" w:hAnsi="Times New Roman" w:cs="Times New Roman"/>
          <w:sz w:val="26"/>
          <w:szCs w:val="26"/>
        </w:rPr>
        <w:t>.</w:t>
      </w:r>
    </w:p>
    <w:p w14:paraId="3CFBD018" w14:textId="77777777" w:rsidR="00F14342" w:rsidRDefault="00F14342" w:rsidP="00F14342">
      <w:pPr>
        <w:jc w:val="both"/>
        <w:rPr>
          <w:rFonts w:ascii="Times New Roman" w:hAnsi="Times New Roman" w:cs="Times New Roman"/>
          <w:sz w:val="26"/>
          <w:szCs w:val="26"/>
        </w:rPr>
      </w:pPr>
    </w:p>
    <w:p w14:paraId="77C30076" w14:textId="77777777" w:rsidR="00F14342" w:rsidRPr="00044359" w:rsidRDefault="00F14342" w:rsidP="00EA09D8">
      <w:pPr>
        <w:pStyle w:val="Heading2"/>
      </w:pPr>
      <w:bookmarkStart w:id="5" w:name="_Toc237168262"/>
      <w:r w:rsidRPr="00044359">
        <w:t>3.2 NIST Cybersecurity Framework 2.0</w:t>
      </w:r>
      <w:bookmarkEnd w:id="5"/>
    </w:p>
    <w:p w14:paraId="25393B04" w14:textId="57F1009B" w:rsidR="00A6342E" w:rsidRPr="00A6342E" w:rsidRDefault="00A6342E" w:rsidP="00A6342E">
      <w:pPr>
        <w:jc w:val="both"/>
        <w:rPr>
          <w:rFonts w:ascii="Times New Roman" w:hAnsi="Times New Roman" w:cs="Times New Roman"/>
          <w:sz w:val="26"/>
          <w:szCs w:val="26"/>
        </w:rPr>
      </w:pPr>
      <w:r w:rsidRPr="00A6342E">
        <w:rPr>
          <w:rFonts w:ascii="Times New Roman" w:hAnsi="Times New Roman" w:cs="Times New Roman"/>
          <w:sz w:val="26"/>
          <w:szCs w:val="26"/>
        </w:rPr>
        <w:t>NIST CSF 2.0 takes a more flexible, outcome-based approach. It organises cybersecurity activity into six Functions: Govern, Identify, Protect, Detect, Respond and Recover</w:t>
      </w:r>
      <w:sdt>
        <w:sdtPr>
          <w:rPr>
            <w:rFonts w:ascii="Times New Roman" w:hAnsi="Times New Roman" w:cs="Times New Roman"/>
            <w:sz w:val="26"/>
            <w:szCs w:val="26"/>
          </w:rPr>
          <w:id w:val="-2113272480"/>
          <w:citation/>
        </w:sdtPr>
        <w:sdtContent>
          <w:r w:rsidR="003F0F0B">
            <w:rPr>
              <w:rFonts w:ascii="Times New Roman" w:hAnsi="Times New Roman" w:cs="Times New Roman"/>
              <w:sz w:val="26"/>
              <w:szCs w:val="26"/>
            </w:rPr>
            <w:fldChar w:fldCharType="begin"/>
          </w:r>
          <w:r w:rsidR="003F0F0B">
            <w:rPr>
              <w:rFonts w:ascii="Times New Roman" w:hAnsi="Times New Roman" w:cs="Times New Roman"/>
              <w:sz w:val="26"/>
              <w:szCs w:val="26"/>
              <w:lang w:val="en-US"/>
            </w:rPr>
            <w:instrText xml:space="preserve"> CITATION Tur26 \l 1033 </w:instrText>
          </w:r>
          <w:r w:rsidR="003F0F0B">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[8]</w:t>
          </w:r>
          <w:r w:rsidR="003F0F0B">
            <w:rPr>
              <w:rFonts w:ascii="Times New Roman" w:hAnsi="Times New Roman" w:cs="Times New Roman"/>
              <w:sz w:val="26"/>
              <w:szCs w:val="26"/>
            </w:rPr>
            <w:fldChar w:fldCharType="end"/>
          </w:r>
        </w:sdtContent>
      </w:sdt>
      <w:r w:rsidRPr="00A6342E">
        <w:rPr>
          <w:rFonts w:ascii="Times New Roman" w:hAnsi="Times New Roman" w:cs="Times New Roman"/>
          <w:sz w:val="26"/>
          <w:szCs w:val="26"/>
        </w:rPr>
        <w:t>. Current and Target Profiles allow an organisation to compare its present position with its intended outcomes, while Implementation Tiers help describe the consistency of risk-management practices. This language is easier to communicate across management, technical teams and suppliers, making the framework useful for prioritising improvement.</w:t>
      </w:r>
    </w:p>
    <w:p w14:paraId="1F99D482" w14:textId="77777777" w:rsidR="00A6342E" w:rsidRPr="00A6342E" w:rsidRDefault="00A6342E" w:rsidP="00A6342E">
      <w:pPr>
        <w:jc w:val="both"/>
        <w:rPr>
          <w:rFonts w:ascii="Times New Roman" w:hAnsi="Times New Roman" w:cs="Times New Roman"/>
          <w:sz w:val="26"/>
          <w:szCs w:val="26"/>
        </w:rPr>
      </w:pPr>
    </w:p>
    <w:p w14:paraId="40D9B825" w14:textId="6CE7B80E" w:rsidR="00A6342E" w:rsidRDefault="00A6342E" w:rsidP="00A6342E">
      <w:pPr>
        <w:jc w:val="both"/>
        <w:rPr>
          <w:rFonts w:ascii="Times New Roman" w:hAnsi="Times New Roman" w:cs="Times New Roman"/>
          <w:sz w:val="26"/>
          <w:szCs w:val="26"/>
        </w:rPr>
      </w:pPr>
      <w:r w:rsidRPr="00A6342E">
        <w:rPr>
          <w:rFonts w:ascii="Times New Roman" w:hAnsi="Times New Roman" w:cs="Times New Roman"/>
          <w:sz w:val="26"/>
          <w:szCs w:val="26"/>
        </w:rPr>
        <w:t xml:space="preserve">However, the CSF does not prescribe exactly how each outcome must be achieved, and it does not provide a certifiable management system. Its flexibility may lead to </w:t>
      </w:r>
      <w:r w:rsidRPr="00A6342E">
        <w:rPr>
          <w:rFonts w:ascii="Times New Roman" w:hAnsi="Times New Roman" w:cs="Times New Roman"/>
          <w:sz w:val="26"/>
          <w:szCs w:val="26"/>
        </w:rPr>
        <w:lastRenderedPageBreak/>
        <w:t>inconsistent interpretation if responsibilities, evidence and review arrangements are not established. More broadly, security literature shows that a framework becomes effective only when governance, people, resources and technology support one another</w:t>
      </w:r>
      <w:sdt>
        <w:sdtPr>
          <w:rPr>
            <w:rFonts w:ascii="Times New Roman" w:hAnsi="Times New Roman" w:cs="Times New Roman"/>
            <w:sz w:val="26"/>
            <w:szCs w:val="26"/>
          </w:rPr>
          <w:id w:val="-208108130"/>
          <w:citation/>
        </w:sdtPr>
        <w:sdtContent>
          <w:r w:rsidR="003F0F0B">
            <w:rPr>
              <w:rFonts w:ascii="Times New Roman" w:hAnsi="Times New Roman" w:cs="Times New Roman"/>
              <w:sz w:val="26"/>
              <w:szCs w:val="26"/>
            </w:rPr>
            <w:fldChar w:fldCharType="begin"/>
          </w:r>
          <w:r w:rsidR="003F0F0B">
            <w:rPr>
              <w:rFonts w:ascii="Times New Roman" w:hAnsi="Times New Roman" w:cs="Times New Roman"/>
              <w:sz w:val="26"/>
              <w:szCs w:val="26"/>
              <w:lang w:val="en-US"/>
            </w:rPr>
            <w:instrText xml:space="preserve"> CITATION Mer14 \l 1033 </w:instrText>
          </w:r>
          <w:r w:rsidR="003F0F0B">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[9]</w:t>
          </w:r>
          <w:r w:rsidR="003F0F0B">
            <w:rPr>
              <w:rFonts w:ascii="Times New Roman" w:hAnsi="Times New Roman" w:cs="Times New Roman"/>
              <w:sz w:val="26"/>
              <w:szCs w:val="26"/>
            </w:rPr>
            <w:fldChar w:fldCharType="end"/>
          </w:r>
        </w:sdtContent>
      </w:sdt>
      <w:r w:rsidRPr="00A6342E">
        <w:rPr>
          <w:rFonts w:ascii="Times New Roman" w:hAnsi="Times New Roman" w:cs="Times New Roman"/>
          <w:sz w:val="26"/>
          <w:szCs w:val="26"/>
        </w:rPr>
        <w:t>.</w:t>
      </w:r>
    </w:p>
    <w:p w14:paraId="34831B52" w14:textId="0EDDD2A1" w:rsidR="00BD6291" w:rsidRPr="00621DA3" w:rsidRDefault="00BD6291" w:rsidP="00621DA3">
      <w:pPr>
        <w:pStyle w:val="FigureTitle"/>
      </w:pPr>
      <w:r w:rsidRPr="00621DA3">
        <w:t>Figure 2: Proposed integration of the selected frameworks</w:t>
      </w:r>
      <w:r w:rsidRPr="00621DA3">
        <w:rPr>
          <w:noProof/>
        </w:rPr>
        <w:drawing>
          <wp:anchor distT="0" distB="0" distL="114300" distR="114300" simplePos="0" relativeHeight="251659264" behindDoc="0" locked="0" layoutInCell="1" allowOverlap="1" wp14:anchorId="190DE053" wp14:editId="4FFD4B79">
            <wp:simplePos x="0" y="0"/>
            <wp:positionH relativeFrom="column">
              <wp:posOffset>0</wp:posOffset>
            </wp:positionH>
            <wp:positionV relativeFrom="paragraph">
              <wp:posOffset>-834</wp:posOffset>
            </wp:positionV>
            <wp:extent cx="5688330" cy="3469136"/>
            <wp:effectExtent l="0" t="0" r="7620" b="0"/>
            <wp:wrapSquare wrapText="bothSides"/>
            <wp:docPr id="15315661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88330" cy="3469136"/>
                    </a:xfrm>
                    <a:prstGeom prst="rect">
                      <a:avLst/>
                    </a:prstGeom>
                    <a:noFill/>
                  </pic:spPr>
                </pic:pic>
              </a:graphicData>
            </a:graphic>
          </wp:anchor>
        </w:drawing>
      </w:r>
    </w:p>
    <w:p w14:paraId="1BDE4136" w14:textId="77777777" w:rsidR="00A6342E" w:rsidRDefault="00A6342E" w:rsidP="00A6342E">
      <w:pPr>
        <w:jc w:val="both"/>
        <w:rPr>
          <w:rFonts w:ascii="Times New Roman" w:hAnsi="Times New Roman" w:cs="Times New Roman"/>
          <w:sz w:val="26"/>
          <w:szCs w:val="26"/>
        </w:rPr>
      </w:pPr>
    </w:p>
    <w:p w14:paraId="343A823B" w14:textId="77777777" w:rsidR="00A6342E" w:rsidRPr="00044359" w:rsidRDefault="00A6342E" w:rsidP="00EA09D8">
      <w:pPr>
        <w:pStyle w:val="Heading2"/>
      </w:pPr>
      <w:bookmarkStart w:id="6" w:name="_Toc237168263"/>
      <w:r w:rsidRPr="00044359">
        <w:t>3.3 Comparative Evaluation</w:t>
      </w:r>
      <w:bookmarkEnd w:id="6"/>
    </w:p>
    <w:tbl>
      <w:tblPr>
        <w:tblStyle w:val="TableGrid"/>
        <w:tblW w:w="9026" w:type="dxa"/>
        <w:tblLook w:val="04A0" w:firstRow="1" w:lastRow="0" w:firstColumn="1" w:lastColumn="0" w:noHBand="0" w:noVBand="1"/>
      </w:tblPr>
      <w:tblGrid>
        <w:gridCol w:w="2124"/>
        <w:gridCol w:w="3406"/>
        <w:gridCol w:w="3496"/>
      </w:tblGrid>
      <w:tr w:rsidR="00A6342E" w14:paraId="3C967A00" w14:textId="77777777" w:rsidTr="00A6342E">
        <w:trPr>
          <w:trHeight w:val="502"/>
        </w:trPr>
        <w:tc>
          <w:tcPr>
            <w:tcW w:w="2124" w:type="dxa"/>
          </w:tcPr>
          <w:p w14:paraId="1FA458EC" w14:textId="19B101F7" w:rsidR="00A6342E" w:rsidRPr="00BD6291" w:rsidRDefault="00A6342E" w:rsidP="00A6342E">
            <w:pPr>
              <w:jc w:val="both"/>
              <w:rPr>
                <w:rFonts w:ascii="Times New Roman" w:hAnsi="Times New Roman" w:cs="Times New Roman"/>
                <w:b/>
                <w:bCs/>
                <w:sz w:val="26"/>
                <w:szCs w:val="26"/>
              </w:rPr>
            </w:pPr>
            <w:r w:rsidRPr="00BD6291">
              <w:rPr>
                <w:rFonts w:ascii="Times New Roman" w:hAnsi="Times New Roman" w:cs="Times New Roman"/>
                <w:b/>
                <w:bCs/>
                <w:sz w:val="26"/>
                <w:szCs w:val="26"/>
              </w:rPr>
              <w:t>Evaluation area</w:t>
            </w:r>
          </w:p>
        </w:tc>
        <w:tc>
          <w:tcPr>
            <w:tcW w:w="3406" w:type="dxa"/>
          </w:tcPr>
          <w:p w14:paraId="7EF419D7" w14:textId="02527917" w:rsidR="00A6342E" w:rsidRPr="00BD6291" w:rsidRDefault="00A6342E" w:rsidP="00A6342E">
            <w:pPr>
              <w:jc w:val="both"/>
              <w:rPr>
                <w:rFonts w:ascii="Times New Roman" w:hAnsi="Times New Roman" w:cs="Times New Roman"/>
                <w:b/>
                <w:bCs/>
                <w:sz w:val="26"/>
                <w:szCs w:val="26"/>
              </w:rPr>
            </w:pPr>
            <w:r w:rsidRPr="00BD6291">
              <w:rPr>
                <w:rFonts w:ascii="Times New Roman" w:hAnsi="Times New Roman" w:cs="Times New Roman"/>
                <w:b/>
                <w:bCs/>
                <w:sz w:val="26"/>
                <w:szCs w:val="26"/>
              </w:rPr>
              <w:t>ISO/IEC 27001</w:t>
            </w:r>
          </w:p>
        </w:tc>
        <w:tc>
          <w:tcPr>
            <w:tcW w:w="3496" w:type="dxa"/>
          </w:tcPr>
          <w:p w14:paraId="75905193" w14:textId="767C4D14" w:rsidR="00A6342E" w:rsidRPr="00BD6291" w:rsidRDefault="00A6342E" w:rsidP="00A6342E">
            <w:pPr>
              <w:jc w:val="both"/>
              <w:rPr>
                <w:rFonts w:ascii="Times New Roman" w:hAnsi="Times New Roman" w:cs="Times New Roman"/>
                <w:b/>
                <w:bCs/>
                <w:sz w:val="26"/>
                <w:szCs w:val="26"/>
              </w:rPr>
            </w:pPr>
            <w:r w:rsidRPr="00BD6291">
              <w:rPr>
                <w:rFonts w:ascii="Times New Roman" w:hAnsi="Times New Roman" w:cs="Times New Roman"/>
                <w:b/>
                <w:bCs/>
                <w:sz w:val="26"/>
                <w:szCs w:val="26"/>
              </w:rPr>
              <w:t>NIST CSF 2.0</w:t>
            </w:r>
          </w:p>
        </w:tc>
      </w:tr>
      <w:tr w:rsidR="00A6342E" w14:paraId="698280C0" w14:textId="77777777" w:rsidTr="00A6342E">
        <w:trPr>
          <w:trHeight w:val="502"/>
        </w:trPr>
        <w:tc>
          <w:tcPr>
            <w:tcW w:w="2124" w:type="dxa"/>
          </w:tcPr>
          <w:p w14:paraId="73D326BE" w14:textId="43AC05C6" w:rsidR="00A6342E" w:rsidRPr="0091754F" w:rsidRDefault="00A6342E" w:rsidP="00A6342E">
            <w:pPr>
              <w:rPr>
                <w:rFonts w:ascii="Times New Roman" w:hAnsi="Times New Roman" w:cs="Times New Roman"/>
                <w:sz w:val="26"/>
                <w:szCs w:val="26"/>
              </w:rPr>
            </w:pPr>
            <w:r w:rsidRPr="0091754F">
              <w:rPr>
                <w:rFonts w:ascii="Times New Roman" w:hAnsi="Times New Roman" w:cs="Times New Roman"/>
                <w:sz w:val="26"/>
                <w:szCs w:val="26"/>
              </w:rPr>
              <w:t>Primary focus</w:t>
            </w:r>
          </w:p>
        </w:tc>
        <w:tc>
          <w:tcPr>
            <w:tcW w:w="3406" w:type="dxa"/>
          </w:tcPr>
          <w:p w14:paraId="06823193" w14:textId="350AC3BA" w:rsidR="00A6342E" w:rsidRPr="0091754F" w:rsidRDefault="00A6342E" w:rsidP="00A6342E">
            <w:pPr>
              <w:rPr>
                <w:rFonts w:ascii="Times New Roman" w:hAnsi="Times New Roman" w:cs="Times New Roman"/>
                <w:sz w:val="26"/>
                <w:szCs w:val="26"/>
              </w:rPr>
            </w:pPr>
            <w:r w:rsidRPr="0091754F">
              <w:rPr>
                <w:rFonts w:ascii="Times New Roman" w:hAnsi="Times New Roman" w:cs="Times New Roman"/>
                <w:sz w:val="26"/>
                <w:szCs w:val="26"/>
              </w:rPr>
              <w:t>Auditable management system</w:t>
            </w:r>
          </w:p>
        </w:tc>
        <w:tc>
          <w:tcPr>
            <w:tcW w:w="3496" w:type="dxa"/>
          </w:tcPr>
          <w:p w14:paraId="4BB49344" w14:textId="4DACB146" w:rsidR="00A6342E" w:rsidRPr="0091754F" w:rsidRDefault="00A6342E" w:rsidP="00A6342E">
            <w:pPr>
              <w:rPr>
                <w:rFonts w:ascii="Times New Roman" w:hAnsi="Times New Roman" w:cs="Times New Roman"/>
                <w:sz w:val="26"/>
                <w:szCs w:val="26"/>
              </w:rPr>
            </w:pPr>
            <w:r w:rsidRPr="0091754F">
              <w:rPr>
                <w:rFonts w:ascii="Times New Roman" w:hAnsi="Times New Roman" w:cs="Times New Roman"/>
                <w:sz w:val="26"/>
                <w:szCs w:val="26"/>
              </w:rPr>
              <w:t>Cybersecurity outcomes and communication</w:t>
            </w:r>
          </w:p>
        </w:tc>
      </w:tr>
      <w:tr w:rsidR="00A6342E" w14:paraId="7FECB615" w14:textId="77777777" w:rsidTr="00A6342E">
        <w:trPr>
          <w:trHeight w:val="519"/>
        </w:trPr>
        <w:tc>
          <w:tcPr>
            <w:tcW w:w="2124" w:type="dxa"/>
          </w:tcPr>
          <w:p w14:paraId="4E9238EA" w14:textId="3ECFE8C7" w:rsidR="00A6342E" w:rsidRPr="0091754F" w:rsidRDefault="00A6342E" w:rsidP="00A6342E">
            <w:pPr>
              <w:rPr>
                <w:rFonts w:ascii="Times New Roman" w:hAnsi="Times New Roman" w:cs="Times New Roman"/>
                <w:sz w:val="26"/>
                <w:szCs w:val="26"/>
              </w:rPr>
            </w:pPr>
            <w:r w:rsidRPr="0091754F">
              <w:rPr>
                <w:rFonts w:ascii="Times New Roman" w:hAnsi="Times New Roman" w:cs="Times New Roman"/>
                <w:sz w:val="26"/>
                <w:szCs w:val="26"/>
              </w:rPr>
              <w:t>Main strength</w:t>
            </w:r>
          </w:p>
        </w:tc>
        <w:tc>
          <w:tcPr>
            <w:tcW w:w="3406" w:type="dxa"/>
          </w:tcPr>
          <w:p w14:paraId="5A9E49D0" w14:textId="17BEB098" w:rsidR="00A6342E" w:rsidRPr="0091754F" w:rsidRDefault="00A6342E" w:rsidP="00A6342E">
            <w:pPr>
              <w:rPr>
                <w:rFonts w:ascii="Times New Roman" w:hAnsi="Times New Roman" w:cs="Times New Roman"/>
                <w:sz w:val="26"/>
                <w:szCs w:val="26"/>
              </w:rPr>
            </w:pPr>
            <w:r w:rsidRPr="0091754F">
              <w:rPr>
                <w:rFonts w:ascii="Times New Roman" w:hAnsi="Times New Roman" w:cs="Times New Roman"/>
                <w:sz w:val="26"/>
                <w:szCs w:val="26"/>
              </w:rPr>
              <w:t>Accountability, assurance and continual improvement</w:t>
            </w:r>
          </w:p>
        </w:tc>
        <w:tc>
          <w:tcPr>
            <w:tcW w:w="3496" w:type="dxa"/>
          </w:tcPr>
          <w:p w14:paraId="0582A47B" w14:textId="5495FF7B" w:rsidR="00A6342E" w:rsidRPr="0091754F" w:rsidRDefault="00BD6291" w:rsidP="00A6342E">
            <w:pPr>
              <w:rPr>
                <w:rFonts w:ascii="Times New Roman" w:hAnsi="Times New Roman" w:cs="Times New Roman"/>
                <w:sz w:val="26"/>
                <w:szCs w:val="26"/>
              </w:rPr>
            </w:pPr>
            <w:r w:rsidRPr="0091754F">
              <w:rPr>
                <w:rFonts w:ascii="Times New Roman" w:hAnsi="Times New Roman" w:cs="Times New Roman"/>
                <w:sz w:val="26"/>
                <w:szCs w:val="26"/>
              </w:rPr>
              <w:t>Flexibility, prioritisation and accessible language</w:t>
            </w:r>
          </w:p>
        </w:tc>
      </w:tr>
      <w:tr w:rsidR="00A6342E" w14:paraId="672517B1" w14:textId="77777777" w:rsidTr="00A6342E">
        <w:trPr>
          <w:trHeight w:val="502"/>
        </w:trPr>
        <w:tc>
          <w:tcPr>
            <w:tcW w:w="2124" w:type="dxa"/>
          </w:tcPr>
          <w:p w14:paraId="371234B2" w14:textId="0A2CB58C" w:rsidR="00A6342E" w:rsidRPr="0091754F" w:rsidRDefault="00A6342E" w:rsidP="00A6342E">
            <w:pPr>
              <w:rPr>
                <w:rFonts w:ascii="Times New Roman" w:hAnsi="Times New Roman" w:cs="Times New Roman"/>
                <w:sz w:val="26"/>
                <w:szCs w:val="26"/>
              </w:rPr>
            </w:pPr>
            <w:r w:rsidRPr="0091754F">
              <w:rPr>
                <w:rFonts w:ascii="Times New Roman" w:hAnsi="Times New Roman" w:cs="Times New Roman"/>
                <w:sz w:val="26"/>
                <w:szCs w:val="26"/>
              </w:rPr>
              <w:t>Main limitation</w:t>
            </w:r>
          </w:p>
        </w:tc>
        <w:tc>
          <w:tcPr>
            <w:tcW w:w="3406" w:type="dxa"/>
          </w:tcPr>
          <w:p w14:paraId="507C6E40" w14:textId="26EAF68C" w:rsidR="00A6342E" w:rsidRPr="0091754F" w:rsidRDefault="00A6342E" w:rsidP="00A6342E">
            <w:pPr>
              <w:rPr>
                <w:rFonts w:ascii="Times New Roman" w:hAnsi="Times New Roman" w:cs="Times New Roman"/>
                <w:sz w:val="26"/>
                <w:szCs w:val="26"/>
              </w:rPr>
            </w:pPr>
            <w:r w:rsidRPr="0091754F">
              <w:rPr>
                <w:rFonts w:ascii="Times New Roman" w:hAnsi="Times New Roman" w:cs="Times New Roman"/>
                <w:sz w:val="26"/>
                <w:szCs w:val="26"/>
              </w:rPr>
              <w:t>Resource and documentation demands</w:t>
            </w:r>
          </w:p>
        </w:tc>
        <w:tc>
          <w:tcPr>
            <w:tcW w:w="3496" w:type="dxa"/>
          </w:tcPr>
          <w:p w14:paraId="509E6211" w14:textId="4DEF4498" w:rsidR="00A6342E" w:rsidRPr="0091754F" w:rsidRDefault="00BD6291" w:rsidP="00A6342E">
            <w:pPr>
              <w:rPr>
                <w:rFonts w:ascii="Times New Roman" w:hAnsi="Times New Roman" w:cs="Times New Roman"/>
                <w:sz w:val="26"/>
                <w:szCs w:val="26"/>
              </w:rPr>
            </w:pPr>
            <w:r w:rsidRPr="0091754F">
              <w:rPr>
                <w:rFonts w:ascii="Times New Roman" w:hAnsi="Times New Roman" w:cs="Times New Roman"/>
                <w:sz w:val="26"/>
                <w:szCs w:val="26"/>
              </w:rPr>
              <w:t xml:space="preserve">Limited prescription and no certification </w:t>
            </w:r>
          </w:p>
        </w:tc>
      </w:tr>
      <w:tr w:rsidR="00A6342E" w14:paraId="4994C691" w14:textId="77777777" w:rsidTr="00A6342E">
        <w:trPr>
          <w:trHeight w:val="502"/>
        </w:trPr>
        <w:tc>
          <w:tcPr>
            <w:tcW w:w="2124" w:type="dxa"/>
          </w:tcPr>
          <w:p w14:paraId="150AC243" w14:textId="28391A03" w:rsidR="00A6342E" w:rsidRPr="0091754F" w:rsidRDefault="00A6342E" w:rsidP="00A6342E">
            <w:pPr>
              <w:rPr>
                <w:rFonts w:ascii="Times New Roman" w:hAnsi="Times New Roman" w:cs="Times New Roman"/>
                <w:sz w:val="26"/>
                <w:szCs w:val="26"/>
              </w:rPr>
            </w:pPr>
            <w:r w:rsidRPr="0091754F">
              <w:rPr>
                <w:rFonts w:ascii="Times New Roman" w:hAnsi="Times New Roman" w:cs="Times New Roman"/>
                <w:sz w:val="26"/>
                <w:szCs w:val="26"/>
              </w:rPr>
              <w:t>Best use at AeroLink</w:t>
            </w:r>
          </w:p>
        </w:tc>
        <w:tc>
          <w:tcPr>
            <w:tcW w:w="3406" w:type="dxa"/>
          </w:tcPr>
          <w:p w14:paraId="58CB3976" w14:textId="4697A750" w:rsidR="00A6342E" w:rsidRPr="0091754F" w:rsidRDefault="00A6342E" w:rsidP="00A6342E">
            <w:pPr>
              <w:rPr>
                <w:rFonts w:ascii="Times New Roman" w:hAnsi="Times New Roman" w:cs="Times New Roman"/>
                <w:sz w:val="26"/>
                <w:szCs w:val="26"/>
              </w:rPr>
            </w:pPr>
            <w:r w:rsidRPr="0091754F">
              <w:rPr>
                <w:rFonts w:ascii="Times New Roman" w:hAnsi="Times New Roman" w:cs="Times New Roman"/>
                <w:sz w:val="26"/>
                <w:szCs w:val="26"/>
              </w:rPr>
              <w:t>Governance and compliance foundation</w:t>
            </w:r>
          </w:p>
        </w:tc>
        <w:tc>
          <w:tcPr>
            <w:tcW w:w="3496" w:type="dxa"/>
          </w:tcPr>
          <w:p w14:paraId="07685BC2" w14:textId="2380083F" w:rsidR="00A6342E" w:rsidRPr="0091754F" w:rsidRDefault="00BD6291" w:rsidP="00A6342E">
            <w:pPr>
              <w:rPr>
                <w:rFonts w:ascii="Times New Roman" w:hAnsi="Times New Roman" w:cs="Times New Roman"/>
                <w:sz w:val="26"/>
                <w:szCs w:val="26"/>
              </w:rPr>
            </w:pPr>
            <w:r w:rsidRPr="0091754F">
              <w:rPr>
                <w:rFonts w:ascii="Times New Roman" w:hAnsi="Times New Roman" w:cs="Times New Roman"/>
                <w:sz w:val="26"/>
                <w:szCs w:val="26"/>
              </w:rPr>
              <w:t>Gap assessment and improvement planning</w:t>
            </w:r>
          </w:p>
        </w:tc>
      </w:tr>
    </w:tbl>
    <w:p w14:paraId="03589CB0" w14:textId="77777777" w:rsidR="00BD6291" w:rsidRDefault="00BD6291" w:rsidP="00A6342E">
      <w:pPr>
        <w:jc w:val="both"/>
        <w:rPr>
          <w:rFonts w:ascii="Times New Roman" w:hAnsi="Times New Roman" w:cs="Times New Roman"/>
          <w:sz w:val="28"/>
          <w:szCs w:val="28"/>
        </w:rPr>
      </w:pPr>
    </w:p>
    <w:p w14:paraId="2D769381" w14:textId="700177AA" w:rsidR="008B6D19" w:rsidRPr="003F0F0B" w:rsidRDefault="00A6342E" w:rsidP="00A6342E">
      <w:pPr>
        <w:jc w:val="both"/>
        <w:rPr>
          <w:rFonts w:ascii="Times New Roman" w:hAnsi="Times New Roman" w:cs="Times New Roman"/>
          <w:sz w:val="26"/>
          <w:szCs w:val="26"/>
        </w:rPr>
      </w:pPr>
      <w:r w:rsidRPr="003F0F0B">
        <w:rPr>
          <w:rFonts w:ascii="Times New Roman" w:hAnsi="Times New Roman" w:cs="Times New Roman"/>
          <w:sz w:val="26"/>
          <w:szCs w:val="26"/>
        </w:rPr>
        <w:t xml:space="preserve">For AeroLink, the strongest approach is to use the frameworks together rather than treating them as competing choices. ISO/IEC 27001 can provide the central governance and assurance structure, while NIST CSF 2.0 can support Current and Target Profiles, operational discussions and improvement priorities. Duplication should be avoided by using one risk register, shared owners and common evidence. This combined approach offers sufficient formality for compliance while remaining practical for a growing </w:t>
      </w:r>
      <w:r w:rsidRPr="003F0F0B">
        <w:rPr>
          <w:rFonts w:ascii="Times New Roman" w:hAnsi="Times New Roman" w:cs="Times New Roman"/>
          <w:sz w:val="26"/>
          <w:szCs w:val="26"/>
        </w:rPr>
        <w:lastRenderedPageBreak/>
        <w:t>logistics business. For practical use, progress should be reviewed against service availability, supplier assurance, incident handling and compliance evidence. These measures would help management judge whether the chosen framework is improving real operations rather than adding unnecessary administrative activity alone. Its success will depend on phased adoption and measurable progress, not producing policies or seeking a certificate.</w:t>
      </w:r>
      <w:r w:rsidR="008B6D19" w:rsidRPr="003F0F0B">
        <w:rPr>
          <w:rFonts w:ascii="Times New Roman" w:hAnsi="Times New Roman" w:cs="Times New Roman"/>
          <w:sz w:val="26"/>
          <w:szCs w:val="26"/>
        </w:rPr>
        <w:br w:type="page"/>
      </w:r>
    </w:p>
    <w:p w14:paraId="42990680" w14:textId="77777777" w:rsidR="00B668F1" w:rsidRPr="00863363" w:rsidRDefault="00B668F1" w:rsidP="009B6067">
      <w:pPr>
        <w:jc w:val="both"/>
        <w:rPr>
          <w:rFonts w:ascii="Times New Roman" w:hAnsi="Times New Roman" w:cs="Times New Roman"/>
          <w:sz w:val="28"/>
          <w:szCs w:val="28"/>
        </w:rPr>
      </w:pPr>
    </w:p>
    <w:p w14:paraId="7C094061" w14:textId="5578E574" w:rsidR="008B6D19" w:rsidRPr="00E44239" w:rsidRDefault="00B668F1" w:rsidP="004772DE">
      <w:pPr>
        <w:pStyle w:val="Heading1"/>
        <w:numPr>
          <w:ilvl w:val="0"/>
          <w:numId w:val="13"/>
        </w:numPr>
      </w:pPr>
      <w:bookmarkStart w:id="7" w:name="_Toc237168264"/>
      <w:r w:rsidRPr="00FD7812">
        <w:t>Proposed Security Governance and Compliance Framework</w:t>
      </w:r>
      <w:bookmarkEnd w:id="7"/>
    </w:p>
    <w:p w14:paraId="03FD2E86" w14:textId="147A0B2C" w:rsidR="008B6D19" w:rsidRPr="00863363" w:rsidRDefault="00E44239" w:rsidP="008B6D19">
      <w:pPr>
        <w:jc w:val="both"/>
        <w:rPr>
          <w:rFonts w:ascii="Times New Roman" w:hAnsi="Times New Roman" w:cs="Times New Roman"/>
          <w:sz w:val="28"/>
          <w:szCs w:val="28"/>
        </w:rPr>
      </w:pPr>
      <w:r w:rsidRPr="00E44239">
        <w:rPr>
          <w:rFonts w:ascii="Times New Roman" w:hAnsi="Times New Roman" w:cs="Times New Roman"/>
          <w:sz w:val="28"/>
          <w:szCs w:val="28"/>
        </w:rPr>
        <w:t>The proposed framework should turn security from a collection of separate activities into a managed business programme. ISO/IEC 27001 should provide the main structure for leadership, policy, assurance and continual improvement, while NIST CSF 2.0 can translate priorities through its Govern, Identify, Protect, Detect, Respond and Recover Functions</w:t>
      </w:r>
      <w:sdt>
        <w:sdtPr>
          <w:rPr>
            <w:rFonts w:ascii="Times New Roman" w:hAnsi="Times New Roman" w:cs="Times New Roman"/>
            <w:sz w:val="28"/>
            <w:szCs w:val="28"/>
          </w:rPr>
          <w:id w:val="-1935583763"/>
          <w:citation/>
        </w:sdtPr>
        <w:sdtContent>
          <w:r w:rsidR="002304B2">
            <w:rPr>
              <w:rFonts w:ascii="Times New Roman" w:hAnsi="Times New Roman" w:cs="Times New Roman"/>
              <w:sz w:val="28"/>
              <w:szCs w:val="28"/>
            </w:rPr>
            <w:fldChar w:fldCharType="begin"/>
          </w:r>
          <w:r w:rsidR="002304B2">
            <w:rPr>
              <w:rFonts w:ascii="Times New Roman" w:hAnsi="Times New Roman" w:cs="Times New Roman"/>
              <w:sz w:val="28"/>
              <w:szCs w:val="28"/>
              <w:lang w:val="en-US"/>
            </w:rPr>
            <w:instrText xml:space="preserve"> CITATION Mal23 \l 1033 </w:instrText>
          </w:r>
          <w:r w:rsidR="002304B2">
            <w:rPr>
              <w:rFonts w:ascii="Times New Roman" w:hAnsi="Times New Roman" w:cs="Times New Roman"/>
              <w:sz w:val="28"/>
              <w:szCs w:val="28"/>
            </w:rPr>
            <w:fldChar w:fldCharType="separate"/>
          </w:r>
          <w:r w:rsidR="00DC3667">
            <w:rPr>
              <w:rFonts w:ascii="Times New Roman" w:hAnsi="Times New Roman" w:cs="Times New Roman"/>
              <w:noProof/>
              <w:sz w:val="28"/>
              <w:szCs w:val="28"/>
              <w:lang w:val="en-US"/>
            </w:rPr>
            <w:t xml:space="preserve"> </w:t>
          </w:r>
          <w:r w:rsidR="00DC3667" w:rsidRPr="00DC3667">
            <w:rPr>
              <w:rFonts w:ascii="Times New Roman" w:hAnsi="Times New Roman" w:cs="Times New Roman"/>
              <w:noProof/>
              <w:sz w:val="28"/>
              <w:szCs w:val="28"/>
              <w:lang w:val="en-US"/>
            </w:rPr>
            <w:t>[10]</w:t>
          </w:r>
          <w:r w:rsidR="002304B2">
            <w:rPr>
              <w:rFonts w:ascii="Times New Roman" w:hAnsi="Times New Roman" w:cs="Times New Roman"/>
              <w:sz w:val="28"/>
              <w:szCs w:val="28"/>
            </w:rPr>
            <w:fldChar w:fldCharType="end"/>
          </w:r>
        </w:sdtContent>
      </w:sdt>
      <w:r w:rsidRPr="00E44239">
        <w:rPr>
          <w:rFonts w:ascii="Times New Roman" w:hAnsi="Times New Roman" w:cs="Times New Roman"/>
          <w:sz w:val="28"/>
          <w:szCs w:val="28"/>
        </w:rPr>
        <w:t>. Using one shared model will reduce duplicated records and give management a clearer view of progress.</w:t>
      </w:r>
    </w:p>
    <w:p w14:paraId="4D5C6201" w14:textId="77777777" w:rsidR="002304B2" w:rsidRDefault="002304B2" w:rsidP="008B6D19">
      <w:pPr>
        <w:rPr>
          <w:rFonts w:ascii="Times New Roman" w:hAnsi="Times New Roman" w:cs="Times New Roman"/>
          <w:sz w:val="28"/>
          <w:szCs w:val="28"/>
        </w:rPr>
      </w:pPr>
    </w:p>
    <w:p w14:paraId="458C4AA8" w14:textId="6731ECB8" w:rsidR="002304B2" w:rsidRPr="002304B2" w:rsidRDefault="002304B2" w:rsidP="00EA09D8">
      <w:pPr>
        <w:pStyle w:val="Heading2"/>
      </w:pPr>
      <w:bookmarkStart w:id="8" w:name="_Toc237168265"/>
      <w:r>
        <w:t xml:space="preserve">4.1 </w:t>
      </w:r>
      <w:r w:rsidRPr="002304B2">
        <w:t>Governance Structure and Accountability</w:t>
      </w:r>
      <w:bookmarkEnd w:id="8"/>
    </w:p>
    <w:p w14:paraId="5786094C" w14:textId="77777777" w:rsidR="002304B2" w:rsidRPr="002304B2" w:rsidRDefault="002304B2" w:rsidP="002304B2">
      <w:pPr>
        <w:jc w:val="both"/>
        <w:rPr>
          <w:rFonts w:ascii="Times New Roman" w:hAnsi="Times New Roman" w:cs="Times New Roman"/>
          <w:sz w:val="26"/>
          <w:szCs w:val="26"/>
        </w:rPr>
      </w:pPr>
      <w:r w:rsidRPr="002304B2">
        <w:rPr>
          <w:rFonts w:ascii="Times New Roman" w:hAnsi="Times New Roman" w:cs="Times New Roman"/>
          <w:sz w:val="26"/>
          <w:szCs w:val="26"/>
        </w:rPr>
        <w:t>The Board should retain overall accountability by approving security policy, risk appetite, priorities and resources. A senior executive sponsor should chair a Security Governance Committee involving IT, operations, data protection, human resources, procurement and business continuity. The committee would meet quarterly and following any major incident to review risks, compliance concerns, supplier issues and improvement activities.</w:t>
      </w:r>
    </w:p>
    <w:p w14:paraId="4C1F9BB3" w14:textId="77777777" w:rsidR="002304B2" w:rsidRPr="002304B2" w:rsidRDefault="002304B2" w:rsidP="002304B2">
      <w:pPr>
        <w:jc w:val="both"/>
        <w:rPr>
          <w:rFonts w:ascii="Times New Roman" w:hAnsi="Times New Roman" w:cs="Times New Roman"/>
          <w:sz w:val="26"/>
          <w:szCs w:val="26"/>
        </w:rPr>
      </w:pPr>
    </w:p>
    <w:p w14:paraId="2BA118F0" w14:textId="5222B6B3" w:rsidR="00F64341" w:rsidRDefault="002304B2" w:rsidP="002304B2">
      <w:pPr>
        <w:jc w:val="both"/>
        <w:rPr>
          <w:rFonts w:ascii="Times New Roman" w:hAnsi="Times New Roman" w:cs="Times New Roman"/>
          <w:sz w:val="26"/>
          <w:szCs w:val="26"/>
        </w:rPr>
      </w:pPr>
      <w:r w:rsidRPr="002304B2">
        <w:rPr>
          <w:rFonts w:ascii="Times New Roman" w:hAnsi="Times New Roman" w:cs="Times New Roman"/>
          <w:sz w:val="26"/>
          <w:szCs w:val="26"/>
        </w:rPr>
        <w:t>An ISMS manager should coordinate the programme, but individual departments must remain responsible for risks arising from their work. Named risk, control, data and supplier owners would report through the committee. This arrangement prevents cybersecurity from becoming an IT-only duty and connects decisions with service reliability, customer commitments and business growth. Practical governance guidance supports clearly defined authority, measurable outcomes and reporting that enables leaders to make informed decisions</w:t>
      </w:r>
      <w:sdt>
        <w:sdtPr>
          <w:rPr>
            <w:rFonts w:ascii="Times New Roman" w:hAnsi="Times New Roman" w:cs="Times New Roman"/>
            <w:sz w:val="26"/>
            <w:szCs w:val="26"/>
          </w:rPr>
          <w:id w:val="-1458183746"/>
          <w:citation/>
        </w:sdtPr>
        <w:sdtContent>
          <w:r w:rsidR="00F64341">
            <w:rPr>
              <w:rFonts w:ascii="Times New Roman" w:hAnsi="Times New Roman" w:cs="Times New Roman"/>
              <w:sz w:val="26"/>
              <w:szCs w:val="26"/>
            </w:rPr>
            <w:fldChar w:fldCharType="begin"/>
          </w:r>
          <w:r w:rsidR="00F64341">
            <w:rPr>
              <w:rFonts w:ascii="Times New Roman" w:hAnsi="Times New Roman" w:cs="Times New Roman"/>
              <w:sz w:val="26"/>
              <w:szCs w:val="26"/>
              <w:lang w:val="en-US"/>
            </w:rPr>
            <w:instrText xml:space="preserve"> CITATION Loc10 \l 1033 </w:instrText>
          </w:r>
          <w:r w:rsidR="00F64341">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[11]</w:t>
          </w:r>
          <w:r w:rsidR="00F64341">
            <w:rPr>
              <w:rFonts w:ascii="Times New Roman" w:hAnsi="Times New Roman" w:cs="Times New Roman"/>
              <w:sz w:val="26"/>
              <w:szCs w:val="26"/>
            </w:rPr>
            <w:fldChar w:fldCharType="end"/>
          </w:r>
        </w:sdtContent>
      </w:sdt>
      <w:r w:rsidRPr="002304B2">
        <w:rPr>
          <w:rFonts w:ascii="Times New Roman" w:hAnsi="Times New Roman" w:cs="Times New Roman"/>
          <w:sz w:val="26"/>
          <w:szCs w:val="26"/>
        </w:rPr>
        <w:t>.</w:t>
      </w:r>
    </w:p>
    <w:p w14:paraId="5035038C" w14:textId="77777777" w:rsidR="00F64341" w:rsidRDefault="00F64341" w:rsidP="002304B2">
      <w:pPr>
        <w:jc w:val="both"/>
        <w:rPr>
          <w:rFonts w:ascii="Times New Roman" w:hAnsi="Times New Roman" w:cs="Times New Roman"/>
          <w:sz w:val="26"/>
          <w:szCs w:val="26"/>
        </w:rPr>
      </w:pPr>
    </w:p>
    <w:p w14:paraId="4312E21D" w14:textId="77777777" w:rsidR="00F64341" w:rsidRDefault="00F64341" w:rsidP="00F64341">
      <w:pPr>
        <w:jc w:val="center"/>
        <w:rPr>
          <w:rFonts w:ascii="Times New Roman" w:hAnsi="Times New Roman" w:cs="Times New Roman"/>
          <w:b/>
          <w:bCs/>
          <w:sz w:val="28"/>
          <w:szCs w:val="28"/>
        </w:rPr>
      </w:pPr>
    </w:p>
    <w:p w14:paraId="38CC9585" w14:textId="77777777" w:rsidR="00F64341" w:rsidRDefault="00F64341" w:rsidP="00F64341">
      <w:pPr>
        <w:jc w:val="center"/>
        <w:rPr>
          <w:rFonts w:ascii="Times New Roman" w:hAnsi="Times New Roman" w:cs="Times New Roman"/>
          <w:b/>
          <w:bCs/>
          <w:sz w:val="28"/>
          <w:szCs w:val="28"/>
        </w:rPr>
      </w:pPr>
    </w:p>
    <w:p w14:paraId="4C3E01B6" w14:textId="77777777" w:rsidR="00F64341" w:rsidRDefault="00F64341" w:rsidP="00F64341">
      <w:pPr>
        <w:jc w:val="center"/>
        <w:rPr>
          <w:rFonts w:ascii="Times New Roman" w:hAnsi="Times New Roman" w:cs="Times New Roman"/>
          <w:b/>
          <w:bCs/>
          <w:sz w:val="28"/>
          <w:szCs w:val="28"/>
        </w:rPr>
      </w:pPr>
      <w:r>
        <w:rPr>
          <w:rFonts w:ascii="Times New Roman" w:hAnsi="Times New Roman" w:cs="Times New Roman"/>
          <w:b/>
          <w:bCs/>
          <w:noProof/>
          <w:sz w:val="28"/>
          <w:szCs w:val="28"/>
        </w:rPr>
        <w:lastRenderedPageBreak/>
        <w:drawing>
          <wp:inline distT="0" distB="0" distL="0" distR="0" wp14:anchorId="55037E11" wp14:editId="02151FFF">
            <wp:extent cx="4298315" cy="4069429"/>
            <wp:effectExtent l="0" t="0" r="6985" b="7620"/>
            <wp:docPr id="20615400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74051" cy="4141132"/>
                    </a:xfrm>
                    <a:prstGeom prst="rect">
                      <a:avLst/>
                    </a:prstGeom>
                    <a:noFill/>
                  </pic:spPr>
                </pic:pic>
              </a:graphicData>
            </a:graphic>
          </wp:inline>
        </w:drawing>
      </w:r>
    </w:p>
    <w:p w14:paraId="647B51C5" w14:textId="77777777" w:rsidR="00F64341" w:rsidRPr="00621DA3" w:rsidRDefault="00F64341" w:rsidP="00621DA3">
      <w:pPr>
        <w:pStyle w:val="FigureTitle"/>
      </w:pPr>
      <w:r w:rsidRPr="00621DA3">
        <w:t xml:space="preserve">Figure 3: Proposed governance and assurance structure </w:t>
      </w:r>
    </w:p>
    <w:p w14:paraId="2756689D" w14:textId="77777777" w:rsidR="00F64341" w:rsidRDefault="00F64341" w:rsidP="00F64341">
      <w:pPr>
        <w:jc w:val="center"/>
        <w:rPr>
          <w:rFonts w:ascii="Times New Roman" w:hAnsi="Times New Roman" w:cs="Times New Roman"/>
          <w:i/>
          <w:iCs/>
          <w:sz w:val="26"/>
          <w:szCs w:val="26"/>
        </w:rPr>
      </w:pPr>
    </w:p>
    <w:p w14:paraId="7BE7F634" w14:textId="77777777" w:rsidR="00F64341" w:rsidRDefault="00F64341" w:rsidP="00EA09D8">
      <w:pPr>
        <w:pStyle w:val="Heading2"/>
      </w:pPr>
      <w:bookmarkStart w:id="9" w:name="_Toc237168266"/>
      <w:r w:rsidRPr="00F64341">
        <w:t>4.2 Legal, Regulatory and Contractual Compliance</w:t>
      </w:r>
      <w:bookmarkEnd w:id="9"/>
      <w:r w:rsidRPr="00F64341">
        <w:t xml:space="preserve"> </w:t>
      </w:r>
    </w:p>
    <w:p w14:paraId="08A1FA53" w14:textId="77777777" w:rsidR="00F64341" w:rsidRPr="00F64341" w:rsidRDefault="00F64341" w:rsidP="00F64341">
      <w:pPr>
        <w:jc w:val="both"/>
        <w:rPr>
          <w:rFonts w:ascii="Times New Roman" w:hAnsi="Times New Roman" w:cs="Times New Roman"/>
          <w:sz w:val="26"/>
          <w:szCs w:val="26"/>
        </w:rPr>
      </w:pPr>
      <w:r w:rsidRPr="00F64341">
        <w:rPr>
          <w:rFonts w:ascii="Times New Roman" w:hAnsi="Times New Roman" w:cs="Times New Roman"/>
          <w:sz w:val="26"/>
          <w:szCs w:val="26"/>
        </w:rPr>
        <w:t>A central compliance register should record every applicable legal, regulatory, contractual and internal obligation. For each requirement, it should identify the affected process or information, accountable owner, relevant policy, supporting control, required evidence and review date. This makes compliance traceable instead of relying on broad statements within policies.</w:t>
      </w:r>
    </w:p>
    <w:p w14:paraId="490CFED8" w14:textId="77777777" w:rsidR="00F64341" w:rsidRPr="00F64341" w:rsidRDefault="00F64341" w:rsidP="00F64341">
      <w:pPr>
        <w:jc w:val="both"/>
        <w:rPr>
          <w:rFonts w:ascii="Times New Roman" w:hAnsi="Times New Roman" w:cs="Times New Roman"/>
          <w:sz w:val="26"/>
          <w:szCs w:val="26"/>
        </w:rPr>
      </w:pPr>
    </w:p>
    <w:p w14:paraId="044D0B8B" w14:textId="02FDC056" w:rsidR="00EF7C18" w:rsidRDefault="00F64341" w:rsidP="00F64341">
      <w:pPr>
        <w:jc w:val="both"/>
        <w:rPr>
          <w:rFonts w:ascii="Times New Roman" w:hAnsi="Times New Roman" w:cs="Times New Roman"/>
          <w:b/>
          <w:bCs/>
          <w:sz w:val="28"/>
          <w:szCs w:val="28"/>
        </w:rPr>
      </w:pPr>
      <w:r w:rsidRPr="00F64341">
        <w:rPr>
          <w:rFonts w:ascii="Times New Roman" w:hAnsi="Times New Roman" w:cs="Times New Roman"/>
          <w:sz w:val="26"/>
          <w:szCs w:val="26"/>
        </w:rPr>
        <w:t>For personal information, the company must address the UK GDPR</w:t>
      </w:r>
      <w:r>
        <w:rPr>
          <w:rFonts w:ascii="Times New Roman" w:hAnsi="Times New Roman" w:cs="Times New Roman"/>
          <w:sz w:val="26"/>
          <w:szCs w:val="26"/>
        </w:rPr>
        <w:t xml:space="preserve"> </w:t>
      </w:r>
      <w:r w:rsidRPr="00F64341">
        <w:rPr>
          <w:rFonts w:ascii="Times New Roman" w:hAnsi="Times New Roman" w:cs="Times New Roman"/>
          <w:sz w:val="26"/>
          <w:szCs w:val="26"/>
        </w:rPr>
        <w:t>and the Data Protection Act 2018</w:t>
      </w:r>
      <w:sdt>
        <w:sdtPr>
          <w:rPr>
            <w:rFonts w:ascii="Times New Roman" w:hAnsi="Times New Roman" w:cs="Times New Roman"/>
            <w:sz w:val="26"/>
            <w:szCs w:val="26"/>
          </w:rPr>
          <w:id w:val="-393656161"/>
          <w:citation/>
        </w:sdtPr>
        <w:sdtContent>
          <w:r w:rsidR="00691445">
            <w:rPr>
              <w:rFonts w:ascii="Times New Roman" w:hAnsi="Times New Roman" w:cs="Times New Roman"/>
              <w:sz w:val="26"/>
              <w:szCs w:val="26"/>
            </w:rPr>
            <w:fldChar w:fldCharType="begin"/>
          </w:r>
          <w:r w:rsidR="00691445">
            <w:rPr>
              <w:rFonts w:ascii="Times New Roman" w:hAnsi="Times New Roman" w:cs="Times New Roman"/>
              <w:sz w:val="26"/>
              <w:szCs w:val="26"/>
              <w:lang w:val="en-US"/>
            </w:rPr>
            <w:instrText xml:space="preserve"> CITATION DaV20 \l 1033 </w:instrText>
          </w:r>
          <w:r w:rsidR="00691445">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[12]</w:t>
          </w:r>
          <w:r w:rsidR="00691445">
            <w:rPr>
              <w:rFonts w:ascii="Times New Roman" w:hAnsi="Times New Roman" w:cs="Times New Roman"/>
              <w:sz w:val="26"/>
              <w:szCs w:val="26"/>
            </w:rPr>
            <w:fldChar w:fldCharType="end"/>
          </w:r>
        </w:sdtContent>
      </w:sdt>
      <w:r w:rsidRPr="00F64341">
        <w:rPr>
          <w:rFonts w:ascii="Times New Roman" w:hAnsi="Times New Roman" w:cs="Times New Roman"/>
          <w:sz w:val="26"/>
          <w:szCs w:val="26"/>
        </w:rPr>
        <w:t>. The accountability principle requires organisations to take responsibility for compliance and retain evidence demonstrating how obligations are being met. Management should therefore assign a competent data-protection lead and determine whether a formal Data Protection Officer is legally required. Customer agreements, supplier contracts, insurance conditions and internal standards should be included in the same register, although each should be assessed according to its specific requirements.</w:t>
      </w:r>
      <w:r w:rsidRPr="00F64341">
        <w:rPr>
          <w:rFonts w:ascii="Times New Roman" w:hAnsi="Times New Roman" w:cs="Times New Roman"/>
          <w:b/>
          <w:bCs/>
          <w:sz w:val="28"/>
          <w:szCs w:val="28"/>
        </w:rPr>
        <w:t xml:space="preserve"> </w:t>
      </w:r>
    </w:p>
    <w:p w14:paraId="0DC2EE53" w14:textId="77777777" w:rsidR="00CC0CC3" w:rsidRDefault="00CC0CC3" w:rsidP="00F64341">
      <w:pPr>
        <w:jc w:val="both"/>
        <w:rPr>
          <w:rFonts w:ascii="Times New Roman" w:hAnsi="Times New Roman" w:cs="Times New Roman"/>
          <w:b/>
          <w:bCs/>
          <w:sz w:val="28"/>
          <w:szCs w:val="28"/>
        </w:rPr>
      </w:pPr>
    </w:p>
    <w:p w14:paraId="6917B855" w14:textId="53C2E4CF" w:rsidR="00EF7C18" w:rsidRPr="00CC0CC3" w:rsidRDefault="00CC0CC3" w:rsidP="004830FD">
      <w:pPr>
        <w:pStyle w:val="Tabletitle0"/>
      </w:pPr>
      <w:r w:rsidRPr="00CC0CC3">
        <w:lastRenderedPageBreak/>
        <w:t>Table 2: Example compliance mapping</w:t>
      </w:r>
    </w:p>
    <w:tbl>
      <w:tblPr>
        <w:tblStyle w:val="TableGrid"/>
        <w:tblW w:w="9056" w:type="dxa"/>
        <w:tblLook w:val="04A0" w:firstRow="1" w:lastRow="0" w:firstColumn="1" w:lastColumn="0" w:noHBand="0" w:noVBand="1"/>
      </w:tblPr>
      <w:tblGrid>
        <w:gridCol w:w="1965"/>
        <w:gridCol w:w="1724"/>
        <w:gridCol w:w="2984"/>
        <w:gridCol w:w="2383"/>
      </w:tblGrid>
      <w:tr w:rsidR="00EF7C18" w14:paraId="296C83AF" w14:textId="77777777" w:rsidTr="00EF7C18">
        <w:trPr>
          <w:trHeight w:val="825"/>
        </w:trPr>
        <w:tc>
          <w:tcPr>
            <w:tcW w:w="1965" w:type="dxa"/>
          </w:tcPr>
          <w:p w14:paraId="0C5CEA30" w14:textId="06BFE098" w:rsidR="00EF7C18" w:rsidRDefault="00EF7C18" w:rsidP="00F64341">
            <w:pPr>
              <w:jc w:val="both"/>
              <w:rPr>
                <w:rFonts w:ascii="Times New Roman" w:hAnsi="Times New Roman" w:cs="Times New Roman"/>
                <w:b/>
                <w:bCs/>
                <w:sz w:val="28"/>
                <w:szCs w:val="28"/>
              </w:rPr>
            </w:pPr>
            <w:r>
              <w:rPr>
                <w:rFonts w:ascii="Times New Roman" w:hAnsi="Times New Roman" w:cs="Times New Roman"/>
                <w:b/>
                <w:bCs/>
                <w:sz w:val="28"/>
                <w:szCs w:val="28"/>
              </w:rPr>
              <w:t>Requirement</w:t>
            </w:r>
          </w:p>
        </w:tc>
        <w:tc>
          <w:tcPr>
            <w:tcW w:w="1724" w:type="dxa"/>
          </w:tcPr>
          <w:p w14:paraId="6390F4C6" w14:textId="02758DF1" w:rsidR="00EF7C18" w:rsidRDefault="00EF7C18" w:rsidP="00F64341">
            <w:pPr>
              <w:jc w:val="both"/>
              <w:rPr>
                <w:rFonts w:ascii="Times New Roman" w:hAnsi="Times New Roman" w:cs="Times New Roman"/>
                <w:b/>
                <w:bCs/>
                <w:sz w:val="28"/>
                <w:szCs w:val="28"/>
              </w:rPr>
            </w:pPr>
            <w:r>
              <w:rPr>
                <w:rFonts w:ascii="Times New Roman" w:hAnsi="Times New Roman" w:cs="Times New Roman"/>
                <w:b/>
                <w:bCs/>
                <w:sz w:val="28"/>
                <w:szCs w:val="28"/>
              </w:rPr>
              <w:t>Accountable Owner</w:t>
            </w:r>
          </w:p>
        </w:tc>
        <w:tc>
          <w:tcPr>
            <w:tcW w:w="2984" w:type="dxa"/>
          </w:tcPr>
          <w:p w14:paraId="4B0B38C1" w14:textId="11E4F211" w:rsidR="00EF7C18" w:rsidRDefault="00EF7C18" w:rsidP="00F64341">
            <w:pPr>
              <w:jc w:val="both"/>
              <w:rPr>
                <w:rFonts w:ascii="Times New Roman" w:hAnsi="Times New Roman" w:cs="Times New Roman"/>
                <w:b/>
                <w:bCs/>
                <w:sz w:val="28"/>
                <w:szCs w:val="28"/>
              </w:rPr>
            </w:pPr>
            <w:r>
              <w:rPr>
                <w:rFonts w:ascii="Times New Roman" w:hAnsi="Times New Roman" w:cs="Times New Roman"/>
                <w:b/>
                <w:bCs/>
                <w:sz w:val="28"/>
                <w:szCs w:val="28"/>
              </w:rPr>
              <w:t>Management response</w:t>
            </w:r>
          </w:p>
        </w:tc>
        <w:tc>
          <w:tcPr>
            <w:tcW w:w="2383" w:type="dxa"/>
          </w:tcPr>
          <w:p w14:paraId="088D2260" w14:textId="790D982D" w:rsidR="00EF7C18" w:rsidRDefault="00EF7C18" w:rsidP="00F64341">
            <w:pPr>
              <w:jc w:val="both"/>
              <w:rPr>
                <w:rFonts w:ascii="Times New Roman" w:hAnsi="Times New Roman" w:cs="Times New Roman"/>
                <w:b/>
                <w:bCs/>
                <w:sz w:val="28"/>
                <w:szCs w:val="28"/>
              </w:rPr>
            </w:pPr>
            <w:r>
              <w:rPr>
                <w:rFonts w:ascii="Times New Roman" w:hAnsi="Times New Roman" w:cs="Times New Roman"/>
                <w:b/>
                <w:bCs/>
                <w:sz w:val="28"/>
                <w:szCs w:val="28"/>
              </w:rPr>
              <w:t xml:space="preserve">Evidence </w:t>
            </w:r>
          </w:p>
        </w:tc>
      </w:tr>
      <w:tr w:rsidR="00EF7C18" w14:paraId="077D7E31" w14:textId="77777777" w:rsidTr="00EF7C18">
        <w:trPr>
          <w:trHeight w:val="825"/>
        </w:trPr>
        <w:tc>
          <w:tcPr>
            <w:tcW w:w="1965" w:type="dxa"/>
          </w:tcPr>
          <w:p w14:paraId="43049D00" w14:textId="400235A2" w:rsidR="00EF7C18" w:rsidRPr="00605A1D" w:rsidRDefault="00EF7C18" w:rsidP="00EF7C18">
            <w:pPr>
              <w:rPr>
                <w:rFonts w:ascii="Times New Roman" w:hAnsi="Times New Roman" w:cs="Times New Roman"/>
                <w:sz w:val="28"/>
                <w:szCs w:val="28"/>
              </w:rPr>
            </w:pPr>
            <w:r w:rsidRPr="00605A1D">
              <w:rPr>
                <w:rFonts w:ascii="Times New Roman" w:hAnsi="Times New Roman" w:cs="Times New Roman"/>
                <w:sz w:val="28"/>
                <w:szCs w:val="28"/>
              </w:rPr>
              <w:t>UK data-protection duties</w:t>
            </w:r>
          </w:p>
        </w:tc>
        <w:tc>
          <w:tcPr>
            <w:tcW w:w="1724" w:type="dxa"/>
          </w:tcPr>
          <w:p w14:paraId="2307ED55" w14:textId="289ECDD4" w:rsidR="00EF7C18" w:rsidRPr="00605A1D" w:rsidRDefault="00EF7C18" w:rsidP="00EF7C18">
            <w:pPr>
              <w:rPr>
                <w:rFonts w:ascii="Times New Roman" w:hAnsi="Times New Roman" w:cs="Times New Roman"/>
                <w:sz w:val="28"/>
                <w:szCs w:val="28"/>
              </w:rPr>
            </w:pPr>
            <w:r w:rsidRPr="00605A1D">
              <w:rPr>
                <w:rFonts w:ascii="Times New Roman" w:hAnsi="Times New Roman" w:cs="Times New Roman"/>
                <w:sz w:val="28"/>
                <w:szCs w:val="28"/>
              </w:rPr>
              <w:t>Data-protection lead</w:t>
            </w:r>
          </w:p>
        </w:tc>
        <w:tc>
          <w:tcPr>
            <w:tcW w:w="2984" w:type="dxa"/>
          </w:tcPr>
          <w:p w14:paraId="022891AD" w14:textId="448B0098" w:rsidR="00EF7C18" w:rsidRPr="00605A1D" w:rsidRDefault="00EF7C18" w:rsidP="00EF7C18">
            <w:pPr>
              <w:rPr>
                <w:rFonts w:ascii="Times New Roman" w:hAnsi="Times New Roman" w:cs="Times New Roman"/>
                <w:sz w:val="28"/>
                <w:szCs w:val="28"/>
              </w:rPr>
            </w:pPr>
            <w:r w:rsidRPr="00605A1D">
              <w:rPr>
                <w:rFonts w:ascii="Times New Roman" w:hAnsi="Times New Roman" w:cs="Times New Roman"/>
                <w:sz w:val="28"/>
                <w:szCs w:val="28"/>
              </w:rPr>
              <w:t>Maintain data inventory, retention and breach procedures</w:t>
            </w:r>
          </w:p>
        </w:tc>
        <w:tc>
          <w:tcPr>
            <w:tcW w:w="2383" w:type="dxa"/>
          </w:tcPr>
          <w:p w14:paraId="69694B60" w14:textId="2CF5CA03" w:rsidR="00EF7C18" w:rsidRPr="00605A1D" w:rsidRDefault="00EF7C18" w:rsidP="00EF7C18">
            <w:pPr>
              <w:rPr>
                <w:rFonts w:ascii="Times New Roman" w:hAnsi="Times New Roman" w:cs="Times New Roman"/>
                <w:sz w:val="28"/>
                <w:szCs w:val="28"/>
              </w:rPr>
            </w:pPr>
            <w:r w:rsidRPr="00605A1D">
              <w:rPr>
                <w:rFonts w:ascii="Times New Roman" w:hAnsi="Times New Roman" w:cs="Times New Roman"/>
                <w:sz w:val="28"/>
                <w:szCs w:val="28"/>
              </w:rPr>
              <w:t>Processing records, reviews and incident logs</w:t>
            </w:r>
          </w:p>
        </w:tc>
      </w:tr>
      <w:tr w:rsidR="00EF7C18" w14:paraId="371E1161" w14:textId="77777777" w:rsidTr="00EF7C18">
        <w:trPr>
          <w:trHeight w:val="853"/>
        </w:trPr>
        <w:tc>
          <w:tcPr>
            <w:tcW w:w="1965" w:type="dxa"/>
          </w:tcPr>
          <w:p w14:paraId="745EDFE2" w14:textId="381B65DE" w:rsidR="00EF7C18" w:rsidRPr="00605A1D" w:rsidRDefault="00EF7C18" w:rsidP="00EF7C18">
            <w:pPr>
              <w:rPr>
                <w:rFonts w:ascii="Times New Roman" w:hAnsi="Times New Roman" w:cs="Times New Roman"/>
                <w:sz w:val="28"/>
                <w:szCs w:val="28"/>
              </w:rPr>
            </w:pPr>
            <w:r w:rsidRPr="00605A1D">
              <w:rPr>
                <w:rFonts w:ascii="Times New Roman" w:hAnsi="Times New Roman" w:cs="Times New Roman"/>
                <w:sz w:val="28"/>
                <w:szCs w:val="28"/>
              </w:rPr>
              <w:t>Customer security terms</w:t>
            </w:r>
          </w:p>
        </w:tc>
        <w:tc>
          <w:tcPr>
            <w:tcW w:w="1724" w:type="dxa"/>
          </w:tcPr>
          <w:p w14:paraId="76BFE93E" w14:textId="667CCA62" w:rsidR="00EF7C18" w:rsidRPr="00605A1D" w:rsidRDefault="00EF7C18" w:rsidP="00EF7C18">
            <w:pPr>
              <w:rPr>
                <w:rFonts w:ascii="Times New Roman" w:hAnsi="Times New Roman" w:cs="Times New Roman"/>
                <w:sz w:val="28"/>
                <w:szCs w:val="28"/>
              </w:rPr>
            </w:pPr>
            <w:r w:rsidRPr="00605A1D">
              <w:rPr>
                <w:rFonts w:ascii="Times New Roman" w:hAnsi="Times New Roman" w:cs="Times New Roman"/>
                <w:sz w:val="28"/>
                <w:szCs w:val="28"/>
              </w:rPr>
              <w:t>Contract owner</w:t>
            </w:r>
          </w:p>
        </w:tc>
        <w:tc>
          <w:tcPr>
            <w:tcW w:w="2984" w:type="dxa"/>
          </w:tcPr>
          <w:p w14:paraId="3B63F160" w14:textId="3F2DB3EC" w:rsidR="00EF7C18" w:rsidRPr="00605A1D" w:rsidRDefault="00EF7C18" w:rsidP="00EF7C18">
            <w:pPr>
              <w:rPr>
                <w:rFonts w:ascii="Times New Roman" w:hAnsi="Times New Roman" w:cs="Times New Roman"/>
                <w:sz w:val="28"/>
                <w:szCs w:val="28"/>
              </w:rPr>
            </w:pPr>
            <w:r w:rsidRPr="00605A1D">
              <w:rPr>
                <w:rFonts w:ascii="Times New Roman" w:hAnsi="Times New Roman" w:cs="Times New Roman"/>
                <w:sz w:val="28"/>
                <w:szCs w:val="28"/>
              </w:rPr>
              <w:t>Map agreed protection and notification duties</w:t>
            </w:r>
          </w:p>
        </w:tc>
        <w:tc>
          <w:tcPr>
            <w:tcW w:w="2383" w:type="dxa"/>
          </w:tcPr>
          <w:p w14:paraId="042FC17A" w14:textId="331CD4CE" w:rsidR="00EF7C18" w:rsidRPr="00605A1D" w:rsidRDefault="00EF7C18" w:rsidP="00EF7C18">
            <w:pPr>
              <w:rPr>
                <w:rFonts w:ascii="Times New Roman" w:hAnsi="Times New Roman" w:cs="Times New Roman"/>
                <w:sz w:val="28"/>
                <w:szCs w:val="28"/>
              </w:rPr>
            </w:pPr>
            <w:r w:rsidRPr="00605A1D">
              <w:rPr>
                <w:rFonts w:ascii="Times New Roman" w:hAnsi="Times New Roman" w:cs="Times New Roman"/>
                <w:sz w:val="28"/>
                <w:szCs w:val="28"/>
              </w:rPr>
              <w:t>Contract reviews and assurance reports</w:t>
            </w:r>
          </w:p>
        </w:tc>
      </w:tr>
      <w:tr w:rsidR="00EF7C18" w14:paraId="258ADA21" w14:textId="77777777" w:rsidTr="00EF7C18">
        <w:trPr>
          <w:trHeight w:val="825"/>
        </w:trPr>
        <w:tc>
          <w:tcPr>
            <w:tcW w:w="1965" w:type="dxa"/>
          </w:tcPr>
          <w:p w14:paraId="178D8896" w14:textId="7BDE90E8" w:rsidR="00EF7C18" w:rsidRPr="00605A1D" w:rsidRDefault="00EF7C18" w:rsidP="00EF7C18">
            <w:pPr>
              <w:rPr>
                <w:rFonts w:ascii="Times New Roman" w:hAnsi="Times New Roman" w:cs="Times New Roman"/>
                <w:sz w:val="28"/>
                <w:szCs w:val="28"/>
              </w:rPr>
            </w:pPr>
            <w:r w:rsidRPr="00605A1D">
              <w:rPr>
                <w:rFonts w:ascii="Times New Roman" w:hAnsi="Times New Roman" w:cs="Times New Roman"/>
                <w:sz w:val="28"/>
                <w:szCs w:val="28"/>
              </w:rPr>
              <w:t>Internal security policies</w:t>
            </w:r>
          </w:p>
        </w:tc>
        <w:tc>
          <w:tcPr>
            <w:tcW w:w="1724" w:type="dxa"/>
          </w:tcPr>
          <w:p w14:paraId="2BBDADDF" w14:textId="769C4968" w:rsidR="00EF7C18" w:rsidRPr="00605A1D" w:rsidRDefault="00EF7C18" w:rsidP="00EF7C18">
            <w:pPr>
              <w:rPr>
                <w:rFonts w:ascii="Times New Roman" w:hAnsi="Times New Roman" w:cs="Times New Roman"/>
                <w:sz w:val="28"/>
                <w:szCs w:val="28"/>
              </w:rPr>
            </w:pPr>
            <w:r w:rsidRPr="00605A1D">
              <w:rPr>
                <w:rFonts w:ascii="Times New Roman" w:hAnsi="Times New Roman" w:cs="Times New Roman"/>
                <w:sz w:val="28"/>
                <w:szCs w:val="28"/>
              </w:rPr>
              <w:t>ISMS manager</w:t>
            </w:r>
          </w:p>
        </w:tc>
        <w:tc>
          <w:tcPr>
            <w:tcW w:w="2984" w:type="dxa"/>
          </w:tcPr>
          <w:p w14:paraId="26C41383" w14:textId="6A282E63" w:rsidR="00EF7C18" w:rsidRPr="00605A1D" w:rsidRDefault="00EF7C18" w:rsidP="00EF7C18">
            <w:pPr>
              <w:rPr>
                <w:rFonts w:ascii="Times New Roman" w:hAnsi="Times New Roman" w:cs="Times New Roman"/>
                <w:sz w:val="28"/>
                <w:szCs w:val="28"/>
              </w:rPr>
            </w:pPr>
            <w:r w:rsidRPr="00605A1D">
              <w:rPr>
                <w:rFonts w:ascii="Times New Roman" w:hAnsi="Times New Roman" w:cs="Times New Roman"/>
                <w:sz w:val="28"/>
                <w:szCs w:val="28"/>
              </w:rPr>
              <w:t>Assign controls and scheduled reviews</w:t>
            </w:r>
          </w:p>
        </w:tc>
        <w:tc>
          <w:tcPr>
            <w:tcW w:w="2383" w:type="dxa"/>
          </w:tcPr>
          <w:p w14:paraId="4B2D57B7" w14:textId="3CEF3648" w:rsidR="00EF7C18" w:rsidRPr="00605A1D" w:rsidRDefault="00EF7C18" w:rsidP="00EF7C18">
            <w:pPr>
              <w:rPr>
                <w:rFonts w:ascii="Times New Roman" w:hAnsi="Times New Roman" w:cs="Times New Roman"/>
                <w:sz w:val="28"/>
                <w:szCs w:val="28"/>
              </w:rPr>
            </w:pPr>
            <w:r w:rsidRPr="00605A1D">
              <w:rPr>
                <w:rFonts w:ascii="Times New Roman" w:hAnsi="Times New Roman" w:cs="Times New Roman"/>
                <w:sz w:val="28"/>
                <w:szCs w:val="28"/>
              </w:rPr>
              <w:t>Approvals, training and audit records</w:t>
            </w:r>
          </w:p>
        </w:tc>
      </w:tr>
    </w:tbl>
    <w:p w14:paraId="26C9AA00" w14:textId="77777777" w:rsidR="00605A1D" w:rsidRDefault="00605A1D" w:rsidP="00F64341">
      <w:pPr>
        <w:jc w:val="both"/>
        <w:rPr>
          <w:rFonts w:ascii="Times New Roman" w:hAnsi="Times New Roman" w:cs="Times New Roman"/>
          <w:b/>
          <w:bCs/>
          <w:sz w:val="28"/>
          <w:szCs w:val="28"/>
        </w:rPr>
      </w:pPr>
    </w:p>
    <w:p w14:paraId="41FB504C" w14:textId="77777777" w:rsidR="00605A1D" w:rsidRDefault="00605A1D" w:rsidP="00EA09D8">
      <w:pPr>
        <w:pStyle w:val="Heading2"/>
      </w:pPr>
      <w:bookmarkStart w:id="10" w:name="_Toc237168267"/>
      <w:r w:rsidRPr="00605A1D">
        <w:t>4.3 Audit, Evidence and Compliance Monitoring</w:t>
      </w:r>
      <w:bookmarkEnd w:id="10"/>
    </w:p>
    <w:p w14:paraId="6A9F2E19" w14:textId="77777777" w:rsidR="00605A1D" w:rsidRDefault="00605A1D" w:rsidP="00F64341">
      <w:pPr>
        <w:jc w:val="both"/>
        <w:rPr>
          <w:rFonts w:ascii="Times New Roman" w:hAnsi="Times New Roman" w:cs="Times New Roman"/>
          <w:sz w:val="26"/>
          <w:szCs w:val="26"/>
        </w:rPr>
      </w:pPr>
      <w:r w:rsidRPr="00605A1D">
        <w:rPr>
          <w:rFonts w:ascii="Times New Roman" w:hAnsi="Times New Roman" w:cs="Times New Roman"/>
          <w:sz w:val="26"/>
          <w:szCs w:val="26"/>
        </w:rPr>
        <w:t>Compliance should be evaluated through evidence rather than the existence of policies alone. A quarterly dashboard could report overdue control reviews, unresolved audit findings, training completion, supplier-assurance gaps and recovery-test results. Internal audits should sample whether procedures are followed, while management reviews should consider incidents, changing obligations and resource needs. Each failure should receive an owner, corrective action and completion date, with serious concerns escalated promptly.</w:t>
      </w:r>
    </w:p>
    <w:p w14:paraId="75B859E5" w14:textId="77777777" w:rsidR="00605A1D" w:rsidRDefault="00605A1D" w:rsidP="00F64341">
      <w:pPr>
        <w:jc w:val="both"/>
        <w:rPr>
          <w:rFonts w:ascii="Times New Roman" w:hAnsi="Times New Roman" w:cs="Times New Roman"/>
          <w:sz w:val="26"/>
          <w:szCs w:val="26"/>
        </w:rPr>
      </w:pPr>
    </w:p>
    <w:p w14:paraId="7DE50F89" w14:textId="77777777" w:rsidR="00605A1D" w:rsidRDefault="00605A1D" w:rsidP="00EA09D8">
      <w:pPr>
        <w:pStyle w:val="Heading2"/>
      </w:pPr>
      <w:bookmarkStart w:id="11" w:name="_Toc237168268"/>
      <w:r w:rsidRPr="00605A1D">
        <w:t>4.4 Phased Implementation</w:t>
      </w:r>
      <w:bookmarkEnd w:id="11"/>
    </w:p>
    <w:p w14:paraId="0E1394A3" w14:textId="1D5AED4A" w:rsidR="00605A1D" w:rsidRPr="00605A1D" w:rsidRDefault="00605A1D" w:rsidP="00F64341">
      <w:pPr>
        <w:jc w:val="both"/>
        <w:rPr>
          <w:rFonts w:ascii="Times New Roman" w:hAnsi="Times New Roman" w:cs="Times New Roman"/>
          <w:sz w:val="26"/>
          <w:szCs w:val="26"/>
        </w:rPr>
      </w:pPr>
      <w:r w:rsidRPr="00605A1D">
        <w:rPr>
          <w:rFonts w:ascii="Times New Roman" w:hAnsi="Times New Roman" w:cs="Times New Roman"/>
          <w:sz w:val="26"/>
          <w:szCs w:val="26"/>
        </w:rPr>
        <w:t>During months 0–3, the organisation should approve the governance terms, appoint owners and define the ISMS scope. Months 3–6 should establish the risk and compliance registers, map obligations and agree reporting measures. Months 6–12 should complete an internal audit, management review and formal improvement cycle. This phased approach creates early accountability while allowing evidence and assurance practices to mature without disrupting logistics operations.</w:t>
      </w:r>
      <w:r w:rsidR="008B6D19" w:rsidRPr="00605A1D">
        <w:rPr>
          <w:rFonts w:ascii="Times New Roman" w:hAnsi="Times New Roman" w:cs="Times New Roman"/>
          <w:sz w:val="26"/>
          <w:szCs w:val="26"/>
        </w:rPr>
        <w:br w:type="page"/>
      </w:r>
    </w:p>
    <w:p w14:paraId="2B309659" w14:textId="44B87722" w:rsidR="00605A1D" w:rsidRPr="00605A1D" w:rsidRDefault="00605A1D" w:rsidP="004772DE">
      <w:pPr>
        <w:pStyle w:val="Heading1"/>
        <w:numPr>
          <w:ilvl w:val="0"/>
          <w:numId w:val="13"/>
        </w:numPr>
      </w:pPr>
      <w:bookmarkStart w:id="12" w:name="_Toc237168269"/>
      <w:r w:rsidRPr="00605A1D">
        <w:lastRenderedPageBreak/>
        <w:t>Cybersecurity Risk Management</w:t>
      </w:r>
      <w:bookmarkEnd w:id="12"/>
      <w:r w:rsidRPr="00605A1D">
        <w:t xml:space="preserve"> </w:t>
      </w:r>
    </w:p>
    <w:p w14:paraId="07B9398C" w14:textId="68F21AB5" w:rsidR="004D27CC" w:rsidRDefault="00082FA9" w:rsidP="004D27CC">
      <w:pPr>
        <w:jc w:val="both"/>
        <w:rPr>
          <w:rFonts w:ascii="Times New Roman" w:hAnsi="Times New Roman" w:cs="Times New Roman"/>
          <w:sz w:val="26"/>
          <w:szCs w:val="26"/>
        </w:rPr>
      </w:pPr>
      <w:r w:rsidRPr="00082FA9">
        <w:rPr>
          <w:rFonts w:ascii="Times New Roman" w:hAnsi="Times New Roman" w:cs="Times New Roman"/>
          <w:sz w:val="26"/>
          <w:szCs w:val="26"/>
        </w:rPr>
        <w:t>Cybersecurity risk management should help the organisation prioritise exposures instead of treating every weakness as equally urgent. The process should cover systems, people and suppliers because disruption may affect deliveries. ISO 31000 provides a cycle of identification, analysis, evaluation, treatment and review</w:t>
      </w:r>
      <w:sdt>
        <w:sdtPr>
          <w:rPr>
            <w:rFonts w:ascii="Times New Roman" w:hAnsi="Times New Roman" w:cs="Times New Roman"/>
            <w:sz w:val="26"/>
            <w:szCs w:val="26"/>
          </w:rPr>
          <w:id w:val="1239368986"/>
          <w:citation/>
        </w:sdtPr>
        <w:sdtContent>
          <w:r>
            <w:rPr>
              <w:rFonts w:ascii="Times New Roman" w:hAnsi="Times New Roman" w:cs="Times New Roman"/>
              <w:sz w:val="26"/>
              <w:szCs w:val="26"/>
            </w:rPr>
            <w:fldChar w:fldCharType="begin"/>
          </w:r>
          <w:r>
            <w:rPr>
              <w:rFonts w:ascii="Times New Roman" w:hAnsi="Times New Roman" w:cs="Times New Roman"/>
              <w:sz w:val="26"/>
              <w:szCs w:val="26"/>
              <w:lang w:val="en-US"/>
            </w:rPr>
            <w:instrText xml:space="preserve"> CITATION Hus24 \l 1033 </w:instrText>
          </w:r>
          <w:r>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[13]</w:t>
          </w:r>
          <w:r>
            <w:rPr>
              <w:rFonts w:ascii="Times New Roman" w:hAnsi="Times New Roman" w:cs="Times New Roman"/>
              <w:sz w:val="26"/>
              <w:szCs w:val="26"/>
            </w:rPr>
            <w:fldChar w:fldCharType="end"/>
          </w:r>
        </w:sdtContent>
      </w:sdt>
      <w:r w:rsidRPr="00082FA9">
        <w:rPr>
          <w:rFonts w:ascii="Times New Roman" w:hAnsi="Times New Roman" w:cs="Times New Roman"/>
          <w:sz w:val="26"/>
          <w:szCs w:val="26"/>
        </w:rPr>
        <w:t>, while ISO/IEC 27005 applies these principles to information-security risk</w:t>
      </w:r>
      <w:sdt>
        <w:sdtPr>
          <w:rPr>
            <w:rFonts w:ascii="Times New Roman" w:hAnsi="Times New Roman" w:cs="Times New Roman"/>
            <w:sz w:val="26"/>
            <w:szCs w:val="26"/>
          </w:rPr>
          <w:id w:val="811371835"/>
          <w:citation/>
        </w:sdtPr>
        <w:sdtContent>
          <w:r w:rsidR="0059644D">
            <w:rPr>
              <w:rFonts w:ascii="Times New Roman" w:hAnsi="Times New Roman" w:cs="Times New Roman"/>
              <w:sz w:val="26"/>
              <w:szCs w:val="26"/>
            </w:rPr>
            <w:fldChar w:fldCharType="begin"/>
          </w:r>
          <w:r w:rsidR="0059644D">
            <w:rPr>
              <w:rFonts w:ascii="Times New Roman" w:hAnsi="Times New Roman" w:cs="Times New Roman"/>
              <w:sz w:val="26"/>
              <w:szCs w:val="26"/>
              <w:lang w:val="en-US"/>
            </w:rPr>
            <w:instrText xml:space="preserve"> CITATION Lal13 \l 1033 </w:instrText>
          </w:r>
          <w:r w:rsidR="0059644D">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[14]</w:t>
          </w:r>
          <w:r w:rsidR="0059644D">
            <w:rPr>
              <w:rFonts w:ascii="Times New Roman" w:hAnsi="Times New Roman" w:cs="Times New Roman"/>
              <w:sz w:val="26"/>
              <w:szCs w:val="26"/>
            </w:rPr>
            <w:fldChar w:fldCharType="end"/>
          </w:r>
        </w:sdtContent>
      </w:sdt>
      <w:r w:rsidRPr="00082FA9">
        <w:rPr>
          <w:rFonts w:ascii="Times New Roman" w:hAnsi="Times New Roman" w:cs="Times New Roman"/>
          <w:sz w:val="26"/>
          <w:szCs w:val="26"/>
        </w:rPr>
        <w:t>.</w:t>
      </w:r>
    </w:p>
    <w:p w14:paraId="632EBAF9" w14:textId="77777777" w:rsidR="0059644D" w:rsidRDefault="0059644D" w:rsidP="004D27CC">
      <w:pPr>
        <w:jc w:val="both"/>
        <w:rPr>
          <w:rFonts w:ascii="Times New Roman" w:hAnsi="Times New Roman" w:cs="Times New Roman"/>
          <w:sz w:val="26"/>
          <w:szCs w:val="26"/>
        </w:rPr>
      </w:pPr>
    </w:p>
    <w:p w14:paraId="173E56DD" w14:textId="0D9ACB9D" w:rsidR="0059644D" w:rsidRPr="0059644D" w:rsidRDefault="0059644D" w:rsidP="00EA09D8">
      <w:pPr>
        <w:pStyle w:val="Heading2"/>
      </w:pPr>
      <w:bookmarkStart w:id="13" w:name="_Toc237168270"/>
      <w:r w:rsidRPr="0059644D">
        <w:t>5.1 Risk Identification and Assessment</w:t>
      </w:r>
      <w:bookmarkEnd w:id="13"/>
    </w:p>
    <w:p w14:paraId="4B25BD81" w14:textId="4F95DEA9" w:rsidR="004D27CC" w:rsidRPr="00CB460D" w:rsidRDefault="0083330C" w:rsidP="00CB460D">
      <w:pPr>
        <w:jc w:val="both"/>
        <w:rPr>
          <w:rFonts w:ascii="Times New Roman" w:hAnsi="Times New Roman" w:cs="Times New Roman"/>
          <w:sz w:val="26"/>
          <w:szCs w:val="26"/>
        </w:rPr>
      </w:pPr>
      <w:r w:rsidRPr="00CB460D">
        <w:rPr>
          <w:rFonts w:ascii="Times New Roman" w:hAnsi="Times New Roman" w:cs="Times New Roman"/>
          <w:sz w:val="26"/>
          <w:szCs w:val="26"/>
        </w:rPr>
        <w:t>Assessment should begin with critical services rather than a technical vulnerability list. Workshops involving operations, IT, procurement, data protection and business continuity can identify scenarios. Each concern should follow a cause-event-impact format.</w:t>
      </w:r>
    </w:p>
    <w:p w14:paraId="1C891D1C" w14:textId="51B88E62" w:rsidR="0083330C" w:rsidRPr="00CB460D" w:rsidRDefault="0083330C" w:rsidP="00CB460D">
      <w:pPr>
        <w:jc w:val="both"/>
        <w:rPr>
          <w:rFonts w:ascii="Times New Roman" w:hAnsi="Times New Roman" w:cs="Times New Roman"/>
          <w:sz w:val="26"/>
          <w:szCs w:val="26"/>
        </w:rPr>
      </w:pPr>
      <w:r w:rsidRPr="00CB460D">
        <w:rPr>
          <w:rFonts w:ascii="Times New Roman" w:hAnsi="Times New Roman" w:cs="Times New Roman"/>
          <w:sz w:val="26"/>
          <w:szCs w:val="26"/>
        </w:rPr>
        <w:t>“Because of weak contractor access, an unauthorised person may enter the warehouse scheduling platform, resulting in delayed dispatches and data exposure.”</w:t>
      </w:r>
    </w:p>
    <w:p w14:paraId="724604A9" w14:textId="403E911B" w:rsidR="00ED6920" w:rsidRPr="00CB460D" w:rsidRDefault="00ED6920" w:rsidP="00CB460D">
      <w:pPr>
        <w:jc w:val="both"/>
        <w:rPr>
          <w:rFonts w:ascii="Times New Roman" w:hAnsi="Times New Roman" w:cs="Times New Roman"/>
          <w:sz w:val="26"/>
          <w:szCs w:val="26"/>
        </w:rPr>
      </w:pPr>
      <w:r w:rsidRPr="00CB460D">
        <w:rPr>
          <w:rFonts w:ascii="Times New Roman" w:hAnsi="Times New Roman" w:cs="Times New Roman"/>
          <w:sz w:val="26"/>
          <w:szCs w:val="26"/>
        </w:rPr>
        <w:t>This “risk story” gives managers a view of how a weakness may harm the business. Every scenario should be recorded with its owner, affected service, existing safeguards, likelihood, impact, treatment and residual rating. A five-point scale is suitable, provided impact considers operational, financial, legal, safety and reputational harm. For uncertainties, best-case, most-likely and worst-case estimates can improve judgement</w:t>
      </w:r>
      <w:sdt>
        <w:sdtPr>
          <w:rPr>
            <w:rFonts w:ascii="Times New Roman" w:hAnsi="Times New Roman" w:cs="Times New Roman"/>
            <w:sz w:val="26"/>
            <w:szCs w:val="26"/>
          </w:rPr>
          <w:id w:val="-780346353"/>
          <w:citation/>
        </w:sdtPr>
        <w:sdtContent>
          <w:r w:rsidRPr="00CB460D">
            <w:rPr>
              <w:rFonts w:ascii="Times New Roman" w:hAnsi="Times New Roman" w:cs="Times New Roman"/>
              <w:sz w:val="26"/>
              <w:szCs w:val="26"/>
            </w:rPr>
            <w:fldChar w:fldCharType="begin"/>
          </w:r>
          <w:r w:rsidRPr="00CB460D">
            <w:rPr>
              <w:rFonts w:ascii="Times New Roman" w:hAnsi="Times New Roman" w:cs="Times New Roman"/>
              <w:sz w:val="26"/>
              <w:szCs w:val="26"/>
              <w:lang w:val="en-US"/>
            </w:rPr>
            <w:instrText xml:space="preserve"> CITATION Hub23 \l 1033 </w:instrText>
          </w:r>
          <w:r w:rsidRPr="00CB460D">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[15]</w:t>
          </w:r>
          <w:r w:rsidRPr="00CB460D">
            <w:rPr>
              <w:rFonts w:ascii="Times New Roman" w:hAnsi="Times New Roman" w:cs="Times New Roman"/>
              <w:sz w:val="26"/>
              <w:szCs w:val="26"/>
            </w:rPr>
            <w:fldChar w:fldCharType="end"/>
          </w:r>
        </w:sdtContent>
      </w:sdt>
      <w:r w:rsidRPr="00CB460D">
        <w:rPr>
          <w:rFonts w:ascii="Times New Roman" w:hAnsi="Times New Roman" w:cs="Times New Roman"/>
          <w:sz w:val="26"/>
          <w:szCs w:val="26"/>
        </w:rPr>
        <w:t>.</w:t>
      </w:r>
    </w:p>
    <w:p w14:paraId="39BD36D0" w14:textId="77777777" w:rsidR="00ED6920" w:rsidRDefault="00ED6920" w:rsidP="0083330C">
      <w:pPr>
        <w:rPr>
          <w:rFonts w:ascii="Times New Roman" w:hAnsi="Times New Roman" w:cs="Times New Roman"/>
          <w:sz w:val="28"/>
          <w:szCs w:val="28"/>
        </w:rPr>
      </w:pPr>
    </w:p>
    <w:p w14:paraId="4F47B4A7" w14:textId="6504B8B3" w:rsidR="00CC0CC3" w:rsidRPr="00CC0CC3" w:rsidRDefault="00CC0CC3" w:rsidP="004830FD">
      <w:pPr>
        <w:pStyle w:val="Tabletitle0"/>
      </w:pPr>
      <w:r w:rsidRPr="00CC0CC3">
        <w:t>Table 3: Example risk-prioritisation register</w:t>
      </w:r>
    </w:p>
    <w:tbl>
      <w:tblPr>
        <w:tblStyle w:val="TableGrid"/>
        <w:tblW w:w="0" w:type="auto"/>
        <w:tblLook w:val="04A0" w:firstRow="1" w:lastRow="0" w:firstColumn="1" w:lastColumn="0" w:noHBand="0" w:noVBand="1"/>
      </w:tblPr>
      <w:tblGrid>
        <w:gridCol w:w="3555"/>
        <w:gridCol w:w="1508"/>
        <w:gridCol w:w="1072"/>
        <w:gridCol w:w="1173"/>
        <w:gridCol w:w="1708"/>
      </w:tblGrid>
      <w:tr w:rsidR="00F24EC0" w14:paraId="6BB6EF16" w14:textId="77777777" w:rsidTr="00F24EC0">
        <w:trPr>
          <w:trHeight w:val="737"/>
        </w:trPr>
        <w:tc>
          <w:tcPr>
            <w:tcW w:w="4531" w:type="dxa"/>
          </w:tcPr>
          <w:p w14:paraId="5430E908" w14:textId="162EB428" w:rsidR="00F24EC0" w:rsidRPr="00F24EC0" w:rsidRDefault="002010B1" w:rsidP="0083330C">
            <w:pPr>
              <w:rPr>
                <w:rFonts w:ascii="Times New Roman" w:hAnsi="Times New Roman" w:cs="Times New Roman"/>
                <w:b/>
                <w:bCs/>
                <w:sz w:val="28"/>
                <w:szCs w:val="28"/>
              </w:rPr>
            </w:pPr>
            <w:r>
              <w:rPr>
                <w:rFonts w:ascii="Times New Roman" w:hAnsi="Times New Roman" w:cs="Times New Roman"/>
                <w:b/>
                <w:bCs/>
                <w:sz w:val="28"/>
                <w:szCs w:val="28"/>
              </w:rPr>
              <w:t>Risk scenario</w:t>
            </w:r>
          </w:p>
        </w:tc>
        <w:tc>
          <w:tcPr>
            <w:tcW w:w="709" w:type="dxa"/>
          </w:tcPr>
          <w:p w14:paraId="7368A920" w14:textId="38BD150B" w:rsidR="00F24EC0" w:rsidRPr="00F24EC0" w:rsidRDefault="002010B1" w:rsidP="0083330C">
            <w:pPr>
              <w:rPr>
                <w:rFonts w:ascii="Times New Roman" w:hAnsi="Times New Roman" w:cs="Times New Roman"/>
                <w:b/>
                <w:bCs/>
                <w:sz w:val="28"/>
                <w:szCs w:val="28"/>
              </w:rPr>
            </w:pPr>
            <w:r>
              <w:rPr>
                <w:rFonts w:ascii="Times New Roman" w:hAnsi="Times New Roman" w:cs="Times New Roman"/>
                <w:b/>
                <w:bCs/>
                <w:sz w:val="28"/>
                <w:szCs w:val="28"/>
              </w:rPr>
              <w:t>Likelihood</w:t>
            </w:r>
          </w:p>
        </w:tc>
        <w:tc>
          <w:tcPr>
            <w:tcW w:w="709" w:type="dxa"/>
          </w:tcPr>
          <w:p w14:paraId="112D2CEF" w14:textId="227ABD7C" w:rsidR="00F24EC0" w:rsidRPr="00F24EC0" w:rsidRDefault="002010B1" w:rsidP="0083330C">
            <w:pPr>
              <w:rPr>
                <w:rFonts w:ascii="Times New Roman" w:hAnsi="Times New Roman" w:cs="Times New Roman"/>
                <w:b/>
                <w:bCs/>
                <w:sz w:val="28"/>
                <w:szCs w:val="28"/>
              </w:rPr>
            </w:pPr>
            <w:r>
              <w:rPr>
                <w:rFonts w:ascii="Times New Roman" w:hAnsi="Times New Roman" w:cs="Times New Roman"/>
                <w:b/>
                <w:bCs/>
                <w:sz w:val="28"/>
                <w:szCs w:val="28"/>
              </w:rPr>
              <w:t>Impact</w:t>
            </w:r>
          </w:p>
        </w:tc>
        <w:tc>
          <w:tcPr>
            <w:tcW w:w="1251" w:type="dxa"/>
          </w:tcPr>
          <w:p w14:paraId="0D218D7E" w14:textId="0CC47AB6" w:rsidR="00F24EC0" w:rsidRPr="00F24EC0" w:rsidRDefault="002010B1" w:rsidP="0083330C">
            <w:pPr>
              <w:rPr>
                <w:rFonts w:ascii="Times New Roman" w:hAnsi="Times New Roman" w:cs="Times New Roman"/>
                <w:b/>
                <w:bCs/>
                <w:sz w:val="28"/>
                <w:szCs w:val="28"/>
              </w:rPr>
            </w:pPr>
            <w:r>
              <w:rPr>
                <w:rFonts w:ascii="Times New Roman" w:hAnsi="Times New Roman" w:cs="Times New Roman"/>
                <w:b/>
                <w:bCs/>
                <w:sz w:val="28"/>
                <w:szCs w:val="28"/>
              </w:rPr>
              <w:t>Rating</w:t>
            </w:r>
          </w:p>
        </w:tc>
        <w:tc>
          <w:tcPr>
            <w:tcW w:w="1801" w:type="dxa"/>
          </w:tcPr>
          <w:p w14:paraId="5B3DC4E2" w14:textId="0C7B450E" w:rsidR="00F24EC0" w:rsidRPr="00F24EC0" w:rsidRDefault="002010B1" w:rsidP="00CB460D">
            <w:pPr>
              <w:jc w:val="center"/>
              <w:rPr>
                <w:rFonts w:ascii="Times New Roman" w:hAnsi="Times New Roman" w:cs="Times New Roman"/>
                <w:b/>
                <w:bCs/>
                <w:sz w:val="28"/>
                <w:szCs w:val="28"/>
              </w:rPr>
            </w:pPr>
            <w:r>
              <w:rPr>
                <w:rFonts w:ascii="Times New Roman" w:hAnsi="Times New Roman" w:cs="Times New Roman"/>
                <w:b/>
                <w:bCs/>
                <w:sz w:val="28"/>
                <w:szCs w:val="28"/>
              </w:rPr>
              <w:t>Owner</w:t>
            </w:r>
          </w:p>
        </w:tc>
      </w:tr>
      <w:tr w:rsidR="00F24EC0" w14:paraId="22006945" w14:textId="77777777" w:rsidTr="00F24EC0">
        <w:trPr>
          <w:trHeight w:val="737"/>
        </w:trPr>
        <w:tc>
          <w:tcPr>
            <w:tcW w:w="4531" w:type="dxa"/>
          </w:tcPr>
          <w:p w14:paraId="63FF08CA" w14:textId="68C88B46" w:rsidR="00F24EC0" w:rsidRPr="00F24EC0" w:rsidRDefault="002010B1" w:rsidP="0083330C">
            <w:pPr>
              <w:rPr>
                <w:rFonts w:ascii="Times New Roman" w:hAnsi="Times New Roman" w:cs="Times New Roman"/>
                <w:sz w:val="26"/>
                <w:szCs w:val="26"/>
              </w:rPr>
            </w:pPr>
            <w:r>
              <w:rPr>
                <w:rFonts w:ascii="Times New Roman" w:hAnsi="Times New Roman" w:cs="Times New Roman"/>
                <w:sz w:val="26"/>
                <w:szCs w:val="26"/>
              </w:rPr>
              <w:t>Critical cloud-supplier outage</w:t>
            </w:r>
          </w:p>
        </w:tc>
        <w:tc>
          <w:tcPr>
            <w:tcW w:w="709" w:type="dxa"/>
          </w:tcPr>
          <w:p w14:paraId="4A011981" w14:textId="7093DF68" w:rsidR="00F24EC0" w:rsidRPr="00F24EC0" w:rsidRDefault="002010B1" w:rsidP="002010B1">
            <w:pPr>
              <w:jc w:val="center"/>
              <w:rPr>
                <w:rFonts w:ascii="Times New Roman" w:hAnsi="Times New Roman" w:cs="Times New Roman"/>
                <w:sz w:val="26"/>
                <w:szCs w:val="26"/>
              </w:rPr>
            </w:pPr>
            <w:r>
              <w:rPr>
                <w:rFonts w:ascii="Times New Roman" w:hAnsi="Times New Roman" w:cs="Times New Roman"/>
                <w:sz w:val="26"/>
                <w:szCs w:val="26"/>
              </w:rPr>
              <w:t>4</w:t>
            </w:r>
          </w:p>
        </w:tc>
        <w:tc>
          <w:tcPr>
            <w:tcW w:w="709" w:type="dxa"/>
          </w:tcPr>
          <w:p w14:paraId="273C47D3" w14:textId="73EE96F5" w:rsidR="00F24EC0" w:rsidRPr="00F24EC0" w:rsidRDefault="002010B1" w:rsidP="002010B1">
            <w:pPr>
              <w:jc w:val="center"/>
              <w:rPr>
                <w:rFonts w:ascii="Times New Roman" w:hAnsi="Times New Roman" w:cs="Times New Roman"/>
                <w:sz w:val="26"/>
                <w:szCs w:val="26"/>
              </w:rPr>
            </w:pPr>
            <w:r>
              <w:rPr>
                <w:rFonts w:ascii="Times New Roman" w:hAnsi="Times New Roman" w:cs="Times New Roman"/>
                <w:sz w:val="26"/>
                <w:szCs w:val="26"/>
              </w:rPr>
              <w:t>5</w:t>
            </w:r>
          </w:p>
        </w:tc>
        <w:tc>
          <w:tcPr>
            <w:tcW w:w="1251" w:type="dxa"/>
          </w:tcPr>
          <w:p w14:paraId="4E9C3AF3" w14:textId="5253CD42" w:rsidR="00F24EC0" w:rsidRPr="00F24EC0" w:rsidRDefault="002010B1" w:rsidP="002010B1">
            <w:pPr>
              <w:jc w:val="center"/>
              <w:rPr>
                <w:rFonts w:ascii="Times New Roman" w:hAnsi="Times New Roman" w:cs="Times New Roman"/>
                <w:sz w:val="26"/>
                <w:szCs w:val="26"/>
              </w:rPr>
            </w:pPr>
            <w:r>
              <w:rPr>
                <w:rFonts w:ascii="Times New Roman" w:hAnsi="Times New Roman" w:cs="Times New Roman"/>
                <w:sz w:val="26"/>
                <w:szCs w:val="26"/>
              </w:rPr>
              <w:t>Critical</w:t>
            </w:r>
          </w:p>
        </w:tc>
        <w:tc>
          <w:tcPr>
            <w:tcW w:w="1801" w:type="dxa"/>
          </w:tcPr>
          <w:p w14:paraId="5A8E5930" w14:textId="51BF5CE4" w:rsidR="00F24EC0" w:rsidRPr="00F24EC0" w:rsidRDefault="002010B1" w:rsidP="002010B1">
            <w:pPr>
              <w:jc w:val="center"/>
              <w:rPr>
                <w:rFonts w:ascii="Times New Roman" w:hAnsi="Times New Roman" w:cs="Times New Roman"/>
                <w:sz w:val="26"/>
                <w:szCs w:val="26"/>
              </w:rPr>
            </w:pPr>
            <w:r>
              <w:rPr>
                <w:rFonts w:ascii="Times New Roman" w:hAnsi="Times New Roman" w:cs="Times New Roman"/>
                <w:sz w:val="26"/>
                <w:szCs w:val="26"/>
              </w:rPr>
              <w:t>IT and procurement</w:t>
            </w:r>
          </w:p>
        </w:tc>
      </w:tr>
      <w:tr w:rsidR="00F24EC0" w14:paraId="16B331DE" w14:textId="77777777" w:rsidTr="00F24EC0">
        <w:trPr>
          <w:trHeight w:val="763"/>
        </w:trPr>
        <w:tc>
          <w:tcPr>
            <w:tcW w:w="4531" w:type="dxa"/>
          </w:tcPr>
          <w:p w14:paraId="04D345F3" w14:textId="399B616E" w:rsidR="00F24EC0" w:rsidRPr="00F24EC0" w:rsidRDefault="002010B1" w:rsidP="0083330C">
            <w:pPr>
              <w:rPr>
                <w:rFonts w:ascii="Times New Roman" w:hAnsi="Times New Roman" w:cs="Times New Roman"/>
                <w:sz w:val="26"/>
                <w:szCs w:val="26"/>
              </w:rPr>
            </w:pPr>
            <w:r>
              <w:rPr>
                <w:rFonts w:ascii="Times New Roman" w:hAnsi="Times New Roman" w:cs="Times New Roman"/>
                <w:sz w:val="26"/>
                <w:szCs w:val="26"/>
              </w:rPr>
              <w:t>Compromised contractor account</w:t>
            </w:r>
          </w:p>
        </w:tc>
        <w:tc>
          <w:tcPr>
            <w:tcW w:w="709" w:type="dxa"/>
          </w:tcPr>
          <w:p w14:paraId="382F3280" w14:textId="18F597D3" w:rsidR="00F24EC0" w:rsidRPr="00F24EC0" w:rsidRDefault="002010B1" w:rsidP="002010B1">
            <w:pPr>
              <w:jc w:val="center"/>
              <w:rPr>
                <w:rFonts w:ascii="Times New Roman" w:hAnsi="Times New Roman" w:cs="Times New Roman"/>
                <w:sz w:val="26"/>
                <w:szCs w:val="26"/>
              </w:rPr>
            </w:pPr>
            <w:r>
              <w:rPr>
                <w:rFonts w:ascii="Times New Roman" w:hAnsi="Times New Roman" w:cs="Times New Roman"/>
                <w:sz w:val="26"/>
                <w:szCs w:val="26"/>
              </w:rPr>
              <w:t>4</w:t>
            </w:r>
          </w:p>
        </w:tc>
        <w:tc>
          <w:tcPr>
            <w:tcW w:w="709" w:type="dxa"/>
          </w:tcPr>
          <w:p w14:paraId="05B12D53" w14:textId="20CE2B7B" w:rsidR="00F24EC0" w:rsidRPr="00F24EC0" w:rsidRDefault="002010B1" w:rsidP="002010B1">
            <w:pPr>
              <w:jc w:val="center"/>
              <w:rPr>
                <w:rFonts w:ascii="Times New Roman" w:hAnsi="Times New Roman" w:cs="Times New Roman"/>
                <w:sz w:val="26"/>
                <w:szCs w:val="26"/>
              </w:rPr>
            </w:pPr>
            <w:r>
              <w:rPr>
                <w:rFonts w:ascii="Times New Roman" w:hAnsi="Times New Roman" w:cs="Times New Roman"/>
                <w:sz w:val="26"/>
                <w:szCs w:val="26"/>
              </w:rPr>
              <w:t>4</w:t>
            </w:r>
          </w:p>
        </w:tc>
        <w:tc>
          <w:tcPr>
            <w:tcW w:w="1251" w:type="dxa"/>
          </w:tcPr>
          <w:p w14:paraId="79246DF0" w14:textId="179CEB86" w:rsidR="00F24EC0" w:rsidRPr="00F24EC0" w:rsidRDefault="002010B1" w:rsidP="002010B1">
            <w:pPr>
              <w:jc w:val="center"/>
              <w:rPr>
                <w:rFonts w:ascii="Times New Roman" w:hAnsi="Times New Roman" w:cs="Times New Roman"/>
                <w:sz w:val="26"/>
                <w:szCs w:val="26"/>
              </w:rPr>
            </w:pPr>
            <w:r>
              <w:rPr>
                <w:rFonts w:ascii="Times New Roman" w:hAnsi="Times New Roman" w:cs="Times New Roman"/>
                <w:sz w:val="26"/>
                <w:szCs w:val="26"/>
              </w:rPr>
              <w:t>High</w:t>
            </w:r>
          </w:p>
        </w:tc>
        <w:tc>
          <w:tcPr>
            <w:tcW w:w="1801" w:type="dxa"/>
          </w:tcPr>
          <w:p w14:paraId="059A9783" w14:textId="393DB8A7" w:rsidR="00F24EC0" w:rsidRPr="00F24EC0" w:rsidRDefault="002010B1" w:rsidP="002010B1">
            <w:pPr>
              <w:jc w:val="center"/>
              <w:rPr>
                <w:rFonts w:ascii="Times New Roman" w:hAnsi="Times New Roman" w:cs="Times New Roman"/>
                <w:sz w:val="26"/>
                <w:szCs w:val="26"/>
              </w:rPr>
            </w:pPr>
            <w:r>
              <w:rPr>
                <w:rFonts w:ascii="Times New Roman" w:hAnsi="Times New Roman" w:cs="Times New Roman"/>
                <w:sz w:val="26"/>
                <w:szCs w:val="26"/>
              </w:rPr>
              <w:t>Operations and IT</w:t>
            </w:r>
          </w:p>
        </w:tc>
      </w:tr>
      <w:tr w:rsidR="00F24EC0" w14:paraId="7ABD2793" w14:textId="77777777" w:rsidTr="00F24EC0">
        <w:trPr>
          <w:trHeight w:val="737"/>
        </w:trPr>
        <w:tc>
          <w:tcPr>
            <w:tcW w:w="4531" w:type="dxa"/>
          </w:tcPr>
          <w:p w14:paraId="738CCABE" w14:textId="3846B562" w:rsidR="00F24EC0" w:rsidRPr="00F24EC0" w:rsidRDefault="002010B1" w:rsidP="0083330C">
            <w:pPr>
              <w:rPr>
                <w:rFonts w:ascii="Times New Roman" w:hAnsi="Times New Roman" w:cs="Times New Roman"/>
                <w:sz w:val="26"/>
                <w:szCs w:val="26"/>
              </w:rPr>
            </w:pPr>
            <w:r>
              <w:rPr>
                <w:rFonts w:ascii="Times New Roman" w:hAnsi="Times New Roman" w:cs="Times New Roman"/>
                <w:sz w:val="26"/>
                <w:szCs w:val="26"/>
              </w:rPr>
              <w:t>Ransomware affecting warehouse system</w:t>
            </w:r>
          </w:p>
        </w:tc>
        <w:tc>
          <w:tcPr>
            <w:tcW w:w="709" w:type="dxa"/>
          </w:tcPr>
          <w:p w14:paraId="7B4AC498" w14:textId="0BA93397" w:rsidR="00F24EC0" w:rsidRPr="00F24EC0" w:rsidRDefault="002010B1" w:rsidP="002010B1">
            <w:pPr>
              <w:jc w:val="center"/>
              <w:rPr>
                <w:rFonts w:ascii="Times New Roman" w:hAnsi="Times New Roman" w:cs="Times New Roman"/>
                <w:sz w:val="26"/>
                <w:szCs w:val="26"/>
              </w:rPr>
            </w:pPr>
            <w:r>
              <w:rPr>
                <w:rFonts w:ascii="Times New Roman" w:hAnsi="Times New Roman" w:cs="Times New Roman"/>
                <w:sz w:val="26"/>
                <w:szCs w:val="26"/>
              </w:rPr>
              <w:t>3</w:t>
            </w:r>
          </w:p>
        </w:tc>
        <w:tc>
          <w:tcPr>
            <w:tcW w:w="709" w:type="dxa"/>
          </w:tcPr>
          <w:p w14:paraId="7E64F8DF" w14:textId="752CEA2A" w:rsidR="00F24EC0" w:rsidRPr="00F24EC0" w:rsidRDefault="002010B1" w:rsidP="002010B1">
            <w:pPr>
              <w:jc w:val="center"/>
              <w:rPr>
                <w:rFonts w:ascii="Times New Roman" w:hAnsi="Times New Roman" w:cs="Times New Roman"/>
                <w:sz w:val="26"/>
                <w:szCs w:val="26"/>
              </w:rPr>
            </w:pPr>
            <w:r>
              <w:rPr>
                <w:rFonts w:ascii="Times New Roman" w:hAnsi="Times New Roman" w:cs="Times New Roman"/>
                <w:sz w:val="26"/>
                <w:szCs w:val="26"/>
              </w:rPr>
              <w:t>5</w:t>
            </w:r>
          </w:p>
        </w:tc>
        <w:tc>
          <w:tcPr>
            <w:tcW w:w="1251" w:type="dxa"/>
          </w:tcPr>
          <w:p w14:paraId="02AC7462" w14:textId="03B92528" w:rsidR="00F24EC0" w:rsidRPr="00F24EC0" w:rsidRDefault="002010B1" w:rsidP="002010B1">
            <w:pPr>
              <w:jc w:val="center"/>
              <w:rPr>
                <w:rFonts w:ascii="Times New Roman" w:hAnsi="Times New Roman" w:cs="Times New Roman"/>
                <w:sz w:val="26"/>
                <w:szCs w:val="26"/>
              </w:rPr>
            </w:pPr>
            <w:r>
              <w:rPr>
                <w:rFonts w:ascii="Times New Roman" w:hAnsi="Times New Roman" w:cs="Times New Roman"/>
                <w:sz w:val="26"/>
                <w:szCs w:val="26"/>
              </w:rPr>
              <w:t>High</w:t>
            </w:r>
          </w:p>
        </w:tc>
        <w:tc>
          <w:tcPr>
            <w:tcW w:w="1801" w:type="dxa"/>
          </w:tcPr>
          <w:p w14:paraId="2CF98056" w14:textId="6F8A8EE8" w:rsidR="00F24EC0" w:rsidRPr="00F24EC0" w:rsidRDefault="002010B1" w:rsidP="002010B1">
            <w:pPr>
              <w:jc w:val="center"/>
              <w:rPr>
                <w:rFonts w:ascii="Times New Roman" w:hAnsi="Times New Roman" w:cs="Times New Roman"/>
                <w:sz w:val="26"/>
                <w:szCs w:val="26"/>
              </w:rPr>
            </w:pPr>
            <w:r>
              <w:rPr>
                <w:rFonts w:ascii="Times New Roman" w:hAnsi="Times New Roman" w:cs="Times New Roman"/>
                <w:sz w:val="26"/>
                <w:szCs w:val="26"/>
              </w:rPr>
              <w:t>IT and continuity</w:t>
            </w:r>
          </w:p>
        </w:tc>
      </w:tr>
    </w:tbl>
    <w:p w14:paraId="53709626" w14:textId="77777777" w:rsidR="00ED6920" w:rsidRDefault="00ED6920" w:rsidP="0083330C">
      <w:pPr>
        <w:rPr>
          <w:rFonts w:ascii="Times New Roman" w:hAnsi="Times New Roman" w:cs="Times New Roman"/>
          <w:sz w:val="28"/>
          <w:szCs w:val="28"/>
        </w:rPr>
      </w:pPr>
    </w:p>
    <w:p w14:paraId="2C65A480" w14:textId="77777777" w:rsidR="00ED6920" w:rsidRDefault="00ED6920" w:rsidP="0083330C">
      <w:pPr>
        <w:rPr>
          <w:rFonts w:ascii="Times New Roman" w:hAnsi="Times New Roman" w:cs="Times New Roman"/>
          <w:sz w:val="28"/>
          <w:szCs w:val="28"/>
        </w:rPr>
      </w:pPr>
    </w:p>
    <w:p w14:paraId="2D033A7F" w14:textId="3AE5676E" w:rsidR="00CB460D" w:rsidRDefault="00CB460D">
      <w:pPr>
        <w:rPr>
          <w:rFonts w:ascii="Times New Roman" w:hAnsi="Times New Roman" w:cs="Times New Roman"/>
          <w:b/>
          <w:bCs/>
          <w:sz w:val="28"/>
          <w:szCs w:val="28"/>
        </w:rPr>
      </w:pPr>
    </w:p>
    <w:p w14:paraId="1A86C0B5" w14:textId="618100A9" w:rsidR="004D27CC" w:rsidRPr="004772DE" w:rsidRDefault="004C6D10" w:rsidP="00EA09D8">
      <w:pPr>
        <w:pStyle w:val="Heading2"/>
      </w:pPr>
      <w:bookmarkStart w:id="14" w:name="_Toc237168271"/>
      <w:r w:rsidRPr="004772DE">
        <w:lastRenderedPageBreak/>
        <w:t>5.2 Bow-Tie Risk Analysis</w:t>
      </w:r>
      <w:bookmarkEnd w:id="14"/>
    </w:p>
    <w:p w14:paraId="72189F59" w14:textId="0C34F395" w:rsidR="004D27CC" w:rsidRDefault="004C6D10" w:rsidP="004D27CC">
      <w:pPr>
        <w:jc w:val="both"/>
        <w:rPr>
          <w:rFonts w:ascii="Times New Roman" w:hAnsi="Times New Roman" w:cs="Times New Roman"/>
          <w:sz w:val="26"/>
          <w:szCs w:val="26"/>
        </w:rPr>
      </w:pPr>
      <w:r w:rsidRPr="004C6D10">
        <w:rPr>
          <w:rFonts w:ascii="Times New Roman" w:hAnsi="Times New Roman" w:cs="Times New Roman"/>
          <w:sz w:val="26"/>
          <w:szCs w:val="26"/>
        </w:rPr>
        <w:t>Bow-tie analysis can make risks easier to communicate. It places the central event between causes and business consequences, with preventive safeguards on the left and recovery measures on the right. This reveals whether recovery is receiving less attention than prevention.</w:t>
      </w:r>
    </w:p>
    <w:p w14:paraId="5FB916BD" w14:textId="4C46C0AF" w:rsidR="004C6D10" w:rsidRPr="004C6D10" w:rsidRDefault="004C6D10" w:rsidP="004C6D10">
      <w:pPr>
        <w:jc w:val="both"/>
        <w:rPr>
          <w:rFonts w:ascii="Times New Roman" w:hAnsi="Times New Roman" w:cs="Times New Roman"/>
          <w:sz w:val="26"/>
          <w:szCs w:val="26"/>
          <w:lang w:val="en-IN"/>
        </w:rPr>
      </w:pPr>
      <w:r w:rsidRPr="004C6D10">
        <w:rPr>
          <w:rFonts w:ascii="Times New Roman" w:hAnsi="Times New Roman" w:cs="Times New Roman"/>
          <w:noProof/>
          <w:sz w:val="26"/>
          <w:szCs w:val="26"/>
          <w:lang w:val="en-IN"/>
        </w:rPr>
        <w:drawing>
          <wp:inline distT="0" distB="0" distL="0" distR="0" wp14:anchorId="30EBC388" wp14:editId="4C331BB5">
            <wp:extent cx="5731510" cy="2537460"/>
            <wp:effectExtent l="0" t="0" r="2540" b="0"/>
            <wp:docPr id="3832825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537460"/>
                    </a:xfrm>
                    <a:prstGeom prst="rect">
                      <a:avLst/>
                    </a:prstGeom>
                    <a:noFill/>
                    <a:ln>
                      <a:noFill/>
                    </a:ln>
                  </pic:spPr>
                </pic:pic>
              </a:graphicData>
            </a:graphic>
          </wp:inline>
        </w:drawing>
      </w:r>
    </w:p>
    <w:p w14:paraId="228759C9" w14:textId="49D951B4" w:rsidR="004C6D10" w:rsidRPr="004C6D10" w:rsidRDefault="004C6D10" w:rsidP="00621DA3">
      <w:pPr>
        <w:pStyle w:val="FigureTitle"/>
      </w:pPr>
      <w:r w:rsidRPr="004C6D10">
        <w:t>Figure 4: Bow-tie cyber-risk analysis.</w:t>
      </w:r>
    </w:p>
    <w:p w14:paraId="47214A4C" w14:textId="77777777" w:rsidR="004C6D10" w:rsidRDefault="004C6D10" w:rsidP="004D27CC">
      <w:pPr>
        <w:jc w:val="both"/>
        <w:rPr>
          <w:rFonts w:ascii="Times New Roman" w:hAnsi="Times New Roman" w:cs="Times New Roman"/>
          <w:sz w:val="26"/>
          <w:szCs w:val="26"/>
        </w:rPr>
      </w:pPr>
    </w:p>
    <w:p w14:paraId="45466A66" w14:textId="3D8C36DB" w:rsidR="004C6D10" w:rsidRDefault="004C6D10" w:rsidP="00EA09D8">
      <w:pPr>
        <w:pStyle w:val="Heading2"/>
      </w:pPr>
      <w:bookmarkStart w:id="15" w:name="_Toc237168272"/>
      <w:r w:rsidRPr="004C6D10">
        <w:t>5.3 Treatment and Review</w:t>
      </w:r>
      <w:bookmarkEnd w:id="15"/>
    </w:p>
    <w:p w14:paraId="1CEA0E17" w14:textId="69399A79" w:rsidR="004C6D10" w:rsidRPr="004C6D10" w:rsidRDefault="004C6D10" w:rsidP="004D27CC">
      <w:pPr>
        <w:jc w:val="both"/>
        <w:rPr>
          <w:rFonts w:ascii="Times New Roman" w:hAnsi="Times New Roman" w:cs="Times New Roman"/>
          <w:sz w:val="26"/>
          <w:szCs w:val="26"/>
        </w:rPr>
      </w:pPr>
      <w:r w:rsidRPr="004C6D10">
        <w:rPr>
          <w:rFonts w:ascii="Times New Roman" w:hAnsi="Times New Roman" w:cs="Times New Roman"/>
          <w:sz w:val="26"/>
          <w:szCs w:val="26"/>
        </w:rPr>
        <w:t>Each owner should choose whether to avoid, reduce, transfer or accept the exposure. Acceptance above risk appetite should require executive approval. Critical risks should be reviewed monthly and the register quarterly, or sooner after an incident, supplier change or recovery exercise. Monitoring overdue treatments, repeated incidents and risks above appetite keeps the register useful for decisions rather than satisfying an audit.</w:t>
      </w:r>
    </w:p>
    <w:p w14:paraId="3C31FC5A" w14:textId="77777777" w:rsidR="004D27CC" w:rsidRPr="00863363" w:rsidRDefault="004D27CC" w:rsidP="004D27CC">
      <w:pPr>
        <w:jc w:val="both"/>
        <w:rPr>
          <w:rFonts w:ascii="Times New Roman" w:hAnsi="Times New Roman" w:cs="Times New Roman"/>
          <w:sz w:val="28"/>
          <w:szCs w:val="28"/>
        </w:rPr>
      </w:pPr>
    </w:p>
    <w:p w14:paraId="7FDAC15A" w14:textId="77777777" w:rsidR="004D27CC" w:rsidRPr="00863363" w:rsidRDefault="004D27CC">
      <w:pPr>
        <w:rPr>
          <w:rFonts w:ascii="Times New Roman" w:hAnsi="Times New Roman" w:cs="Times New Roman"/>
          <w:sz w:val="28"/>
          <w:szCs w:val="28"/>
        </w:rPr>
      </w:pPr>
      <w:r w:rsidRPr="00863363">
        <w:rPr>
          <w:rFonts w:ascii="Times New Roman" w:hAnsi="Times New Roman" w:cs="Times New Roman"/>
          <w:sz w:val="28"/>
          <w:szCs w:val="28"/>
        </w:rPr>
        <w:br w:type="page"/>
      </w:r>
    </w:p>
    <w:p w14:paraId="4DB9C441" w14:textId="266B9974" w:rsidR="00E148B0" w:rsidRPr="00E148B0" w:rsidRDefault="00E148B0" w:rsidP="004772DE">
      <w:pPr>
        <w:pStyle w:val="Heading1"/>
        <w:numPr>
          <w:ilvl w:val="0"/>
          <w:numId w:val="13"/>
        </w:numPr>
      </w:pPr>
      <w:bookmarkStart w:id="16" w:name="_Toc237168273"/>
      <w:r w:rsidRPr="00E148B0">
        <w:lastRenderedPageBreak/>
        <w:t>Security Control Selection and Implementation</w:t>
      </w:r>
      <w:bookmarkEnd w:id="16"/>
    </w:p>
    <w:p w14:paraId="190253A3" w14:textId="19CF46B6" w:rsidR="00A94029" w:rsidRPr="00634B71" w:rsidRDefault="005A2516" w:rsidP="00A94029">
      <w:pPr>
        <w:jc w:val="both"/>
        <w:rPr>
          <w:rFonts w:ascii="Times New Roman" w:hAnsi="Times New Roman" w:cs="Times New Roman"/>
          <w:sz w:val="26"/>
          <w:szCs w:val="26"/>
        </w:rPr>
      </w:pPr>
      <w:r w:rsidRPr="00634B71">
        <w:rPr>
          <w:rFonts w:ascii="Times New Roman" w:hAnsi="Times New Roman" w:cs="Times New Roman"/>
          <w:sz w:val="26"/>
          <w:szCs w:val="26"/>
        </w:rPr>
        <w:t>Security controls should be selected from recorded risks, not copied from a generic checklist. Each must be proportionate to likelihood, business impact and risk appetite. ISO/IEC 27002 provides implementation guidance across organisational, people, physical and technological controls</w:t>
      </w:r>
      <w:sdt>
        <w:sdtPr>
          <w:rPr>
            <w:rFonts w:ascii="Times New Roman" w:hAnsi="Times New Roman" w:cs="Times New Roman"/>
            <w:sz w:val="26"/>
            <w:szCs w:val="26"/>
          </w:rPr>
          <w:id w:val="1936332259"/>
          <w:citation/>
        </w:sdtPr>
        <w:sdtContent>
          <w:r w:rsidR="00634B71" w:rsidRPr="00634B71">
            <w:rPr>
              <w:rFonts w:ascii="Times New Roman" w:hAnsi="Times New Roman" w:cs="Times New Roman"/>
              <w:sz w:val="26"/>
              <w:szCs w:val="26"/>
            </w:rPr>
            <w:fldChar w:fldCharType="begin"/>
          </w:r>
          <w:r w:rsidR="00634B71" w:rsidRPr="00634B71">
            <w:rPr>
              <w:rFonts w:ascii="Times New Roman" w:hAnsi="Times New Roman" w:cs="Times New Roman"/>
              <w:sz w:val="26"/>
              <w:szCs w:val="26"/>
              <w:lang w:val="en-US"/>
            </w:rPr>
            <w:instrText xml:space="preserve"> CITATION Cal20 \l 1033 </w:instrText>
          </w:r>
          <w:r w:rsidR="00634B71" w:rsidRPr="00634B71">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[16]</w:t>
          </w:r>
          <w:r w:rsidR="00634B71" w:rsidRPr="00634B71">
            <w:rPr>
              <w:rFonts w:ascii="Times New Roman" w:hAnsi="Times New Roman" w:cs="Times New Roman"/>
              <w:sz w:val="26"/>
              <w:szCs w:val="26"/>
            </w:rPr>
            <w:fldChar w:fldCharType="end"/>
          </w:r>
        </w:sdtContent>
      </w:sdt>
      <w:r w:rsidRPr="00634B71">
        <w:rPr>
          <w:rFonts w:ascii="Times New Roman" w:hAnsi="Times New Roman" w:cs="Times New Roman"/>
          <w:sz w:val="26"/>
          <w:szCs w:val="26"/>
        </w:rPr>
        <w:t>.</w:t>
      </w:r>
      <w:r w:rsidR="00634B71" w:rsidRPr="00634B71">
        <w:rPr>
          <w:rFonts w:ascii="Times New Roman" w:hAnsi="Times New Roman" w:cs="Times New Roman"/>
          <w:sz w:val="26"/>
          <w:szCs w:val="26"/>
        </w:rPr>
        <w:t xml:space="preserve"> </w:t>
      </w:r>
      <w:r w:rsidRPr="00634B71">
        <w:rPr>
          <w:rFonts w:ascii="Times New Roman" w:hAnsi="Times New Roman" w:cs="Times New Roman"/>
          <w:sz w:val="26"/>
          <w:szCs w:val="26"/>
        </w:rPr>
        <w:t>Layered safeguards are preferable because one may fail or be bypassed</w:t>
      </w:r>
      <w:sdt>
        <w:sdtPr>
          <w:rPr>
            <w:rFonts w:ascii="Times New Roman" w:hAnsi="Times New Roman" w:cs="Times New Roman"/>
            <w:sz w:val="26"/>
            <w:szCs w:val="26"/>
          </w:rPr>
          <w:id w:val="-1624067099"/>
          <w:citation/>
        </w:sdtPr>
        <w:sdtContent>
          <w:r w:rsidR="00634B71" w:rsidRPr="00634B71">
            <w:rPr>
              <w:rFonts w:ascii="Times New Roman" w:hAnsi="Times New Roman" w:cs="Times New Roman"/>
              <w:sz w:val="26"/>
              <w:szCs w:val="26"/>
            </w:rPr>
            <w:fldChar w:fldCharType="begin"/>
          </w:r>
          <w:r w:rsidR="00634B71" w:rsidRPr="00634B71">
            <w:rPr>
              <w:rFonts w:ascii="Times New Roman" w:hAnsi="Times New Roman" w:cs="Times New Roman"/>
              <w:sz w:val="26"/>
              <w:szCs w:val="26"/>
              <w:lang w:val="en-US"/>
            </w:rPr>
            <w:instrText xml:space="preserve"> CITATION Kum16 \l 1033 </w:instrText>
          </w:r>
          <w:r w:rsidR="00634B71" w:rsidRPr="00634B71">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[17]</w:t>
          </w:r>
          <w:r w:rsidR="00634B71" w:rsidRPr="00634B71">
            <w:rPr>
              <w:rFonts w:ascii="Times New Roman" w:hAnsi="Times New Roman" w:cs="Times New Roman"/>
              <w:sz w:val="26"/>
              <w:szCs w:val="26"/>
            </w:rPr>
            <w:fldChar w:fldCharType="end"/>
          </w:r>
        </w:sdtContent>
      </w:sdt>
      <w:r w:rsidRPr="00634B71">
        <w:rPr>
          <w:rFonts w:ascii="Times New Roman" w:hAnsi="Times New Roman" w:cs="Times New Roman"/>
          <w:sz w:val="26"/>
          <w:szCs w:val="26"/>
        </w:rPr>
        <w:t>.</w:t>
      </w:r>
    </w:p>
    <w:p w14:paraId="4618ADF3" w14:textId="77777777" w:rsidR="00A94029" w:rsidRDefault="00A94029" w:rsidP="00A94029">
      <w:pPr>
        <w:jc w:val="both"/>
        <w:rPr>
          <w:rFonts w:ascii="Times New Roman" w:hAnsi="Times New Roman" w:cs="Times New Roman"/>
          <w:sz w:val="28"/>
          <w:szCs w:val="28"/>
        </w:rPr>
      </w:pPr>
    </w:p>
    <w:p w14:paraId="6FDFBC09" w14:textId="2FB10BB2" w:rsidR="00634B71" w:rsidRPr="0071172A" w:rsidRDefault="00634B71" w:rsidP="00EA09D8">
      <w:pPr>
        <w:pStyle w:val="Heading2"/>
      </w:pPr>
      <w:bookmarkStart w:id="17" w:name="_Toc237168274"/>
      <w:r w:rsidRPr="0071172A">
        <w:t>6.1 Risk-Based Control Selection</w:t>
      </w:r>
      <w:bookmarkEnd w:id="17"/>
    </w:p>
    <w:p w14:paraId="45BB9086" w14:textId="77777777" w:rsidR="00634B71" w:rsidRDefault="00634B71" w:rsidP="00634B71">
      <w:pPr>
        <w:jc w:val="both"/>
        <w:rPr>
          <w:rFonts w:ascii="Times New Roman" w:hAnsi="Times New Roman" w:cs="Times New Roman"/>
          <w:sz w:val="28"/>
          <w:szCs w:val="28"/>
        </w:rPr>
      </w:pPr>
      <w:r w:rsidRPr="00634B71">
        <w:rPr>
          <w:rFonts w:ascii="Times New Roman" w:hAnsi="Times New Roman" w:cs="Times New Roman"/>
          <w:sz w:val="28"/>
          <w:szCs w:val="28"/>
        </w:rPr>
        <w:t xml:space="preserve">For every high-priority risk, the control owner should prepare a short control card showing the risk addressed, objective, responsible person, implementation action, evidence, success measure and review date. This creates a visible link between the risk register and daily work. </w:t>
      </w:r>
    </w:p>
    <w:p w14:paraId="42A8D502" w14:textId="77777777" w:rsidR="00CC0CC3" w:rsidRDefault="00CC0CC3" w:rsidP="00634B71">
      <w:pPr>
        <w:jc w:val="both"/>
        <w:rPr>
          <w:rFonts w:ascii="Times New Roman" w:hAnsi="Times New Roman" w:cs="Times New Roman"/>
          <w:sz w:val="28"/>
          <w:szCs w:val="28"/>
        </w:rPr>
      </w:pPr>
    </w:p>
    <w:p w14:paraId="496ED692" w14:textId="71E8B05B" w:rsidR="00CC0CC3" w:rsidRPr="00CC0CC3" w:rsidRDefault="00CC0CC3" w:rsidP="004830FD">
      <w:pPr>
        <w:pStyle w:val="Tabletitle0"/>
      </w:pPr>
      <w:r w:rsidRPr="00CC0CC3">
        <w:t>Table 4: Priority controls and evidence</w:t>
      </w:r>
    </w:p>
    <w:tbl>
      <w:tblPr>
        <w:tblStyle w:val="TableGrid"/>
        <w:tblW w:w="0" w:type="auto"/>
        <w:tblLook w:val="04A0" w:firstRow="1" w:lastRow="0" w:firstColumn="1" w:lastColumn="0" w:noHBand="0" w:noVBand="1"/>
      </w:tblPr>
      <w:tblGrid>
        <w:gridCol w:w="2547"/>
        <w:gridCol w:w="3260"/>
        <w:gridCol w:w="3197"/>
      </w:tblGrid>
      <w:tr w:rsidR="00634B71" w14:paraId="11B07132" w14:textId="77777777" w:rsidTr="009E4ECC">
        <w:trPr>
          <w:trHeight w:val="666"/>
        </w:trPr>
        <w:tc>
          <w:tcPr>
            <w:tcW w:w="2547" w:type="dxa"/>
          </w:tcPr>
          <w:p w14:paraId="3EE4F07A" w14:textId="41FDFA54" w:rsidR="00634B71" w:rsidRPr="00634B71" w:rsidRDefault="00634B71" w:rsidP="00634B71">
            <w:pPr>
              <w:jc w:val="both"/>
              <w:rPr>
                <w:rFonts w:ascii="Times New Roman" w:hAnsi="Times New Roman" w:cs="Times New Roman"/>
                <w:b/>
                <w:bCs/>
                <w:sz w:val="28"/>
                <w:szCs w:val="28"/>
              </w:rPr>
            </w:pPr>
            <w:r>
              <w:rPr>
                <w:rFonts w:ascii="Times New Roman" w:hAnsi="Times New Roman" w:cs="Times New Roman"/>
                <w:b/>
                <w:bCs/>
                <w:sz w:val="28"/>
                <w:szCs w:val="28"/>
              </w:rPr>
              <w:t>Risk scenario</w:t>
            </w:r>
          </w:p>
        </w:tc>
        <w:tc>
          <w:tcPr>
            <w:tcW w:w="3260" w:type="dxa"/>
          </w:tcPr>
          <w:p w14:paraId="6FEA5DC5" w14:textId="05051A68" w:rsidR="00634B71" w:rsidRPr="00634B71" w:rsidRDefault="00634B71" w:rsidP="00634B71">
            <w:pPr>
              <w:jc w:val="both"/>
              <w:rPr>
                <w:rFonts w:ascii="Times New Roman" w:hAnsi="Times New Roman" w:cs="Times New Roman"/>
                <w:b/>
                <w:bCs/>
                <w:sz w:val="28"/>
                <w:szCs w:val="28"/>
              </w:rPr>
            </w:pPr>
            <w:r>
              <w:rPr>
                <w:rFonts w:ascii="Times New Roman" w:hAnsi="Times New Roman" w:cs="Times New Roman"/>
                <w:b/>
                <w:bCs/>
                <w:sz w:val="28"/>
                <w:szCs w:val="28"/>
              </w:rPr>
              <w:t>Selected controls</w:t>
            </w:r>
          </w:p>
        </w:tc>
        <w:tc>
          <w:tcPr>
            <w:tcW w:w="3197" w:type="dxa"/>
          </w:tcPr>
          <w:p w14:paraId="0D1C4C86" w14:textId="30ADDE4B" w:rsidR="00634B71" w:rsidRPr="00634B71" w:rsidRDefault="00634B71" w:rsidP="00634B71">
            <w:pPr>
              <w:jc w:val="both"/>
              <w:rPr>
                <w:rFonts w:ascii="Times New Roman" w:hAnsi="Times New Roman" w:cs="Times New Roman"/>
                <w:b/>
                <w:bCs/>
                <w:sz w:val="28"/>
                <w:szCs w:val="28"/>
              </w:rPr>
            </w:pPr>
            <w:r>
              <w:rPr>
                <w:rFonts w:ascii="Times New Roman" w:hAnsi="Times New Roman" w:cs="Times New Roman"/>
                <w:b/>
                <w:bCs/>
                <w:sz w:val="28"/>
                <w:szCs w:val="28"/>
              </w:rPr>
              <w:t>Evidence of eff</w:t>
            </w:r>
            <w:r w:rsidR="009E4ECC">
              <w:rPr>
                <w:rFonts w:ascii="Times New Roman" w:hAnsi="Times New Roman" w:cs="Times New Roman"/>
                <w:b/>
                <w:bCs/>
                <w:sz w:val="28"/>
                <w:szCs w:val="28"/>
              </w:rPr>
              <w:t>ectiveness</w:t>
            </w:r>
          </w:p>
        </w:tc>
      </w:tr>
      <w:tr w:rsidR="00634B71" w14:paraId="63F48D8F" w14:textId="77777777" w:rsidTr="009E4ECC">
        <w:trPr>
          <w:trHeight w:val="666"/>
        </w:trPr>
        <w:tc>
          <w:tcPr>
            <w:tcW w:w="2547" w:type="dxa"/>
          </w:tcPr>
          <w:p w14:paraId="38F34DB3" w14:textId="0A8B37DD" w:rsidR="00634B71" w:rsidRPr="00634B71" w:rsidRDefault="009E4ECC" w:rsidP="009E4ECC">
            <w:pPr>
              <w:rPr>
                <w:rFonts w:ascii="Times New Roman" w:hAnsi="Times New Roman" w:cs="Times New Roman"/>
                <w:sz w:val="26"/>
                <w:szCs w:val="26"/>
              </w:rPr>
            </w:pPr>
            <w:r>
              <w:rPr>
                <w:rFonts w:ascii="Times New Roman" w:hAnsi="Times New Roman" w:cs="Times New Roman"/>
                <w:sz w:val="26"/>
                <w:szCs w:val="26"/>
              </w:rPr>
              <w:t>Compromised contractor account</w:t>
            </w:r>
          </w:p>
        </w:tc>
        <w:tc>
          <w:tcPr>
            <w:tcW w:w="3260" w:type="dxa"/>
          </w:tcPr>
          <w:p w14:paraId="68F8B141" w14:textId="20DCF0E1" w:rsidR="00634B71" w:rsidRPr="00634B71" w:rsidRDefault="009E4ECC" w:rsidP="009E4ECC">
            <w:pPr>
              <w:rPr>
                <w:rFonts w:ascii="Times New Roman" w:hAnsi="Times New Roman" w:cs="Times New Roman"/>
                <w:sz w:val="26"/>
                <w:szCs w:val="26"/>
              </w:rPr>
            </w:pPr>
            <w:r>
              <w:rPr>
                <w:rFonts w:ascii="Times New Roman" w:hAnsi="Times New Roman" w:cs="Times New Roman"/>
                <w:sz w:val="26"/>
                <w:szCs w:val="26"/>
              </w:rPr>
              <w:t>MFA, role-based access and quarterly review</w:t>
            </w:r>
          </w:p>
        </w:tc>
        <w:tc>
          <w:tcPr>
            <w:tcW w:w="3197" w:type="dxa"/>
          </w:tcPr>
          <w:p w14:paraId="27B4F3AA" w14:textId="0F02B12B" w:rsidR="00634B71" w:rsidRPr="00634B71" w:rsidRDefault="009E4ECC" w:rsidP="009E4ECC">
            <w:pPr>
              <w:rPr>
                <w:rFonts w:ascii="Times New Roman" w:hAnsi="Times New Roman" w:cs="Times New Roman"/>
                <w:sz w:val="26"/>
                <w:szCs w:val="26"/>
              </w:rPr>
            </w:pPr>
            <w:r>
              <w:rPr>
                <w:rFonts w:ascii="Times New Roman" w:hAnsi="Times New Roman" w:cs="Times New Roman"/>
                <w:sz w:val="26"/>
                <w:szCs w:val="26"/>
              </w:rPr>
              <w:t>Access-review record and blocked-login report</w:t>
            </w:r>
          </w:p>
        </w:tc>
      </w:tr>
      <w:tr w:rsidR="00634B71" w14:paraId="1B87B268" w14:textId="77777777" w:rsidTr="009E4ECC">
        <w:trPr>
          <w:trHeight w:val="689"/>
        </w:trPr>
        <w:tc>
          <w:tcPr>
            <w:tcW w:w="2547" w:type="dxa"/>
          </w:tcPr>
          <w:p w14:paraId="37E787C2" w14:textId="380645D2" w:rsidR="00634B71" w:rsidRPr="00634B71" w:rsidRDefault="009E4ECC" w:rsidP="009E4ECC">
            <w:pPr>
              <w:rPr>
                <w:rFonts w:ascii="Times New Roman" w:hAnsi="Times New Roman" w:cs="Times New Roman"/>
                <w:sz w:val="26"/>
                <w:szCs w:val="26"/>
              </w:rPr>
            </w:pPr>
            <w:r>
              <w:rPr>
                <w:rFonts w:ascii="Times New Roman" w:hAnsi="Times New Roman" w:cs="Times New Roman"/>
                <w:sz w:val="26"/>
                <w:szCs w:val="26"/>
              </w:rPr>
              <w:t>Ransomware affecting warehouse systems</w:t>
            </w:r>
          </w:p>
        </w:tc>
        <w:tc>
          <w:tcPr>
            <w:tcW w:w="3260" w:type="dxa"/>
          </w:tcPr>
          <w:p w14:paraId="484FEB07" w14:textId="485D21A3" w:rsidR="00634B71" w:rsidRPr="00634B71" w:rsidRDefault="009E4ECC" w:rsidP="009E4ECC">
            <w:pPr>
              <w:rPr>
                <w:rFonts w:ascii="Times New Roman" w:hAnsi="Times New Roman" w:cs="Times New Roman"/>
                <w:sz w:val="26"/>
                <w:szCs w:val="26"/>
              </w:rPr>
            </w:pPr>
            <w:r>
              <w:rPr>
                <w:rFonts w:ascii="Times New Roman" w:hAnsi="Times New Roman" w:cs="Times New Roman"/>
                <w:sz w:val="26"/>
                <w:szCs w:val="26"/>
              </w:rPr>
              <w:t>Segmentation, endpoint detection and immutable backups</w:t>
            </w:r>
          </w:p>
        </w:tc>
        <w:tc>
          <w:tcPr>
            <w:tcW w:w="3197" w:type="dxa"/>
          </w:tcPr>
          <w:p w14:paraId="3CF8454F" w14:textId="78400587" w:rsidR="00634B71" w:rsidRPr="00634B71" w:rsidRDefault="009E4ECC" w:rsidP="009E4ECC">
            <w:pPr>
              <w:rPr>
                <w:rFonts w:ascii="Times New Roman" w:hAnsi="Times New Roman" w:cs="Times New Roman"/>
                <w:sz w:val="26"/>
                <w:szCs w:val="26"/>
              </w:rPr>
            </w:pPr>
            <w:r>
              <w:rPr>
                <w:rFonts w:ascii="Times New Roman" w:hAnsi="Times New Roman" w:cs="Times New Roman"/>
                <w:sz w:val="26"/>
                <w:szCs w:val="26"/>
              </w:rPr>
              <w:t>Alert record and successful restore test</w:t>
            </w:r>
          </w:p>
        </w:tc>
      </w:tr>
      <w:tr w:rsidR="00634B71" w14:paraId="645DE5D3" w14:textId="77777777" w:rsidTr="009E4ECC">
        <w:trPr>
          <w:trHeight w:val="666"/>
        </w:trPr>
        <w:tc>
          <w:tcPr>
            <w:tcW w:w="2547" w:type="dxa"/>
          </w:tcPr>
          <w:p w14:paraId="3FD3F6EE" w14:textId="6FDBAE70" w:rsidR="00634B71" w:rsidRPr="00634B71" w:rsidRDefault="009E4ECC" w:rsidP="009E4ECC">
            <w:pPr>
              <w:rPr>
                <w:rFonts w:ascii="Times New Roman" w:hAnsi="Times New Roman" w:cs="Times New Roman"/>
                <w:sz w:val="26"/>
                <w:szCs w:val="26"/>
              </w:rPr>
            </w:pPr>
            <w:r>
              <w:rPr>
                <w:rFonts w:ascii="Times New Roman" w:hAnsi="Times New Roman" w:cs="Times New Roman"/>
                <w:sz w:val="26"/>
                <w:szCs w:val="26"/>
              </w:rPr>
              <w:t>Cloud-supplier outage</w:t>
            </w:r>
          </w:p>
        </w:tc>
        <w:tc>
          <w:tcPr>
            <w:tcW w:w="3260" w:type="dxa"/>
          </w:tcPr>
          <w:p w14:paraId="41B4D650" w14:textId="1DF60A95" w:rsidR="00634B71" w:rsidRPr="00634B71" w:rsidRDefault="009E4ECC" w:rsidP="009E4ECC">
            <w:pPr>
              <w:rPr>
                <w:rFonts w:ascii="Times New Roman" w:hAnsi="Times New Roman" w:cs="Times New Roman"/>
                <w:sz w:val="26"/>
                <w:szCs w:val="26"/>
              </w:rPr>
            </w:pPr>
            <w:r>
              <w:rPr>
                <w:rFonts w:ascii="Times New Roman" w:hAnsi="Times New Roman" w:cs="Times New Roman"/>
                <w:sz w:val="26"/>
                <w:szCs w:val="26"/>
              </w:rPr>
              <w:t>Contracted recovery, alternative connection and failover exercise</w:t>
            </w:r>
          </w:p>
        </w:tc>
        <w:tc>
          <w:tcPr>
            <w:tcW w:w="3197" w:type="dxa"/>
          </w:tcPr>
          <w:p w14:paraId="518E8A56" w14:textId="06099789" w:rsidR="00634B71" w:rsidRPr="00634B71" w:rsidRDefault="009E4ECC" w:rsidP="009E4ECC">
            <w:pPr>
              <w:rPr>
                <w:rFonts w:ascii="Times New Roman" w:hAnsi="Times New Roman" w:cs="Times New Roman"/>
                <w:sz w:val="26"/>
                <w:szCs w:val="26"/>
              </w:rPr>
            </w:pPr>
            <w:r>
              <w:rPr>
                <w:rFonts w:ascii="Times New Roman" w:hAnsi="Times New Roman" w:cs="Times New Roman"/>
                <w:sz w:val="26"/>
                <w:szCs w:val="26"/>
              </w:rPr>
              <w:t>Recovery-time result and supplier assurance</w:t>
            </w:r>
          </w:p>
        </w:tc>
      </w:tr>
    </w:tbl>
    <w:p w14:paraId="72F7387F" w14:textId="77777777" w:rsidR="009E4ECC" w:rsidRDefault="009E4ECC" w:rsidP="00634B71">
      <w:pPr>
        <w:jc w:val="both"/>
        <w:rPr>
          <w:rFonts w:ascii="Times New Roman" w:hAnsi="Times New Roman" w:cs="Times New Roman"/>
          <w:sz w:val="28"/>
          <w:szCs w:val="28"/>
        </w:rPr>
      </w:pPr>
    </w:p>
    <w:p w14:paraId="6F7E0FC5" w14:textId="77777777" w:rsidR="009E4ECC" w:rsidRDefault="009E4ECC" w:rsidP="00EA09D8">
      <w:pPr>
        <w:pStyle w:val="Heading2"/>
      </w:pPr>
      <w:bookmarkStart w:id="18" w:name="_Toc237168275"/>
      <w:r w:rsidRPr="009E4ECC">
        <w:t>6.2 Phased Implementation</w:t>
      </w:r>
      <w:bookmarkEnd w:id="18"/>
      <w:r w:rsidRPr="009E4ECC">
        <w:t xml:space="preserve"> </w:t>
      </w:r>
    </w:p>
    <w:p w14:paraId="51976686" w14:textId="314A062C" w:rsidR="009E4ECC" w:rsidRDefault="009E4ECC" w:rsidP="009E4ECC">
      <w:pPr>
        <w:jc w:val="both"/>
        <w:rPr>
          <w:rFonts w:ascii="Times New Roman" w:hAnsi="Times New Roman" w:cs="Times New Roman"/>
          <w:sz w:val="26"/>
          <w:szCs w:val="26"/>
        </w:rPr>
      </w:pPr>
      <w:r w:rsidRPr="009E4ECC">
        <w:rPr>
          <w:rFonts w:ascii="Times New Roman" w:hAnsi="Times New Roman" w:cs="Times New Roman"/>
          <w:sz w:val="26"/>
          <w:szCs w:val="26"/>
        </w:rPr>
        <w:t>Controls should be introduced in manageable waves. The first wave should secure privileged and contractor accounts, verify backups and address critical vulnerabilities. Central monitoring and supplier assurance can follow once these foundations are stable.</w:t>
      </w:r>
    </w:p>
    <w:p w14:paraId="25B7C889" w14:textId="77777777" w:rsidR="009E4ECC" w:rsidRPr="009E4ECC" w:rsidRDefault="009E4ECC" w:rsidP="009E4ECC">
      <w:pPr>
        <w:jc w:val="both"/>
        <w:rPr>
          <w:rFonts w:ascii="Times New Roman" w:hAnsi="Times New Roman" w:cs="Times New Roman"/>
          <w:sz w:val="26"/>
          <w:szCs w:val="26"/>
        </w:rPr>
      </w:pPr>
    </w:p>
    <w:p w14:paraId="6C5F9135" w14:textId="77777777" w:rsidR="009E4ECC" w:rsidRDefault="009E4ECC" w:rsidP="009E4ECC">
      <w:pPr>
        <w:jc w:val="both"/>
        <w:rPr>
          <w:rFonts w:ascii="Times New Roman" w:hAnsi="Times New Roman" w:cs="Times New Roman"/>
          <w:sz w:val="26"/>
          <w:szCs w:val="26"/>
        </w:rPr>
      </w:pPr>
      <w:r w:rsidRPr="009E4ECC">
        <w:rPr>
          <w:rFonts w:ascii="Times New Roman" w:hAnsi="Times New Roman" w:cs="Times New Roman"/>
          <w:sz w:val="26"/>
          <w:szCs w:val="26"/>
        </w:rPr>
        <w:t>A pilot–measure–adjust cycl</w:t>
      </w:r>
      <w:r>
        <w:rPr>
          <w:rFonts w:ascii="Times New Roman" w:hAnsi="Times New Roman" w:cs="Times New Roman"/>
          <w:sz w:val="26"/>
          <w:szCs w:val="26"/>
        </w:rPr>
        <w:t>e</w:t>
      </w:r>
      <w:r w:rsidRPr="009E4ECC">
        <w:rPr>
          <w:rFonts w:ascii="Times New Roman" w:hAnsi="Times New Roman" w:cs="Times New Roman"/>
          <w:sz w:val="26"/>
          <w:szCs w:val="26"/>
        </w:rPr>
        <w:t xml:space="preserve"> offers a practical implementation technique. A new control can first be tested in one warehouse, where the team measures false alerts, user difficulty and operational delay. Feedback should then be used to adjust the configuration before wider deployment. This reduces disruption and encourages staff acceptance. </w:t>
      </w:r>
    </w:p>
    <w:p w14:paraId="5CABCA37" w14:textId="7F90E2C0" w:rsidR="007264C1" w:rsidRDefault="007264C1" w:rsidP="009E4ECC">
      <w:pPr>
        <w:jc w:val="both"/>
        <w:rPr>
          <w:rFonts w:ascii="Times New Roman" w:hAnsi="Times New Roman" w:cs="Times New Roman"/>
          <w:sz w:val="26"/>
          <w:szCs w:val="26"/>
        </w:rPr>
      </w:pPr>
      <w:r>
        <w:rPr>
          <w:rFonts w:ascii="Times New Roman" w:hAnsi="Times New Roman" w:cs="Times New Roman"/>
          <w:noProof/>
          <w:sz w:val="26"/>
          <w:szCs w:val="26"/>
        </w:rPr>
        <w:lastRenderedPageBreak/>
        <w:drawing>
          <wp:inline distT="0" distB="0" distL="0" distR="0" wp14:anchorId="16F5FACB" wp14:editId="65E0E3D2">
            <wp:extent cx="5685790" cy="3908251"/>
            <wp:effectExtent l="0" t="0" r="0" b="0"/>
            <wp:docPr id="196553955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67214" cy="3964220"/>
                    </a:xfrm>
                    <a:prstGeom prst="rect">
                      <a:avLst/>
                    </a:prstGeom>
                    <a:noFill/>
                  </pic:spPr>
                </pic:pic>
              </a:graphicData>
            </a:graphic>
          </wp:inline>
        </w:drawing>
      </w:r>
    </w:p>
    <w:p w14:paraId="1A3BFEE7" w14:textId="77777777" w:rsidR="007264C1" w:rsidRDefault="007264C1" w:rsidP="00621DA3">
      <w:pPr>
        <w:pStyle w:val="FigureTitle"/>
      </w:pPr>
      <w:r w:rsidRPr="007264C1">
        <w:t xml:space="preserve">Figure 5: Control implementation cycle </w:t>
      </w:r>
    </w:p>
    <w:p w14:paraId="3425D485" w14:textId="77777777" w:rsidR="007264C1" w:rsidRDefault="007264C1" w:rsidP="007264C1">
      <w:pPr>
        <w:jc w:val="center"/>
        <w:rPr>
          <w:rFonts w:ascii="Times New Roman" w:hAnsi="Times New Roman" w:cs="Times New Roman"/>
          <w:i/>
          <w:iCs/>
        </w:rPr>
      </w:pPr>
    </w:p>
    <w:p w14:paraId="72358D0D" w14:textId="77777777" w:rsidR="007264C1" w:rsidRDefault="007264C1" w:rsidP="00621DA3">
      <w:pPr>
        <w:pStyle w:val="FigureTitle"/>
      </w:pPr>
      <w:r w:rsidRPr="007264C1">
        <w:t xml:space="preserve">6.3 Testing and Assurance </w:t>
      </w:r>
    </w:p>
    <w:p w14:paraId="27DCC68D" w14:textId="04611238" w:rsidR="007264C1" w:rsidRPr="00766C6D" w:rsidRDefault="007264C1" w:rsidP="009E4ECC">
      <w:pPr>
        <w:jc w:val="both"/>
        <w:rPr>
          <w:rFonts w:ascii="Times New Roman" w:hAnsi="Times New Roman" w:cs="Times New Roman"/>
          <w:sz w:val="26"/>
          <w:szCs w:val="26"/>
        </w:rPr>
      </w:pPr>
      <w:r w:rsidRPr="007264C1">
        <w:rPr>
          <w:rFonts w:ascii="Times New Roman" w:hAnsi="Times New Roman" w:cs="Times New Roman"/>
          <w:sz w:val="26"/>
          <w:szCs w:val="26"/>
        </w:rPr>
        <w:t>Purchasing or enabling a control does not prove that it works. Design and operating effectiveness should be checked through examination, interviews and technical testing</w:t>
      </w:r>
      <w:sdt>
        <w:sdtPr>
          <w:rPr>
            <w:rFonts w:ascii="Times New Roman" w:hAnsi="Times New Roman" w:cs="Times New Roman"/>
            <w:sz w:val="26"/>
            <w:szCs w:val="26"/>
          </w:rPr>
          <w:id w:val="-1781945624"/>
          <w:citation/>
        </w:sdtPr>
        <w:sdtContent>
          <w:r>
            <w:rPr>
              <w:rFonts w:ascii="Times New Roman" w:hAnsi="Times New Roman" w:cs="Times New Roman"/>
              <w:sz w:val="26"/>
              <w:szCs w:val="26"/>
            </w:rPr>
            <w:fldChar w:fldCharType="begin"/>
          </w:r>
          <w:r>
            <w:rPr>
              <w:rFonts w:ascii="Times New Roman" w:hAnsi="Times New Roman" w:cs="Times New Roman"/>
              <w:sz w:val="26"/>
              <w:szCs w:val="26"/>
              <w:lang w:val="en-US"/>
            </w:rPr>
            <w:instrText xml:space="preserve"> CITATION Joh19 \l 1033 </w:instrText>
          </w:r>
          <w:r>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[18]</w:t>
          </w:r>
          <w:r>
            <w:rPr>
              <w:rFonts w:ascii="Times New Roman" w:hAnsi="Times New Roman" w:cs="Times New Roman"/>
              <w:sz w:val="26"/>
              <w:szCs w:val="26"/>
            </w:rPr>
            <w:fldChar w:fldCharType="end"/>
          </w:r>
        </w:sdtContent>
      </w:sdt>
      <w:r w:rsidRPr="007264C1">
        <w:rPr>
          <w:rFonts w:ascii="Times New Roman" w:hAnsi="Times New Roman" w:cs="Times New Roman"/>
          <w:sz w:val="26"/>
          <w:szCs w:val="26"/>
        </w:rPr>
        <w:t xml:space="preserve">. Evidence may include approved configurations, logs, access reviews, incident results and recovery tests. A monthly dashboard should show control coverage, exceptions, failures and overdue actions. Controls creating unacceptable operational problems should be corrected, replaced or supported with training. This approach keeps implementation risk-led, measurable and suitable for a live logistics environment. </w:t>
      </w:r>
    </w:p>
    <w:p w14:paraId="2CFA09CC" w14:textId="77777777" w:rsidR="007264C1" w:rsidRDefault="007264C1" w:rsidP="009E4ECC">
      <w:pPr>
        <w:jc w:val="both"/>
        <w:rPr>
          <w:rFonts w:ascii="Times New Roman" w:hAnsi="Times New Roman" w:cs="Times New Roman"/>
          <w:b/>
          <w:bCs/>
          <w:sz w:val="28"/>
          <w:szCs w:val="28"/>
        </w:rPr>
      </w:pPr>
    </w:p>
    <w:p w14:paraId="0854140B" w14:textId="77777777" w:rsidR="007264C1" w:rsidRDefault="007264C1" w:rsidP="009E4ECC">
      <w:pPr>
        <w:jc w:val="both"/>
        <w:rPr>
          <w:rFonts w:ascii="Times New Roman" w:hAnsi="Times New Roman" w:cs="Times New Roman"/>
          <w:b/>
          <w:bCs/>
          <w:sz w:val="28"/>
          <w:szCs w:val="28"/>
        </w:rPr>
      </w:pPr>
    </w:p>
    <w:p w14:paraId="1AFC697E" w14:textId="77777777" w:rsidR="007264C1" w:rsidRDefault="007264C1" w:rsidP="009E4ECC">
      <w:pPr>
        <w:jc w:val="both"/>
        <w:rPr>
          <w:rFonts w:ascii="Times New Roman" w:hAnsi="Times New Roman" w:cs="Times New Roman"/>
          <w:b/>
          <w:bCs/>
          <w:sz w:val="28"/>
          <w:szCs w:val="28"/>
        </w:rPr>
      </w:pPr>
    </w:p>
    <w:p w14:paraId="06E534FA" w14:textId="77777777" w:rsidR="007264C1" w:rsidRDefault="007264C1" w:rsidP="009E4ECC">
      <w:pPr>
        <w:jc w:val="both"/>
        <w:rPr>
          <w:rFonts w:ascii="Times New Roman" w:hAnsi="Times New Roman" w:cs="Times New Roman"/>
          <w:b/>
          <w:bCs/>
          <w:sz w:val="28"/>
          <w:szCs w:val="28"/>
        </w:rPr>
      </w:pPr>
    </w:p>
    <w:p w14:paraId="5C2C482D" w14:textId="77777777" w:rsidR="007264C1" w:rsidRDefault="007264C1" w:rsidP="009E4ECC">
      <w:pPr>
        <w:jc w:val="both"/>
        <w:rPr>
          <w:rFonts w:ascii="Times New Roman" w:hAnsi="Times New Roman" w:cs="Times New Roman"/>
          <w:b/>
          <w:bCs/>
          <w:sz w:val="28"/>
          <w:szCs w:val="28"/>
        </w:rPr>
      </w:pPr>
    </w:p>
    <w:p w14:paraId="240A67F4" w14:textId="77777777" w:rsidR="007264C1" w:rsidRDefault="007264C1" w:rsidP="009E4ECC">
      <w:pPr>
        <w:jc w:val="both"/>
        <w:rPr>
          <w:rFonts w:ascii="Times New Roman" w:hAnsi="Times New Roman" w:cs="Times New Roman"/>
          <w:b/>
          <w:bCs/>
          <w:sz w:val="28"/>
          <w:szCs w:val="28"/>
        </w:rPr>
      </w:pPr>
    </w:p>
    <w:p w14:paraId="21BD471F" w14:textId="77777777" w:rsidR="007264C1" w:rsidRDefault="007264C1" w:rsidP="009E4ECC">
      <w:pPr>
        <w:jc w:val="both"/>
        <w:rPr>
          <w:rFonts w:ascii="Times New Roman" w:hAnsi="Times New Roman" w:cs="Times New Roman"/>
          <w:b/>
          <w:bCs/>
          <w:sz w:val="28"/>
          <w:szCs w:val="28"/>
        </w:rPr>
      </w:pPr>
    </w:p>
    <w:p w14:paraId="399903CC" w14:textId="77777777" w:rsidR="007264C1" w:rsidRDefault="007264C1" w:rsidP="009E4ECC">
      <w:pPr>
        <w:jc w:val="both"/>
        <w:rPr>
          <w:rFonts w:ascii="Times New Roman" w:hAnsi="Times New Roman" w:cs="Times New Roman"/>
          <w:b/>
          <w:bCs/>
          <w:sz w:val="28"/>
          <w:szCs w:val="28"/>
        </w:rPr>
      </w:pPr>
    </w:p>
    <w:p w14:paraId="5139E340" w14:textId="70094482" w:rsidR="00766C6D" w:rsidRDefault="00766C6D" w:rsidP="0071172A">
      <w:pPr>
        <w:pStyle w:val="Heading1"/>
        <w:numPr>
          <w:ilvl w:val="0"/>
          <w:numId w:val="13"/>
        </w:numPr>
      </w:pPr>
      <w:bookmarkStart w:id="19" w:name="_Toc237168276"/>
      <w:r w:rsidRPr="00766C6D">
        <w:t>Business Continuity and Third-Party Vendor Management</w:t>
      </w:r>
      <w:bookmarkEnd w:id="19"/>
    </w:p>
    <w:p w14:paraId="5321FB39" w14:textId="410D9F6B" w:rsidR="0071172A" w:rsidRPr="0071172A" w:rsidRDefault="0071172A" w:rsidP="00EA09D8">
      <w:pPr>
        <w:pStyle w:val="Heading2"/>
      </w:pPr>
      <w:bookmarkStart w:id="20" w:name="_Toc237168277"/>
      <w:r>
        <w:t>7.1 Business Continuity Planning</w:t>
      </w:r>
      <w:bookmarkEnd w:id="20"/>
      <w:r>
        <w:t xml:space="preserve"> </w:t>
      </w:r>
    </w:p>
    <w:p w14:paraId="0D273463" w14:textId="7ECFEC80" w:rsidR="00A0539C" w:rsidRPr="00A0539C" w:rsidRDefault="00A0539C" w:rsidP="00A0539C">
      <w:pPr>
        <w:jc w:val="both"/>
        <w:rPr>
          <w:rFonts w:ascii="Times New Roman" w:hAnsi="Times New Roman" w:cs="Times New Roman"/>
          <w:sz w:val="26"/>
          <w:szCs w:val="26"/>
        </w:rPr>
      </w:pPr>
      <w:r w:rsidRPr="00A0539C">
        <w:rPr>
          <w:rFonts w:ascii="Times New Roman" w:hAnsi="Times New Roman" w:cs="Times New Roman"/>
          <w:sz w:val="26"/>
          <w:szCs w:val="26"/>
        </w:rPr>
        <w:t>Business continuity should protect delivery services, not simply produce a plan for auditors. A business impact analysis should identify time-critical activities, including warehouse scheduling, fleet tracking and customer communication. For each activity, AeroLink should agree a recovery time objective, acceptable data loss and the people, systems and suppliers required. ISO 22301 supports preparing for, responding to and recovering from disruption</w:t>
      </w:r>
      <w:sdt>
        <w:sdtPr>
          <w:rPr>
            <w:rFonts w:ascii="Times New Roman" w:hAnsi="Times New Roman" w:cs="Times New Roman"/>
            <w:sz w:val="26"/>
            <w:szCs w:val="26"/>
          </w:rPr>
          <w:id w:val="-1686515487"/>
          <w:citation/>
        </w:sdtPr>
        <w:sdtContent>
          <w:r w:rsidR="00261AB9">
            <w:rPr>
              <w:rFonts w:ascii="Times New Roman" w:hAnsi="Times New Roman" w:cs="Times New Roman"/>
              <w:sz w:val="26"/>
              <w:szCs w:val="26"/>
            </w:rPr>
            <w:fldChar w:fldCharType="begin"/>
          </w:r>
          <w:r w:rsidR="00261AB9">
            <w:rPr>
              <w:rFonts w:ascii="Times New Roman" w:hAnsi="Times New Roman" w:cs="Times New Roman"/>
              <w:sz w:val="26"/>
              <w:szCs w:val="26"/>
              <w:lang w:val="en-US"/>
            </w:rPr>
            <w:instrText xml:space="preserve"> CITATION Int19 \l 1033 </w:instrText>
          </w:r>
          <w:r w:rsidR="00261AB9">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[19]</w:t>
          </w:r>
          <w:r w:rsidR="00261AB9">
            <w:rPr>
              <w:rFonts w:ascii="Times New Roman" w:hAnsi="Times New Roman" w:cs="Times New Roman"/>
              <w:sz w:val="26"/>
              <w:szCs w:val="26"/>
            </w:rPr>
            <w:fldChar w:fldCharType="end"/>
          </w:r>
        </w:sdtContent>
      </w:sdt>
      <w:r w:rsidRPr="00A0539C">
        <w:rPr>
          <w:rFonts w:ascii="Times New Roman" w:hAnsi="Times New Roman" w:cs="Times New Roman"/>
          <w:sz w:val="26"/>
          <w:szCs w:val="26"/>
        </w:rPr>
        <w:t>, while ISO/IEC 27031 connects ICT recovery with wider continuity needs</w:t>
      </w:r>
      <w:sdt>
        <w:sdtPr>
          <w:rPr>
            <w:rFonts w:ascii="Times New Roman" w:hAnsi="Times New Roman" w:cs="Times New Roman"/>
            <w:sz w:val="26"/>
            <w:szCs w:val="26"/>
          </w:rPr>
          <w:id w:val="2025824751"/>
          <w:citation/>
        </w:sdtPr>
        <w:sdtContent>
          <w:r w:rsidR="00F843AC">
            <w:rPr>
              <w:rFonts w:ascii="Times New Roman" w:hAnsi="Times New Roman" w:cs="Times New Roman"/>
              <w:sz w:val="26"/>
              <w:szCs w:val="26"/>
            </w:rPr>
            <w:fldChar w:fldCharType="begin"/>
          </w:r>
          <w:r w:rsidR="00F843AC">
            <w:rPr>
              <w:rFonts w:ascii="Times New Roman" w:hAnsi="Times New Roman" w:cs="Times New Roman"/>
              <w:sz w:val="26"/>
              <w:szCs w:val="26"/>
              <w:lang w:val="en-US"/>
            </w:rPr>
            <w:instrText xml:space="preserve"> CITATION ALH24 \l 1033 </w:instrText>
          </w:r>
          <w:r w:rsidR="00F843AC">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[20]</w:t>
          </w:r>
          <w:r w:rsidR="00F843AC">
            <w:rPr>
              <w:rFonts w:ascii="Times New Roman" w:hAnsi="Times New Roman" w:cs="Times New Roman"/>
              <w:sz w:val="26"/>
              <w:szCs w:val="26"/>
            </w:rPr>
            <w:fldChar w:fldCharType="end"/>
          </w:r>
        </w:sdtContent>
      </w:sdt>
      <w:r w:rsidRPr="00A0539C">
        <w:rPr>
          <w:rFonts w:ascii="Times New Roman" w:hAnsi="Times New Roman" w:cs="Times New Roman"/>
          <w:sz w:val="26"/>
          <w:szCs w:val="26"/>
        </w:rPr>
        <w:t>.</w:t>
      </w:r>
    </w:p>
    <w:p w14:paraId="34116F51" w14:textId="77777777" w:rsidR="00A0539C" w:rsidRPr="00A0539C" w:rsidRDefault="00A0539C" w:rsidP="00A0539C">
      <w:pPr>
        <w:jc w:val="both"/>
        <w:rPr>
          <w:rFonts w:ascii="Times New Roman" w:hAnsi="Times New Roman" w:cs="Times New Roman"/>
          <w:sz w:val="26"/>
          <w:szCs w:val="26"/>
        </w:rPr>
      </w:pPr>
    </w:p>
    <w:p w14:paraId="195ABE79" w14:textId="77777777" w:rsidR="00F843AC" w:rsidRDefault="00A0539C" w:rsidP="00A0539C">
      <w:pPr>
        <w:jc w:val="both"/>
        <w:rPr>
          <w:rFonts w:ascii="Times New Roman" w:hAnsi="Times New Roman" w:cs="Times New Roman"/>
          <w:sz w:val="26"/>
          <w:szCs w:val="26"/>
        </w:rPr>
      </w:pPr>
      <w:r w:rsidRPr="00A0539C">
        <w:rPr>
          <w:rFonts w:ascii="Times New Roman" w:hAnsi="Times New Roman" w:cs="Times New Roman"/>
          <w:sz w:val="26"/>
          <w:szCs w:val="26"/>
        </w:rPr>
        <w:t>A technique is a minimum-viable-service map. Instead of restoring everything at once, it defines the smallest safe service AeroLink must provide during an outage. For example, dispatch teams could use an offline manifest while the scheduling platform is recovered. Plans should state who activates the workaround, protects data and reconciles temporary records afterwards.</w:t>
      </w:r>
    </w:p>
    <w:p w14:paraId="31FB1CEB" w14:textId="77777777" w:rsidR="00F843AC" w:rsidRDefault="00F843AC" w:rsidP="00A0539C">
      <w:pPr>
        <w:jc w:val="both"/>
        <w:rPr>
          <w:rFonts w:ascii="Times New Roman" w:hAnsi="Times New Roman" w:cs="Times New Roman"/>
          <w:sz w:val="26"/>
          <w:szCs w:val="26"/>
        </w:rPr>
      </w:pPr>
    </w:p>
    <w:p w14:paraId="0CC9AD93" w14:textId="77777777" w:rsidR="00F843AC" w:rsidRDefault="00F843AC" w:rsidP="00A0539C">
      <w:pPr>
        <w:jc w:val="both"/>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4B2BAE58" wp14:editId="5E41B0F2">
            <wp:extent cx="5715000" cy="3650615"/>
            <wp:effectExtent l="0" t="0" r="0" b="6985"/>
            <wp:docPr id="160310175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1171" cy="3673720"/>
                    </a:xfrm>
                    <a:prstGeom prst="rect">
                      <a:avLst/>
                    </a:prstGeom>
                    <a:noFill/>
                  </pic:spPr>
                </pic:pic>
              </a:graphicData>
            </a:graphic>
          </wp:inline>
        </w:drawing>
      </w:r>
    </w:p>
    <w:p w14:paraId="1D9C9309" w14:textId="2DA5BC26" w:rsidR="00766C6D" w:rsidRPr="0071172A" w:rsidRDefault="00F843AC" w:rsidP="0071172A">
      <w:pPr>
        <w:pStyle w:val="FigureTitle"/>
      </w:pPr>
      <w:r w:rsidRPr="00F843AC">
        <w:t xml:space="preserve">Figure 6: Minimum-viable-service dependency map </w:t>
      </w:r>
      <w:r w:rsidR="00766C6D" w:rsidRPr="00F843AC">
        <w:rPr>
          <w:iCs/>
        </w:rPr>
        <w:br w:type="page"/>
      </w:r>
    </w:p>
    <w:p w14:paraId="06C9B268" w14:textId="2E40CFF5" w:rsidR="00CC0CC3" w:rsidRPr="00F843AC" w:rsidRDefault="004830FD" w:rsidP="004830FD">
      <w:pPr>
        <w:pStyle w:val="Tabletitle0"/>
      </w:pPr>
      <w:r w:rsidRPr="004830FD">
        <w:lastRenderedPageBreak/>
        <w:t>Table 5: Priority continuity arrangements</w:t>
      </w:r>
    </w:p>
    <w:tbl>
      <w:tblPr>
        <w:tblStyle w:val="TableGrid"/>
        <w:tblW w:w="0" w:type="auto"/>
        <w:tblLook w:val="04A0" w:firstRow="1" w:lastRow="0" w:firstColumn="1" w:lastColumn="0" w:noHBand="0" w:noVBand="1"/>
      </w:tblPr>
      <w:tblGrid>
        <w:gridCol w:w="2263"/>
        <w:gridCol w:w="3119"/>
        <w:gridCol w:w="3634"/>
      </w:tblGrid>
      <w:tr w:rsidR="00F843AC" w14:paraId="315D0943" w14:textId="77777777" w:rsidTr="00F843AC">
        <w:trPr>
          <w:trHeight w:val="574"/>
        </w:trPr>
        <w:tc>
          <w:tcPr>
            <w:tcW w:w="2263" w:type="dxa"/>
          </w:tcPr>
          <w:p w14:paraId="3C0B82A5" w14:textId="7D0B9406" w:rsidR="00F843AC" w:rsidRPr="00F843AC" w:rsidRDefault="00F843AC">
            <w:pPr>
              <w:rPr>
                <w:rFonts w:ascii="Times New Roman" w:hAnsi="Times New Roman" w:cs="Times New Roman"/>
                <w:b/>
                <w:bCs/>
                <w:sz w:val="28"/>
                <w:szCs w:val="28"/>
              </w:rPr>
            </w:pPr>
            <w:r>
              <w:rPr>
                <w:rFonts w:ascii="Times New Roman" w:hAnsi="Times New Roman" w:cs="Times New Roman"/>
                <w:b/>
                <w:bCs/>
                <w:sz w:val="28"/>
                <w:szCs w:val="28"/>
              </w:rPr>
              <w:t xml:space="preserve">Critical service </w:t>
            </w:r>
          </w:p>
        </w:tc>
        <w:tc>
          <w:tcPr>
            <w:tcW w:w="3119" w:type="dxa"/>
          </w:tcPr>
          <w:p w14:paraId="209FC551" w14:textId="582EF568" w:rsidR="00F843AC" w:rsidRPr="00F843AC" w:rsidRDefault="00F843AC">
            <w:pPr>
              <w:rPr>
                <w:rFonts w:ascii="Times New Roman" w:hAnsi="Times New Roman" w:cs="Times New Roman"/>
                <w:b/>
                <w:bCs/>
                <w:sz w:val="28"/>
                <w:szCs w:val="28"/>
              </w:rPr>
            </w:pPr>
            <w:r>
              <w:rPr>
                <w:rFonts w:ascii="Times New Roman" w:hAnsi="Times New Roman" w:cs="Times New Roman"/>
                <w:b/>
                <w:bCs/>
                <w:sz w:val="28"/>
                <w:szCs w:val="28"/>
              </w:rPr>
              <w:t>Maximum disruption</w:t>
            </w:r>
          </w:p>
        </w:tc>
        <w:tc>
          <w:tcPr>
            <w:tcW w:w="3634" w:type="dxa"/>
          </w:tcPr>
          <w:p w14:paraId="2C6171F2" w14:textId="3D5590D1" w:rsidR="00F843AC" w:rsidRPr="00F843AC" w:rsidRDefault="00F843AC">
            <w:pPr>
              <w:rPr>
                <w:rFonts w:ascii="Times New Roman" w:hAnsi="Times New Roman" w:cs="Times New Roman"/>
                <w:b/>
                <w:bCs/>
                <w:sz w:val="28"/>
                <w:szCs w:val="28"/>
              </w:rPr>
            </w:pPr>
            <w:r>
              <w:rPr>
                <w:rFonts w:ascii="Times New Roman" w:hAnsi="Times New Roman" w:cs="Times New Roman"/>
                <w:b/>
                <w:bCs/>
                <w:sz w:val="28"/>
                <w:szCs w:val="28"/>
              </w:rPr>
              <w:t>Continuity arrangement</w:t>
            </w:r>
          </w:p>
        </w:tc>
      </w:tr>
      <w:tr w:rsidR="00F843AC" w14:paraId="275FCF66" w14:textId="77777777" w:rsidTr="00F843AC">
        <w:trPr>
          <w:trHeight w:val="592"/>
        </w:trPr>
        <w:tc>
          <w:tcPr>
            <w:tcW w:w="2263" w:type="dxa"/>
          </w:tcPr>
          <w:p w14:paraId="59391998" w14:textId="000D6509" w:rsidR="00F843AC" w:rsidRPr="00F843AC" w:rsidRDefault="00F843AC">
            <w:pPr>
              <w:rPr>
                <w:rFonts w:ascii="Times New Roman" w:hAnsi="Times New Roman" w:cs="Times New Roman"/>
                <w:sz w:val="26"/>
                <w:szCs w:val="26"/>
              </w:rPr>
            </w:pPr>
            <w:r>
              <w:rPr>
                <w:rFonts w:ascii="Times New Roman" w:hAnsi="Times New Roman" w:cs="Times New Roman"/>
                <w:sz w:val="26"/>
                <w:szCs w:val="26"/>
              </w:rPr>
              <w:t xml:space="preserve">Warehouse scheduling </w:t>
            </w:r>
          </w:p>
        </w:tc>
        <w:tc>
          <w:tcPr>
            <w:tcW w:w="3119" w:type="dxa"/>
          </w:tcPr>
          <w:p w14:paraId="7E97B647" w14:textId="439BC0A1" w:rsidR="00F843AC" w:rsidRPr="00F843AC" w:rsidRDefault="00F843AC">
            <w:pPr>
              <w:rPr>
                <w:rFonts w:ascii="Times New Roman" w:hAnsi="Times New Roman" w:cs="Times New Roman"/>
                <w:sz w:val="26"/>
                <w:szCs w:val="26"/>
              </w:rPr>
            </w:pPr>
            <w:r>
              <w:rPr>
                <w:rFonts w:ascii="Times New Roman" w:hAnsi="Times New Roman" w:cs="Times New Roman"/>
                <w:sz w:val="26"/>
                <w:szCs w:val="26"/>
              </w:rPr>
              <w:t>Four hours</w:t>
            </w:r>
          </w:p>
        </w:tc>
        <w:tc>
          <w:tcPr>
            <w:tcW w:w="3634" w:type="dxa"/>
          </w:tcPr>
          <w:p w14:paraId="1D38CEBC" w14:textId="45BF5F7A" w:rsidR="00F843AC" w:rsidRPr="00F843AC" w:rsidRDefault="00F843AC">
            <w:pPr>
              <w:rPr>
                <w:rFonts w:ascii="Times New Roman" w:hAnsi="Times New Roman" w:cs="Times New Roman"/>
                <w:sz w:val="26"/>
                <w:szCs w:val="26"/>
              </w:rPr>
            </w:pPr>
            <w:r>
              <w:rPr>
                <w:rFonts w:ascii="Times New Roman" w:hAnsi="Times New Roman" w:cs="Times New Roman"/>
                <w:sz w:val="26"/>
                <w:szCs w:val="26"/>
              </w:rPr>
              <w:t>Offline dispatch list and tested restoration</w:t>
            </w:r>
          </w:p>
        </w:tc>
      </w:tr>
      <w:tr w:rsidR="00F843AC" w14:paraId="4E3A178B" w14:textId="77777777" w:rsidTr="00F843AC">
        <w:trPr>
          <w:trHeight w:val="574"/>
        </w:trPr>
        <w:tc>
          <w:tcPr>
            <w:tcW w:w="2263" w:type="dxa"/>
          </w:tcPr>
          <w:p w14:paraId="21A45260" w14:textId="6EC39FC7" w:rsidR="00F843AC" w:rsidRPr="00F843AC" w:rsidRDefault="00F843AC">
            <w:pPr>
              <w:rPr>
                <w:rFonts w:ascii="Times New Roman" w:hAnsi="Times New Roman" w:cs="Times New Roman"/>
                <w:sz w:val="26"/>
                <w:szCs w:val="26"/>
              </w:rPr>
            </w:pPr>
            <w:r>
              <w:rPr>
                <w:rFonts w:ascii="Times New Roman" w:hAnsi="Times New Roman" w:cs="Times New Roman"/>
                <w:sz w:val="26"/>
                <w:szCs w:val="26"/>
              </w:rPr>
              <w:t>Fleet tracking</w:t>
            </w:r>
          </w:p>
        </w:tc>
        <w:tc>
          <w:tcPr>
            <w:tcW w:w="3119" w:type="dxa"/>
          </w:tcPr>
          <w:p w14:paraId="37F8E9F1" w14:textId="66244311" w:rsidR="00F843AC" w:rsidRPr="00F843AC" w:rsidRDefault="00F843AC">
            <w:pPr>
              <w:rPr>
                <w:rFonts w:ascii="Times New Roman" w:hAnsi="Times New Roman" w:cs="Times New Roman"/>
                <w:sz w:val="26"/>
                <w:szCs w:val="26"/>
              </w:rPr>
            </w:pPr>
            <w:r>
              <w:rPr>
                <w:rFonts w:ascii="Times New Roman" w:hAnsi="Times New Roman" w:cs="Times New Roman"/>
                <w:sz w:val="26"/>
                <w:szCs w:val="26"/>
              </w:rPr>
              <w:t>Two hours</w:t>
            </w:r>
          </w:p>
        </w:tc>
        <w:tc>
          <w:tcPr>
            <w:tcW w:w="3634" w:type="dxa"/>
          </w:tcPr>
          <w:p w14:paraId="63339DD0" w14:textId="3572873D" w:rsidR="00F843AC" w:rsidRPr="00F843AC" w:rsidRDefault="00F843AC">
            <w:pPr>
              <w:rPr>
                <w:rFonts w:ascii="Times New Roman" w:hAnsi="Times New Roman" w:cs="Times New Roman"/>
                <w:sz w:val="26"/>
                <w:szCs w:val="26"/>
              </w:rPr>
            </w:pPr>
            <w:r>
              <w:rPr>
                <w:rFonts w:ascii="Times New Roman" w:hAnsi="Times New Roman" w:cs="Times New Roman"/>
                <w:sz w:val="26"/>
                <w:szCs w:val="26"/>
              </w:rPr>
              <w:t>Secondary connection and manual driver check-ins</w:t>
            </w:r>
          </w:p>
        </w:tc>
      </w:tr>
      <w:tr w:rsidR="00F843AC" w14:paraId="2A8C24F5" w14:textId="77777777" w:rsidTr="00F843AC">
        <w:trPr>
          <w:trHeight w:val="574"/>
        </w:trPr>
        <w:tc>
          <w:tcPr>
            <w:tcW w:w="2263" w:type="dxa"/>
          </w:tcPr>
          <w:p w14:paraId="25A60750" w14:textId="2AAD2A10" w:rsidR="00F843AC" w:rsidRPr="00F843AC" w:rsidRDefault="00F843AC">
            <w:pPr>
              <w:rPr>
                <w:rFonts w:ascii="Times New Roman" w:hAnsi="Times New Roman" w:cs="Times New Roman"/>
                <w:sz w:val="26"/>
                <w:szCs w:val="26"/>
              </w:rPr>
            </w:pPr>
            <w:r>
              <w:rPr>
                <w:rFonts w:ascii="Times New Roman" w:hAnsi="Times New Roman" w:cs="Times New Roman"/>
                <w:sz w:val="26"/>
                <w:szCs w:val="26"/>
              </w:rPr>
              <w:t>Customer update</w:t>
            </w:r>
          </w:p>
        </w:tc>
        <w:tc>
          <w:tcPr>
            <w:tcW w:w="3119" w:type="dxa"/>
          </w:tcPr>
          <w:p w14:paraId="6D735D67" w14:textId="202C858A" w:rsidR="00F843AC" w:rsidRPr="00F843AC" w:rsidRDefault="00F843AC">
            <w:pPr>
              <w:rPr>
                <w:rFonts w:ascii="Times New Roman" w:hAnsi="Times New Roman" w:cs="Times New Roman"/>
                <w:sz w:val="26"/>
                <w:szCs w:val="26"/>
              </w:rPr>
            </w:pPr>
            <w:r>
              <w:rPr>
                <w:rFonts w:ascii="Times New Roman" w:hAnsi="Times New Roman" w:cs="Times New Roman"/>
                <w:sz w:val="26"/>
                <w:szCs w:val="26"/>
              </w:rPr>
              <w:t>Six hours</w:t>
            </w:r>
          </w:p>
        </w:tc>
        <w:tc>
          <w:tcPr>
            <w:tcW w:w="3634" w:type="dxa"/>
          </w:tcPr>
          <w:p w14:paraId="7DD33459" w14:textId="592A7B3D" w:rsidR="00F843AC" w:rsidRPr="00F843AC" w:rsidRDefault="00F843AC">
            <w:pPr>
              <w:rPr>
                <w:rFonts w:ascii="Times New Roman" w:hAnsi="Times New Roman" w:cs="Times New Roman"/>
                <w:sz w:val="26"/>
                <w:szCs w:val="26"/>
              </w:rPr>
            </w:pPr>
            <w:r>
              <w:rPr>
                <w:rFonts w:ascii="Times New Roman" w:hAnsi="Times New Roman" w:cs="Times New Roman"/>
                <w:sz w:val="26"/>
                <w:szCs w:val="26"/>
              </w:rPr>
              <w:t>Alternative messaging channel</w:t>
            </w:r>
          </w:p>
        </w:tc>
      </w:tr>
    </w:tbl>
    <w:p w14:paraId="5C770D2F" w14:textId="77777777" w:rsidR="00F843AC" w:rsidRDefault="00F843AC">
      <w:pPr>
        <w:rPr>
          <w:rFonts w:ascii="Times New Roman" w:hAnsi="Times New Roman" w:cs="Times New Roman"/>
          <w:b/>
          <w:bCs/>
          <w:sz w:val="32"/>
          <w:szCs w:val="32"/>
        </w:rPr>
      </w:pPr>
    </w:p>
    <w:p w14:paraId="58DDE4E4" w14:textId="77777777" w:rsidR="002C215D" w:rsidRDefault="002C215D" w:rsidP="00EA09D8">
      <w:pPr>
        <w:pStyle w:val="Heading2"/>
      </w:pPr>
      <w:bookmarkStart w:id="21" w:name="_Toc237168278"/>
      <w:r w:rsidRPr="002C215D">
        <w:t>7.2 Third-Party Vendor Management</w:t>
      </w:r>
      <w:bookmarkEnd w:id="21"/>
    </w:p>
    <w:p w14:paraId="58B77431" w14:textId="6A63C54F" w:rsidR="002C215D" w:rsidRDefault="002C215D" w:rsidP="002C215D">
      <w:pPr>
        <w:jc w:val="both"/>
        <w:rPr>
          <w:rFonts w:ascii="Times New Roman" w:hAnsi="Times New Roman" w:cs="Times New Roman"/>
          <w:sz w:val="26"/>
          <w:szCs w:val="26"/>
        </w:rPr>
      </w:pPr>
      <w:r w:rsidRPr="002C215D">
        <w:rPr>
          <w:rFonts w:ascii="Times New Roman" w:hAnsi="Times New Roman" w:cs="Times New Roman"/>
          <w:sz w:val="26"/>
          <w:szCs w:val="26"/>
        </w:rPr>
        <w:t>Third-party management must begin before a contract is signed. Procurement should tier vendors by service criticality and data access, then assess security controls, subcontractors and recovery capability. Contracts should define access restrictions, breach-notification times, audit rights, recovery targets, evidence requirements and secure data return or deletion. Business-continuity guidance also emphasises supply-chain risk, contractual responsibilities and exercising arrangements</w:t>
      </w:r>
      <w:sdt>
        <w:sdtPr>
          <w:rPr>
            <w:rFonts w:ascii="Times New Roman" w:hAnsi="Times New Roman" w:cs="Times New Roman"/>
            <w:sz w:val="26"/>
            <w:szCs w:val="26"/>
          </w:rPr>
          <w:id w:val="1489672981"/>
          <w:citation/>
        </w:sdtPr>
        <w:sdtContent>
          <w:r w:rsidR="008000FC">
            <w:rPr>
              <w:rFonts w:ascii="Times New Roman" w:hAnsi="Times New Roman" w:cs="Times New Roman"/>
              <w:sz w:val="26"/>
              <w:szCs w:val="26"/>
            </w:rPr>
            <w:fldChar w:fldCharType="begin"/>
          </w:r>
          <w:r w:rsidR="008000FC">
            <w:rPr>
              <w:rFonts w:ascii="Times New Roman" w:hAnsi="Times New Roman" w:cs="Times New Roman"/>
              <w:sz w:val="26"/>
              <w:szCs w:val="26"/>
              <w:lang w:val="en-US"/>
            </w:rPr>
            <w:instrText xml:space="preserve"> CITATION Hil14 \l 1033 </w:instrText>
          </w:r>
          <w:r w:rsidR="008000FC">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[21]</w:t>
          </w:r>
          <w:r w:rsidR="008000FC">
            <w:rPr>
              <w:rFonts w:ascii="Times New Roman" w:hAnsi="Times New Roman" w:cs="Times New Roman"/>
              <w:sz w:val="26"/>
              <w:szCs w:val="26"/>
            </w:rPr>
            <w:fldChar w:fldCharType="end"/>
          </w:r>
        </w:sdtContent>
      </w:sdt>
      <w:r w:rsidRPr="002C215D">
        <w:rPr>
          <w:rFonts w:ascii="Times New Roman" w:hAnsi="Times New Roman" w:cs="Times New Roman"/>
          <w:sz w:val="26"/>
          <w:szCs w:val="26"/>
        </w:rPr>
        <w:t>.</w:t>
      </w:r>
    </w:p>
    <w:p w14:paraId="1FB7BCD6" w14:textId="77777777" w:rsidR="008000FC" w:rsidRPr="002C215D" w:rsidRDefault="008000FC" w:rsidP="002C215D">
      <w:pPr>
        <w:jc w:val="both"/>
        <w:rPr>
          <w:rFonts w:ascii="Times New Roman" w:hAnsi="Times New Roman" w:cs="Times New Roman"/>
          <w:sz w:val="26"/>
          <w:szCs w:val="26"/>
        </w:rPr>
      </w:pPr>
    </w:p>
    <w:p w14:paraId="75232F48" w14:textId="77777777" w:rsidR="008000FC" w:rsidRDefault="002C215D" w:rsidP="002C215D">
      <w:pPr>
        <w:jc w:val="both"/>
        <w:rPr>
          <w:rFonts w:ascii="Times New Roman" w:hAnsi="Times New Roman" w:cs="Times New Roman"/>
          <w:sz w:val="26"/>
          <w:szCs w:val="26"/>
        </w:rPr>
      </w:pPr>
      <w:r w:rsidRPr="002C215D">
        <w:rPr>
          <w:rFonts w:ascii="Times New Roman" w:hAnsi="Times New Roman" w:cs="Times New Roman"/>
          <w:sz w:val="26"/>
          <w:szCs w:val="26"/>
        </w:rPr>
        <w:t>Each critical vendor should receive a dependency passport recording the service, owner, data handled, fourth-party dependencies, recovery commitments and exit route. Assurance should continue through annual reviews, incident reports and joint exercises rather than relying on a questionnaire completed once.</w:t>
      </w:r>
    </w:p>
    <w:p w14:paraId="7E2AA2DF" w14:textId="77777777" w:rsidR="008000FC" w:rsidRDefault="008000FC" w:rsidP="002C215D">
      <w:pPr>
        <w:jc w:val="both"/>
        <w:rPr>
          <w:rFonts w:ascii="Times New Roman" w:hAnsi="Times New Roman" w:cs="Times New Roman"/>
          <w:sz w:val="26"/>
          <w:szCs w:val="26"/>
        </w:rPr>
      </w:pPr>
    </w:p>
    <w:p w14:paraId="73968D19" w14:textId="77777777" w:rsidR="008000FC" w:rsidRDefault="008000FC" w:rsidP="00EA09D8">
      <w:pPr>
        <w:pStyle w:val="Heading2"/>
      </w:pPr>
      <w:bookmarkStart w:id="22" w:name="_Toc237168279"/>
      <w:r w:rsidRPr="008000FC">
        <w:t>7.3 Exercising and Improvement</w:t>
      </w:r>
      <w:bookmarkEnd w:id="22"/>
    </w:p>
    <w:p w14:paraId="79DB8213" w14:textId="781565E6" w:rsidR="008000FC" w:rsidRDefault="008000FC" w:rsidP="008000FC">
      <w:pPr>
        <w:jc w:val="both"/>
        <w:rPr>
          <w:rFonts w:ascii="Times New Roman" w:hAnsi="Times New Roman" w:cs="Times New Roman"/>
          <w:sz w:val="26"/>
          <w:szCs w:val="26"/>
        </w:rPr>
      </w:pPr>
      <w:r w:rsidRPr="008000FC">
        <w:rPr>
          <w:rFonts w:ascii="Times New Roman" w:hAnsi="Times New Roman" w:cs="Times New Roman"/>
          <w:sz w:val="26"/>
          <w:szCs w:val="26"/>
        </w:rPr>
        <w:t>A supplier-exit rehearsal provides a test. AeroLink should practise moving one non-critical service or dataset to an alternative provider, measuring time, data integrity and disruption. Exercises should involve operations, IT, communications and suppliers. Failed recovery targets, lessons and overdue vendor actions should be reported to the Security Governance Committee, ensuring resilience is demonstrated through evidence rather than assumed from contracts</w:t>
      </w:r>
      <w:sdt>
        <w:sdtPr>
          <w:rPr>
            <w:rFonts w:ascii="Times New Roman" w:hAnsi="Times New Roman" w:cs="Times New Roman"/>
            <w:sz w:val="26"/>
            <w:szCs w:val="26"/>
          </w:rPr>
          <w:id w:val="-988244037"/>
          <w:citation/>
        </w:sdtPr>
        <w:sdtContent>
          <w:r w:rsidR="001E3B50">
            <w:rPr>
              <w:rFonts w:ascii="Times New Roman" w:hAnsi="Times New Roman" w:cs="Times New Roman"/>
              <w:sz w:val="26"/>
              <w:szCs w:val="26"/>
            </w:rPr>
            <w:fldChar w:fldCharType="begin"/>
          </w:r>
          <w:r w:rsidR="001E3B50">
            <w:rPr>
              <w:rFonts w:ascii="Times New Roman" w:hAnsi="Times New Roman" w:cs="Times New Roman"/>
              <w:sz w:val="26"/>
              <w:szCs w:val="26"/>
              <w:lang w:val="en-US"/>
            </w:rPr>
            <w:instrText xml:space="preserve"> CITATION Blu20 \l 1033 </w:instrText>
          </w:r>
          <w:r w:rsidR="001E3B50">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[22]</w:t>
          </w:r>
          <w:r w:rsidR="001E3B50">
            <w:rPr>
              <w:rFonts w:ascii="Times New Roman" w:hAnsi="Times New Roman" w:cs="Times New Roman"/>
              <w:sz w:val="26"/>
              <w:szCs w:val="26"/>
            </w:rPr>
            <w:fldChar w:fldCharType="end"/>
          </w:r>
        </w:sdtContent>
      </w:sdt>
      <w:r w:rsidRPr="008000FC">
        <w:rPr>
          <w:rFonts w:ascii="Times New Roman" w:hAnsi="Times New Roman" w:cs="Times New Roman"/>
          <w:sz w:val="26"/>
          <w:szCs w:val="26"/>
        </w:rPr>
        <w:t>.</w:t>
      </w:r>
    </w:p>
    <w:p w14:paraId="0A72A4DC" w14:textId="77777777" w:rsidR="008000FC" w:rsidRDefault="008000FC" w:rsidP="008000FC">
      <w:pPr>
        <w:jc w:val="both"/>
        <w:rPr>
          <w:rFonts w:ascii="Times New Roman" w:hAnsi="Times New Roman" w:cs="Times New Roman"/>
          <w:sz w:val="26"/>
          <w:szCs w:val="26"/>
        </w:rPr>
      </w:pPr>
    </w:p>
    <w:p w14:paraId="74181884" w14:textId="5B7177C3" w:rsidR="008000FC" w:rsidRDefault="008000FC">
      <w:pPr>
        <w:rPr>
          <w:rFonts w:ascii="Times New Roman" w:hAnsi="Times New Roman" w:cs="Times New Roman"/>
          <w:sz w:val="26"/>
          <w:szCs w:val="26"/>
        </w:rPr>
      </w:pPr>
      <w:r>
        <w:rPr>
          <w:rFonts w:ascii="Times New Roman" w:hAnsi="Times New Roman" w:cs="Times New Roman"/>
          <w:sz w:val="26"/>
          <w:szCs w:val="26"/>
        </w:rPr>
        <w:br w:type="page"/>
      </w:r>
    </w:p>
    <w:p w14:paraId="149C4066" w14:textId="75FD7D45" w:rsidR="008000FC" w:rsidRDefault="008000FC" w:rsidP="0071172A">
      <w:pPr>
        <w:pStyle w:val="Heading1"/>
        <w:numPr>
          <w:ilvl w:val="0"/>
          <w:numId w:val="13"/>
        </w:numPr>
      </w:pPr>
      <w:bookmarkStart w:id="23" w:name="_Toc237168280"/>
      <w:r w:rsidRPr="00D57B04">
        <w:lastRenderedPageBreak/>
        <w:t>Critical Evaluation and Future Improvement Roadmap</w:t>
      </w:r>
      <w:bookmarkEnd w:id="23"/>
    </w:p>
    <w:p w14:paraId="76336428" w14:textId="17EDC335" w:rsidR="0071172A" w:rsidRPr="0071172A" w:rsidRDefault="0071172A" w:rsidP="00EA09D8">
      <w:pPr>
        <w:pStyle w:val="Heading2"/>
      </w:pPr>
      <w:bookmarkStart w:id="24" w:name="_Toc237168281"/>
      <w:r>
        <w:t>8.1 Critical Evaluation</w:t>
      </w:r>
      <w:bookmarkEnd w:id="24"/>
      <w:r>
        <w:t xml:space="preserve"> </w:t>
      </w:r>
    </w:p>
    <w:p w14:paraId="35C38EF3" w14:textId="511012C3" w:rsidR="001E3B50" w:rsidRPr="001E3B50" w:rsidRDefault="001E3B50" w:rsidP="00E90ADA">
      <w:pPr>
        <w:jc w:val="both"/>
        <w:rPr>
          <w:rFonts w:ascii="Times New Roman" w:hAnsi="Times New Roman" w:cs="Times New Roman"/>
          <w:sz w:val="26"/>
          <w:szCs w:val="26"/>
        </w:rPr>
      </w:pPr>
      <w:r w:rsidRPr="001E3B50">
        <w:rPr>
          <w:rFonts w:ascii="Times New Roman" w:hAnsi="Times New Roman" w:cs="Times New Roman"/>
          <w:sz w:val="26"/>
          <w:szCs w:val="26"/>
        </w:rPr>
        <w:t xml:space="preserve">The proposed programme improves </w:t>
      </w:r>
      <w:proofErr w:type="spellStart"/>
      <w:r w:rsidRPr="001E3B50">
        <w:rPr>
          <w:rFonts w:ascii="Times New Roman" w:hAnsi="Times New Roman" w:cs="Times New Roman"/>
          <w:sz w:val="26"/>
          <w:szCs w:val="26"/>
        </w:rPr>
        <w:t>AeroLink’s</w:t>
      </w:r>
      <w:proofErr w:type="spellEnd"/>
      <w:r w:rsidRPr="001E3B50">
        <w:rPr>
          <w:rFonts w:ascii="Times New Roman" w:hAnsi="Times New Roman" w:cs="Times New Roman"/>
          <w:sz w:val="26"/>
          <w:szCs w:val="26"/>
        </w:rPr>
        <w:t xml:space="preserve"> fragmented approach by linking governance, risk, controls, continuity and supplier oversight. Combining ISO/IEC 27001 with NIST CSF 2.0 should strengthen accountability and communication</w:t>
      </w:r>
      <w:sdt>
        <w:sdtPr>
          <w:rPr>
            <w:rFonts w:ascii="Times New Roman" w:hAnsi="Times New Roman" w:cs="Times New Roman"/>
            <w:sz w:val="26"/>
            <w:szCs w:val="26"/>
          </w:rPr>
          <w:id w:val="-1505126423"/>
          <w:citation/>
        </w:sdtPr>
        <w:sdtContent>
          <w:r w:rsidR="00343D20">
            <w:rPr>
              <w:rFonts w:ascii="Times New Roman" w:hAnsi="Times New Roman" w:cs="Times New Roman"/>
              <w:sz w:val="26"/>
              <w:szCs w:val="26"/>
            </w:rPr>
            <w:fldChar w:fldCharType="begin"/>
          </w:r>
          <w:r w:rsidR="00343D20">
            <w:rPr>
              <w:rFonts w:ascii="Times New Roman" w:hAnsi="Times New Roman" w:cs="Times New Roman"/>
              <w:sz w:val="26"/>
              <w:szCs w:val="26"/>
              <w:lang w:val="en-US"/>
            </w:rPr>
            <w:instrText xml:space="preserve"> CITATION Bog24 \l 1033 </w:instrText>
          </w:r>
          <w:r w:rsidR="00343D20">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[23]</w:t>
          </w:r>
          <w:r w:rsidR="00343D20">
            <w:rPr>
              <w:rFonts w:ascii="Times New Roman" w:hAnsi="Times New Roman" w:cs="Times New Roman"/>
              <w:sz w:val="26"/>
              <w:szCs w:val="26"/>
            </w:rPr>
            <w:fldChar w:fldCharType="end"/>
          </w:r>
        </w:sdtContent>
      </w:sdt>
      <w:r w:rsidRPr="001E3B50">
        <w:rPr>
          <w:rFonts w:ascii="Times New Roman" w:hAnsi="Times New Roman" w:cs="Times New Roman"/>
          <w:sz w:val="26"/>
          <w:szCs w:val="26"/>
        </w:rPr>
        <w:t>. However, success is not guaranteed. Limited skills, operational pressures and unreliable evidence could turn implementation into paperwork. Excessive controls may slow warehouse activity, while supplier dependence leaves exposure outside direct control.</w:t>
      </w:r>
    </w:p>
    <w:p w14:paraId="2A4FC849" w14:textId="77777777" w:rsidR="001E3B50" w:rsidRPr="001E3B50" w:rsidRDefault="001E3B50" w:rsidP="00E90ADA">
      <w:pPr>
        <w:jc w:val="both"/>
        <w:rPr>
          <w:rFonts w:ascii="Times New Roman" w:hAnsi="Times New Roman" w:cs="Times New Roman"/>
          <w:sz w:val="26"/>
          <w:szCs w:val="26"/>
        </w:rPr>
      </w:pPr>
    </w:p>
    <w:p w14:paraId="02235148" w14:textId="34472F4F" w:rsidR="001E3B50" w:rsidRDefault="001E3B50" w:rsidP="00E90ADA">
      <w:pPr>
        <w:jc w:val="both"/>
        <w:rPr>
          <w:rFonts w:ascii="Times New Roman" w:hAnsi="Times New Roman" w:cs="Times New Roman"/>
          <w:sz w:val="26"/>
          <w:szCs w:val="26"/>
        </w:rPr>
      </w:pPr>
      <w:r w:rsidRPr="001E3B50">
        <w:rPr>
          <w:rFonts w:ascii="Times New Roman" w:hAnsi="Times New Roman" w:cs="Times New Roman"/>
          <w:sz w:val="26"/>
          <w:szCs w:val="26"/>
        </w:rPr>
        <w:t>Improvement should be phased and tested against business outcomes. The roadmap uses 90-day evidence gates: a phase advances only when proof shows that its changes work. This prevents unfinished controls from being reported as progress</w:t>
      </w:r>
      <w:sdt>
        <w:sdtPr>
          <w:rPr>
            <w:rFonts w:ascii="Times New Roman" w:hAnsi="Times New Roman" w:cs="Times New Roman"/>
            <w:sz w:val="26"/>
            <w:szCs w:val="26"/>
          </w:rPr>
          <w:id w:val="-757515986"/>
          <w:citation/>
        </w:sdtPr>
        <w:sdtContent>
          <w:r w:rsidR="00343D20">
            <w:rPr>
              <w:rFonts w:ascii="Times New Roman" w:hAnsi="Times New Roman" w:cs="Times New Roman"/>
              <w:sz w:val="26"/>
              <w:szCs w:val="26"/>
            </w:rPr>
            <w:fldChar w:fldCharType="begin"/>
          </w:r>
          <w:r w:rsidR="00343D20">
            <w:rPr>
              <w:rFonts w:ascii="Times New Roman" w:hAnsi="Times New Roman" w:cs="Times New Roman"/>
              <w:sz w:val="26"/>
              <w:szCs w:val="26"/>
              <w:lang w:val="en-US"/>
            </w:rPr>
            <w:instrText xml:space="preserve"> CITATION Zin06 \l 1033 </w:instrText>
          </w:r>
          <w:r w:rsidR="00343D20">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[24]</w:t>
          </w:r>
          <w:r w:rsidR="00343D20">
            <w:rPr>
              <w:rFonts w:ascii="Times New Roman" w:hAnsi="Times New Roman" w:cs="Times New Roman"/>
              <w:sz w:val="26"/>
              <w:szCs w:val="26"/>
            </w:rPr>
            <w:fldChar w:fldCharType="end"/>
          </w:r>
        </w:sdtContent>
      </w:sdt>
      <w:r w:rsidRPr="001E3B50">
        <w:rPr>
          <w:rFonts w:ascii="Times New Roman" w:hAnsi="Times New Roman" w:cs="Times New Roman"/>
          <w:sz w:val="26"/>
          <w:szCs w:val="26"/>
        </w:rPr>
        <w:t>.</w:t>
      </w:r>
    </w:p>
    <w:p w14:paraId="20BFE3A3" w14:textId="77777777" w:rsidR="001E3B50" w:rsidRDefault="001E3B50" w:rsidP="001E3B50">
      <w:pPr>
        <w:jc w:val="both"/>
        <w:rPr>
          <w:rFonts w:ascii="Times New Roman" w:hAnsi="Times New Roman" w:cs="Times New Roman"/>
          <w:sz w:val="26"/>
          <w:szCs w:val="26"/>
        </w:rPr>
      </w:pPr>
    </w:p>
    <w:p w14:paraId="19E96820" w14:textId="77777777" w:rsidR="00E90ADA" w:rsidRDefault="00E90ADA" w:rsidP="00EA09D8">
      <w:pPr>
        <w:pStyle w:val="Heading2"/>
      </w:pPr>
      <w:bookmarkStart w:id="25" w:name="_Toc237168282"/>
      <w:r w:rsidRPr="00E90ADA">
        <w:t>8.2 Future Improvement Roadmap</w:t>
      </w:r>
      <w:bookmarkEnd w:id="25"/>
    </w:p>
    <w:p w14:paraId="4DC890ED" w14:textId="10547014" w:rsidR="004830FD" w:rsidRPr="004830FD" w:rsidRDefault="004830FD" w:rsidP="004830FD">
      <w:pPr>
        <w:pStyle w:val="Tabletitle0"/>
      </w:pPr>
      <w:r w:rsidRPr="004830FD">
        <w:t>Table 6: Phased cybersecurity improvement roadmap</w:t>
      </w:r>
    </w:p>
    <w:tbl>
      <w:tblPr>
        <w:tblStyle w:val="TableGrid"/>
        <w:tblW w:w="9013" w:type="dxa"/>
        <w:tblLook w:val="04A0" w:firstRow="1" w:lastRow="0" w:firstColumn="1" w:lastColumn="0" w:noHBand="0" w:noVBand="1"/>
      </w:tblPr>
      <w:tblGrid>
        <w:gridCol w:w="1269"/>
        <w:gridCol w:w="3822"/>
        <w:gridCol w:w="3922"/>
      </w:tblGrid>
      <w:tr w:rsidR="00E90ADA" w:rsidRPr="00E90ADA" w14:paraId="5ECE3AAB" w14:textId="77777777" w:rsidTr="00E90ADA">
        <w:trPr>
          <w:trHeight w:val="746"/>
        </w:trPr>
        <w:tc>
          <w:tcPr>
            <w:tcW w:w="1269" w:type="dxa"/>
          </w:tcPr>
          <w:p w14:paraId="5D5505BB" w14:textId="15B489AA" w:rsidR="00E90ADA" w:rsidRPr="00E90ADA" w:rsidRDefault="00E90ADA" w:rsidP="00E90ADA">
            <w:pPr>
              <w:rPr>
                <w:rFonts w:ascii="Times New Roman" w:hAnsi="Times New Roman" w:cs="Times New Roman"/>
                <w:b/>
                <w:bCs/>
                <w:sz w:val="28"/>
                <w:szCs w:val="28"/>
              </w:rPr>
            </w:pPr>
            <w:r w:rsidRPr="00E90ADA">
              <w:rPr>
                <w:rFonts w:ascii="Times New Roman" w:hAnsi="Times New Roman" w:cs="Times New Roman"/>
                <w:b/>
                <w:bCs/>
                <w:sz w:val="28"/>
                <w:szCs w:val="28"/>
              </w:rPr>
              <w:t>Phase</w:t>
            </w:r>
          </w:p>
        </w:tc>
        <w:tc>
          <w:tcPr>
            <w:tcW w:w="3822" w:type="dxa"/>
          </w:tcPr>
          <w:p w14:paraId="21C9BA24" w14:textId="260F9A2E" w:rsidR="00E90ADA" w:rsidRPr="00E90ADA" w:rsidRDefault="00E90ADA" w:rsidP="00E90ADA">
            <w:pPr>
              <w:rPr>
                <w:rFonts w:ascii="Times New Roman" w:hAnsi="Times New Roman" w:cs="Times New Roman"/>
                <w:b/>
                <w:bCs/>
                <w:sz w:val="28"/>
                <w:szCs w:val="28"/>
              </w:rPr>
            </w:pPr>
            <w:r w:rsidRPr="00E90ADA">
              <w:rPr>
                <w:rFonts w:ascii="Times New Roman" w:hAnsi="Times New Roman" w:cs="Times New Roman"/>
                <w:b/>
                <w:bCs/>
                <w:sz w:val="28"/>
                <w:szCs w:val="28"/>
              </w:rPr>
              <w:t>Priority</w:t>
            </w:r>
          </w:p>
        </w:tc>
        <w:tc>
          <w:tcPr>
            <w:tcW w:w="3922" w:type="dxa"/>
          </w:tcPr>
          <w:p w14:paraId="52F6BD6F" w14:textId="4D1D7D3C" w:rsidR="00E90ADA" w:rsidRPr="00E90ADA" w:rsidRDefault="00E90ADA" w:rsidP="00E90ADA">
            <w:pPr>
              <w:rPr>
                <w:rFonts w:ascii="Times New Roman" w:hAnsi="Times New Roman" w:cs="Times New Roman"/>
                <w:b/>
                <w:bCs/>
                <w:sz w:val="28"/>
                <w:szCs w:val="28"/>
              </w:rPr>
            </w:pPr>
            <w:r w:rsidRPr="00E90ADA">
              <w:rPr>
                <w:rFonts w:ascii="Times New Roman" w:hAnsi="Times New Roman" w:cs="Times New Roman"/>
                <w:b/>
                <w:bCs/>
                <w:sz w:val="28"/>
                <w:szCs w:val="28"/>
              </w:rPr>
              <w:t>Exit evidence</w:t>
            </w:r>
          </w:p>
        </w:tc>
      </w:tr>
      <w:tr w:rsidR="00E90ADA" w14:paraId="1025FEE4" w14:textId="77777777" w:rsidTr="00E90ADA">
        <w:trPr>
          <w:trHeight w:val="746"/>
        </w:trPr>
        <w:tc>
          <w:tcPr>
            <w:tcW w:w="1269" w:type="dxa"/>
          </w:tcPr>
          <w:p w14:paraId="28AD88D1" w14:textId="79CE881F" w:rsidR="00E90ADA" w:rsidRPr="00E90ADA" w:rsidRDefault="00E90ADA" w:rsidP="00E90ADA">
            <w:pPr>
              <w:rPr>
                <w:rFonts w:ascii="Times New Roman" w:hAnsi="Times New Roman" w:cs="Times New Roman"/>
                <w:sz w:val="26"/>
                <w:szCs w:val="26"/>
              </w:rPr>
            </w:pPr>
            <w:r>
              <w:rPr>
                <w:rFonts w:ascii="Times New Roman" w:hAnsi="Times New Roman" w:cs="Times New Roman"/>
                <w:sz w:val="26"/>
                <w:szCs w:val="26"/>
              </w:rPr>
              <w:t>0-3 Months</w:t>
            </w:r>
          </w:p>
        </w:tc>
        <w:tc>
          <w:tcPr>
            <w:tcW w:w="3822" w:type="dxa"/>
          </w:tcPr>
          <w:p w14:paraId="24667379" w14:textId="15F25BF7" w:rsidR="00E90ADA" w:rsidRPr="00E90ADA" w:rsidRDefault="00E90ADA" w:rsidP="00E90ADA">
            <w:pPr>
              <w:rPr>
                <w:rFonts w:ascii="Times New Roman" w:hAnsi="Times New Roman" w:cs="Times New Roman"/>
                <w:sz w:val="26"/>
                <w:szCs w:val="26"/>
              </w:rPr>
            </w:pPr>
            <w:r>
              <w:rPr>
                <w:rFonts w:ascii="Times New Roman" w:hAnsi="Times New Roman" w:cs="Times New Roman"/>
                <w:sz w:val="26"/>
                <w:szCs w:val="26"/>
              </w:rPr>
              <w:t>Confirm ownership, scope and critical risks</w:t>
            </w:r>
          </w:p>
        </w:tc>
        <w:tc>
          <w:tcPr>
            <w:tcW w:w="3922" w:type="dxa"/>
          </w:tcPr>
          <w:p w14:paraId="0968AF9E" w14:textId="7902A1E9" w:rsidR="00E90ADA" w:rsidRPr="00E90ADA" w:rsidRDefault="00E90ADA" w:rsidP="00E90ADA">
            <w:pPr>
              <w:rPr>
                <w:rFonts w:ascii="Times New Roman" w:hAnsi="Times New Roman" w:cs="Times New Roman"/>
                <w:sz w:val="26"/>
                <w:szCs w:val="26"/>
              </w:rPr>
            </w:pPr>
            <w:r>
              <w:rPr>
                <w:rFonts w:ascii="Times New Roman" w:hAnsi="Times New Roman" w:cs="Times New Roman"/>
                <w:sz w:val="26"/>
                <w:szCs w:val="26"/>
              </w:rPr>
              <w:t>Approved roles, baseline profile and risk register</w:t>
            </w:r>
          </w:p>
        </w:tc>
      </w:tr>
      <w:tr w:rsidR="00E90ADA" w14:paraId="4ECB33D1" w14:textId="77777777" w:rsidTr="00E90ADA">
        <w:trPr>
          <w:trHeight w:val="771"/>
        </w:trPr>
        <w:tc>
          <w:tcPr>
            <w:tcW w:w="1269" w:type="dxa"/>
          </w:tcPr>
          <w:p w14:paraId="5DE3AD11" w14:textId="77777777" w:rsidR="00E90ADA" w:rsidRDefault="00E90ADA" w:rsidP="00E90ADA">
            <w:pPr>
              <w:rPr>
                <w:rFonts w:ascii="Times New Roman" w:hAnsi="Times New Roman" w:cs="Times New Roman"/>
                <w:sz w:val="26"/>
                <w:szCs w:val="26"/>
              </w:rPr>
            </w:pPr>
            <w:r>
              <w:rPr>
                <w:rFonts w:ascii="Times New Roman" w:hAnsi="Times New Roman" w:cs="Times New Roman"/>
                <w:sz w:val="26"/>
                <w:szCs w:val="26"/>
              </w:rPr>
              <w:t>3-6</w:t>
            </w:r>
          </w:p>
          <w:p w14:paraId="1CB0370A" w14:textId="7FEA69B9" w:rsidR="00E90ADA" w:rsidRPr="00E90ADA" w:rsidRDefault="00E90ADA" w:rsidP="00E90ADA">
            <w:pPr>
              <w:rPr>
                <w:rFonts w:ascii="Times New Roman" w:hAnsi="Times New Roman" w:cs="Times New Roman"/>
                <w:sz w:val="26"/>
                <w:szCs w:val="26"/>
              </w:rPr>
            </w:pPr>
            <w:r>
              <w:rPr>
                <w:rFonts w:ascii="Times New Roman" w:hAnsi="Times New Roman" w:cs="Times New Roman"/>
                <w:sz w:val="26"/>
                <w:szCs w:val="26"/>
              </w:rPr>
              <w:t>Months</w:t>
            </w:r>
          </w:p>
        </w:tc>
        <w:tc>
          <w:tcPr>
            <w:tcW w:w="3822" w:type="dxa"/>
          </w:tcPr>
          <w:p w14:paraId="2F3C35AD" w14:textId="0876065C" w:rsidR="00E90ADA" w:rsidRPr="00E90ADA" w:rsidRDefault="00E90ADA" w:rsidP="00E90ADA">
            <w:pPr>
              <w:rPr>
                <w:rFonts w:ascii="Times New Roman" w:hAnsi="Times New Roman" w:cs="Times New Roman"/>
                <w:sz w:val="26"/>
                <w:szCs w:val="26"/>
              </w:rPr>
            </w:pPr>
            <w:r>
              <w:rPr>
                <w:rFonts w:ascii="Times New Roman" w:hAnsi="Times New Roman" w:cs="Times New Roman"/>
                <w:sz w:val="26"/>
                <w:szCs w:val="26"/>
              </w:rPr>
              <w:t>Strengthen access, backups and monitoring</w:t>
            </w:r>
          </w:p>
        </w:tc>
        <w:tc>
          <w:tcPr>
            <w:tcW w:w="3922" w:type="dxa"/>
          </w:tcPr>
          <w:p w14:paraId="33E40CC8" w14:textId="4297FE66" w:rsidR="00E90ADA" w:rsidRPr="00E90ADA" w:rsidRDefault="00E90ADA" w:rsidP="00E90ADA">
            <w:pPr>
              <w:rPr>
                <w:rFonts w:ascii="Times New Roman" w:hAnsi="Times New Roman" w:cs="Times New Roman"/>
                <w:sz w:val="26"/>
                <w:szCs w:val="26"/>
              </w:rPr>
            </w:pPr>
            <w:r>
              <w:rPr>
                <w:rFonts w:ascii="Times New Roman" w:hAnsi="Times New Roman" w:cs="Times New Roman"/>
                <w:sz w:val="26"/>
                <w:szCs w:val="26"/>
              </w:rPr>
              <w:t>Access review, restoration result and tested alerts</w:t>
            </w:r>
          </w:p>
        </w:tc>
      </w:tr>
      <w:tr w:rsidR="00E90ADA" w14:paraId="01E618A9" w14:textId="77777777" w:rsidTr="00E90ADA">
        <w:trPr>
          <w:trHeight w:val="746"/>
        </w:trPr>
        <w:tc>
          <w:tcPr>
            <w:tcW w:w="1269" w:type="dxa"/>
          </w:tcPr>
          <w:p w14:paraId="648FA6A0" w14:textId="49DD849E" w:rsidR="00E90ADA" w:rsidRPr="00E90ADA" w:rsidRDefault="00E90ADA" w:rsidP="00E90ADA">
            <w:pPr>
              <w:rPr>
                <w:rFonts w:ascii="Times New Roman" w:hAnsi="Times New Roman" w:cs="Times New Roman"/>
                <w:sz w:val="26"/>
                <w:szCs w:val="26"/>
              </w:rPr>
            </w:pPr>
            <w:r>
              <w:rPr>
                <w:rFonts w:ascii="Times New Roman" w:hAnsi="Times New Roman" w:cs="Times New Roman"/>
                <w:sz w:val="26"/>
                <w:szCs w:val="26"/>
              </w:rPr>
              <w:t>6-12 Months</w:t>
            </w:r>
          </w:p>
        </w:tc>
        <w:tc>
          <w:tcPr>
            <w:tcW w:w="3822" w:type="dxa"/>
          </w:tcPr>
          <w:p w14:paraId="75F82FD3" w14:textId="4135B7CC" w:rsidR="00E90ADA" w:rsidRPr="00E90ADA" w:rsidRDefault="00E90ADA" w:rsidP="00E90ADA">
            <w:pPr>
              <w:rPr>
                <w:rFonts w:ascii="Times New Roman" w:hAnsi="Times New Roman" w:cs="Times New Roman"/>
                <w:sz w:val="26"/>
                <w:szCs w:val="26"/>
              </w:rPr>
            </w:pPr>
            <w:r>
              <w:rPr>
                <w:rFonts w:ascii="Times New Roman" w:hAnsi="Times New Roman" w:cs="Times New Roman"/>
                <w:sz w:val="26"/>
                <w:szCs w:val="26"/>
              </w:rPr>
              <w:t>Improve supplier assurance and incident readiness</w:t>
            </w:r>
          </w:p>
        </w:tc>
        <w:tc>
          <w:tcPr>
            <w:tcW w:w="3922" w:type="dxa"/>
          </w:tcPr>
          <w:p w14:paraId="4D4F9A7A" w14:textId="74AE254A" w:rsidR="00E90ADA" w:rsidRPr="00E90ADA" w:rsidRDefault="00E90ADA" w:rsidP="00E90ADA">
            <w:pPr>
              <w:rPr>
                <w:rFonts w:ascii="Times New Roman" w:hAnsi="Times New Roman" w:cs="Times New Roman"/>
                <w:sz w:val="26"/>
                <w:szCs w:val="26"/>
              </w:rPr>
            </w:pPr>
            <w:r>
              <w:rPr>
                <w:rFonts w:ascii="Times New Roman" w:hAnsi="Times New Roman" w:cs="Times New Roman"/>
                <w:sz w:val="26"/>
                <w:szCs w:val="26"/>
              </w:rPr>
              <w:t>Contract evidence and joint exercise report</w:t>
            </w:r>
          </w:p>
        </w:tc>
      </w:tr>
      <w:tr w:rsidR="00E90ADA" w14:paraId="420C359B" w14:textId="77777777" w:rsidTr="00E90ADA">
        <w:trPr>
          <w:trHeight w:val="746"/>
        </w:trPr>
        <w:tc>
          <w:tcPr>
            <w:tcW w:w="1269" w:type="dxa"/>
          </w:tcPr>
          <w:p w14:paraId="734CB2CE" w14:textId="61C07B52" w:rsidR="00E90ADA" w:rsidRPr="00E90ADA" w:rsidRDefault="00E90ADA" w:rsidP="00E90ADA">
            <w:pPr>
              <w:rPr>
                <w:rFonts w:ascii="Times New Roman" w:hAnsi="Times New Roman" w:cs="Times New Roman"/>
                <w:sz w:val="26"/>
                <w:szCs w:val="26"/>
              </w:rPr>
            </w:pPr>
            <w:r>
              <w:rPr>
                <w:rFonts w:ascii="Times New Roman" w:hAnsi="Times New Roman" w:cs="Times New Roman"/>
                <w:sz w:val="26"/>
                <w:szCs w:val="26"/>
              </w:rPr>
              <w:t>12-24 Months</w:t>
            </w:r>
          </w:p>
        </w:tc>
        <w:tc>
          <w:tcPr>
            <w:tcW w:w="3822" w:type="dxa"/>
          </w:tcPr>
          <w:p w14:paraId="60747781" w14:textId="413BA1E4" w:rsidR="00E90ADA" w:rsidRPr="00E90ADA" w:rsidRDefault="00E90ADA" w:rsidP="00E90ADA">
            <w:pPr>
              <w:rPr>
                <w:rFonts w:ascii="Times New Roman" w:hAnsi="Times New Roman" w:cs="Times New Roman"/>
                <w:sz w:val="26"/>
                <w:szCs w:val="26"/>
              </w:rPr>
            </w:pPr>
            <w:r>
              <w:rPr>
                <w:rFonts w:ascii="Times New Roman" w:hAnsi="Times New Roman" w:cs="Times New Roman"/>
                <w:sz w:val="26"/>
                <w:szCs w:val="26"/>
              </w:rPr>
              <w:t>Optimise, automate and independently review</w:t>
            </w:r>
          </w:p>
        </w:tc>
        <w:tc>
          <w:tcPr>
            <w:tcW w:w="3922" w:type="dxa"/>
          </w:tcPr>
          <w:p w14:paraId="6F198B91" w14:textId="2D0C3E59" w:rsidR="00E90ADA" w:rsidRPr="00E90ADA" w:rsidRDefault="00E90ADA" w:rsidP="00E90ADA">
            <w:pPr>
              <w:rPr>
                <w:rFonts w:ascii="Times New Roman" w:hAnsi="Times New Roman" w:cs="Times New Roman"/>
                <w:sz w:val="26"/>
                <w:szCs w:val="26"/>
              </w:rPr>
            </w:pPr>
            <w:r>
              <w:rPr>
                <w:rFonts w:ascii="Times New Roman" w:hAnsi="Times New Roman" w:cs="Times New Roman"/>
                <w:sz w:val="26"/>
                <w:szCs w:val="26"/>
              </w:rPr>
              <w:t>Trend improvement and assurance findings</w:t>
            </w:r>
          </w:p>
        </w:tc>
      </w:tr>
    </w:tbl>
    <w:p w14:paraId="7FB3E435" w14:textId="77777777" w:rsidR="00B23633" w:rsidRDefault="00B23633" w:rsidP="001E3B50">
      <w:pPr>
        <w:jc w:val="both"/>
        <w:rPr>
          <w:rFonts w:ascii="Times New Roman" w:hAnsi="Times New Roman" w:cs="Times New Roman"/>
          <w:b/>
          <w:bCs/>
          <w:sz w:val="28"/>
          <w:szCs w:val="28"/>
        </w:rPr>
      </w:pPr>
    </w:p>
    <w:p w14:paraId="42AFEBDB" w14:textId="1A173018" w:rsidR="00B23633" w:rsidRDefault="00B23633" w:rsidP="001E3B50">
      <w:pPr>
        <w:jc w:val="both"/>
        <w:rPr>
          <w:rFonts w:ascii="Times New Roman" w:hAnsi="Times New Roman" w:cs="Times New Roman"/>
          <w:sz w:val="26"/>
          <w:szCs w:val="26"/>
        </w:rPr>
      </w:pPr>
      <w:r w:rsidRPr="00B23633">
        <w:rPr>
          <w:rFonts w:ascii="Times New Roman" w:hAnsi="Times New Roman" w:cs="Times New Roman"/>
          <w:sz w:val="26"/>
          <w:szCs w:val="26"/>
        </w:rPr>
        <w:t>Performance should combine leading indicators, such as overdue access reviews and untested backups, with lagging indicators, including incidents, outage time and data loss. Measures should support decisions, not be chosen because they are easy to count</w:t>
      </w:r>
      <w:sdt>
        <w:sdtPr>
          <w:rPr>
            <w:rFonts w:ascii="Times New Roman" w:hAnsi="Times New Roman" w:cs="Times New Roman"/>
            <w:sz w:val="26"/>
            <w:szCs w:val="26"/>
          </w:rPr>
          <w:id w:val="1793795279"/>
          <w:citation/>
        </w:sdtPr>
        <w:sdtContent>
          <w:r w:rsidR="00B465CC">
            <w:rPr>
              <w:rFonts w:ascii="Times New Roman" w:hAnsi="Times New Roman" w:cs="Times New Roman"/>
              <w:sz w:val="26"/>
              <w:szCs w:val="26"/>
            </w:rPr>
            <w:fldChar w:fldCharType="begin"/>
          </w:r>
          <w:r w:rsidR="00B465CC">
            <w:rPr>
              <w:rFonts w:ascii="Times New Roman" w:hAnsi="Times New Roman" w:cs="Times New Roman"/>
              <w:sz w:val="26"/>
              <w:szCs w:val="26"/>
              <w:lang w:val="en-US"/>
            </w:rPr>
            <w:instrText xml:space="preserve"> CITATION Cok04 \l 1033 </w:instrText>
          </w:r>
          <w:r w:rsidR="00B465CC">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[25]</w:t>
          </w:r>
          <w:r w:rsidR="00B465CC">
            <w:rPr>
              <w:rFonts w:ascii="Times New Roman" w:hAnsi="Times New Roman" w:cs="Times New Roman"/>
              <w:sz w:val="26"/>
              <w:szCs w:val="26"/>
            </w:rPr>
            <w:fldChar w:fldCharType="end"/>
          </w:r>
        </w:sdtContent>
      </w:sdt>
      <w:r w:rsidRPr="00B23633">
        <w:rPr>
          <w:rFonts w:ascii="Times New Roman" w:hAnsi="Times New Roman" w:cs="Times New Roman"/>
          <w:sz w:val="26"/>
          <w:szCs w:val="26"/>
        </w:rPr>
        <w:t>.</w:t>
      </w:r>
    </w:p>
    <w:p w14:paraId="52A868C1" w14:textId="77777777" w:rsidR="00B23633" w:rsidRDefault="00B23633" w:rsidP="001E3B50">
      <w:pPr>
        <w:jc w:val="both"/>
        <w:rPr>
          <w:rFonts w:ascii="Times New Roman" w:hAnsi="Times New Roman" w:cs="Times New Roman"/>
          <w:sz w:val="26"/>
          <w:szCs w:val="26"/>
        </w:rPr>
      </w:pPr>
    </w:p>
    <w:p w14:paraId="7F80DC9A" w14:textId="77777777" w:rsidR="00B23633" w:rsidRDefault="00B23633">
      <w:pPr>
        <w:rPr>
          <w:rFonts w:ascii="Times New Roman" w:hAnsi="Times New Roman" w:cs="Times New Roman"/>
          <w:sz w:val="26"/>
          <w:szCs w:val="26"/>
        </w:rPr>
      </w:pPr>
      <w:r>
        <w:rPr>
          <w:rFonts w:ascii="Times New Roman" w:hAnsi="Times New Roman" w:cs="Times New Roman"/>
          <w:sz w:val="26"/>
          <w:szCs w:val="26"/>
        </w:rPr>
        <w:br w:type="page"/>
      </w:r>
    </w:p>
    <w:p w14:paraId="573B3076" w14:textId="77777777" w:rsidR="00B23633" w:rsidRDefault="00B23633" w:rsidP="00EA09D8">
      <w:pPr>
        <w:pStyle w:val="Heading2"/>
      </w:pPr>
      <w:bookmarkStart w:id="26" w:name="_Toc237168283"/>
      <w:r w:rsidRPr="00B23633">
        <w:lastRenderedPageBreak/>
        <w:t>8.3 Evidence-to-Decision Loop</w:t>
      </w:r>
      <w:bookmarkEnd w:id="26"/>
    </w:p>
    <w:p w14:paraId="5112C348" w14:textId="77777777" w:rsidR="00B23633" w:rsidRDefault="00B23633" w:rsidP="001E3B50">
      <w:pPr>
        <w:jc w:val="both"/>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3862EB09" wp14:editId="51BACEE7">
            <wp:extent cx="5717828" cy="3894926"/>
            <wp:effectExtent l="0" t="0" r="0" b="0"/>
            <wp:docPr id="5385148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3621" cy="3926120"/>
                    </a:xfrm>
                    <a:prstGeom prst="rect">
                      <a:avLst/>
                    </a:prstGeom>
                    <a:noFill/>
                  </pic:spPr>
                </pic:pic>
              </a:graphicData>
            </a:graphic>
          </wp:inline>
        </w:drawing>
      </w:r>
    </w:p>
    <w:p w14:paraId="74CA5AD4" w14:textId="77777777" w:rsidR="00B23633" w:rsidRDefault="00B23633" w:rsidP="00621DA3">
      <w:pPr>
        <w:pStyle w:val="FigureTitle"/>
      </w:pPr>
      <w:r w:rsidRPr="00B23633">
        <w:t>Figure 7: Evidence-to-decision improvement loop.</w:t>
      </w:r>
    </w:p>
    <w:p w14:paraId="62EB6257" w14:textId="77777777" w:rsidR="00B23633" w:rsidRDefault="00B23633" w:rsidP="00B23633">
      <w:pPr>
        <w:jc w:val="center"/>
        <w:rPr>
          <w:rFonts w:ascii="Times New Roman" w:hAnsi="Times New Roman" w:cs="Times New Roman"/>
          <w:i/>
          <w:iCs/>
        </w:rPr>
      </w:pPr>
    </w:p>
    <w:p w14:paraId="32ACCE90" w14:textId="2B168230" w:rsidR="00B23633" w:rsidRPr="00B23633" w:rsidRDefault="00B23633" w:rsidP="00B23633">
      <w:pPr>
        <w:jc w:val="both"/>
        <w:rPr>
          <w:rFonts w:ascii="Times New Roman" w:hAnsi="Times New Roman" w:cs="Times New Roman"/>
          <w:sz w:val="26"/>
          <w:szCs w:val="26"/>
        </w:rPr>
      </w:pPr>
      <w:r w:rsidRPr="00B23633">
        <w:rPr>
          <w:rFonts w:ascii="Times New Roman" w:hAnsi="Times New Roman" w:cs="Times New Roman"/>
          <w:sz w:val="26"/>
          <w:szCs w:val="26"/>
        </w:rPr>
        <w:t>The evidence-to-decision loop provides a technique. Evidence is collected, compared with targets, discussed by the Governance Committee and converted into a funded action. Lessons should update the Target Profile, risk register and roadmap. This creates continual improvement while allowing AeroLink to stop ineffective controls, scale successful pilots and respond to changing technology, threats and supplier dependencies</w:t>
      </w:r>
      <w:sdt>
        <w:sdtPr>
          <w:rPr>
            <w:rFonts w:ascii="Times New Roman" w:hAnsi="Times New Roman" w:cs="Times New Roman"/>
            <w:sz w:val="26"/>
            <w:szCs w:val="26"/>
          </w:rPr>
          <w:id w:val="-1723974038"/>
          <w:citation/>
        </w:sdtPr>
        <w:sdtContent>
          <w:r w:rsidR="00396230">
            <w:rPr>
              <w:rFonts w:ascii="Times New Roman" w:hAnsi="Times New Roman" w:cs="Times New Roman"/>
              <w:sz w:val="26"/>
              <w:szCs w:val="26"/>
            </w:rPr>
            <w:fldChar w:fldCharType="begin"/>
          </w:r>
          <w:r w:rsidR="00396230">
            <w:rPr>
              <w:rFonts w:ascii="Times New Roman" w:hAnsi="Times New Roman" w:cs="Times New Roman"/>
              <w:sz w:val="26"/>
              <w:szCs w:val="26"/>
              <w:lang w:val="en-US"/>
            </w:rPr>
            <w:instrText xml:space="preserve"> CITATION Ram17 \l 1033 </w:instrText>
          </w:r>
          <w:r w:rsidR="00396230">
            <w:rPr>
              <w:rFonts w:ascii="Times New Roman" w:hAnsi="Times New Roman" w:cs="Times New Roman"/>
              <w:sz w:val="26"/>
              <w:szCs w:val="26"/>
            </w:rPr>
            <w:fldChar w:fldCharType="separate"/>
          </w:r>
          <w:r w:rsidR="00DC3667">
            <w:rPr>
              <w:rFonts w:ascii="Times New Roman" w:hAnsi="Times New Roman" w:cs="Times New Roman"/>
              <w:noProof/>
              <w:sz w:val="26"/>
              <w:szCs w:val="26"/>
              <w:lang w:val="en-US"/>
            </w:rPr>
            <w:t xml:space="preserve"> </w:t>
          </w:r>
          <w:r w:rsidR="00DC3667" w:rsidRPr="00DC3667">
            <w:rPr>
              <w:rFonts w:ascii="Times New Roman" w:hAnsi="Times New Roman" w:cs="Times New Roman"/>
              <w:noProof/>
              <w:sz w:val="26"/>
              <w:szCs w:val="26"/>
              <w:lang w:val="en-US"/>
            </w:rPr>
            <w:t>[26]</w:t>
          </w:r>
          <w:r w:rsidR="00396230">
            <w:rPr>
              <w:rFonts w:ascii="Times New Roman" w:hAnsi="Times New Roman" w:cs="Times New Roman"/>
              <w:sz w:val="26"/>
              <w:szCs w:val="26"/>
            </w:rPr>
            <w:fldChar w:fldCharType="end"/>
          </w:r>
        </w:sdtContent>
      </w:sdt>
      <w:r w:rsidRPr="00B23633">
        <w:rPr>
          <w:rFonts w:ascii="Times New Roman" w:hAnsi="Times New Roman" w:cs="Times New Roman"/>
          <w:sz w:val="26"/>
          <w:szCs w:val="26"/>
        </w:rPr>
        <w:t>.</w:t>
      </w:r>
    </w:p>
    <w:p w14:paraId="4E090F02" w14:textId="20DF542C" w:rsidR="00F843AC" w:rsidRPr="00B23633" w:rsidRDefault="00F843AC" w:rsidP="00B23633">
      <w:pPr>
        <w:rPr>
          <w:rFonts w:ascii="Times New Roman" w:hAnsi="Times New Roman" w:cs="Times New Roman"/>
          <w:i/>
          <w:iCs/>
        </w:rPr>
      </w:pPr>
      <w:r w:rsidRPr="00B23633">
        <w:rPr>
          <w:rFonts w:ascii="Times New Roman" w:hAnsi="Times New Roman" w:cs="Times New Roman"/>
          <w:i/>
          <w:iCs/>
        </w:rPr>
        <w:br w:type="page"/>
      </w:r>
    </w:p>
    <w:p w14:paraId="4240074F" w14:textId="77777777" w:rsidR="00766C6D" w:rsidRPr="00766C6D" w:rsidRDefault="00766C6D" w:rsidP="00766C6D">
      <w:pPr>
        <w:rPr>
          <w:rFonts w:ascii="Times New Roman" w:hAnsi="Times New Roman" w:cs="Times New Roman"/>
          <w:b/>
          <w:bCs/>
          <w:sz w:val="32"/>
          <w:szCs w:val="32"/>
        </w:rPr>
      </w:pPr>
    </w:p>
    <w:p w14:paraId="345B0ED8" w14:textId="4394BD12" w:rsidR="00396230" w:rsidRPr="00396230" w:rsidRDefault="00396230" w:rsidP="0071172A">
      <w:pPr>
        <w:pStyle w:val="Heading1"/>
        <w:numPr>
          <w:ilvl w:val="0"/>
          <w:numId w:val="13"/>
        </w:numPr>
      </w:pPr>
      <w:bookmarkStart w:id="27" w:name="_Toc237168284"/>
      <w:r w:rsidRPr="00396230">
        <w:t>Conclusion</w:t>
      </w:r>
      <w:bookmarkEnd w:id="27"/>
      <w:r w:rsidRPr="00396230">
        <w:t xml:space="preserve"> </w:t>
      </w:r>
    </w:p>
    <w:p w14:paraId="387EB9AF" w14:textId="2E53D6CF" w:rsidR="00933C0E" w:rsidRPr="00752ACB" w:rsidRDefault="00752ACB" w:rsidP="00933C0E">
      <w:pPr>
        <w:jc w:val="both"/>
        <w:rPr>
          <w:rFonts w:ascii="Times New Roman" w:hAnsi="Times New Roman" w:cs="Times New Roman"/>
          <w:sz w:val="26"/>
          <w:szCs w:val="26"/>
        </w:rPr>
      </w:pPr>
      <w:r w:rsidRPr="00752ACB">
        <w:rPr>
          <w:rFonts w:ascii="Times New Roman" w:hAnsi="Times New Roman" w:cs="Times New Roman"/>
          <w:sz w:val="26"/>
          <w:szCs w:val="26"/>
        </w:rPr>
        <w:t>AeroLink Logistics needs a cybersecurity programme that supports reliable operations, growth and customer trust. The assessment has shown that fragmented ownership, inconsistent controls and dependence on external suppliers could turn a local weakness into operational disruption. The proposed approach brings governance, risk management, compliance, security controls, business continuity and vendor assurance into one coordinated structure. Clear accountability will help leaders make informed decisions, while phased implementation will allow improvements to be tested without disrupting logistics activity. Most importantly, success should be judged through evidence, including access reviews, recovery exercises, supplier assurance and measurable risk reduction. By reviewing this evidence and learning from incidents, AeroLink can build a practical, resilient and continually improving security culture suited to its changing business environment.</w:t>
      </w:r>
    </w:p>
    <w:p w14:paraId="56AF0916" w14:textId="77777777" w:rsidR="00697396" w:rsidRPr="00863363" w:rsidRDefault="00697396" w:rsidP="00697396">
      <w:pPr>
        <w:jc w:val="both"/>
        <w:rPr>
          <w:rFonts w:ascii="Times New Roman" w:hAnsi="Times New Roman" w:cs="Times New Roman"/>
          <w:sz w:val="28"/>
          <w:szCs w:val="28"/>
        </w:rPr>
      </w:pPr>
    </w:p>
    <w:p w14:paraId="47CC8D9C" w14:textId="5FB86F2C" w:rsidR="00933C0E" w:rsidRPr="00863363" w:rsidRDefault="00933C0E">
      <w:pPr>
        <w:rPr>
          <w:rFonts w:ascii="Times New Roman" w:hAnsi="Times New Roman" w:cs="Times New Roman"/>
          <w:sz w:val="28"/>
          <w:szCs w:val="28"/>
        </w:rPr>
      </w:pPr>
      <w:r w:rsidRPr="00863363">
        <w:rPr>
          <w:rFonts w:ascii="Times New Roman" w:hAnsi="Times New Roman" w:cs="Times New Roman"/>
          <w:sz w:val="28"/>
          <w:szCs w:val="28"/>
        </w:rPr>
        <w:br w:type="page"/>
      </w:r>
    </w:p>
    <w:p w14:paraId="46DEDC46" w14:textId="77777777" w:rsidR="00DC3667" w:rsidRDefault="00CB460D" w:rsidP="0071172A">
      <w:pPr>
        <w:pStyle w:val="Heading1"/>
        <w:rPr>
          <w:noProof/>
          <w:lang w:val="en-IN"/>
        </w:rPr>
      </w:pPr>
      <w:bookmarkStart w:id="28" w:name="_Toc237168285"/>
      <w:r w:rsidRPr="00CB460D">
        <w:lastRenderedPageBreak/>
        <w:t>References</w:t>
      </w:r>
      <w:bookmarkEnd w:id="28"/>
      <w:r w:rsidR="002F3494">
        <w:fldChar w:fldCharType="begin"/>
      </w:r>
      <w:r w:rsidR="002F3494">
        <w:rPr>
          <w:lang w:val="en-US"/>
        </w:rPr>
        <w:instrText xml:space="preserve"> BIBLIOGRAPHY  \l 1033 </w:instrText>
      </w:r>
      <w:r w:rsidR="002F3494">
        <w:fldChar w:fldCharType="separate"/>
      </w:r>
    </w:p>
    <w:sdt>
      <w:sdtPr>
        <w:rPr>
          <w:rFonts w:asciiTheme="minorHAnsi" w:eastAsiaTheme="minorHAnsi" w:hAnsiTheme="minorHAnsi" w:cstheme="minorBidi"/>
          <w:b w:val="0"/>
          <w:color w:val="auto"/>
          <w:sz w:val="24"/>
          <w:szCs w:val="24"/>
        </w:rPr>
        <w:id w:val="430478194"/>
        <w:docPartObj>
          <w:docPartGallery w:val="Bibliographies"/>
          <w:docPartUnique/>
        </w:docPartObj>
      </w:sdtPr>
      <w:sdtContent>
        <w:p w14:paraId="49AFED11" w14:textId="6EBC7124" w:rsidR="00803DBA" w:rsidRDefault="00803DBA">
          <w:pPr>
            <w:pStyle w:val="Heading1"/>
          </w:pPr>
        </w:p>
        <w:sdt>
          <w:sdtPr>
            <w:id w:val="111145805"/>
            <w:bibliography/>
          </w:sdtPr>
          <w:sdtContent>
            <w:p w14:paraId="49DCFD67" w14:textId="77777777" w:rsidR="00803DBA" w:rsidRDefault="00803DBA">
              <w:pPr>
                <w:rPr>
                  <w:noProof/>
                  <w:lang w:val="en-IN"/>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803DBA" w14:paraId="7A43450B" w14:textId="77777777">
                <w:trPr>
                  <w:divId w:val="431820850"/>
                  <w:tblCellSpacing w:w="15" w:type="dxa"/>
                </w:trPr>
                <w:tc>
                  <w:tcPr>
                    <w:tcW w:w="50" w:type="pct"/>
                    <w:hideMark/>
                  </w:tcPr>
                  <w:p w14:paraId="694059B6" w14:textId="48C1B22B" w:rsidR="00803DBA" w:rsidRDefault="00803DBA">
                    <w:pPr>
                      <w:pStyle w:val="Bibliography"/>
                      <w:rPr>
                        <w:noProof/>
                        <w:kern w:val="0"/>
                        <w14:ligatures w14:val="none"/>
                      </w:rPr>
                    </w:pPr>
                    <w:r>
                      <w:rPr>
                        <w:noProof/>
                      </w:rPr>
                      <w:t xml:space="preserve">[1] </w:t>
                    </w:r>
                  </w:p>
                </w:tc>
                <w:tc>
                  <w:tcPr>
                    <w:tcW w:w="0" w:type="auto"/>
                    <w:hideMark/>
                  </w:tcPr>
                  <w:p w14:paraId="64BE7960" w14:textId="77777777" w:rsidR="00803DBA" w:rsidRDefault="00803DBA">
                    <w:pPr>
                      <w:pStyle w:val="Bibliography"/>
                      <w:rPr>
                        <w:noProof/>
                      </w:rPr>
                    </w:pPr>
                    <w:r>
                      <w:rPr>
                        <w:noProof/>
                      </w:rPr>
                      <w:t xml:space="preserve">G. Culot, G. Nassimbeni, M. Podrecca and M. Sartor, “The ISO/IEC 27001 information security management standard: literature review and theory-based research agenda.,” </w:t>
                    </w:r>
                    <w:r>
                      <w:rPr>
                        <w:i/>
                        <w:iCs/>
                        <w:noProof/>
                      </w:rPr>
                      <w:t xml:space="preserve">The TQM Journal, </w:t>
                    </w:r>
                    <w:r>
                      <w:rPr>
                        <w:noProof/>
                      </w:rPr>
                      <w:t xml:space="preserve">vol. 33, no. 7, pp. 76-105, 2021. </w:t>
                    </w:r>
                  </w:p>
                </w:tc>
              </w:tr>
              <w:tr w:rsidR="00803DBA" w14:paraId="1912007E" w14:textId="77777777">
                <w:trPr>
                  <w:divId w:val="431820850"/>
                  <w:tblCellSpacing w:w="15" w:type="dxa"/>
                </w:trPr>
                <w:tc>
                  <w:tcPr>
                    <w:tcW w:w="50" w:type="pct"/>
                    <w:hideMark/>
                  </w:tcPr>
                  <w:p w14:paraId="01BCA9CA" w14:textId="77777777" w:rsidR="00803DBA" w:rsidRDefault="00803DBA">
                    <w:pPr>
                      <w:pStyle w:val="Bibliography"/>
                      <w:rPr>
                        <w:noProof/>
                      </w:rPr>
                    </w:pPr>
                    <w:r>
                      <w:rPr>
                        <w:noProof/>
                      </w:rPr>
                      <w:t xml:space="preserve">[2] </w:t>
                    </w:r>
                  </w:p>
                </w:tc>
                <w:tc>
                  <w:tcPr>
                    <w:tcW w:w="0" w:type="auto"/>
                    <w:hideMark/>
                  </w:tcPr>
                  <w:p w14:paraId="3DCA6859" w14:textId="77777777" w:rsidR="00803DBA" w:rsidRDefault="00803DBA">
                    <w:pPr>
                      <w:pStyle w:val="Bibliography"/>
                      <w:rPr>
                        <w:noProof/>
                      </w:rPr>
                    </w:pPr>
                    <w:r>
                      <w:rPr>
                        <w:noProof/>
                      </w:rPr>
                      <w:t xml:space="preserve">S. Serkan and K. Süleyman, “Cyber governance studies in ensuring cybersecurity: an overview of cybersecurity governance,” </w:t>
                    </w:r>
                    <w:r>
                      <w:rPr>
                        <w:i/>
                        <w:iCs/>
                        <w:noProof/>
                      </w:rPr>
                      <w:t xml:space="preserve">International Cybersecurity Law Review, </w:t>
                    </w:r>
                    <w:r>
                      <w:rPr>
                        <w:noProof/>
                      </w:rPr>
                      <w:t xml:space="preserve">vol. 3, no. 1, p. 7–34, 2022. </w:t>
                    </w:r>
                  </w:p>
                </w:tc>
              </w:tr>
              <w:tr w:rsidR="00803DBA" w14:paraId="26353767" w14:textId="77777777">
                <w:trPr>
                  <w:divId w:val="431820850"/>
                  <w:tblCellSpacing w:w="15" w:type="dxa"/>
                </w:trPr>
                <w:tc>
                  <w:tcPr>
                    <w:tcW w:w="50" w:type="pct"/>
                    <w:hideMark/>
                  </w:tcPr>
                  <w:p w14:paraId="62A9AA4D" w14:textId="77777777" w:rsidR="00803DBA" w:rsidRDefault="00803DBA">
                    <w:pPr>
                      <w:pStyle w:val="Bibliography"/>
                      <w:rPr>
                        <w:noProof/>
                      </w:rPr>
                    </w:pPr>
                    <w:r>
                      <w:rPr>
                        <w:noProof/>
                      </w:rPr>
                      <w:t xml:space="preserve">[3] </w:t>
                    </w:r>
                  </w:p>
                </w:tc>
                <w:tc>
                  <w:tcPr>
                    <w:tcW w:w="0" w:type="auto"/>
                    <w:hideMark/>
                  </w:tcPr>
                  <w:p w14:paraId="21F74595" w14:textId="77777777" w:rsidR="00803DBA" w:rsidRDefault="00803DBA">
                    <w:pPr>
                      <w:pStyle w:val="Bibliography"/>
                      <w:rPr>
                        <w:noProof/>
                      </w:rPr>
                    </w:pPr>
                    <w:r>
                      <w:rPr>
                        <w:noProof/>
                      </w:rPr>
                      <w:t xml:space="preserve">R. Rayne and V. N. Johan, “From information security to cyber security cultures,” in </w:t>
                    </w:r>
                    <w:r>
                      <w:rPr>
                        <w:i/>
                        <w:iCs/>
                        <w:noProof/>
                      </w:rPr>
                      <w:t>2014 Information Security for South Africa</w:t>
                    </w:r>
                    <w:r>
                      <w:rPr>
                        <w:noProof/>
                      </w:rPr>
                      <w:t xml:space="preserve">, Johannesburg, South Africa, 2014. </w:t>
                    </w:r>
                  </w:p>
                </w:tc>
              </w:tr>
              <w:tr w:rsidR="00803DBA" w14:paraId="67B591F6" w14:textId="77777777">
                <w:trPr>
                  <w:divId w:val="431820850"/>
                  <w:tblCellSpacing w:w="15" w:type="dxa"/>
                </w:trPr>
                <w:tc>
                  <w:tcPr>
                    <w:tcW w:w="50" w:type="pct"/>
                    <w:hideMark/>
                  </w:tcPr>
                  <w:p w14:paraId="629B2ED3" w14:textId="77777777" w:rsidR="00803DBA" w:rsidRDefault="00803DBA">
                    <w:pPr>
                      <w:pStyle w:val="Bibliography"/>
                      <w:rPr>
                        <w:noProof/>
                      </w:rPr>
                    </w:pPr>
                    <w:r>
                      <w:rPr>
                        <w:noProof/>
                      </w:rPr>
                      <w:t xml:space="preserve">[4] </w:t>
                    </w:r>
                  </w:p>
                </w:tc>
                <w:tc>
                  <w:tcPr>
                    <w:tcW w:w="0" w:type="auto"/>
                    <w:hideMark/>
                  </w:tcPr>
                  <w:p w14:paraId="76604EA2" w14:textId="77777777" w:rsidR="00803DBA" w:rsidRDefault="00803DBA">
                    <w:pPr>
                      <w:pStyle w:val="Bibliography"/>
                      <w:rPr>
                        <w:noProof/>
                      </w:rPr>
                    </w:pPr>
                    <w:r>
                      <w:rPr>
                        <w:noProof/>
                      </w:rPr>
                      <w:t xml:space="preserve">W. K. Brotby, Information Security Governance: A Practical Development and Implementation Approach, Hoboken, New Jersey: John Wiley &amp; Sons, 2009. </w:t>
                    </w:r>
                  </w:p>
                </w:tc>
              </w:tr>
              <w:tr w:rsidR="00803DBA" w14:paraId="601E48C1" w14:textId="77777777">
                <w:trPr>
                  <w:divId w:val="431820850"/>
                  <w:tblCellSpacing w:w="15" w:type="dxa"/>
                </w:trPr>
                <w:tc>
                  <w:tcPr>
                    <w:tcW w:w="50" w:type="pct"/>
                    <w:hideMark/>
                  </w:tcPr>
                  <w:p w14:paraId="3BAD86F9" w14:textId="77777777" w:rsidR="00803DBA" w:rsidRDefault="00803DBA">
                    <w:pPr>
                      <w:pStyle w:val="Bibliography"/>
                      <w:rPr>
                        <w:noProof/>
                      </w:rPr>
                    </w:pPr>
                    <w:r>
                      <w:rPr>
                        <w:noProof/>
                      </w:rPr>
                      <w:t xml:space="preserve">[5] </w:t>
                    </w:r>
                  </w:p>
                </w:tc>
                <w:tc>
                  <w:tcPr>
                    <w:tcW w:w="0" w:type="auto"/>
                    <w:hideMark/>
                  </w:tcPr>
                  <w:p w14:paraId="0B1FDAEC" w14:textId="77777777" w:rsidR="00803DBA" w:rsidRDefault="00803DBA">
                    <w:pPr>
                      <w:pStyle w:val="Bibliography"/>
                      <w:rPr>
                        <w:noProof/>
                      </w:rPr>
                    </w:pPr>
                    <w:r>
                      <w:rPr>
                        <w:noProof/>
                      </w:rPr>
                      <w:t xml:space="preserve">M. E. Whitman and H. J. Mattord, Principles of Information Security, Boston, Massachusetts: Cengage, 2022. </w:t>
                    </w:r>
                  </w:p>
                </w:tc>
              </w:tr>
              <w:tr w:rsidR="00803DBA" w14:paraId="3CD7EAA9" w14:textId="77777777">
                <w:trPr>
                  <w:divId w:val="431820850"/>
                  <w:tblCellSpacing w:w="15" w:type="dxa"/>
                </w:trPr>
                <w:tc>
                  <w:tcPr>
                    <w:tcW w:w="50" w:type="pct"/>
                    <w:hideMark/>
                  </w:tcPr>
                  <w:p w14:paraId="04D9F6B9" w14:textId="77777777" w:rsidR="00803DBA" w:rsidRDefault="00803DBA">
                    <w:pPr>
                      <w:pStyle w:val="Bibliography"/>
                      <w:rPr>
                        <w:noProof/>
                      </w:rPr>
                    </w:pPr>
                    <w:r>
                      <w:rPr>
                        <w:noProof/>
                      </w:rPr>
                      <w:t xml:space="preserve">[6] </w:t>
                    </w:r>
                  </w:p>
                </w:tc>
                <w:tc>
                  <w:tcPr>
                    <w:tcW w:w="0" w:type="auto"/>
                    <w:hideMark/>
                  </w:tcPr>
                  <w:p w14:paraId="38DACC2F" w14:textId="77777777" w:rsidR="00803DBA" w:rsidRDefault="00803DBA">
                    <w:pPr>
                      <w:pStyle w:val="Bibliography"/>
                      <w:rPr>
                        <w:noProof/>
                      </w:rPr>
                    </w:pPr>
                    <w:r>
                      <w:rPr>
                        <w:noProof/>
                      </w:rPr>
                      <w:t xml:space="preserve">S. Chavez, J. Anahue and W. Ticona, Implementation of an ISMS Based on ISO/IEC 27001:2022 to Improve Information Security in the Internet Services Sector, Los Alamitos, California: IEEE, 2024. </w:t>
                    </w:r>
                  </w:p>
                </w:tc>
              </w:tr>
              <w:tr w:rsidR="00803DBA" w14:paraId="2C7103F3" w14:textId="77777777">
                <w:trPr>
                  <w:divId w:val="431820850"/>
                  <w:tblCellSpacing w:w="15" w:type="dxa"/>
                </w:trPr>
                <w:tc>
                  <w:tcPr>
                    <w:tcW w:w="50" w:type="pct"/>
                    <w:hideMark/>
                  </w:tcPr>
                  <w:p w14:paraId="42522917" w14:textId="77777777" w:rsidR="00803DBA" w:rsidRDefault="00803DBA">
                    <w:pPr>
                      <w:pStyle w:val="Bibliography"/>
                      <w:rPr>
                        <w:noProof/>
                      </w:rPr>
                    </w:pPr>
                    <w:r>
                      <w:rPr>
                        <w:noProof/>
                      </w:rPr>
                      <w:t xml:space="preserve">[7] </w:t>
                    </w:r>
                  </w:p>
                </w:tc>
                <w:tc>
                  <w:tcPr>
                    <w:tcW w:w="0" w:type="auto"/>
                    <w:hideMark/>
                  </w:tcPr>
                  <w:p w14:paraId="64FF2D12" w14:textId="77777777" w:rsidR="00803DBA" w:rsidRDefault="00803DBA">
                    <w:pPr>
                      <w:pStyle w:val="Bibliography"/>
                      <w:rPr>
                        <w:noProof/>
                      </w:rPr>
                    </w:pPr>
                    <w:r>
                      <w:rPr>
                        <w:noProof/>
                      </w:rPr>
                      <w:t xml:space="preserve">N. Staffenova, D. Dupakova and M. Kubina, Integration of ISMS into the Organization's Strategy and Its Impact on Security Culture in the Digital Environment, Bratislava: Administrative Sciences (MDPI), 2026. </w:t>
                    </w:r>
                  </w:p>
                </w:tc>
              </w:tr>
              <w:tr w:rsidR="00803DBA" w14:paraId="44285139" w14:textId="77777777">
                <w:trPr>
                  <w:divId w:val="431820850"/>
                  <w:tblCellSpacing w:w="15" w:type="dxa"/>
                </w:trPr>
                <w:tc>
                  <w:tcPr>
                    <w:tcW w:w="50" w:type="pct"/>
                    <w:hideMark/>
                  </w:tcPr>
                  <w:p w14:paraId="06B15726" w14:textId="77777777" w:rsidR="00803DBA" w:rsidRDefault="00803DBA">
                    <w:pPr>
                      <w:pStyle w:val="Bibliography"/>
                      <w:rPr>
                        <w:noProof/>
                      </w:rPr>
                    </w:pPr>
                    <w:r>
                      <w:rPr>
                        <w:noProof/>
                      </w:rPr>
                      <w:t xml:space="preserve">[8] </w:t>
                    </w:r>
                  </w:p>
                </w:tc>
                <w:tc>
                  <w:tcPr>
                    <w:tcW w:w="0" w:type="auto"/>
                    <w:hideMark/>
                  </w:tcPr>
                  <w:p w14:paraId="5C69066C" w14:textId="77777777" w:rsidR="00803DBA" w:rsidRDefault="00803DBA">
                    <w:pPr>
                      <w:pStyle w:val="Bibliography"/>
                      <w:rPr>
                        <w:noProof/>
                      </w:rPr>
                    </w:pPr>
                    <w:r>
                      <w:rPr>
                        <w:noProof/>
                      </w:rPr>
                      <w:t xml:space="preserve">S. H. Turen, K. Eustace, R. Islam and G. Fellows, “Agile Resilience in Security for Small and Medium-Sized Businesses,” </w:t>
                    </w:r>
                    <w:r>
                      <w:rPr>
                        <w:i/>
                        <w:iCs/>
                        <w:noProof/>
                      </w:rPr>
                      <w:t xml:space="preserve">Journal of Cybersecurity and Privacy, </w:t>
                    </w:r>
                    <w:r>
                      <w:rPr>
                        <w:noProof/>
                      </w:rPr>
                      <w:t xml:space="preserve">vol. 6, no. 4, p. 119, 2026. </w:t>
                    </w:r>
                  </w:p>
                </w:tc>
              </w:tr>
              <w:tr w:rsidR="00803DBA" w14:paraId="5DAF7DBC" w14:textId="77777777">
                <w:trPr>
                  <w:divId w:val="431820850"/>
                  <w:tblCellSpacing w:w="15" w:type="dxa"/>
                </w:trPr>
                <w:tc>
                  <w:tcPr>
                    <w:tcW w:w="50" w:type="pct"/>
                    <w:hideMark/>
                  </w:tcPr>
                  <w:p w14:paraId="59C0D870" w14:textId="77777777" w:rsidR="00803DBA" w:rsidRDefault="00803DBA">
                    <w:pPr>
                      <w:pStyle w:val="Bibliography"/>
                      <w:rPr>
                        <w:noProof/>
                      </w:rPr>
                    </w:pPr>
                    <w:r>
                      <w:rPr>
                        <w:noProof/>
                      </w:rPr>
                      <w:t xml:space="preserve">[9] </w:t>
                    </w:r>
                  </w:p>
                </w:tc>
                <w:tc>
                  <w:tcPr>
                    <w:tcW w:w="0" w:type="auto"/>
                    <w:hideMark/>
                  </w:tcPr>
                  <w:p w14:paraId="563C2DA2" w14:textId="77777777" w:rsidR="00803DBA" w:rsidRDefault="00803DBA">
                    <w:pPr>
                      <w:pStyle w:val="Bibliography"/>
                      <w:rPr>
                        <w:noProof/>
                      </w:rPr>
                    </w:pPr>
                    <w:r>
                      <w:rPr>
                        <w:noProof/>
                      </w:rPr>
                      <w:t xml:space="preserve">M. S. Merkow and J. Breithaupt, Information Security: Principles and Practices, Indianapolis, IN, 2014. </w:t>
                    </w:r>
                  </w:p>
                </w:tc>
              </w:tr>
              <w:tr w:rsidR="00803DBA" w14:paraId="0CA8CF03" w14:textId="77777777">
                <w:trPr>
                  <w:divId w:val="431820850"/>
                  <w:tblCellSpacing w:w="15" w:type="dxa"/>
                </w:trPr>
                <w:tc>
                  <w:tcPr>
                    <w:tcW w:w="50" w:type="pct"/>
                    <w:hideMark/>
                  </w:tcPr>
                  <w:p w14:paraId="307785FE" w14:textId="77777777" w:rsidR="00803DBA" w:rsidRDefault="00803DBA">
                    <w:pPr>
                      <w:pStyle w:val="Bibliography"/>
                      <w:rPr>
                        <w:noProof/>
                      </w:rPr>
                    </w:pPr>
                    <w:r>
                      <w:rPr>
                        <w:noProof/>
                      </w:rPr>
                      <w:t xml:space="preserve">[10] </w:t>
                    </w:r>
                  </w:p>
                </w:tc>
                <w:tc>
                  <w:tcPr>
                    <w:tcW w:w="0" w:type="auto"/>
                    <w:hideMark/>
                  </w:tcPr>
                  <w:p w14:paraId="745C1BF0" w14:textId="77777777" w:rsidR="00803DBA" w:rsidRDefault="00803DBA">
                    <w:pPr>
                      <w:pStyle w:val="Bibliography"/>
                      <w:rPr>
                        <w:noProof/>
                      </w:rPr>
                    </w:pPr>
                    <w:r>
                      <w:rPr>
                        <w:noProof/>
                      </w:rPr>
                      <w:t xml:space="preserve">M. Malatji, “Management of Enterprise Cyber Security: A Review of ISO/IEC 27001:2022,” in </w:t>
                    </w:r>
                    <w:r>
                      <w:rPr>
                        <w:i/>
                        <w:iCs/>
                        <w:noProof/>
                      </w:rPr>
                      <w:t>2023 International Conference on Cyber Management and Engineering (CyMaEn)</w:t>
                    </w:r>
                    <w:r>
                      <w:rPr>
                        <w:noProof/>
                      </w:rPr>
                      <w:t xml:space="preserve">, 2023. </w:t>
                    </w:r>
                  </w:p>
                </w:tc>
              </w:tr>
              <w:tr w:rsidR="00803DBA" w14:paraId="7CB816A6" w14:textId="77777777">
                <w:trPr>
                  <w:divId w:val="431820850"/>
                  <w:tblCellSpacing w:w="15" w:type="dxa"/>
                </w:trPr>
                <w:tc>
                  <w:tcPr>
                    <w:tcW w:w="50" w:type="pct"/>
                    <w:hideMark/>
                  </w:tcPr>
                  <w:p w14:paraId="431A4D47" w14:textId="77777777" w:rsidR="00803DBA" w:rsidRDefault="00803DBA">
                    <w:pPr>
                      <w:pStyle w:val="Bibliography"/>
                      <w:rPr>
                        <w:noProof/>
                      </w:rPr>
                    </w:pPr>
                    <w:r>
                      <w:rPr>
                        <w:noProof/>
                      </w:rPr>
                      <w:lastRenderedPageBreak/>
                      <w:t xml:space="preserve">[11] </w:t>
                    </w:r>
                  </w:p>
                </w:tc>
                <w:tc>
                  <w:tcPr>
                    <w:tcW w:w="0" w:type="auto"/>
                    <w:hideMark/>
                  </w:tcPr>
                  <w:p w14:paraId="6313768E" w14:textId="77777777" w:rsidR="00803DBA" w:rsidRDefault="00803DBA">
                    <w:pPr>
                      <w:pStyle w:val="Bibliography"/>
                      <w:rPr>
                        <w:noProof/>
                      </w:rPr>
                    </w:pPr>
                    <w:r>
                      <w:rPr>
                        <w:noProof/>
                      </w:rPr>
                      <w:t xml:space="preserve">M. Lockwood, “Good Governance for Terrestrial Protected Areas: A Framework, Principles and Performance Outcomes,” </w:t>
                    </w:r>
                    <w:r>
                      <w:rPr>
                        <w:i/>
                        <w:iCs/>
                        <w:noProof/>
                      </w:rPr>
                      <w:t xml:space="preserve">Journal of Environmental Management, </w:t>
                    </w:r>
                    <w:r>
                      <w:rPr>
                        <w:noProof/>
                      </w:rPr>
                      <w:t xml:space="preserve">vol. 91, no. 3, p. 754–766, 2010. </w:t>
                    </w:r>
                  </w:p>
                </w:tc>
              </w:tr>
              <w:tr w:rsidR="00803DBA" w14:paraId="26927F97" w14:textId="77777777">
                <w:trPr>
                  <w:divId w:val="431820850"/>
                  <w:tblCellSpacing w:w="15" w:type="dxa"/>
                </w:trPr>
                <w:tc>
                  <w:tcPr>
                    <w:tcW w:w="50" w:type="pct"/>
                    <w:hideMark/>
                  </w:tcPr>
                  <w:p w14:paraId="3D49E22E" w14:textId="77777777" w:rsidR="00803DBA" w:rsidRDefault="00803DBA">
                    <w:pPr>
                      <w:pStyle w:val="Bibliography"/>
                      <w:rPr>
                        <w:noProof/>
                      </w:rPr>
                    </w:pPr>
                    <w:r>
                      <w:rPr>
                        <w:noProof/>
                      </w:rPr>
                      <w:t xml:space="preserve">[12] </w:t>
                    </w:r>
                  </w:p>
                </w:tc>
                <w:tc>
                  <w:tcPr>
                    <w:tcW w:w="0" w:type="auto"/>
                    <w:hideMark/>
                  </w:tcPr>
                  <w:p w14:paraId="5676CC8F" w14:textId="77777777" w:rsidR="00803DBA" w:rsidRDefault="00803DBA">
                    <w:pPr>
                      <w:pStyle w:val="Bibliography"/>
                      <w:rPr>
                        <w:noProof/>
                      </w:rPr>
                    </w:pPr>
                    <w:r>
                      <w:rPr>
                        <w:noProof/>
                      </w:rPr>
                      <w:t xml:space="preserve">A. Da Veiga, R. Vorster, F. Li, N. Clarke and S. M. Furnell, “Comparing the Protection and Use of Online Personal Information in South Africa and the United Kingdom in Line with Data Protection Requirements,” </w:t>
                    </w:r>
                    <w:r>
                      <w:rPr>
                        <w:i/>
                        <w:iCs/>
                        <w:noProof/>
                      </w:rPr>
                      <w:t xml:space="preserve">Information &amp; Computer Security, </w:t>
                    </w:r>
                    <w:r>
                      <w:rPr>
                        <w:noProof/>
                      </w:rPr>
                      <w:t xml:space="preserve">vol. 28, no. 3, p. 399–422, 2020. </w:t>
                    </w:r>
                  </w:p>
                </w:tc>
              </w:tr>
              <w:tr w:rsidR="00803DBA" w14:paraId="741539C5" w14:textId="77777777">
                <w:trPr>
                  <w:divId w:val="431820850"/>
                  <w:tblCellSpacing w:w="15" w:type="dxa"/>
                </w:trPr>
                <w:tc>
                  <w:tcPr>
                    <w:tcW w:w="50" w:type="pct"/>
                    <w:hideMark/>
                  </w:tcPr>
                  <w:p w14:paraId="5D357E13" w14:textId="77777777" w:rsidR="00803DBA" w:rsidRDefault="00803DBA">
                    <w:pPr>
                      <w:pStyle w:val="Bibliography"/>
                      <w:rPr>
                        <w:noProof/>
                      </w:rPr>
                    </w:pPr>
                    <w:r>
                      <w:rPr>
                        <w:noProof/>
                      </w:rPr>
                      <w:t xml:space="preserve">[13] </w:t>
                    </w:r>
                  </w:p>
                </w:tc>
                <w:tc>
                  <w:tcPr>
                    <w:tcW w:w="0" w:type="auto"/>
                    <w:hideMark/>
                  </w:tcPr>
                  <w:p w14:paraId="68327DE9" w14:textId="77777777" w:rsidR="00803DBA" w:rsidRDefault="00803DBA">
                    <w:pPr>
                      <w:pStyle w:val="Bibliography"/>
                      <w:rPr>
                        <w:noProof/>
                      </w:rPr>
                    </w:pPr>
                    <w:r>
                      <w:rPr>
                        <w:noProof/>
                      </w:rPr>
                      <w:t xml:space="preserve">H. A. Hussein and M. K. Jawad, “Evaluation of Risk Management in the Ministry Interior of Iraq According to the Standards (ISO 31000:2018),” </w:t>
                    </w:r>
                    <w:r>
                      <w:rPr>
                        <w:i/>
                        <w:iCs/>
                        <w:noProof/>
                      </w:rPr>
                      <w:t xml:space="preserve">Journal of Economics and Administrative Sciences, </w:t>
                    </w:r>
                    <w:r>
                      <w:rPr>
                        <w:noProof/>
                      </w:rPr>
                      <w:t xml:space="preserve">2024. </w:t>
                    </w:r>
                  </w:p>
                </w:tc>
              </w:tr>
              <w:tr w:rsidR="00803DBA" w14:paraId="103D2018" w14:textId="77777777">
                <w:trPr>
                  <w:divId w:val="431820850"/>
                  <w:tblCellSpacing w:w="15" w:type="dxa"/>
                </w:trPr>
                <w:tc>
                  <w:tcPr>
                    <w:tcW w:w="50" w:type="pct"/>
                    <w:hideMark/>
                  </w:tcPr>
                  <w:p w14:paraId="6D562A82" w14:textId="77777777" w:rsidR="00803DBA" w:rsidRDefault="00803DBA">
                    <w:pPr>
                      <w:pStyle w:val="Bibliography"/>
                      <w:rPr>
                        <w:noProof/>
                      </w:rPr>
                    </w:pPr>
                    <w:r>
                      <w:rPr>
                        <w:noProof/>
                      </w:rPr>
                      <w:t xml:space="preserve">[14] </w:t>
                    </w:r>
                  </w:p>
                </w:tc>
                <w:tc>
                  <w:tcPr>
                    <w:tcW w:w="0" w:type="auto"/>
                    <w:hideMark/>
                  </w:tcPr>
                  <w:p w14:paraId="1DA9A574" w14:textId="77777777" w:rsidR="00803DBA" w:rsidRDefault="00803DBA">
                    <w:pPr>
                      <w:pStyle w:val="Bibliography"/>
                      <w:rPr>
                        <w:noProof/>
                      </w:rPr>
                    </w:pPr>
                    <w:r>
                      <w:rPr>
                        <w:noProof/>
                      </w:rPr>
                      <w:t xml:space="preserve">V. Lalanne, M. Munier and A. Gabillon, “Information Security Risk Management in a World of Services,” in </w:t>
                    </w:r>
                    <w:r>
                      <w:rPr>
                        <w:i/>
                        <w:iCs/>
                        <w:noProof/>
                      </w:rPr>
                      <w:t>International Conference on Social Computing</w:t>
                    </w:r>
                    <w:r>
                      <w:rPr>
                        <w:noProof/>
                      </w:rPr>
                      <w:t xml:space="preserve">, 2013. </w:t>
                    </w:r>
                  </w:p>
                </w:tc>
              </w:tr>
              <w:tr w:rsidR="00803DBA" w14:paraId="121E51A1" w14:textId="77777777">
                <w:trPr>
                  <w:divId w:val="431820850"/>
                  <w:tblCellSpacing w:w="15" w:type="dxa"/>
                </w:trPr>
                <w:tc>
                  <w:tcPr>
                    <w:tcW w:w="50" w:type="pct"/>
                    <w:hideMark/>
                  </w:tcPr>
                  <w:p w14:paraId="1405011A" w14:textId="77777777" w:rsidR="00803DBA" w:rsidRDefault="00803DBA">
                    <w:pPr>
                      <w:pStyle w:val="Bibliography"/>
                      <w:rPr>
                        <w:noProof/>
                      </w:rPr>
                    </w:pPr>
                    <w:r>
                      <w:rPr>
                        <w:noProof/>
                      </w:rPr>
                      <w:t xml:space="preserve">[15] </w:t>
                    </w:r>
                  </w:p>
                </w:tc>
                <w:tc>
                  <w:tcPr>
                    <w:tcW w:w="0" w:type="auto"/>
                    <w:hideMark/>
                  </w:tcPr>
                  <w:p w14:paraId="1F0807C2" w14:textId="77777777" w:rsidR="00803DBA" w:rsidRDefault="00803DBA">
                    <w:pPr>
                      <w:pStyle w:val="Bibliography"/>
                      <w:rPr>
                        <w:noProof/>
                      </w:rPr>
                    </w:pPr>
                    <w:r>
                      <w:rPr>
                        <w:noProof/>
                      </w:rPr>
                      <w:t xml:space="preserve">D. W. Hubbard and R. Seiersen, How to Measure Anything in Cybersecurity Risk, Hoboken, New Jersey: Wiley, 2023. </w:t>
                    </w:r>
                  </w:p>
                </w:tc>
              </w:tr>
              <w:tr w:rsidR="00803DBA" w14:paraId="26CE4231" w14:textId="77777777">
                <w:trPr>
                  <w:divId w:val="431820850"/>
                  <w:tblCellSpacing w:w="15" w:type="dxa"/>
                </w:trPr>
                <w:tc>
                  <w:tcPr>
                    <w:tcW w:w="50" w:type="pct"/>
                    <w:hideMark/>
                  </w:tcPr>
                  <w:p w14:paraId="302E5126" w14:textId="77777777" w:rsidR="00803DBA" w:rsidRDefault="00803DBA">
                    <w:pPr>
                      <w:pStyle w:val="Bibliography"/>
                      <w:rPr>
                        <w:noProof/>
                      </w:rPr>
                    </w:pPr>
                    <w:r>
                      <w:rPr>
                        <w:noProof/>
                      </w:rPr>
                      <w:t xml:space="preserve">[16] </w:t>
                    </w:r>
                  </w:p>
                </w:tc>
                <w:tc>
                  <w:tcPr>
                    <w:tcW w:w="0" w:type="auto"/>
                    <w:hideMark/>
                  </w:tcPr>
                  <w:p w14:paraId="7BEBF977" w14:textId="77777777" w:rsidR="00803DBA" w:rsidRDefault="00803DBA">
                    <w:pPr>
                      <w:pStyle w:val="Bibliography"/>
                      <w:rPr>
                        <w:noProof/>
                      </w:rPr>
                    </w:pPr>
                    <w:r>
                      <w:rPr>
                        <w:noProof/>
                      </w:rPr>
                      <w:t xml:space="preserve">A. Calder, Implementing Information Security Based on ISO 27001/ISO 27002, Zaltbommel: Van Haren Publishing, 2020. </w:t>
                    </w:r>
                  </w:p>
                </w:tc>
              </w:tr>
              <w:tr w:rsidR="00803DBA" w14:paraId="53545B5B" w14:textId="77777777">
                <w:trPr>
                  <w:divId w:val="431820850"/>
                  <w:tblCellSpacing w:w="15" w:type="dxa"/>
                </w:trPr>
                <w:tc>
                  <w:tcPr>
                    <w:tcW w:w="50" w:type="pct"/>
                    <w:hideMark/>
                  </w:tcPr>
                  <w:p w14:paraId="51CE244C" w14:textId="77777777" w:rsidR="00803DBA" w:rsidRDefault="00803DBA">
                    <w:pPr>
                      <w:pStyle w:val="Bibliography"/>
                      <w:rPr>
                        <w:noProof/>
                      </w:rPr>
                    </w:pPr>
                    <w:r>
                      <w:rPr>
                        <w:noProof/>
                      </w:rPr>
                      <w:t xml:space="preserve">[17] </w:t>
                    </w:r>
                  </w:p>
                </w:tc>
                <w:tc>
                  <w:tcPr>
                    <w:tcW w:w="0" w:type="auto"/>
                    <w:hideMark/>
                  </w:tcPr>
                  <w:p w14:paraId="6C5350EC" w14:textId="77777777" w:rsidR="00803DBA" w:rsidRDefault="00803DBA">
                    <w:pPr>
                      <w:pStyle w:val="Bibliography"/>
                      <w:rPr>
                        <w:noProof/>
                      </w:rPr>
                    </w:pPr>
                    <w:r>
                      <w:rPr>
                        <w:noProof/>
                      </w:rPr>
                      <w:t xml:space="preserve">T. V. Kumar, Layered App Security Architecture for Protecting Sensitive Data, 2016. </w:t>
                    </w:r>
                  </w:p>
                </w:tc>
              </w:tr>
              <w:tr w:rsidR="00803DBA" w14:paraId="05DF98E5" w14:textId="77777777">
                <w:trPr>
                  <w:divId w:val="431820850"/>
                  <w:tblCellSpacing w:w="15" w:type="dxa"/>
                </w:trPr>
                <w:tc>
                  <w:tcPr>
                    <w:tcW w:w="50" w:type="pct"/>
                    <w:hideMark/>
                  </w:tcPr>
                  <w:p w14:paraId="66418201" w14:textId="77777777" w:rsidR="00803DBA" w:rsidRDefault="00803DBA">
                    <w:pPr>
                      <w:pStyle w:val="Bibliography"/>
                      <w:rPr>
                        <w:noProof/>
                      </w:rPr>
                    </w:pPr>
                    <w:r>
                      <w:rPr>
                        <w:noProof/>
                      </w:rPr>
                      <w:t xml:space="preserve">[18] </w:t>
                    </w:r>
                  </w:p>
                </w:tc>
                <w:tc>
                  <w:tcPr>
                    <w:tcW w:w="0" w:type="auto"/>
                    <w:hideMark/>
                  </w:tcPr>
                  <w:p w14:paraId="7A25594B" w14:textId="77777777" w:rsidR="00803DBA" w:rsidRDefault="00803DBA">
                    <w:pPr>
                      <w:pStyle w:val="Bibliography"/>
                      <w:rPr>
                        <w:noProof/>
                      </w:rPr>
                    </w:pPr>
                    <w:r>
                      <w:rPr>
                        <w:noProof/>
                      </w:rPr>
                      <w:t xml:space="preserve">L. Johnson, Security Controls Evaluation, Testing, and Assessment Handbook, Cambridge, Massachusetts: Academic Press, 2019. </w:t>
                    </w:r>
                  </w:p>
                </w:tc>
              </w:tr>
              <w:tr w:rsidR="00803DBA" w14:paraId="40A74B2D" w14:textId="77777777">
                <w:trPr>
                  <w:divId w:val="431820850"/>
                  <w:tblCellSpacing w:w="15" w:type="dxa"/>
                </w:trPr>
                <w:tc>
                  <w:tcPr>
                    <w:tcW w:w="50" w:type="pct"/>
                    <w:hideMark/>
                  </w:tcPr>
                  <w:p w14:paraId="6DF94C66" w14:textId="77777777" w:rsidR="00803DBA" w:rsidRDefault="00803DBA">
                    <w:pPr>
                      <w:pStyle w:val="Bibliography"/>
                      <w:rPr>
                        <w:noProof/>
                      </w:rPr>
                    </w:pPr>
                    <w:r>
                      <w:rPr>
                        <w:noProof/>
                      </w:rPr>
                      <w:t xml:space="preserve">[19] </w:t>
                    </w:r>
                  </w:p>
                </w:tc>
                <w:tc>
                  <w:tcPr>
                    <w:tcW w:w="0" w:type="auto"/>
                    <w:hideMark/>
                  </w:tcPr>
                  <w:p w14:paraId="0FF4E2A3" w14:textId="77777777" w:rsidR="00803DBA" w:rsidRDefault="00803DBA">
                    <w:pPr>
                      <w:pStyle w:val="Bibliography"/>
                      <w:rPr>
                        <w:noProof/>
                      </w:rPr>
                    </w:pPr>
                    <w:r>
                      <w:rPr>
                        <w:noProof/>
                      </w:rPr>
                      <w:t>International Organization for Standardization, “ISO 22301:2019 Security and Resilience—Business Continuity Management Systems—Requirements,” International Organization for Standardization, Geneva, 2019.</w:t>
                    </w:r>
                  </w:p>
                </w:tc>
              </w:tr>
              <w:tr w:rsidR="00803DBA" w14:paraId="40C395BE" w14:textId="77777777">
                <w:trPr>
                  <w:divId w:val="431820850"/>
                  <w:tblCellSpacing w:w="15" w:type="dxa"/>
                </w:trPr>
                <w:tc>
                  <w:tcPr>
                    <w:tcW w:w="50" w:type="pct"/>
                    <w:hideMark/>
                  </w:tcPr>
                  <w:p w14:paraId="6CFBCD85" w14:textId="77777777" w:rsidR="00803DBA" w:rsidRDefault="00803DBA">
                    <w:pPr>
                      <w:pStyle w:val="Bibliography"/>
                      <w:rPr>
                        <w:noProof/>
                      </w:rPr>
                    </w:pPr>
                    <w:r>
                      <w:rPr>
                        <w:noProof/>
                      </w:rPr>
                      <w:t xml:space="preserve">[20] </w:t>
                    </w:r>
                  </w:p>
                </w:tc>
                <w:tc>
                  <w:tcPr>
                    <w:tcW w:w="0" w:type="auto"/>
                    <w:hideMark/>
                  </w:tcPr>
                  <w:p w14:paraId="13084ECC" w14:textId="77777777" w:rsidR="00803DBA" w:rsidRDefault="00803DBA">
                    <w:pPr>
                      <w:pStyle w:val="Bibliography"/>
                      <w:rPr>
                        <w:noProof/>
                      </w:rPr>
                    </w:pPr>
                    <w:r>
                      <w:rPr>
                        <w:noProof/>
                      </w:rPr>
                      <w:t xml:space="preserve">A. AL-Hawamleh, Cyber Resilience Framework: Strengthening Defenses and Enhancing Continuity in Business Security, 2024. </w:t>
                    </w:r>
                  </w:p>
                </w:tc>
              </w:tr>
              <w:tr w:rsidR="00803DBA" w14:paraId="2EEE05B7" w14:textId="77777777">
                <w:trPr>
                  <w:divId w:val="431820850"/>
                  <w:tblCellSpacing w:w="15" w:type="dxa"/>
                </w:trPr>
                <w:tc>
                  <w:tcPr>
                    <w:tcW w:w="50" w:type="pct"/>
                    <w:hideMark/>
                  </w:tcPr>
                  <w:p w14:paraId="2A546541" w14:textId="77777777" w:rsidR="00803DBA" w:rsidRDefault="00803DBA">
                    <w:pPr>
                      <w:pStyle w:val="Bibliography"/>
                      <w:rPr>
                        <w:noProof/>
                      </w:rPr>
                    </w:pPr>
                    <w:r>
                      <w:rPr>
                        <w:noProof/>
                      </w:rPr>
                      <w:t xml:space="preserve">[21] </w:t>
                    </w:r>
                  </w:p>
                </w:tc>
                <w:tc>
                  <w:tcPr>
                    <w:tcW w:w="0" w:type="auto"/>
                    <w:hideMark/>
                  </w:tcPr>
                  <w:p w14:paraId="02BD302E" w14:textId="77777777" w:rsidR="00803DBA" w:rsidRDefault="00803DBA">
                    <w:pPr>
                      <w:pStyle w:val="Bibliography"/>
                      <w:rPr>
                        <w:noProof/>
                      </w:rPr>
                    </w:pPr>
                    <w:r>
                      <w:rPr>
                        <w:noProof/>
                      </w:rPr>
                      <w:t xml:space="preserve">A. Hiles , Business Continuity Management: Global Best Practices, Brookfield, Connecticut: Rothstein Publishing, 2014. </w:t>
                    </w:r>
                  </w:p>
                </w:tc>
              </w:tr>
              <w:tr w:rsidR="00803DBA" w14:paraId="4D650638" w14:textId="77777777">
                <w:trPr>
                  <w:divId w:val="431820850"/>
                  <w:tblCellSpacing w:w="15" w:type="dxa"/>
                </w:trPr>
                <w:tc>
                  <w:tcPr>
                    <w:tcW w:w="50" w:type="pct"/>
                    <w:hideMark/>
                  </w:tcPr>
                  <w:p w14:paraId="7C5E0F60" w14:textId="77777777" w:rsidR="00803DBA" w:rsidRDefault="00803DBA">
                    <w:pPr>
                      <w:pStyle w:val="Bibliography"/>
                      <w:rPr>
                        <w:noProof/>
                      </w:rPr>
                    </w:pPr>
                    <w:r>
                      <w:rPr>
                        <w:noProof/>
                      </w:rPr>
                      <w:t xml:space="preserve">[22] </w:t>
                    </w:r>
                  </w:p>
                </w:tc>
                <w:tc>
                  <w:tcPr>
                    <w:tcW w:w="0" w:type="auto"/>
                    <w:hideMark/>
                  </w:tcPr>
                  <w:p w14:paraId="3F80DB2C" w14:textId="77777777" w:rsidR="00803DBA" w:rsidRDefault="00803DBA">
                    <w:pPr>
                      <w:pStyle w:val="Bibliography"/>
                      <w:rPr>
                        <w:noProof/>
                      </w:rPr>
                    </w:pPr>
                    <w:r>
                      <w:rPr>
                        <w:noProof/>
                      </w:rPr>
                      <w:t xml:space="preserve">D. Blum, “Institute Resilience Through Detection, Response, and Recovery,” in </w:t>
                    </w:r>
                    <w:r>
                      <w:rPr>
                        <w:i/>
                        <w:iCs/>
                        <w:noProof/>
                      </w:rPr>
                      <w:t>Rational Cybersecurity for Business: The Security Leaders’ Guide to Business Alignment</w:t>
                    </w:r>
                    <w:r>
                      <w:rPr>
                        <w:noProof/>
                      </w:rPr>
                      <w:t>, Berkeley, California, Apress, 2020, p. 259–295.</w:t>
                    </w:r>
                  </w:p>
                </w:tc>
              </w:tr>
              <w:tr w:rsidR="00803DBA" w14:paraId="412AA652" w14:textId="77777777">
                <w:trPr>
                  <w:divId w:val="431820850"/>
                  <w:tblCellSpacing w:w="15" w:type="dxa"/>
                </w:trPr>
                <w:tc>
                  <w:tcPr>
                    <w:tcW w:w="50" w:type="pct"/>
                    <w:hideMark/>
                  </w:tcPr>
                  <w:p w14:paraId="37AC6703" w14:textId="77777777" w:rsidR="00803DBA" w:rsidRDefault="00803DBA">
                    <w:pPr>
                      <w:pStyle w:val="Bibliography"/>
                      <w:rPr>
                        <w:noProof/>
                      </w:rPr>
                    </w:pPr>
                    <w:r>
                      <w:rPr>
                        <w:noProof/>
                      </w:rPr>
                      <w:t xml:space="preserve">[23] </w:t>
                    </w:r>
                  </w:p>
                </w:tc>
                <w:tc>
                  <w:tcPr>
                    <w:tcW w:w="0" w:type="auto"/>
                    <w:hideMark/>
                  </w:tcPr>
                  <w:p w14:paraId="6BF8C1AB" w14:textId="77777777" w:rsidR="00803DBA" w:rsidRDefault="00803DBA">
                    <w:pPr>
                      <w:pStyle w:val="Bibliography"/>
                      <w:rPr>
                        <w:noProof/>
                      </w:rPr>
                    </w:pPr>
                    <w:r>
                      <w:rPr>
                        <w:noProof/>
                      </w:rPr>
                      <w:t>L. Bogoda, “Cybersecurity of Air Traffic Management and Aviation Systems: A Systems Engineering Approach to Risk Mitigation,” RMIT University, Melbourne, Australia, 2024.</w:t>
                    </w:r>
                  </w:p>
                </w:tc>
              </w:tr>
              <w:tr w:rsidR="00803DBA" w14:paraId="7AD097F8" w14:textId="77777777">
                <w:trPr>
                  <w:divId w:val="431820850"/>
                  <w:tblCellSpacing w:w="15" w:type="dxa"/>
                </w:trPr>
                <w:tc>
                  <w:tcPr>
                    <w:tcW w:w="50" w:type="pct"/>
                    <w:hideMark/>
                  </w:tcPr>
                  <w:p w14:paraId="1C3B7288" w14:textId="77777777" w:rsidR="00803DBA" w:rsidRDefault="00803DBA">
                    <w:pPr>
                      <w:pStyle w:val="Bibliography"/>
                      <w:rPr>
                        <w:noProof/>
                      </w:rPr>
                    </w:pPr>
                    <w:r>
                      <w:rPr>
                        <w:noProof/>
                      </w:rPr>
                      <w:t xml:space="preserve">[24] </w:t>
                    </w:r>
                  </w:p>
                </w:tc>
                <w:tc>
                  <w:tcPr>
                    <w:tcW w:w="0" w:type="auto"/>
                    <w:hideMark/>
                  </w:tcPr>
                  <w:p w14:paraId="2FA57D9C" w14:textId="77777777" w:rsidR="00803DBA" w:rsidRDefault="00803DBA">
                    <w:pPr>
                      <w:pStyle w:val="Bibliography"/>
                      <w:rPr>
                        <w:noProof/>
                      </w:rPr>
                    </w:pPr>
                    <w:r>
                      <w:rPr>
                        <w:noProof/>
                      </w:rPr>
                      <w:t xml:space="preserve">S. A. Zinkgraf, Six Sigma—The First 90 Days, Upper Saddle River, New Jersey, 2006. </w:t>
                    </w:r>
                  </w:p>
                </w:tc>
              </w:tr>
              <w:tr w:rsidR="00803DBA" w14:paraId="290F85EF" w14:textId="77777777">
                <w:trPr>
                  <w:divId w:val="431820850"/>
                  <w:tblCellSpacing w:w="15" w:type="dxa"/>
                </w:trPr>
                <w:tc>
                  <w:tcPr>
                    <w:tcW w:w="50" w:type="pct"/>
                    <w:hideMark/>
                  </w:tcPr>
                  <w:p w14:paraId="2F62FE2E" w14:textId="77777777" w:rsidR="00803DBA" w:rsidRDefault="00803DBA">
                    <w:pPr>
                      <w:pStyle w:val="Bibliography"/>
                      <w:rPr>
                        <w:noProof/>
                      </w:rPr>
                    </w:pPr>
                    <w:r>
                      <w:rPr>
                        <w:noProof/>
                      </w:rPr>
                      <w:lastRenderedPageBreak/>
                      <w:t xml:space="preserve">[25] </w:t>
                    </w:r>
                  </w:p>
                </w:tc>
                <w:tc>
                  <w:tcPr>
                    <w:tcW w:w="0" w:type="auto"/>
                    <w:hideMark/>
                  </w:tcPr>
                  <w:p w14:paraId="03BDF292" w14:textId="77777777" w:rsidR="00803DBA" w:rsidRDefault="00803DBA">
                    <w:pPr>
                      <w:pStyle w:val="Bibliography"/>
                      <w:rPr>
                        <w:noProof/>
                      </w:rPr>
                    </w:pPr>
                    <w:r>
                      <w:rPr>
                        <w:noProof/>
                      </w:rPr>
                      <w:t xml:space="preserve">G. Cokins, Performance Management: Finding the Missing Pieces (to Close the Intelligence Gap), Hoboken, New Jersey: John Wiley &amp; Sons, 2004. </w:t>
                    </w:r>
                  </w:p>
                </w:tc>
              </w:tr>
              <w:tr w:rsidR="00803DBA" w14:paraId="7BA0D840" w14:textId="77777777">
                <w:trPr>
                  <w:divId w:val="431820850"/>
                  <w:tblCellSpacing w:w="15" w:type="dxa"/>
                </w:trPr>
                <w:tc>
                  <w:tcPr>
                    <w:tcW w:w="50" w:type="pct"/>
                    <w:hideMark/>
                  </w:tcPr>
                  <w:p w14:paraId="5391F2D2" w14:textId="77777777" w:rsidR="00803DBA" w:rsidRDefault="00803DBA">
                    <w:pPr>
                      <w:pStyle w:val="Bibliography"/>
                      <w:rPr>
                        <w:noProof/>
                      </w:rPr>
                    </w:pPr>
                    <w:r>
                      <w:rPr>
                        <w:noProof/>
                      </w:rPr>
                      <w:t xml:space="preserve">[26] </w:t>
                    </w:r>
                  </w:p>
                </w:tc>
                <w:tc>
                  <w:tcPr>
                    <w:tcW w:w="0" w:type="auto"/>
                    <w:hideMark/>
                  </w:tcPr>
                  <w:p w14:paraId="211D49B1" w14:textId="77777777" w:rsidR="00803DBA" w:rsidRDefault="00803DBA">
                    <w:pPr>
                      <w:pStyle w:val="Bibliography"/>
                      <w:rPr>
                        <w:noProof/>
                      </w:rPr>
                    </w:pPr>
                    <w:r>
                      <w:rPr>
                        <w:noProof/>
                      </w:rPr>
                      <w:t xml:space="preserve">A. Ramos, M. Lazar, R. Holanda Filho and J. J. P. C. Rodrigues, “Model-Based Quantitative Network Security Metrics: A Survey,” </w:t>
                    </w:r>
                    <w:r>
                      <w:rPr>
                        <w:i/>
                        <w:iCs/>
                        <w:noProof/>
                      </w:rPr>
                      <w:t xml:space="preserve">IEEE Communications Surveys &amp; Tutorials, </w:t>
                    </w:r>
                    <w:r>
                      <w:rPr>
                        <w:noProof/>
                      </w:rPr>
                      <w:t xml:space="preserve">2017. </w:t>
                    </w:r>
                  </w:p>
                </w:tc>
              </w:tr>
            </w:tbl>
            <w:p w14:paraId="6494FDFE" w14:textId="77777777" w:rsidR="00803DBA" w:rsidRDefault="00803DBA">
              <w:pPr>
                <w:divId w:val="431820850"/>
                <w:rPr>
                  <w:rFonts w:eastAsia="Times New Roman"/>
                  <w:noProof/>
                </w:rPr>
              </w:pPr>
            </w:p>
            <w:p w14:paraId="7D268A8D" w14:textId="0FBB3CF0" w:rsidR="00803DBA" w:rsidRDefault="00803DBA">
              <w:r>
                <w:rPr>
                  <w:b/>
                  <w:bCs/>
                  <w:noProof/>
                </w:rPr>
                <w:fldChar w:fldCharType="end"/>
              </w:r>
            </w:p>
          </w:sdtContent>
        </w:sdt>
      </w:sdtContent>
    </w:sdt>
    <w:p w14:paraId="275A1710" w14:textId="77777777" w:rsidR="00DC3667" w:rsidRDefault="00DC3667">
      <w:pPr>
        <w:divId w:val="914901129"/>
        <w:rPr>
          <w:rFonts w:eastAsia="Times New Roman"/>
          <w:noProof/>
        </w:rPr>
      </w:pPr>
    </w:p>
    <w:p w14:paraId="5ABBE561" w14:textId="5BE392A2" w:rsidR="0089016E" w:rsidRPr="009B2979" w:rsidRDefault="002F3494" w:rsidP="0089016E">
      <w:pPr>
        <w:jc w:val="both"/>
        <w:rPr>
          <w:rFonts w:ascii="Times New Roman" w:hAnsi="Times New Roman" w:cs="Times New Roman"/>
          <w:b/>
          <w:bCs/>
          <w:sz w:val="32"/>
          <w:szCs w:val="32"/>
        </w:rPr>
      </w:pPr>
      <w:r>
        <w:rPr>
          <w:rFonts w:ascii="Times New Roman" w:hAnsi="Times New Roman" w:cs="Times New Roman"/>
          <w:b/>
          <w:bCs/>
          <w:sz w:val="32"/>
          <w:szCs w:val="32"/>
        </w:rPr>
        <w:fldChar w:fldCharType="end"/>
      </w:r>
    </w:p>
    <w:p w14:paraId="003BD158" w14:textId="77777777" w:rsidR="0089016E" w:rsidRPr="0089016E" w:rsidRDefault="0089016E" w:rsidP="00540C85">
      <w:pPr>
        <w:ind w:left="360"/>
        <w:jc w:val="both"/>
        <w:rPr>
          <w:rFonts w:ascii="Times New Roman" w:hAnsi="Times New Roman" w:cs="Times New Roman"/>
          <w:b/>
          <w:bCs/>
          <w:sz w:val="32"/>
          <w:szCs w:val="32"/>
        </w:rPr>
      </w:pPr>
    </w:p>
    <w:sectPr w:rsidR="0089016E" w:rsidRPr="0089016E" w:rsidSect="002231A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7310FF" w14:textId="77777777" w:rsidR="006B0F0E" w:rsidRDefault="006B0F0E" w:rsidP="003A1269">
      <w:pPr>
        <w:spacing w:after="0" w:line="240" w:lineRule="auto"/>
      </w:pPr>
      <w:r>
        <w:separator/>
      </w:r>
    </w:p>
  </w:endnote>
  <w:endnote w:type="continuationSeparator" w:id="0">
    <w:p w14:paraId="76B1C8CA" w14:textId="77777777" w:rsidR="006B0F0E" w:rsidRDefault="006B0F0E" w:rsidP="003A1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F5935B" w14:textId="2CE5E7D6" w:rsidR="003A1269" w:rsidRPr="00AD71FD" w:rsidRDefault="00A23FB8" w:rsidP="00AD71FD">
    <w:pPr>
      <w:pStyle w:val="Footer"/>
      <w:jc w:val="center"/>
      <w:rPr>
        <w:lang w:val="en-US"/>
      </w:rPr>
    </w:pPr>
    <w:r w:rsidRPr="00A23FB8">
      <w:rPr>
        <w:lang w:val="en-US"/>
      </w:rPr>
      <w:fldChar w:fldCharType="begin"/>
    </w:r>
    <w:r w:rsidRPr="00A23FB8">
      <w:rPr>
        <w:lang w:val="en-US"/>
      </w:rPr>
      <w:instrText xml:space="preserve"> PAGE   \* MERGEFORMAT </w:instrText>
    </w:r>
    <w:r w:rsidRPr="00A23FB8">
      <w:rPr>
        <w:lang w:val="en-US"/>
      </w:rPr>
      <w:fldChar w:fldCharType="separate"/>
    </w:r>
    <w:r w:rsidRPr="00A23FB8">
      <w:rPr>
        <w:b/>
        <w:bCs/>
        <w:noProof/>
        <w:lang w:val="en-US"/>
      </w:rPr>
      <w:t>1</w:t>
    </w:r>
    <w:r w:rsidRPr="00A23FB8">
      <w:rPr>
        <w:b/>
        <w:bCs/>
        <w:noProof/>
        <w:lang w:val="en-US"/>
      </w:rPr>
      <w:fldChar w:fldCharType="end"/>
    </w:r>
    <w:r w:rsidRPr="00A23FB8">
      <w:rPr>
        <w:b/>
        <w:bCs/>
        <w:lang w:val="en-US"/>
      </w:rPr>
      <w:t xml:space="preserve"> </w:t>
    </w:r>
    <w:r w:rsidRPr="00A23FB8">
      <w:rPr>
        <w:lang w:val="en-US"/>
      </w:rPr>
      <w:t>|</w:t>
    </w:r>
    <w:r w:rsidRPr="00A23FB8">
      <w:rPr>
        <w:b/>
        <w:bCs/>
        <w:lang w:val="en-US"/>
      </w:rPr>
      <w:t xml:space="preserve"> </w:t>
    </w:r>
    <w:r w:rsidRPr="00A23FB8">
      <w:rPr>
        <w:color w:val="7F7F7F" w:themeColor="background1" w:themeShade="7F"/>
        <w:spacing w:val="60"/>
        <w:lang w:val="en-US"/>
      </w:rPr>
      <w:t>Page</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9259021"/>
      <w:docPartObj>
        <w:docPartGallery w:val="Page Numbers (Bottom of Page)"/>
        <w:docPartUnique/>
      </w:docPartObj>
    </w:sdtPr>
    <w:sdtEndPr>
      <w:rPr>
        <w:noProof/>
      </w:rPr>
    </w:sdtEndPr>
    <w:sdtContent>
      <w:p w14:paraId="7EE0FC66" w14:textId="1DBFBF83" w:rsidR="00A23FB8" w:rsidRDefault="00A23F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270EEC" w14:textId="77777777" w:rsidR="00A23FB8" w:rsidRDefault="00A23F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E24BF9" w14:textId="77777777" w:rsidR="006B0F0E" w:rsidRDefault="006B0F0E" w:rsidP="003A1269">
      <w:pPr>
        <w:spacing w:after="0" w:line="240" w:lineRule="auto"/>
      </w:pPr>
      <w:r>
        <w:separator/>
      </w:r>
    </w:p>
  </w:footnote>
  <w:footnote w:type="continuationSeparator" w:id="0">
    <w:p w14:paraId="31DE2BAB" w14:textId="77777777" w:rsidR="006B0F0E" w:rsidRDefault="006B0F0E" w:rsidP="003A12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17FEA"/>
    <w:multiLevelType w:val="multilevel"/>
    <w:tmpl w:val="CCB82E50"/>
    <w:lvl w:ilvl="0">
      <w:start w:val="1"/>
      <w:numFmt w:val="decimal"/>
      <w:lvlText w:val="%1."/>
      <w:lvlJc w:val="left"/>
      <w:pPr>
        <w:ind w:left="644" w:hanging="360"/>
      </w:pPr>
    </w:lvl>
    <w:lvl w:ilvl="1">
      <w:start w:val="1"/>
      <w:numFmt w:val="decimal"/>
      <w:isLgl/>
      <w:lvlText w:val="%1.%2"/>
      <w:lvlJc w:val="left"/>
      <w:pPr>
        <w:ind w:left="1364" w:hanging="720"/>
      </w:pPr>
      <w:rPr>
        <w:rFonts w:hint="default"/>
      </w:rPr>
    </w:lvl>
    <w:lvl w:ilvl="2">
      <w:start w:val="1"/>
      <w:numFmt w:val="decimal"/>
      <w:isLgl/>
      <w:lvlText w:val="%1.%2.%3"/>
      <w:lvlJc w:val="left"/>
      <w:pPr>
        <w:ind w:left="1724" w:hanging="720"/>
      </w:pPr>
      <w:rPr>
        <w:rFonts w:hint="default"/>
      </w:rPr>
    </w:lvl>
    <w:lvl w:ilvl="3">
      <w:start w:val="1"/>
      <w:numFmt w:val="decimal"/>
      <w:isLgl/>
      <w:lvlText w:val="%1.%2.%3.%4"/>
      <w:lvlJc w:val="left"/>
      <w:pPr>
        <w:ind w:left="2444" w:hanging="1080"/>
      </w:pPr>
      <w:rPr>
        <w:rFonts w:hint="default"/>
      </w:rPr>
    </w:lvl>
    <w:lvl w:ilvl="4">
      <w:start w:val="1"/>
      <w:numFmt w:val="decimal"/>
      <w:isLgl/>
      <w:lvlText w:val="%1.%2.%3.%4.%5"/>
      <w:lvlJc w:val="left"/>
      <w:pPr>
        <w:ind w:left="3164" w:hanging="1440"/>
      </w:pPr>
      <w:rPr>
        <w:rFonts w:hint="default"/>
      </w:rPr>
    </w:lvl>
    <w:lvl w:ilvl="5">
      <w:start w:val="1"/>
      <w:numFmt w:val="decimal"/>
      <w:isLgl/>
      <w:lvlText w:val="%1.%2.%3.%4.%5.%6"/>
      <w:lvlJc w:val="left"/>
      <w:pPr>
        <w:ind w:left="3524" w:hanging="1440"/>
      </w:pPr>
      <w:rPr>
        <w:rFonts w:hint="default"/>
      </w:rPr>
    </w:lvl>
    <w:lvl w:ilvl="6">
      <w:start w:val="1"/>
      <w:numFmt w:val="decimal"/>
      <w:isLgl/>
      <w:lvlText w:val="%1.%2.%3.%4.%5.%6.%7"/>
      <w:lvlJc w:val="left"/>
      <w:pPr>
        <w:ind w:left="4244" w:hanging="1800"/>
      </w:pPr>
      <w:rPr>
        <w:rFonts w:hint="default"/>
      </w:rPr>
    </w:lvl>
    <w:lvl w:ilvl="7">
      <w:start w:val="1"/>
      <w:numFmt w:val="decimal"/>
      <w:isLgl/>
      <w:lvlText w:val="%1.%2.%3.%4.%5.%6.%7.%8"/>
      <w:lvlJc w:val="left"/>
      <w:pPr>
        <w:ind w:left="4964" w:hanging="2160"/>
      </w:pPr>
      <w:rPr>
        <w:rFonts w:hint="default"/>
      </w:rPr>
    </w:lvl>
    <w:lvl w:ilvl="8">
      <w:start w:val="1"/>
      <w:numFmt w:val="decimal"/>
      <w:isLgl/>
      <w:lvlText w:val="%1.%2.%3.%4.%5.%6.%7.%8.%9"/>
      <w:lvlJc w:val="left"/>
      <w:pPr>
        <w:ind w:left="5324" w:hanging="2160"/>
      </w:pPr>
      <w:rPr>
        <w:rFonts w:hint="default"/>
      </w:rPr>
    </w:lvl>
  </w:abstractNum>
  <w:abstractNum w:abstractNumId="1" w15:restartNumberingAfterBreak="0">
    <w:nsid w:val="186D3208"/>
    <w:multiLevelType w:val="hybridMultilevel"/>
    <w:tmpl w:val="260CFF7A"/>
    <w:lvl w:ilvl="0" w:tplc="FFFFFFFF">
      <w:start w:val="1"/>
      <w:numFmt w:val="decimal"/>
      <w:lvlText w:val="%1."/>
      <w:lvlJc w:val="left"/>
      <w:pPr>
        <w:ind w:left="64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70D67D6"/>
    <w:multiLevelType w:val="hybridMultilevel"/>
    <w:tmpl w:val="61D21E68"/>
    <w:lvl w:ilvl="0" w:tplc="FFFFFFFF">
      <w:start w:val="1"/>
      <w:numFmt w:val="decimal"/>
      <w:lvlText w:val="%1."/>
      <w:lvlJc w:val="left"/>
      <w:pPr>
        <w:ind w:left="720" w:hanging="360"/>
      </w:pPr>
    </w:lvl>
    <w:lvl w:ilvl="1" w:tplc="40090015">
      <w:start w:val="1"/>
      <w:numFmt w:val="upp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ED71D89"/>
    <w:multiLevelType w:val="hybridMultilevel"/>
    <w:tmpl w:val="260CFF7A"/>
    <w:lvl w:ilvl="0" w:tplc="FFFFFFFF">
      <w:start w:val="1"/>
      <w:numFmt w:val="decimal"/>
      <w:lvlText w:val="%1."/>
      <w:lvlJc w:val="left"/>
      <w:pPr>
        <w:ind w:left="64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04A4F16"/>
    <w:multiLevelType w:val="hybridMultilevel"/>
    <w:tmpl w:val="D5C473F0"/>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1B74B43"/>
    <w:multiLevelType w:val="hybridMultilevel"/>
    <w:tmpl w:val="260CFF7A"/>
    <w:lvl w:ilvl="0" w:tplc="FFFFFFFF">
      <w:start w:val="1"/>
      <w:numFmt w:val="decimal"/>
      <w:lvlText w:val="%1."/>
      <w:lvlJc w:val="left"/>
      <w:pPr>
        <w:ind w:left="64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28B1C44"/>
    <w:multiLevelType w:val="multilevel"/>
    <w:tmpl w:val="10F01286"/>
    <w:lvl w:ilvl="0">
      <w:start w:val="1"/>
      <w:numFmt w:val="decimal"/>
      <w:lvlText w:val="%1."/>
      <w:lvlJc w:val="left"/>
      <w:pPr>
        <w:ind w:left="644" w:hanging="360"/>
      </w:pPr>
      <w:rPr>
        <w:rFonts w:hint="default"/>
        <w:b/>
      </w:rPr>
    </w:lvl>
    <w:lvl w:ilvl="1">
      <w:start w:val="1"/>
      <w:numFmt w:val="decimal"/>
      <w:isLgl/>
      <w:lvlText w:val="%1.%2"/>
      <w:lvlJc w:val="left"/>
      <w:pPr>
        <w:ind w:left="1364" w:hanging="720"/>
      </w:pPr>
      <w:rPr>
        <w:rFonts w:hint="default"/>
      </w:rPr>
    </w:lvl>
    <w:lvl w:ilvl="2">
      <w:start w:val="1"/>
      <w:numFmt w:val="decimal"/>
      <w:isLgl/>
      <w:lvlText w:val="%1.%2.%3"/>
      <w:lvlJc w:val="left"/>
      <w:pPr>
        <w:ind w:left="1724" w:hanging="720"/>
      </w:pPr>
      <w:rPr>
        <w:rFonts w:hint="default"/>
      </w:rPr>
    </w:lvl>
    <w:lvl w:ilvl="3">
      <w:start w:val="1"/>
      <w:numFmt w:val="decimal"/>
      <w:isLgl/>
      <w:lvlText w:val="%1.%2.%3.%4"/>
      <w:lvlJc w:val="left"/>
      <w:pPr>
        <w:ind w:left="2444" w:hanging="1080"/>
      </w:pPr>
      <w:rPr>
        <w:rFonts w:hint="default"/>
      </w:rPr>
    </w:lvl>
    <w:lvl w:ilvl="4">
      <w:start w:val="1"/>
      <w:numFmt w:val="decimal"/>
      <w:isLgl/>
      <w:lvlText w:val="%1.%2.%3.%4.%5"/>
      <w:lvlJc w:val="left"/>
      <w:pPr>
        <w:ind w:left="3164" w:hanging="1440"/>
      </w:pPr>
      <w:rPr>
        <w:rFonts w:hint="default"/>
      </w:rPr>
    </w:lvl>
    <w:lvl w:ilvl="5">
      <w:start w:val="1"/>
      <w:numFmt w:val="decimal"/>
      <w:isLgl/>
      <w:lvlText w:val="%1.%2.%3.%4.%5.%6"/>
      <w:lvlJc w:val="left"/>
      <w:pPr>
        <w:ind w:left="3524" w:hanging="1440"/>
      </w:pPr>
      <w:rPr>
        <w:rFonts w:hint="default"/>
      </w:rPr>
    </w:lvl>
    <w:lvl w:ilvl="6">
      <w:start w:val="1"/>
      <w:numFmt w:val="decimal"/>
      <w:isLgl/>
      <w:lvlText w:val="%1.%2.%3.%4.%5.%6.%7"/>
      <w:lvlJc w:val="left"/>
      <w:pPr>
        <w:ind w:left="4244" w:hanging="1800"/>
      </w:pPr>
      <w:rPr>
        <w:rFonts w:hint="default"/>
      </w:rPr>
    </w:lvl>
    <w:lvl w:ilvl="7">
      <w:start w:val="1"/>
      <w:numFmt w:val="decimal"/>
      <w:isLgl/>
      <w:lvlText w:val="%1.%2.%3.%4.%5.%6.%7.%8"/>
      <w:lvlJc w:val="left"/>
      <w:pPr>
        <w:ind w:left="4964" w:hanging="2160"/>
      </w:pPr>
      <w:rPr>
        <w:rFonts w:hint="default"/>
      </w:rPr>
    </w:lvl>
    <w:lvl w:ilvl="8">
      <w:start w:val="1"/>
      <w:numFmt w:val="decimal"/>
      <w:isLgl/>
      <w:lvlText w:val="%1.%2.%3.%4.%5.%6.%7.%8.%9"/>
      <w:lvlJc w:val="left"/>
      <w:pPr>
        <w:ind w:left="5324" w:hanging="2160"/>
      </w:pPr>
      <w:rPr>
        <w:rFonts w:hint="default"/>
      </w:rPr>
    </w:lvl>
  </w:abstractNum>
  <w:abstractNum w:abstractNumId="7" w15:restartNumberingAfterBreak="0">
    <w:nsid w:val="42C54F18"/>
    <w:multiLevelType w:val="hybridMultilevel"/>
    <w:tmpl w:val="260CFF7A"/>
    <w:lvl w:ilvl="0" w:tplc="FFFFFFFF">
      <w:start w:val="1"/>
      <w:numFmt w:val="decimal"/>
      <w:lvlText w:val="%1."/>
      <w:lvlJc w:val="left"/>
      <w:pPr>
        <w:ind w:left="644"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AC87624"/>
    <w:multiLevelType w:val="multilevel"/>
    <w:tmpl w:val="D8747FD0"/>
    <w:lvl w:ilvl="0">
      <w:start w:val="1"/>
      <w:numFmt w:val="decimal"/>
      <w:lvlText w:val="%1."/>
      <w:lvlJc w:val="left"/>
      <w:pPr>
        <w:ind w:left="720" w:hanging="360"/>
      </w:pPr>
      <w:rPr>
        <w:rFonts w:hint="default"/>
        <w:b/>
        <w:i w:val="0"/>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9" w15:restartNumberingAfterBreak="0">
    <w:nsid w:val="5DFF5213"/>
    <w:multiLevelType w:val="hybridMultilevel"/>
    <w:tmpl w:val="5B7ADEA6"/>
    <w:lvl w:ilvl="0" w:tplc="4009000F">
      <w:start w:val="1"/>
      <w:numFmt w:val="decimal"/>
      <w:lvlText w:val="%1."/>
      <w:lvlJc w:val="left"/>
      <w:pPr>
        <w:ind w:left="720" w:hanging="360"/>
      </w:pPr>
      <w:rPr>
        <w:rFonts w:hint="default"/>
        <w:i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7183EE0"/>
    <w:multiLevelType w:val="hybridMultilevel"/>
    <w:tmpl w:val="291803B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68985DED"/>
    <w:multiLevelType w:val="hybridMultilevel"/>
    <w:tmpl w:val="C5CA93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77611AEE"/>
    <w:multiLevelType w:val="multilevel"/>
    <w:tmpl w:val="07E2C0B2"/>
    <w:lvl w:ilvl="0">
      <w:start w:val="1"/>
      <w:numFmt w:val="decimal"/>
      <w:lvlText w:val="%1."/>
      <w:lvlJc w:val="left"/>
      <w:pPr>
        <w:ind w:left="644" w:hanging="360"/>
      </w:pPr>
    </w:lvl>
    <w:lvl w:ilvl="1">
      <w:start w:val="1"/>
      <w:numFmt w:val="decimal"/>
      <w:isLgl/>
      <w:lvlText w:val="%1.%2"/>
      <w:lvlJc w:val="left"/>
      <w:pPr>
        <w:ind w:left="1354" w:hanging="720"/>
      </w:pPr>
      <w:rPr>
        <w:rFonts w:hint="default"/>
      </w:rPr>
    </w:lvl>
    <w:lvl w:ilvl="2">
      <w:start w:val="1"/>
      <w:numFmt w:val="decimal"/>
      <w:isLgl/>
      <w:lvlText w:val="%1.%2.%3"/>
      <w:lvlJc w:val="left"/>
      <w:pPr>
        <w:ind w:left="1724" w:hanging="720"/>
      </w:pPr>
      <w:rPr>
        <w:rFonts w:hint="default"/>
      </w:rPr>
    </w:lvl>
    <w:lvl w:ilvl="3">
      <w:start w:val="1"/>
      <w:numFmt w:val="decimal"/>
      <w:isLgl/>
      <w:lvlText w:val="%1.%2.%3.%4"/>
      <w:lvlJc w:val="left"/>
      <w:pPr>
        <w:ind w:left="2444" w:hanging="1080"/>
      </w:pPr>
      <w:rPr>
        <w:rFonts w:hint="default"/>
      </w:rPr>
    </w:lvl>
    <w:lvl w:ilvl="4">
      <w:start w:val="1"/>
      <w:numFmt w:val="decimal"/>
      <w:isLgl/>
      <w:lvlText w:val="%1.%2.%3.%4.%5"/>
      <w:lvlJc w:val="left"/>
      <w:pPr>
        <w:ind w:left="3164" w:hanging="1440"/>
      </w:pPr>
      <w:rPr>
        <w:rFonts w:hint="default"/>
      </w:rPr>
    </w:lvl>
    <w:lvl w:ilvl="5">
      <w:start w:val="1"/>
      <w:numFmt w:val="decimal"/>
      <w:isLgl/>
      <w:lvlText w:val="%1.%2.%3.%4.%5.%6"/>
      <w:lvlJc w:val="left"/>
      <w:pPr>
        <w:ind w:left="3524" w:hanging="1440"/>
      </w:pPr>
      <w:rPr>
        <w:rFonts w:hint="default"/>
      </w:rPr>
    </w:lvl>
    <w:lvl w:ilvl="6">
      <w:start w:val="1"/>
      <w:numFmt w:val="decimal"/>
      <w:isLgl/>
      <w:lvlText w:val="%1.%2.%3.%4.%5.%6.%7"/>
      <w:lvlJc w:val="left"/>
      <w:pPr>
        <w:ind w:left="4244" w:hanging="1800"/>
      </w:pPr>
      <w:rPr>
        <w:rFonts w:hint="default"/>
      </w:rPr>
    </w:lvl>
    <w:lvl w:ilvl="7">
      <w:start w:val="1"/>
      <w:numFmt w:val="decimal"/>
      <w:isLgl/>
      <w:lvlText w:val="%1.%2.%3.%4.%5.%6.%7.%8"/>
      <w:lvlJc w:val="left"/>
      <w:pPr>
        <w:ind w:left="4964" w:hanging="2160"/>
      </w:pPr>
      <w:rPr>
        <w:rFonts w:hint="default"/>
      </w:rPr>
    </w:lvl>
    <w:lvl w:ilvl="8">
      <w:start w:val="1"/>
      <w:numFmt w:val="decimal"/>
      <w:isLgl/>
      <w:lvlText w:val="%1.%2.%3.%4.%5.%6.%7.%8.%9"/>
      <w:lvlJc w:val="left"/>
      <w:pPr>
        <w:ind w:left="5324" w:hanging="2160"/>
      </w:pPr>
      <w:rPr>
        <w:rFonts w:hint="default"/>
      </w:rPr>
    </w:lvl>
  </w:abstractNum>
  <w:num w:numId="1" w16cid:durableId="1396508945">
    <w:abstractNumId w:val="12"/>
  </w:num>
  <w:num w:numId="2" w16cid:durableId="378170668">
    <w:abstractNumId w:val="6"/>
  </w:num>
  <w:num w:numId="3" w16cid:durableId="1878617044">
    <w:abstractNumId w:val="11"/>
  </w:num>
  <w:num w:numId="4" w16cid:durableId="1577088405">
    <w:abstractNumId w:val="10"/>
  </w:num>
  <w:num w:numId="5" w16cid:durableId="1393507728">
    <w:abstractNumId w:val="0"/>
  </w:num>
  <w:num w:numId="6" w16cid:durableId="193465945">
    <w:abstractNumId w:val="8"/>
  </w:num>
  <w:num w:numId="7" w16cid:durableId="1433938762">
    <w:abstractNumId w:val="3"/>
  </w:num>
  <w:num w:numId="8" w16cid:durableId="483471948">
    <w:abstractNumId w:val="7"/>
  </w:num>
  <w:num w:numId="9" w16cid:durableId="287929796">
    <w:abstractNumId w:val="5"/>
  </w:num>
  <w:num w:numId="10" w16cid:durableId="465704421">
    <w:abstractNumId w:val="1"/>
  </w:num>
  <w:num w:numId="11" w16cid:durableId="488642105">
    <w:abstractNumId w:val="4"/>
  </w:num>
  <w:num w:numId="12" w16cid:durableId="929898822">
    <w:abstractNumId w:val="2"/>
  </w:num>
  <w:num w:numId="13" w16cid:durableId="21043730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386"/>
    <w:rsid w:val="000278FC"/>
    <w:rsid w:val="0004377B"/>
    <w:rsid w:val="00044359"/>
    <w:rsid w:val="00082FA9"/>
    <w:rsid w:val="00083488"/>
    <w:rsid w:val="00090B78"/>
    <w:rsid w:val="000E3C3D"/>
    <w:rsid w:val="000E68BA"/>
    <w:rsid w:val="00121BB7"/>
    <w:rsid w:val="00181F7A"/>
    <w:rsid w:val="00197B33"/>
    <w:rsid w:val="001B1146"/>
    <w:rsid w:val="001E3B50"/>
    <w:rsid w:val="002010B1"/>
    <w:rsid w:val="00205ED8"/>
    <w:rsid w:val="002231AF"/>
    <w:rsid w:val="00226657"/>
    <w:rsid w:val="002304B2"/>
    <w:rsid w:val="002340E8"/>
    <w:rsid w:val="00243890"/>
    <w:rsid w:val="00261AB9"/>
    <w:rsid w:val="002766C3"/>
    <w:rsid w:val="002C215D"/>
    <w:rsid w:val="002F3494"/>
    <w:rsid w:val="00313E60"/>
    <w:rsid w:val="00343D20"/>
    <w:rsid w:val="003666C9"/>
    <w:rsid w:val="00396230"/>
    <w:rsid w:val="003A1269"/>
    <w:rsid w:val="003D5748"/>
    <w:rsid w:val="003F0F0B"/>
    <w:rsid w:val="00431AC3"/>
    <w:rsid w:val="004772DE"/>
    <w:rsid w:val="004830FD"/>
    <w:rsid w:val="004A3BF9"/>
    <w:rsid w:val="004C6D10"/>
    <w:rsid w:val="004D27CC"/>
    <w:rsid w:val="00540C85"/>
    <w:rsid w:val="00552D62"/>
    <w:rsid w:val="0057471C"/>
    <w:rsid w:val="0059644D"/>
    <w:rsid w:val="005A2516"/>
    <w:rsid w:val="005A41C5"/>
    <w:rsid w:val="005A5CC9"/>
    <w:rsid w:val="005B446C"/>
    <w:rsid w:val="005D265C"/>
    <w:rsid w:val="00605A1D"/>
    <w:rsid w:val="00621DA3"/>
    <w:rsid w:val="00634B71"/>
    <w:rsid w:val="00642386"/>
    <w:rsid w:val="0066427E"/>
    <w:rsid w:val="00683DFB"/>
    <w:rsid w:val="00691445"/>
    <w:rsid w:val="00692DEA"/>
    <w:rsid w:val="00697396"/>
    <w:rsid w:val="006A330F"/>
    <w:rsid w:val="006B0F0E"/>
    <w:rsid w:val="006B7A1B"/>
    <w:rsid w:val="006D67DD"/>
    <w:rsid w:val="006E4173"/>
    <w:rsid w:val="0071172A"/>
    <w:rsid w:val="007264C1"/>
    <w:rsid w:val="00752ACB"/>
    <w:rsid w:val="00753A3C"/>
    <w:rsid w:val="00754114"/>
    <w:rsid w:val="00766C6D"/>
    <w:rsid w:val="00772E2E"/>
    <w:rsid w:val="008000FC"/>
    <w:rsid w:val="00803DBA"/>
    <w:rsid w:val="0083330C"/>
    <w:rsid w:val="00863363"/>
    <w:rsid w:val="00864DCE"/>
    <w:rsid w:val="0089016E"/>
    <w:rsid w:val="008B6D19"/>
    <w:rsid w:val="008D5CF6"/>
    <w:rsid w:val="00907CCF"/>
    <w:rsid w:val="0091117C"/>
    <w:rsid w:val="0091754F"/>
    <w:rsid w:val="00920C7A"/>
    <w:rsid w:val="00933C0E"/>
    <w:rsid w:val="009B2979"/>
    <w:rsid w:val="009B6067"/>
    <w:rsid w:val="009C2DF3"/>
    <w:rsid w:val="009E4ECC"/>
    <w:rsid w:val="00A0539C"/>
    <w:rsid w:val="00A23FB8"/>
    <w:rsid w:val="00A6342E"/>
    <w:rsid w:val="00A71F4A"/>
    <w:rsid w:val="00A80C8D"/>
    <w:rsid w:val="00A8574B"/>
    <w:rsid w:val="00A94029"/>
    <w:rsid w:val="00AA3F3F"/>
    <w:rsid w:val="00AA4CE9"/>
    <w:rsid w:val="00AC5857"/>
    <w:rsid w:val="00AD71FD"/>
    <w:rsid w:val="00AE5493"/>
    <w:rsid w:val="00B23633"/>
    <w:rsid w:val="00B44015"/>
    <w:rsid w:val="00B465CC"/>
    <w:rsid w:val="00B53D2F"/>
    <w:rsid w:val="00B668F1"/>
    <w:rsid w:val="00B714AF"/>
    <w:rsid w:val="00B772F4"/>
    <w:rsid w:val="00BD6291"/>
    <w:rsid w:val="00C12950"/>
    <w:rsid w:val="00C300A2"/>
    <w:rsid w:val="00C57A7B"/>
    <w:rsid w:val="00C80AAD"/>
    <w:rsid w:val="00C908DD"/>
    <w:rsid w:val="00CB460D"/>
    <w:rsid w:val="00CC0CC3"/>
    <w:rsid w:val="00D57B04"/>
    <w:rsid w:val="00DB7EB8"/>
    <w:rsid w:val="00DC206D"/>
    <w:rsid w:val="00DC3667"/>
    <w:rsid w:val="00E148B0"/>
    <w:rsid w:val="00E22D90"/>
    <w:rsid w:val="00E41DC0"/>
    <w:rsid w:val="00E44239"/>
    <w:rsid w:val="00E821E1"/>
    <w:rsid w:val="00E90ADA"/>
    <w:rsid w:val="00EA09D8"/>
    <w:rsid w:val="00EA4CD9"/>
    <w:rsid w:val="00EC4A02"/>
    <w:rsid w:val="00ED1942"/>
    <w:rsid w:val="00ED243B"/>
    <w:rsid w:val="00ED38BC"/>
    <w:rsid w:val="00ED6920"/>
    <w:rsid w:val="00EF7C18"/>
    <w:rsid w:val="00F11F0A"/>
    <w:rsid w:val="00F14342"/>
    <w:rsid w:val="00F15D00"/>
    <w:rsid w:val="00F24EC0"/>
    <w:rsid w:val="00F40363"/>
    <w:rsid w:val="00F64341"/>
    <w:rsid w:val="00F7652F"/>
    <w:rsid w:val="00F843AC"/>
    <w:rsid w:val="00F86C2A"/>
    <w:rsid w:val="00F86EDB"/>
    <w:rsid w:val="00FB2200"/>
    <w:rsid w:val="00FD781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9B5C7D"/>
  <w15:chartTrackingRefBased/>
  <w15:docId w15:val="{8EEEF179-B151-4745-94A3-BE3C75D99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3C0E"/>
    <w:rPr>
      <w:lang w:val="en-GB"/>
    </w:rPr>
  </w:style>
  <w:style w:type="paragraph" w:styleId="Heading1">
    <w:name w:val="heading 1"/>
    <w:basedOn w:val="Normal"/>
    <w:next w:val="Normal"/>
    <w:link w:val="Heading1Char"/>
    <w:uiPriority w:val="9"/>
    <w:qFormat/>
    <w:rsid w:val="006A330F"/>
    <w:pPr>
      <w:keepNext/>
      <w:keepLines/>
      <w:spacing w:before="360" w:after="80"/>
      <w:outlineLvl w:val="0"/>
    </w:pPr>
    <w:rPr>
      <w:rFonts w:ascii="Times New Roman" w:eastAsiaTheme="majorEastAsia" w:hAnsi="Times New Roman" w:cstheme="majorBidi"/>
      <w:b/>
      <w:color w:val="000000" w:themeColor="text1"/>
      <w:sz w:val="30"/>
      <w:szCs w:val="40"/>
    </w:rPr>
  </w:style>
  <w:style w:type="paragraph" w:styleId="Heading2">
    <w:name w:val="heading 2"/>
    <w:aliases w:val="Table of Contents"/>
    <w:basedOn w:val="IndexHeading"/>
    <w:next w:val="Normal"/>
    <w:link w:val="Heading2Char"/>
    <w:uiPriority w:val="9"/>
    <w:unhideWhenUsed/>
    <w:qFormat/>
    <w:rsid w:val="00EA09D8"/>
    <w:pPr>
      <w:keepNext/>
      <w:keepLines/>
      <w:spacing w:before="160" w:after="80"/>
      <w:outlineLvl w:val="1"/>
    </w:pPr>
    <w:rPr>
      <w:rFonts w:ascii="Times New Roman" w:hAnsi="Times New Roman"/>
      <w:color w:val="000000" w:themeColor="text1"/>
      <w:sz w:val="30"/>
      <w:szCs w:val="32"/>
    </w:rPr>
  </w:style>
  <w:style w:type="paragraph" w:styleId="Heading3">
    <w:name w:val="heading 3"/>
    <w:basedOn w:val="Normal"/>
    <w:next w:val="Normal"/>
    <w:link w:val="Heading3Char"/>
    <w:uiPriority w:val="9"/>
    <w:unhideWhenUsed/>
    <w:qFormat/>
    <w:rsid w:val="0064238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238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238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23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3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3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3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30F"/>
    <w:rPr>
      <w:rFonts w:ascii="Times New Roman" w:eastAsiaTheme="majorEastAsia" w:hAnsi="Times New Roman" w:cstheme="majorBidi"/>
      <w:b/>
      <w:color w:val="000000" w:themeColor="text1"/>
      <w:sz w:val="30"/>
      <w:szCs w:val="40"/>
      <w:lang w:val="en-GB"/>
    </w:rPr>
  </w:style>
  <w:style w:type="character" w:customStyle="1" w:styleId="Heading2Char">
    <w:name w:val="Heading 2 Char"/>
    <w:aliases w:val="Table of Contents Char"/>
    <w:basedOn w:val="DefaultParagraphFont"/>
    <w:link w:val="Heading2"/>
    <w:uiPriority w:val="9"/>
    <w:rsid w:val="00EA09D8"/>
    <w:rPr>
      <w:rFonts w:ascii="Times New Roman" w:eastAsiaTheme="majorEastAsia" w:hAnsi="Times New Roman" w:cstheme="majorBidi"/>
      <w:b/>
      <w:bCs/>
      <w:color w:val="000000" w:themeColor="text1"/>
      <w:sz w:val="30"/>
      <w:szCs w:val="32"/>
      <w:lang w:val="en-GB"/>
    </w:rPr>
  </w:style>
  <w:style w:type="character" w:customStyle="1" w:styleId="Heading3Char">
    <w:name w:val="Heading 3 Char"/>
    <w:basedOn w:val="DefaultParagraphFont"/>
    <w:link w:val="Heading3"/>
    <w:uiPriority w:val="9"/>
    <w:rsid w:val="0064238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238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238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23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23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23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2386"/>
    <w:rPr>
      <w:rFonts w:eastAsiaTheme="majorEastAsia" w:cstheme="majorBidi"/>
      <w:color w:val="272727" w:themeColor="text1" w:themeTint="D8"/>
    </w:rPr>
  </w:style>
  <w:style w:type="paragraph" w:styleId="Title">
    <w:name w:val="Title"/>
    <w:basedOn w:val="Normal"/>
    <w:next w:val="Normal"/>
    <w:link w:val="TitleChar"/>
    <w:uiPriority w:val="10"/>
    <w:qFormat/>
    <w:rsid w:val="006423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3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23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23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386"/>
    <w:pPr>
      <w:spacing w:before="160"/>
      <w:jc w:val="center"/>
    </w:pPr>
    <w:rPr>
      <w:i/>
      <w:iCs/>
      <w:color w:val="404040" w:themeColor="text1" w:themeTint="BF"/>
    </w:rPr>
  </w:style>
  <w:style w:type="character" w:customStyle="1" w:styleId="QuoteChar">
    <w:name w:val="Quote Char"/>
    <w:basedOn w:val="DefaultParagraphFont"/>
    <w:link w:val="Quote"/>
    <w:uiPriority w:val="29"/>
    <w:rsid w:val="00642386"/>
    <w:rPr>
      <w:i/>
      <w:iCs/>
      <w:color w:val="404040" w:themeColor="text1" w:themeTint="BF"/>
    </w:rPr>
  </w:style>
  <w:style w:type="paragraph" w:styleId="ListParagraph">
    <w:name w:val="List Paragraph"/>
    <w:basedOn w:val="Normal"/>
    <w:uiPriority w:val="34"/>
    <w:qFormat/>
    <w:rsid w:val="00642386"/>
    <w:pPr>
      <w:ind w:left="720"/>
      <w:contextualSpacing/>
    </w:pPr>
  </w:style>
  <w:style w:type="character" w:styleId="IntenseEmphasis">
    <w:name w:val="Intense Emphasis"/>
    <w:basedOn w:val="DefaultParagraphFont"/>
    <w:uiPriority w:val="21"/>
    <w:qFormat/>
    <w:rsid w:val="00642386"/>
    <w:rPr>
      <w:i/>
      <w:iCs/>
      <w:color w:val="2F5496" w:themeColor="accent1" w:themeShade="BF"/>
    </w:rPr>
  </w:style>
  <w:style w:type="paragraph" w:styleId="IntenseQuote">
    <w:name w:val="Intense Quote"/>
    <w:basedOn w:val="Normal"/>
    <w:next w:val="Normal"/>
    <w:link w:val="IntenseQuoteChar"/>
    <w:uiPriority w:val="30"/>
    <w:qFormat/>
    <w:rsid w:val="0064238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2386"/>
    <w:rPr>
      <w:i/>
      <w:iCs/>
      <w:color w:val="2F5496" w:themeColor="accent1" w:themeShade="BF"/>
    </w:rPr>
  </w:style>
  <w:style w:type="character" w:styleId="IntenseReference">
    <w:name w:val="Intense Reference"/>
    <w:basedOn w:val="DefaultParagraphFont"/>
    <w:uiPriority w:val="32"/>
    <w:qFormat/>
    <w:rsid w:val="00642386"/>
    <w:rPr>
      <w:b/>
      <w:bCs/>
      <w:smallCaps/>
      <w:color w:val="2F5496" w:themeColor="accent1" w:themeShade="BF"/>
      <w:spacing w:val="5"/>
    </w:rPr>
  </w:style>
  <w:style w:type="paragraph" w:styleId="Bibliography">
    <w:name w:val="Bibliography"/>
    <w:basedOn w:val="Normal"/>
    <w:next w:val="Normal"/>
    <w:uiPriority w:val="37"/>
    <w:unhideWhenUsed/>
    <w:rsid w:val="000E68BA"/>
  </w:style>
  <w:style w:type="table" w:styleId="TableGrid">
    <w:name w:val="Table Grid"/>
    <w:basedOn w:val="TableNormal"/>
    <w:uiPriority w:val="39"/>
    <w:rsid w:val="00F11F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F24EC0"/>
    <w:pPr>
      <w:tabs>
        <w:tab w:val="decimal" w:pos="360"/>
      </w:tabs>
      <w:spacing w:after="200" w:line="276" w:lineRule="auto"/>
    </w:pPr>
    <w:rPr>
      <w:rFonts w:eastAsiaTheme="minorEastAsia" w:cs="Times New Roman"/>
      <w:kern w:val="0"/>
      <w:sz w:val="22"/>
      <w:szCs w:val="22"/>
      <w:lang w:val="en-US" w:bidi="ar-SA"/>
      <w14:ligatures w14:val="none"/>
    </w:rPr>
  </w:style>
  <w:style w:type="paragraph" w:styleId="FootnoteText">
    <w:name w:val="footnote text"/>
    <w:basedOn w:val="Normal"/>
    <w:link w:val="FootnoteTextChar"/>
    <w:uiPriority w:val="99"/>
    <w:unhideWhenUsed/>
    <w:rsid w:val="00F24EC0"/>
    <w:pPr>
      <w:spacing w:after="0" w:line="240" w:lineRule="auto"/>
    </w:pPr>
    <w:rPr>
      <w:rFonts w:eastAsiaTheme="minorEastAsia" w:cs="Times New Roman"/>
      <w:kern w:val="0"/>
      <w:sz w:val="20"/>
      <w:szCs w:val="20"/>
      <w:lang w:val="en-US" w:bidi="ar-SA"/>
      <w14:ligatures w14:val="none"/>
    </w:rPr>
  </w:style>
  <w:style w:type="character" w:customStyle="1" w:styleId="FootnoteTextChar">
    <w:name w:val="Footnote Text Char"/>
    <w:basedOn w:val="DefaultParagraphFont"/>
    <w:link w:val="FootnoteText"/>
    <w:uiPriority w:val="99"/>
    <w:rsid w:val="00F24EC0"/>
    <w:rPr>
      <w:rFonts w:eastAsiaTheme="minorEastAsia" w:cs="Times New Roman"/>
      <w:kern w:val="0"/>
      <w:sz w:val="20"/>
      <w:szCs w:val="20"/>
      <w:lang w:val="en-US" w:bidi="ar-SA"/>
      <w14:ligatures w14:val="none"/>
    </w:rPr>
  </w:style>
  <w:style w:type="character" w:styleId="SubtleEmphasis">
    <w:name w:val="Subtle Emphasis"/>
    <w:basedOn w:val="DefaultParagraphFont"/>
    <w:uiPriority w:val="19"/>
    <w:qFormat/>
    <w:rsid w:val="00F24EC0"/>
    <w:rPr>
      <w:i/>
      <w:iCs/>
    </w:rPr>
  </w:style>
  <w:style w:type="table" w:styleId="LightShading-Accent1">
    <w:name w:val="Light Shading Accent 1"/>
    <w:basedOn w:val="TableNormal"/>
    <w:uiPriority w:val="60"/>
    <w:rsid w:val="00F24EC0"/>
    <w:pPr>
      <w:spacing w:after="0" w:line="240" w:lineRule="auto"/>
    </w:pPr>
    <w:rPr>
      <w:rFonts w:eastAsiaTheme="minorEastAsia"/>
      <w:color w:val="2F5496" w:themeColor="accent1" w:themeShade="BF"/>
      <w:kern w:val="0"/>
      <w:sz w:val="22"/>
      <w:szCs w:val="22"/>
      <w:lang w:val="en-US" w:bidi="ar-SA"/>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character" w:styleId="Emphasis">
    <w:name w:val="Emphasis"/>
    <w:basedOn w:val="DefaultParagraphFont"/>
    <w:uiPriority w:val="20"/>
    <w:qFormat/>
    <w:rsid w:val="00DC3667"/>
    <w:rPr>
      <w:i/>
      <w:iCs/>
    </w:rPr>
  </w:style>
  <w:style w:type="paragraph" w:customStyle="1" w:styleId="tabletitle">
    <w:name w:val="table title"/>
    <w:basedOn w:val="Normal"/>
    <w:link w:val="tabletitleChar"/>
    <w:qFormat/>
    <w:rsid w:val="004830FD"/>
    <w:pPr>
      <w:jc w:val="center"/>
    </w:pPr>
    <w:rPr>
      <w:rFonts w:ascii="Times New Roman" w:hAnsi="Times New Roman" w:cs="Times New Roman"/>
      <w:i/>
      <w:iCs/>
    </w:rPr>
  </w:style>
  <w:style w:type="paragraph" w:customStyle="1" w:styleId="Tabletitle0">
    <w:name w:val="Table title"/>
    <w:basedOn w:val="tabletitle"/>
    <w:link w:val="TabletitleChar0"/>
    <w:qFormat/>
    <w:rsid w:val="004830FD"/>
  </w:style>
  <w:style w:type="character" w:customStyle="1" w:styleId="tabletitleChar">
    <w:name w:val="table title Char"/>
    <w:basedOn w:val="DefaultParagraphFont"/>
    <w:link w:val="tabletitle"/>
    <w:rsid w:val="004830FD"/>
    <w:rPr>
      <w:rFonts w:ascii="Times New Roman" w:hAnsi="Times New Roman" w:cs="Times New Roman"/>
      <w:i/>
      <w:iCs/>
      <w:lang w:val="en-GB"/>
    </w:rPr>
  </w:style>
  <w:style w:type="character" w:customStyle="1" w:styleId="TabletitleChar0">
    <w:name w:val="Table title Char"/>
    <w:basedOn w:val="tabletitleChar"/>
    <w:link w:val="Tabletitle0"/>
    <w:rsid w:val="004830FD"/>
    <w:rPr>
      <w:rFonts w:ascii="Times New Roman" w:hAnsi="Times New Roman" w:cs="Times New Roman"/>
      <w:i/>
      <w:iCs/>
      <w:lang w:val="en-GB"/>
    </w:rPr>
  </w:style>
  <w:style w:type="paragraph" w:customStyle="1" w:styleId="FigureTitle">
    <w:name w:val="Figure Title"/>
    <w:next w:val="Normal"/>
    <w:link w:val="FigureTitleChar"/>
    <w:qFormat/>
    <w:rsid w:val="00621DA3"/>
    <w:pPr>
      <w:jc w:val="center"/>
    </w:pPr>
    <w:rPr>
      <w:rFonts w:ascii="Times New Roman" w:hAnsi="Times New Roman" w:cs="Times New Roman"/>
      <w:bCs/>
      <w:i/>
      <w:szCs w:val="28"/>
      <w:lang w:val="en-GB"/>
    </w:rPr>
  </w:style>
  <w:style w:type="character" w:customStyle="1" w:styleId="FigureTitleChar">
    <w:name w:val="Figure Title Char"/>
    <w:basedOn w:val="DefaultParagraphFont"/>
    <w:link w:val="FigureTitle"/>
    <w:rsid w:val="00621DA3"/>
    <w:rPr>
      <w:rFonts w:ascii="Times New Roman" w:hAnsi="Times New Roman" w:cs="Times New Roman"/>
      <w:bCs/>
      <w:i/>
      <w:szCs w:val="28"/>
      <w:lang w:val="en-GB"/>
    </w:rPr>
  </w:style>
  <w:style w:type="paragraph" w:styleId="Header">
    <w:name w:val="header"/>
    <w:basedOn w:val="Normal"/>
    <w:link w:val="HeaderChar"/>
    <w:uiPriority w:val="99"/>
    <w:unhideWhenUsed/>
    <w:rsid w:val="003A12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269"/>
    <w:rPr>
      <w:lang w:val="en-GB"/>
    </w:rPr>
  </w:style>
  <w:style w:type="paragraph" w:styleId="Footer">
    <w:name w:val="footer"/>
    <w:basedOn w:val="Normal"/>
    <w:link w:val="FooterChar"/>
    <w:uiPriority w:val="99"/>
    <w:unhideWhenUsed/>
    <w:rsid w:val="003A12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269"/>
    <w:rPr>
      <w:lang w:val="en-GB"/>
    </w:rPr>
  </w:style>
  <w:style w:type="paragraph" w:styleId="NoSpacing">
    <w:name w:val="No Spacing"/>
    <w:link w:val="NoSpacingChar"/>
    <w:uiPriority w:val="1"/>
    <w:qFormat/>
    <w:rsid w:val="00A23FB8"/>
    <w:pPr>
      <w:spacing w:after="0" w:line="240" w:lineRule="auto"/>
    </w:pPr>
    <w:rPr>
      <w:rFonts w:eastAsiaTheme="minorEastAsia"/>
      <w:kern w:val="0"/>
      <w:sz w:val="22"/>
      <w:szCs w:val="22"/>
      <w:lang w:val="en-US" w:bidi="ar-SA"/>
      <w14:ligatures w14:val="none"/>
    </w:rPr>
  </w:style>
  <w:style w:type="character" w:customStyle="1" w:styleId="NoSpacingChar">
    <w:name w:val="No Spacing Char"/>
    <w:basedOn w:val="DefaultParagraphFont"/>
    <w:link w:val="NoSpacing"/>
    <w:uiPriority w:val="1"/>
    <w:rsid w:val="00A23FB8"/>
    <w:rPr>
      <w:rFonts w:eastAsiaTheme="minorEastAsia"/>
      <w:kern w:val="0"/>
      <w:sz w:val="22"/>
      <w:szCs w:val="22"/>
      <w:lang w:val="en-US" w:bidi="ar-SA"/>
      <w14:ligatures w14:val="none"/>
    </w:rPr>
  </w:style>
  <w:style w:type="paragraph" w:styleId="TOC2">
    <w:name w:val="toc 2"/>
    <w:basedOn w:val="Normal"/>
    <w:next w:val="Normal"/>
    <w:autoRedefine/>
    <w:uiPriority w:val="39"/>
    <w:unhideWhenUsed/>
    <w:rsid w:val="003666C9"/>
    <w:pPr>
      <w:spacing w:after="0"/>
      <w:ind w:left="240"/>
    </w:pPr>
    <w:rPr>
      <w:rFonts w:cs="Shruti"/>
      <w:smallCaps/>
      <w:sz w:val="20"/>
      <w:szCs w:val="20"/>
    </w:rPr>
  </w:style>
  <w:style w:type="paragraph" w:styleId="TOC1">
    <w:name w:val="toc 1"/>
    <w:basedOn w:val="Normal"/>
    <w:next w:val="Normal"/>
    <w:autoRedefine/>
    <w:uiPriority w:val="39"/>
    <w:unhideWhenUsed/>
    <w:rsid w:val="003666C9"/>
    <w:pPr>
      <w:spacing w:before="120" w:after="120"/>
    </w:pPr>
    <w:rPr>
      <w:rFonts w:cs="Shruti"/>
      <w:b/>
      <w:bCs/>
      <w:caps/>
      <w:sz w:val="20"/>
      <w:szCs w:val="20"/>
    </w:rPr>
  </w:style>
  <w:style w:type="character" w:styleId="Hyperlink">
    <w:name w:val="Hyperlink"/>
    <w:basedOn w:val="DefaultParagraphFont"/>
    <w:uiPriority w:val="99"/>
    <w:unhideWhenUsed/>
    <w:rsid w:val="003666C9"/>
    <w:rPr>
      <w:color w:val="0563C1" w:themeColor="hyperlink"/>
      <w:u w:val="single"/>
    </w:rPr>
  </w:style>
  <w:style w:type="paragraph" w:styleId="TOCHeading">
    <w:name w:val="TOC Heading"/>
    <w:basedOn w:val="Heading1"/>
    <w:next w:val="Normal"/>
    <w:uiPriority w:val="39"/>
    <w:unhideWhenUsed/>
    <w:qFormat/>
    <w:rsid w:val="009C2DF3"/>
    <w:pPr>
      <w:spacing w:before="240" w:after="0" w:line="259" w:lineRule="auto"/>
      <w:outlineLvl w:val="9"/>
    </w:pPr>
    <w:rPr>
      <w:rFonts w:asciiTheme="majorHAnsi" w:hAnsiTheme="majorHAnsi"/>
      <w:b w:val="0"/>
      <w:color w:val="2F5496" w:themeColor="accent1" w:themeShade="BF"/>
      <w:kern w:val="0"/>
      <w:sz w:val="32"/>
      <w:szCs w:val="32"/>
      <w:lang w:val="en-US" w:bidi="ar-SA"/>
      <w14:ligatures w14:val="none"/>
    </w:rPr>
  </w:style>
  <w:style w:type="paragraph" w:styleId="TOC3">
    <w:name w:val="toc 3"/>
    <w:basedOn w:val="Normal"/>
    <w:next w:val="Normal"/>
    <w:autoRedefine/>
    <w:uiPriority w:val="39"/>
    <w:unhideWhenUsed/>
    <w:rsid w:val="009C2DF3"/>
    <w:pPr>
      <w:spacing w:after="0"/>
      <w:ind w:left="480"/>
    </w:pPr>
    <w:rPr>
      <w:rFonts w:cs="Shruti"/>
      <w:i/>
      <w:iCs/>
      <w:sz w:val="20"/>
      <w:szCs w:val="20"/>
    </w:rPr>
  </w:style>
  <w:style w:type="paragraph" w:styleId="TOC4">
    <w:name w:val="toc 4"/>
    <w:basedOn w:val="Normal"/>
    <w:next w:val="Normal"/>
    <w:autoRedefine/>
    <w:uiPriority w:val="39"/>
    <w:unhideWhenUsed/>
    <w:rsid w:val="009C2DF3"/>
    <w:pPr>
      <w:spacing w:after="0"/>
      <w:ind w:left="720"/>
    </w:pPr>
    <w:rPr>
      <w:rFonts w:cs="Shruti"/>
      <w:sz w:val="18"/>
      <w:szCs w:val="18"/>
    </w:rPr>
  </w:style>
  <w:style w:type="paragraph" w:styleId="TOC5">
    <w:name w:val="toc 5"/>
    <w:basedOn w:val="Normal"/>
    <w:next w:val="Normal"/>
    <w:autoRedefine/>
    <w:uiPriority w:val="39"/>
    <w:unhideWhenUsed/>
    <w:rsid w:val="009C2DF3"/>
    <w:pPr>
      <w:spacing w:after="0"/>
      <w:ind w:left="960"/>
    </w:pPr>
    <w:rPr>
      <w:rFonts w:cs="Shruti"/>
      <w:sz w:val="18"/>
      <w:szCs w:val="18"/>
    </w:rPr>
  </w:style>
  <w:style w:type="paragraph" w:styleId="TOC6">
    <w:name w:val="toc 6"/>
    <w:basedOn w:val="Normal"/>
    <w:next w:val="Normal"/>
    <w:autoRedefine/>
    <w:uiPriority w:val="39"/>
    <w:unhideWhenUsed/>
    <w:rsid w:val="009C2DF3"/>
    <w:pPr>
      <w:spacing w:after="0"/>
      <w:ind w:left="1200"/>
    </w:pPr>
    <w:rPr>
      <w:rFonts w:cs="Shruti"/>
      <w:sz w:val="18"/>
      <w:szCs w:val="18"/>
    </w:rPr>
  </w:style>
  <w:style w:type="paragraph" w:styleId="TOC7">
    <w:name w:val="toc 7"/>
    <w:basedOn w:val="Normal"/>
    <w:next w:val="Normal"/>
    <w:autoRedefine/>
    <w:uiPriority w:val="39"/>
    <w:unhideWhenUsed/>
    <w:rsid w:val="009C2DF3"/>
    <w:pPr>
      <w:spacing w:after="0"/>
      <w:ind w:left="1440"/>
    </w:pPr>
    <w:rPr>
      <w:rFonts w:cs="Shruti"/>
      <w:sz w:val="18"/>
      <w:szCs w:val="18"/>
    </w:rPr>
  </w:style>
  <w:style w:type="paragraph" w:styleId="TOC8">
    <w:name w:val="toc 8"/>
    <w:basedOn w:val="Normal"/>
    <w:next w:val="Normal"/>
    <w:autoRedefine/>
    <w:uiPriority w:val="39"/>
    <w:unhideWhenUsed/>
    <w:rsid w:val="009C2DF3"/>
    <w:pPr>
      <w:spacing w:after="0"/>
      <w:ind w:left="1680"/>
    </w:pPr>
    <w:rPr>
      <w:rFonts w:cs="Shruti"/>
      <w:sz w:val="18"/>
      <w:szCs w:val="18"/>
    </w:rPr>
  </w:style>
  <w:style w:type="paragraph" w:styleId="TOC9">
    <w:name w:val="toc 9"/>
    <w:basedOn w:val="Normal"/>
    <w:next w:val="Normal"/>
    <w:autoRedefine/>
    <w:uiPriority w:val="39"/>
    <w:unhideWhenUsed/>
    <w:rsid w:val="009C2DF3"/>
    <w:pPr>
      <w:spacing w:after="0"/>
      <w:ind w:left="1920"/>
    </w:pPr>
    <w:rPr>
      <w:rFonts w:cs="Shruti"/>
      <w:sz w:val="18"/>
      <w:szCs w:val="18"/>
    </w:rPr>
  </w:style>
  <w:style w:type="paragraph" w:styleId="Index1">
    <w:name w:val="index 1"/>
    <w:basedOn w:val="Normal"/>
    <w:next w:val="Normal"/>
    <w:autoRedefine/>
    <w:uiPriority w:val="99"/>
    <w:semiHidden/>
    <w:unhideWhenUsed/>
    <w:rsid w:val="00AC5857"/>
    <w:pPr>
      <w:spacing w:after="0" w:line="240" w:lineRule="auto"/>
      <w:ind w:left="240" w:hanging="240"/>
    </w:pPr>
  </w:style>
  <w:style w:type="paragraph" w:styleId="IndexHeading">
    <w:name w:val="index heading"/>
    <w:basedOn w:val="Normal"/>
    <w:next w:val="Index1"/>
    <w:link w:val="IndexHeadingChar"/>
    <w:uiPriority w:val="99"/>
    <w:semiHidden/>
    <w:unhideWhenUsed/>
    <w:rsid w:val="00AC5857"/>
    <w:rPr>
      <w:rFonts w:asciiTheme="majorHAnsi" w:eastAsiaTheme="majorEastAsia" w:hAnsiTheme="majorHAnsi" w:cstheme="majorBidi"/>
      <w:b/>
      <w:bCs/>
    </w:rPr>
  </w:style>
  <w:style w:type="paragraph" w:customStyle="1" w:styleId="TableofContent">
    <w:name w:val="Table of Content"/>
    <w:basedOn w:val="IndexHeading"/>
    <w:link w:val="TableofContentChar"/>
    <w:qFormat/>
    <w:rsid w:val="00AC5857"/>
    <w:pPr>
      <w:jc w:val="center"/>
    </w:pPr>
    <w:rPr>
      <w:rFonts w:ascii="Times New Roman" w:eastAsiaTheme="minorHAnsi" w:hAnsi="Times New Roman" w:cs="Times New Roman"/>
      <w:sz w:val="36"/>
      <w:szCs w:val="36"/>
    </w:rPr>
  </w:style>
  <w:style w:type="character" w:customStyle="1" w:styleId="IndexHeadingChar">
    <w:name w:val="Index Heading Char"/>
    <w:basedOn w:val="DefaultParagraphFont"/>
    <w:link w:val="IndexHeading"/>
    <w:uiPriority w:val="99"/>
    <w:semiHidden/>
    <w:rsid w:val="00AC5857"/>
    <w:rPr>
      <w:rFonts w:asciiTheme="majorHAnsi" w:eastAsiaTheme="majorEastAsia" w:hAnsiTheme="majorHAnsi" w:cstheme="majorBidi"/>
      <w:b/>
      <w:bCs/>
      <w:lang w:val="en-GB"/>
    </w:rPr>
  </w:style>
  <w:style w:type="character" w:customStyle="1" w:styleId="TableofContentChar">
    <w:name w:val="Table of Content Char"/>
    <w:basedOn w:val="IndexHeadingChar"/>
    <w:link w:val="TableofContent"/>
    <w:rsid w:val="00AC5857"/>
    <w:rPr>
      <w:rFonts w:ascii="Times New Roman" w:eastAsiaTheme="majorEastAsia" w:hAnsi="Times New Roman" w:cs="Times New Roman"/>
      <w:b/>
      <w:bCs/>
      <w:sz w:val="36"/>
      <w:szCs w:val="36"/>
      <w:lang w:val="en-GB"/>
    </w:rPr>
  </w:style>
  <w:style w:type="paragraph" w:customStyle="1" w:styleId="H2">
    <w:name w:val="H2"/>
    <w:basedOn w:val="Normal"/>
    <w:link w:val="H2Char"/>
    <w:qFormat/>
    <w:rsid w:val="004772DE"/>
    <w:rPr>
      <w:rFonts w:ascii="Times New Roman" w:hAnsi="Times New Roman"/>
      <w:b/>
      <w:sz w:val="28"/>
    </w:rPr>
  </w:style>
  <w:style w:type="character" w:customStyle="1" w:styleId="H2Char">
    <w:name w:val="H2 Char"/>
    <w:basedOn w:val="DefaultParagraphFont"/>
    <w:link w:val="H2"/>
    <w:rsid w:val="004772DE"/>
    <w:rPr>
      <w:rFonts w:ascii="Times New Roman" w:hAnsi="Times New Roman"/>
      <w:b/>
      <w:sz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67041">
      <w:bodyDiv w:val="1"/>
      <w:marLeft w:val="0"/>
      <w:marRight w:val="0"/>
      <w:marTop w:val="0"/>
      <w:marBottom w:val="0"/>
      <w:divBdr>
        <w:top w:val="none" w:sz="0" w:space="0" w:color="auto"/>
        <w:left w:val="none" w:sz="0" w:space="0" w:color="auto"/>
        <w:bottom w:val="none" w:sz="0" w:space="0" w:color="auto"/>
        <w:right w:val="none" w:sz="0" w:space="0" w:color="auto"/>
      </w:divBdr>
    </w:div>
    <w:div w:id="7216052">
      <w:bodyDiv w:val="1"/>
      <w:marLeft w:val="0"/>
      <w:marRight w:val="0"/>
      <w:marTop w:val="0"/>
      <w:marBottom w:val="0"/>
      <w:divBdr>
        <w:top w:val="none" w:sz="0" w:space="0" w:color="auto"/>
        <w:left w:val="none" w:sz="0" w:space="0" w:color="auto"/>
        <w:bottom w:val="none" w:sz="0" w:space="0" w:color="auto"/>
        <w:right w:val="none" w:sz="0" w:space="0" w:color="auto"/>
      </w:divBdr>
    </w:div>
    <w:div w:id="41949553">
      <w:bodyDiv w:val="1"/>
      <w:marLeft w:val="0"/>
      <w:marRight w:val="0"/>
      <w:marTop w:val="0"/>
      <w:marBottom w:val="0"/>
      <w:divBdr>
        <w:top w:val="none" w:sz="0" w:space="0" w:color="auto"/>
        <w:left w:val="none" w:sz="0" w:space="0" w:color="auto"/>
        <w:bottom w:val="none" w:sz="0" w:space="0" w:color="auto"/>
        <w:right w:val="none" w:sz="0" w:space="0" w:color="auto"/>
      </w:divBdr>
    </w:div>
    <w:div w:id="60180209">
      <w:bodyDiv w:val="1"/>
      <w:marLeft w:val="0"/>
      <w:marRight w:val="0"/>
      <w:marTop w:val="0"/>
      <w:marBottom w:val="0"/>
      <w:divBdr>
        <w:top w:val="none" w:sz="0" w:space="0" w:color="auto"/>
        <w:left w:val="none" w:sz="0" w:space="0" w:color="auto"/>
        <w:bottom w:val="none" w:sz="0" w:space="0" w:color="auto"/>
        <w:right w:val="none" w:sz="0" w:space="0" w:color="auto"/>
      </w:divBdr>
    </w:div>
    <w:div w:id="74017707">
      <w:bodyDiv w:val="1"/>
      <w:marLeft w:val="0"/>
      <w:marRight w:val="0"/>
      <w:marTop w:val="0"/>
      <w:marBottom w:val="0"/>
      <w:divBdr>
        <w:top w:val="none" w:sz="0" w:space="0" w:color="auto"/>
        <w:left w:val="none" w:sz="0" w:space="0" w:color="auto"/>
        <w:bottom w:val="none" w:sz="0" w:space="0" w:color="auto"/>
        <w:right w:val="none" w:sz="0" w:space="0" w:color="auto"/>
      </w:divBdr>
    </w:div>
    <w:div w:id="80100968">
      <w:bodyDiv w:val="1"/>
      <w:marLeft w:val="0"/>
      <w:marRight w:val="0"/>
      <w:marTop w:val="0"/>
      <w:marBottom w:val="0"/>
      <w:divBdr>
        <w:top w:val="none" w:sz="0" w:space="0" w:color="auto"/>
        <w:left w:val="none" w:sz="0" w:space="0" w:color="auto"/>
        <w:bottom w:val="none" w:sz="0" w:space="0" w:color="auto"/>
        <w:right w:val="none" w:sz="0" w:space="0" w:color="auto"/>
      </w:divBdr>
    </w:div>
    <w:div w:id="81876189">
      <w:bodyDiv w:val="1"/>
      <w:marLeft w:val="0"/>
      <w:marRight w:val="0"/>
      <w:marTop w:val="0"/>
      <w:marBottom w:val="0"/>
      <w:divBdr>
        <w:top w:val="none" w:sz="0" w:space="0" w:color="auto"/>
        <w:left w:val="none" w:sz="0" w:space="0" w:color="auto"/>
        <w:bottom w:val="none" w:sz="0" w:space="0" w:color="auto"/>
        <w:right w:val="none" w:sz="0" w:space="0" w:color="auto"/>
      </w:divBdr>
    </w:div>
    <w:div w:id="82067046">
      <w:bodyDiv w:val="1"/>
      <w:marLeft w:val="0"/>
      <w:marRight w:val="0"/>
      <w:marTop w:val="0"/>
      <w:marBottom w:val="0"/>
      <w:divBdr>
        <w:top w:val="none" w:sz="0" w:space="0" w:color="auto"/>
        <w:left w:val="none" w:sz="0" w:space="0" w:color="auto"/>
        <w:bottom w:val="none" w:sz="0" w:space="0" w:color="auto"/>
        <w:right w:val="none" w:sz="0" w:space="0" w:color="auto"/>
      </w:divBdr>
    </w:div>
    <w:div w:id="82802865">
      <w:bodyDiv w:val="1"/>
      <w:marLeft w:val="0"/>
      <w:marRight w:val="0"/>
      <w:marTop w:val="0"/>
      <w:marBottom w:val="0"/>
      <w:divBdr>
        <w:top w:val="none" w:sz="0" w:space="0" w:color="auto"/>
        <w:left w:val="none" w:sz="0" w:space="0" w:color="auto"/>
        <w:bottom w:val="none" w:sz="0" w:space="0" w:color="auto"/>
        <w:right w:val="none" w:sz="0" w:space="0" w:color="auto"/>
      </w:divBdr>
    </w:div>
    <w:div w:id="88696749">
      <w:bodyDiv w:val="1"/>
      <w:marLeft w:val="0"/>
      <w:marRight w:val="0"/>
      <w:marTop w:val="0"/>
      <w:marBottom w:val="0"/>
      <w:divBdr>
        <w:top w:val="none" w:sz="0" w:space="0" w:color="auto"/>
        <w:left w:val="none" w:sz="0" w:space="0" w:color="auto"/>
        <w:bottom w:val="none" w:sz="0" w:space="0" w:color="auto"/>
        <w:right w:val="none" w:sz="0" w:space="0" w:color="auto"/>
      </w:divBdr>
    </w:div>
    <w:div w:id="91244702">
      <w:bodyDiv w:val="1"/>
      <w:marLeft w:val="0"/>
      <w:marRight w:val="0"/>
      <w:marTop w:val="0"/>
      <w:marBottom w:val="0"/>
      <w:divBdr>
        <w:top w:val="none" w:sz="0" w:space="0" w:color="auto"/>
        <w:left w:val="none" w:sz="0" w:space="0" w:color="auto"/>
        <w:bottom w:val="none" w:sz="0" w:space="0" w:color="auto"/>
        <w:right w:val="none" w:sz="0" w:space="0" w:color="auto"/>
      </w:divBdr>
    </w:div>
    <w:div w:id="102843580">
      <w:bodyDiv w:val="1"/>
      <w:marLeft w:val="0"/>
      <w:marRight w:val="0"/>
      <w:marTop w:val="0"/>
      <w:marBottom w:val="0"/>
      <w:divBdr>
        <w:top w:val="none" w:sz="0" w:space="0" w:color="auto"/>
        <w:left w:val="none" w:sz="0" w:space="0" w:color="auto"/>
        <w:bottom w:val="none" w:sz="0" w:space="0" w:color="auto"/>
        <w:right w:val="none" w:sz="0" w:space="0" w:color="auto"/>
      </w:divBdr>
    </w:div>
    <w:div w:id="112527721">
      <w:bodyDiv w:val="1"/>
      <w:marLeft w:val="0"/>
      <w:marRight w:val="0"/>
      <w:marTop w:val="0"/>
      <w:marBottom w:val="0"/>
      <w:divBdr>
        <w:top w:val="none" w:sz="0" w:space="0" w:color="auto"/>
        <w:left w:val="none" w:sz="0" w:space="0" w:color="auto"/>
        <w:bottom w:val="none" w:sz="0" w:space="0" w:color="auto"/>
        <w:right w:val="none" w:sz="0" w:space="0" w:color="auto"/>
      </w:divBdr>
    </w:div>
    <w:div w:id="123891109">
      <w:bodyDiv w:val="1"/>
      <w:marLeft w:val="0"/>
      <w:marRight w:val="0"/>
      <w:marTop w:val="0"/>
      <w:marBottom w:val="0"/>
      <w:divBdr>
        <w:top w:val="none" w:sz="0" w:space="0" w:color="auto"/>
        <w:left w:val="none" w:sz="0" w:space="0" w:color="auto"/>
        <w:bottom w:val="none" w:sz="0" w:space="0" w:color="auto"/>
        <w:right w:val="none" w:sz="0" w:space="0" w:color="auto"/>
      </w:divBdr>
    </w:div>
    <w:div w:id="124084980">
      <w:bodyDiv w:val="1"/>
      <w:marLeft w:val="0"/>
      <w:marRight w:val="0"/>
      <w:marTop w:val="0"/>
      <w:marBottom w:val="0"/>
      <w:divBdr>
        <w:top w:val="none" w:sz="0" w:space="0" w:color="auto"/>
        <w:left w:val="none" w:sz="0" w:space="0" w:color="auto"/>
        <w:bottom w:val="none" w:sz="0" w:space="0" w:color="auto"/>
        <w:right w:val="none" w:sz="0" w:space="0" w:color="auto"/>
      </w:divBdr>
    </w:div>
    <w:div w:id="128866595">
      <w:bodyDiv w:val="1"/>
      <w:marLeft w:val="0"/>
      <w:marRight w:val="0"/>
      <w:marTop w:val="0"/>
      <w:marBottom w:val="0"/>
      <w:divBdr>
        <w:top w:val="none" w:sz="0" w:space="0" w:color="auto"/>
        <w:left w:val="none" w:sz="0" w:space="0" w:color="auto"/>
        <w:bottom w:val="none" w:sz="0" w:space="0" w:color="auto"/>
        <w:right w:val="none" w:sz="0" w:space="0" w:color="auto"/>
      </w:divBdr>
    </w:div>
    <w:div w:id="131364069">
      <w:bodyDiv w:val="1"/>
      <w:marLeft w:val="0"/>
      <w:marRight w:val="0"/>
      <w:marTop w:val="0"/>
      <w:marBottom w:val="0"/>
      <w:divBdr>
        <w:top w:val="none" w:sz="0" w:space="0" w:color="auto"/>
        <w:left w:val="none" w:sz="0" w:space="0" w:color="auto"/>
        <w:bottom w:val="none" w:sz="0" w:space="0" w:color="auto"/>
        <w:right w:val="none" w:sz="0" w:space="0" w:color="auto"/>
      </w:divBdr>
    </w:div>
    <w:div w:id="134027829">
      <w:bodyDiv w:val="1"/>
      <w:marLeft w:val="0"/>
      <w:marRight w:val="0"/>
      <w:marTop w:val="0"/>
      <w:marBottom w:val="0"/>
      <w:divBdr>
        <w:top w:val="none" w:sz="0" w:space="0" w:color="auto"/>
        <w:left w:val="none" w:sz="0" w:space="0" w:color="auto"/>
        <w:bottom w:val="none" w:sz="0" w:space="0" w:color="auto"/>
        <w:right w:val="none" w:sz="0" w:space="0" w:color="auto"/>
      </w:divBdr>
    </w:div>
    <w:div w:id="136921969">
      <w:bodyDiv w:val="1"/>
      <w:marLeft w:val="0"/>
      <w:marRight w:val="0"/>
      <w:marTop w:val="0"/>
      <w:marBottom w:val="0"/>
      <w:divBdr>
        <w:top w:val="none" w:sz="0" w:space="0" w:color="auto"/>
        <w:left w:val="none" w:sz="0" w:space="0" w:color="auto"/>
        <w:bottom w:val="none" w:sz="0" w:space="0" w:color="auto"/>
        <w:right w:val="none" w:sz="0" w:space="0" w:color="auto"/>
      </w:divBdr>
    </w:div>
    <w:div w:id="147138899">
      <w:bodyDiv w:val="1"/>
      <w:marLeft w:val="0"/>
      <w:marRight w:val="0"/>
      <w:marTop w:val="0"/>
      <w:marBottom w:val="0"/>
      <w:divBdr>
        <w:top w:val="none" w:sz="0" w:space="0" w:color="auto"/>
        <w:left w:val="none" w:sz="0" w:space="0" w:color="auto"/>
        <w:bottom w:val="none" w:sz="0" w:space="0" w:color="auto"/>
        <w:right w:val="none" w:sz="0" w:space="0" w:color="auto"/>
      </w:divBdr>
    </w:div>
    <w:div w:id="156774797">
      <w:bodyDiv w:val="1"/>
      <w:marLeft w:val="0"/>
      <w:marRight w:val="0"/>
      <w:marTop w:val="0"/>
      <w:marBottom w:val="0"/>
      <w:divBdr>
        <w:top w:val="none" w:sz="0" w:space="0" w:color="auto"/>
        <w:left w:val="none" w:sz="0" w:space="0" w:color="auto"/>
        <w:bottom w:val="none" w:sz="0" w:space="0" w:color="auto"/>
        <w:right w:val="none" w:sz="0" w:space="0" w:color="auto"/>
      </w:divBdr>
    </w:div>
    <w:div w:id="160120489">
      <w:bodyDiv w:val="1"/>
      <w:marLeft w:val="0"/>
      <w:marRight w:val="0"/>
      <w:marTop w:val="0"/>
      <w:marBottom w:val="0"/>
      <w:divBdr>
        <w:top w:val="none" w:sz="0" w:space="0" w:color="auto"/>
        <w:left w:val="none" w:sz="0" w:space="0" w:color="auto"/>
        <w:bottom w:val="none" w:sz="0" w:space="0" w:color="auto"/>
        <w:right w:val="none" w:sz="0" w:space="0" w:color="auto"/>
      </w:divBdr>
    </w:div>
    <w:div w:id="170221575">
      <w:bodyDiv w:val="1"/>
      <w:marLeft w:val="0"/>
      <w:marRight w:val="0"/>
      <w:marTop w:val="0"/>
      <w:marBottom w:val="0"/>
      <w:divBdr>
        <w:top w:val="none" w:sz="0" w:space="0" w:color="auto"/>
        <w:left w:val="none" w:sz="0" w:space="0" w:color="auto"/>
        <w:bottom w:val="none" w:sz="0" w:space="0" w:color="auto"/>
        <w:right w:val="none" w:sz="0" w:space="0" w:color="auto"/>
      </w:divBdr>
    </w:div>
    <w:div w:id="188686459">
      <w:bodyDiv w:val="1"/>
      <w:marLeft w:val="0"/>
      <w:marRight w:val="0"/>
      <w:marTop w:val="0"/>
      <w:marBottom w:val="0"/>
      <w:divBdr>
        <w:top w:val="none" w:sz="0" w:space="0" w:color="auto"/>
        <w:left w:val="none" w:sz="0" w:space="0" w:color="auto"/>
        <w:bottom w:val="none" w:sz="0" w:space="0" w:color="auto"/>
        <w:right w:val="none" w:sz="0" w:space="0" w:color="auto"/>
      </w:divBdr>
    </w:div>
    <w:div w:id="189222638">
      <w:bodyDiv w:val="1"/>
      <w:marLeft w:val="0"/>
      <w:marRight w:val="0"/>
      <w:marTop w:val="0"/>
      <w:marBottom w:val="0"/>
      <w:divBdr>
        <w:top w:val="none" w:sz="0" w:space="0" w:color="auto"/>
        <w:left w:val="none" w:sz="0" w:space="0" w:color="auto"/>
        <w:bottom w:val="none" w:sz="0" w:space="0" w:color="auto"/>
        <w:right w:val="none" w:sz="0" w:space="0" w:color="auto"/>
      </w:divBdr>
    </w:div>
    <w:div w:id="195120819">
      <w:bodyDiv w:val="1"/>
      <w:marLeft w:val="0"/>
      <w:marRight w:val="0"/>
      <w:marTop w:val="0"/>
      <w:marBottom w:val="0"/>
      <w:divBdr>
        <w:top w:val="none" w:sz="0" w:space="0" w:color="auto"/>
        <w:left w:val="none" w:sz="0" w:space="0" w:color="auto"/>
        <w:bottom w:val="none" w:sz="0" w:space="0" w:color="auto"/>
        <w:right w:val="none" w:sz="0" w:space="0" w:color="auto"/>
      </w:divBdr>
    </w:div>
    <w:div w:id="217209152">
      <w:bodyDiv w:val="1"/>
      <w:marLeft w:val="0"/>
      <w:marRight w:val="0"/>
      <w:marTop w:val="0"/>
      <w:marBottom w:val="0"/>
      <w:divBdr>
        <w:top w:val="none" w:sz="0" w:space="0" w:color="auto"/>
        <w:left w:val="none" w:sz="0" w:space="0" w:color="auto"/>
        <w:bottom w:val="none" w:sz="0" w:space="0" w:color="auto"/>
        <w:right w:val="none" w:sz="0" w:space="0" w:color="auto"/>
      </w:divBdr>
    </w:div>
    <w:div w:id="256527983">
      <w:bodyDiv w:val="1"/>
      <w:marLeft w:val="0"/>
      <w:marRight w:val="0"/>
      <w:marTop w:val="0"/>
      <w:marBottom w:val="0"/>
      <w:divBdr>
        <w:top w:val="none" w:sz="0" w:space="0" w:color="auto"/>
        <w:left w:val="none" w:sz="0" w:space="0" w:color="auto"/>
        <w:bottom w:val="none" w:sz="0" w:space="0" w:color="auto"/>
        <w:right w:val="none" w:sz="0" w:space="0" w:color="auto"/>
      </w:divBdr>
    </w:div>
    <w:div w:id="272901512">
      <w:bodyDiv w:val="1"/>
      <w:marLeft w:val="0"/>
      <w:marRight w:val="0"/>
      <w:marTop w:val="0"/>
      <w:marBottom w:val="0"/>
      <w:divBdr>
        <w:top w:val="none" w:sz="0" w:space="0" w:color="auto"/>
        <w:left w:val="none" w:sz="0" w:space="0" w:color="auto"/>
        <w:bottom w:val="none" w:sz="0" w:space="0" w:color="auto"/>
        <w:right w:val="none" w:sz="0" w:space="0" w:color="auto"/>
      </w:divBdr>
    </w:div>
    <w:div w:id="277104572">
      <w:bodyDiv w:val="1"/>
      <w:marLeft w:val="0"/>
      <w:marRight w:val="0"/>
      <w:marTop w:val="0"/>
      <w:marBottom w:val="0"/>
      <w:divBdr>
        <w:top w:val="none" w:sz="0" w:space="0" w:color="auto"/>
        <w:left w:val="none" w:sz="0" w:space="0" w:color="auto"/>
        <w:bottom w:val="none" w:sz="0" w:space="0" w:color="auto"/>
        <w:right w:val="none" w:sz="0" w:space="0" w:color="auto"/>
      </w:divBdr>
    </w:div>
    <w:div w:id="312218701">
      <w:bodyDiv w:val="1"/>
      <w:marLeft w:val="0"/>
      <w:marRight w:val="0"/>
      <w:marTop w:val="0"/>
      <w:marBottom w:val="0"/>
      <w:divBdr>
        <w:top w:val="none" w:sz="0" w:space="0" w:color="auto"/>
        <w:left w:val="none" w:sz="0" w:space="0" w:color="auto"/>
        <w:bottom w:val="none" w:sz="0" w:space="0" w:color="auto"/>
        <w:right w:val="none" w:sz="0" w:space="0" w:color="auto"/>
      </w:divBdr>
    </w:div>
    <w:div w:id="320159435">
      <w:bodyDiv w:val="1"/>
      <w:marLeft w:val="0"/>
      <w:marRight w:val="0"/>
      <w:marTop w:val="0"/>
      <w:marBottom w:val="0"/>
      <w:divBdr>
        <w:top w:val="none" w:sz="0" w:space="0" w:color="auto"/>
        <w:left w:val="none" w:sz="0" w:space="0" w:color="auto"/>
        <w:bottom w:val="none" w:sz="0" w:space="0" w:color="auto"/>
        <w:right w:val="none" w:sz="0" w:space="0" w:color="auto"/>
      </w:divBdr>
    </w:div>
    <w:div w:id="328025158">
      <w:bodyDiv w:val="1"/>
      <w:marLeft w:val="0"/>
      <w:marRight w:val="0"/>
      <w:marTop w:val="0"/>
      <w:marBottom w:val="0"/>
      <w:divBdr>
        <w:top w:val="none" w:sz="0" w:space="0" w:color="auto"/>
        <w:left w:val="none" w:sz="0" w:space="0" w:color="auto"/>
        <w:bottom w:val="none" w:sz="0" w:space="0" w:color="auto"/>
        <w:right w:val="none" w:sz="0" w:space="0" w:color="auto"/>
      </w:divBdr>
    </w:div>
    <w:div w:id="339505449">
      <w:bodyDiv w:val="1"/>
      <w:marLeft w:val="0"/>
      <w:marRight w:val="0"/>
      <w:marTop w:val="0"/>
      <w:marBottom w:val="0"/>
      <w:divBdr>
        <w:top w:val="none" w:sz="0" w:space="0" w:color="auto"/>
        <w:left w:val="none" w:sz="0" w:space="0" w:color="auto"/>
        <w:bottom w:val="none" w:sz="0" w:space="0" w:color="auto"/>
        <w:right w:val="none" w:sz="0" w:space="0" w:color="auto"/>
      </w:divBdr>
    </w:div>
    <w:div w:id="341594784">
      <w:bodyDiv w:val="1"/>
      <w:marLeft w:val="0"/>
      <w:marRight w:val="0"/>
      <w:marTop w:val="0"/>
      <w:marBottom w:val="0"/>
      <w:divBdr>
        <w:top w:val="none" w:sz="0" w:space="0" w:color="auto"/>
        <w:left w:val="none" w:sz="0" w:space="0" w:color="auto"/>
        <w:bottom w:val="none" w:sz="0" w:space="0" w:color="auto"/>
        <w:right w:val="none" w:sz="0" w:space="0" w:color="auto"/>
      </w:divBdr>
    </w:div>
    <w:div w:id="361058246">
      <w:bodyDiv w:val="1"/>
      <w:marLeft w:val="0"/>
      <w:marRight w:val="0"/>
      <w:marTop w:val="0"/>
      <w:marBottom w:val="0"/>
      <w:divBdr>
        <w:top w:val="none" w:sz="0" w:space="0" w:color="auto"/>
        <w:left w:val="none" w:sz="0" w:space="0" w:color="auto"/>
        <w:bottom w:val="none" w:sz="0" w:space="0" w:color="auto"/>
        <w:right w:val="none" w:sz="0" w:space="0" w:color="auto"/>
      </w:divBdr>
    </w:div>
    <w:div w:id="362244431">
      <w:bodyDiv w:val="1"/>
      <w:marLeft w:val="0"/>
      <w:marRight w:val="0"/>
      <w:marTop w:val="0"/>
      <w:marBottom w:val="0"/>
      <w:divBdr>
        <w:top w:val="none" w:sz="0" w:space="0" w:color="auto"/>
        <w:left w:val="none" w:sz="0" w:space="0" w:color="auto"/>
        <w:bottom w:val="none" w:sz="0" w:space="0" w:color="auto"/>
        <w:right w:val="none" w:sz="0" w:space="0" w:color="auto"/>
      </w:divBdr>
    </w:div>
    <w:div w:id="428090566">
      <w:bodyDiv w:val="1"/>
      <w:marLeft w:val="0"/>
      <w:marRight w:val="0"/>
      <w:marTop w:val="0"/>
      <w:marBottom w:val="0"/>
      <w:divBdr>
        <w:top w:val="none" w:sz="0" w:space="0" w:color="auto"/>
        <w:left w:val="none" w:sz="0" w:space="0" w:color="auto"/>
        <w:bottom w:val="none" w:sz="0" w:space="0" w:color="auto"/>
        <w:right w:val="none" w:sz="0" w:space="0" w:color="auto"/>
      </w:divBdr>
    </w:div>
    <w:div w:id="431820850">
      <w:bodyDiv w:val="1"/>
      <w:marLeft w:val="0"/>
      <w:marRight w:val="0"/>
      <w:marTop w:val="0"/>
      <w:marBottom w:val="0"/>
      <w:divBdr>
        <w:top w:val="none" w:sz="0" w:space="0" w:color="auto"/>
        <w:left w:val="none" w:sz="0" w:space="0" w:color="auto"/>
        <w:bottom w:val="none" w:sz="0" w:space="0" w:color="auto"/>
        <w:right w:val="none" w:sz="0" w:space="0" w:color="auto"/>
      </w:divBdr>
    </w:div>
    <w:div w:id="437682161">
      <w:bodyDiv w:val="1"/>
      <w:marLeft w:val="0"/>
      <w:marRight w:val="0"/>
      <w:marTop w:val="0"/>
      <w:marBottom w:val="0"/>
      <w:divBdr>
        <w:top w:val="none" w:sz="0" w:space="0" w:color="auto"/>
        <w:left w:val="none" w:sz="0" w:space="0" w:color="auto"/>
        <w:bottom w:val="none" w:sz="0" w:space="0" w:color="auto"/>
        <w:right w:val="none" w:sz="0" w:space="0" w:color="auto"/>
      </w:divBdr>
    </w:div>
    <w:div w:id="445739445">
      <w:bodyDiv w:val="1"/>
      <w:marLeft w:val="0"/>
      <w:marRight w:val="0"/>
      <w:marTop w:val="0"/>
      <w:marBottom w:val="0"/>
      <w:divBdr>
        <w:top w:val="none" w:sz="0" w:space="0" w:color="auto"/>
        <w:left w:val="none" w:sz="0" w:space="0" w:color="auto"/>
        <w:bottom w:val="none" w:sz="0" w:space="0" w:color="auto"/>
        <w:right w:val="none" w:sz="0" w:space="0" w:color="auto"/>
      </w:divBdr>
    </w:div>
    <w:div w:id="456030489">
      <w:bodyDiv w:val="1"/>
      <w:marLeft w:val="0"/>
      <w:marRight w:val="0"/>
      <w:marTop w:val="0"/>
      <w:marBottom w:val="0"/>
      <w:divBdr>
        <w:top w:val="none" w:sz="0" w:space="0" w:color="auto"/>
        <w:left w:val="none" w:sz="0" w:space="0" w:color="auto"/>
        <w:bottom w:val="none" w:sz="0" w:space="0" w:color="auto"/>
        <w:right w:val="none" w:sz="0" w:space="0" w:color="auto"/>
      </w:divBdr>
    </w:div>
    <w:div w:id="461927922">
      <w:bodyDiv w:val="1"/>
      <w:marLeft w:val="0"/>
      <w:marRight w:val="0"/>
      <w:marTop w:val="0"/>
      <w:marBottom w:val="0"/>
      <w:divBdr>
        <w:top w:val="none" w:sz="0" w:space="0" w:color="auto"/>
        <w:left w:val="none" w:sz="0" w:space="0" w:color="auto"/>
        <w:bottom w:val="none" w:sz="0" w:space="0" w:color="auto"/>
        <w:right w:val="none" w:sz="0" w:space="0" w:color="auto"/>
      </w:divBdr>
    </w:div>
    <w:div w:id="471558872">
      <w:bodyDiv w:val="1"/>
      <w:marLeft w:val="0"/>
      <w:marRight w:val="0"/>
      <w:marTop w:val="0"/>
      <w:marBottom w:val="0"/>
      <w:divBdr>
        <w:top w:val="none" w:sz="0" w:space="0" w:color="auto"/>
        <w:left w:val="none" w:sz="0" w:space="0" w:color="auto"/>
        <w:bottom w:val="none" w:sz="0" w:space="0" w:color="auto"/>
        <w:right w:val="none" w:sz="0" w:space="0" w:color="auto"/>
      </w:divBdr>
    </w:div>
    <w:div w:id="475411745">
      <w:bodyDiv w:val="1"/>
      <w:marLeft w:val="0"/>
      <w:marRight w:val="0"/>
      <w:marTop w:val="0"/>
      <w:marBottom w:val="0"/>
      <w:divBdr>
        <w:top w:val="none" w:sz="0" w:space="0" w:color="auto"/>
        <w:left w:val="none" w:sz="0" w:space="0" w:color="auto"/>
        <w:bottom w:val="none" w:sz="0" w:space="0" w:color="auto"/>
        <w:right w:val="none" w:sz="0" w:space="0" w:color="auto"/>
      </w:divBdr>
    </w:div>
    <w:div w:id="484860184">
      <w:bodyDiv w:val="1"/>
      <w:marLeft w:val="0"/>
      <w:marRight w:val="0"/>
      <w:marTop w:val="0"/>
      <w:marBottom w:val="0"/>
      <w:divBdr>
        <w:top w:val="none" w:sz="0" w:space="0" w:color="auto"/>
        <w:left w:val="none" w:sz="0" w:space="0" w:color="auto"/>
        <w:bottom w:val="none" w:sz="0" w:space="0" w:color="auto"/>
        <w:right w:val="none" w:sz="0" w:space="0" w:color="auto"/>
      </w:divBdr>
    </w:div>
    <w:div w:id="487554882">
      <w:bodyDiv w:val="1"/>
      <w:marLeft w:val="0"/>
      <w:marRight w:val="0"/>
      <w:marTop w:val="0"/>
      <w:marBottom w:val="0"/>
      <w:divBdr>
        <w:top w:val="none" w:sz="0" w:space="0" w:color="auto"/>
        <w:left w:val="none" w:sz="0" w:space="0" w:color="auto"/>
        <w:bottom w:val="none" w:sz="0" w:space="0" w:color="auto"/>
        <w:right w:val="none" w:sz="0" w:space="0" w:color="auto"/>
      </w:divBdr>
    </w:div>
    <w:div w:id="496311249">
      <w:bodyDiv w:val="1"/>
      <w:marLeft w:val="0"/>
      <w:marRight w:val="0"/>
      <w:marTop w:val="0"/>
      <w:marBottom w:val="0"/>
      <w:divBdr>
        <w:top w:val="none" w:sz="0" w:space="0" w:color="auto"/>
        <w:left w:val="none" w:sz="0" w:space="0" w:color="auto"/>
        <w:bottom w:val="none" w:sz="0" w:space="0" w:color="auto"/>
        <w:right w:val="none" w:sz="0" w:space="0" w:color="auto"/>
      </w:divBdr>
    </w:div>
    <w:div w:id="500854044">
      <w:bodyDiv w:val="1"/>
      <w:marLeft w:val="0"/>
      <w:marRight w:val="0"/>
      <w:marTop w:val="0"/>
      <w:marBottom w:val="0"/>
      <w:divBdr>
        <w:top w:val="none" w:sz="0" w:space="0" w:color="auto"/>
        <w:left w:val="none" w:sz="0" w:space="0" w:color="auto"/>
        <w:bottom w:val="none" w:sz="0" w:space="0" w:color="auto"/>
        <w:right w:val="none" w:sz="0" w:space="0" w:color="auto"/>
      </w:divBdr>
    </w:div>
    <w:div w:id="505826391">
      <w:bodyDiv w:val="1"/>
      <w:marLeft w:val="0"/>
      <w:marRight w:val="0"/>
      <w:marTop w:val="0"/>
      <w:marBottom w:val="0"/>
      <w:divBdr>
        <w:top w:val="none" w:sz="0" w:space="0" w:color="auto"/>
        <w:left w:val="none" w:sz="0" w:space="0" w:color="auto"/>
        <w:bottom w:val="none" w:sz="0" w:space="0" w:color="auto"/>
        <w:right w:val="none" w:sz="0" w:space="0" w:color="auto"/>
      </w:divBdr>
    </w:div>
    <w:div w:id="525140800">
      <w:bodyDiv w:val="1"/>
      <w:marLeft w:val="0"/>
      <w:marRight w:val="0"/>
      <w:marTop w:val="0"/>
      <w:marBottom w:val="0"/>
      <w:divBdr>
        <w:top w:val="none" w:sz="0" w:space="0" w:color="auto"/>
        <w:left w:val="none" w:sz="0" w:space="0" w:color="auto"/>
        <w:bottom w:val="none" w:sz="0" w:space="0" w:color="auto"/>
        <w:right w:val="none" w:sz="0" w:space="0" w:color="auto"/>
      </w:divBdr>
    </w:div>
    <w:div w:id="541748809">
      <w:bodyDiv w:val="1"/>
      <w:marLeft w:val="0"/>
      <w:marRight w:val="0"/>
      <w:marTop w:val="0"/>
      <w:marBottom w:val="0"/>
      <w:divBdr>
        <w:top w:val="none" w:sz="0" w:space="0" w:color="auto"/>
        <w:left w:val="none" w:sz="0" w:space="0" w:color="auto"/>
        <w:bottom w:val="none" w:sz="0" w:space="0" w:color="auto"/>
        <w:right w:val="none" w:sz="0" w:space="0" w:color="auto"/>
      </w:divBdr>
    </w:div>
    <w:div w:id="574825282">
      <w:bodyDiv w:val="1"/>
      <w:marLeft w:val="0"/>
      <w:marRight w:val="0"/>
      <w:marTop w:val="0"/>
      <w:marBottom w:val="0"/>
      <w:divBdr>
        <w:top w:val="none" w:sz="0" w:space="0" w:color="auto"/>
        <w:left w:val="none" w:sz="0" w:space="0" w:color="auto"/>
        <w:bottom w:val="none" w:sz="0" w:space="0" w:color="auto"/>
        <w:right w:val="none" w:sz="0" w:space="0" w:color="auto"/>
      </w:divBdr>
    </w:div>
    <w:div w:id="589581337">
      <w:bodyDiv w:val="1"/>
      <w:marLeft w:val="0"/>
      <w:marRight w:val="0"/>
      <w:marTop w:val="0"/>
      <w:marBottom w:val="0"/>
      <w:divBdr>
        <w:top w:val="none" w:sz="0" w:space="0" w:color="auto"/>
        <w:left w:val="none" w:sz="0" w:space="0" w:color="auto"/>
        <w:bottom w:val="none" w:sz="0" w:space="0" w:color="auto"/>
        <w:right w:val="none" w:sz="0" w:space="0" w:color="auto"/>
      </w:divBdr>
    </w:div>
    <w:div w:id="597520488">
      <w:bodyDiv w:val="1"/>
      <w:marLeft w:val="0"/>
      <w:marRight w:val="0"/>
      <w:marTop w:val="0"/>
      <w:marBottom w:val="0"/>
      <w:divBdr>
        <w:top w:val="none" w:sz="0" w:space="0" w:color="auto"/>
        <w:left w:val="none" w:sz="0" w:space="0" w:color="auto"/>
        <w:bottom w:val="none" w:sz="0" w:space="0" w:color="auto"/>
        <w:right w:val="none" w:sz="0" w:space="0" w:color="auto"/>
      </w:divBdr>
    </w:div>
    <w:div w:id="606542251">
      <w:bodyDiv w:val="1"/>
      <w:marLeft w:val="0"/>
      <w:marRight w:val="0"/>
      <w:marTop w:val="0"/>
      <w:marBottom w:val="0"/>
      <w:divBdr>
        <w:top w:val="none" w:sz="0" w:space="0" w:color="auto"/>
        <w:left w:val="none" w:sz="0" w:space="0" w:color="auto"/>
        <w:bottom w:val="none" w:sz="0" w:space="0" w:color="auto"/>
        <w:right w:val="none" w:sz="0" w:space="0" w:color="auto"/>
      </w:divBdr>
    </w:div>
    <w:div w:id="606815917">
      <w:bodyDiv w:val="1"/>
      <w:marLeft w:val="0"/>
      <w:marRight w:val="0"/>
      <w:marTop w:val="0"/>
      <w:marBottom w:val="0"/>
      <w:divBdr>
        <w:top w:val="none" w:sz="0" w:space="0" w:color="auto"/>
        <w:left w:val="none" w:sz="0" w:space="0" w:color="auto"/>
        <w:bottom w:val="none" w:sz="0" w:space="0" w:color="auto"/>
        <w:right w:val="none" w:sz="0" w:space="0" w:color="auto"/>
      </w:divBdr>
    </w:div>
    <w:div w:id="606936106">
      <w:bodyDiv w:val="1"/>
      <w:marLeft w:val="0"/>
      <w:marRight w:val="0"/>
      <w:marTop w:val="0"/>
      <w:marBottom w:val="0"/>
      <w:divBdr>
        <w:top w:val="none" w:sz="0" w:space="0" w:color="auto"/>
        <w:left w:val="none" w:sz="0" w:space="0" w:color="auto"/>
        <w:bottom w:val="none" w:sz="0" w:space="0" w:color="auto"/>
        <w:right w:val="none" w:sz="0" w:space="0" w:color="auto"/>
      </w:divBdr>
    </w:div>
    <w:div w:id="610555424">
      <w:bodyDiv w:val="1"/>
      <w:marLeft w:val="0"/>
      <w:marRight w:val="0"/>
      <w:marTop w:val="0"/>
      <w:marBottom w:val="0"/>
      <w:divBdr>
        <w:top w:val="none" w:sz="0" w:space="0" w:color="auto"/>
        <w:left w:val="none" w:sz="0" w:space="0" w:color="auto"/>
        <w:bottom w:val="none" w:sz="0" w:space="0" w:color="auto"/>
        <w:right w:val="none" w:sz="0" w:space="0" w:color="auto"/>
      </w:divBdr>
    </w:div>
    <w:div w:id="621225715">
      <w:bodyDiv w:val="1"/>
      <w:marLeft w:val="0"/>
      <w:marRight w:val="0"/>
      <w:marTop w:val="0"/>
      <w:marBottom w:val="0"/>
      <w:divBdr>
        <w:top w:val="none" w:sz="0" w:space="0" w:color="auto"/>
        <w:left w:val="none" w:sz="0" w:space="0" w:color="auto"/>
        <w:bottom w:val="none" w:sz="0" w:space="0" w:color="auto"/>
        <w:right w:val="none" w:sz="0" w:space="0" w:color="auto"/>
      </w:divBdr>
    </w:div>
    <w:div w:id="631012515">
      <w:bodyDiv w:val="1"/>
      <w:marLeft w:val="0"/>
      <w:marRight w:val="0"/>
      <w:marTop w:val="0"/>
      <w:marBottom w:val="0"/>
      <w:divBdr>
        <w:top w:val="none" w:sz="0" w:space="0" w:color="auto"/>
        <w:left w:val="none" w:sz="0" w:space="0" w:color="auto"/>
        <w:bottom w:val="none" w:sz="0" w:space="0" w:color="auto"/>
        <w:right w:val="none" w:sz="0" w:space="0" w:color="auto"/>
      </w:divBdr>
    </w:div>
    <w:div w:id="635525783">
      <w:bodyDiv w:val="1"/>
      <w:marLeft w:val="0"/>
      <w:marRight w:val="0"/>
      <w:marTop w:val="0"/>
      <w:marBottom w:val="0"/>
      <w:divBdr>
        <w:top w:val="none" w:sz="0" w:space="0" w:color="auto"/>
        <w:left w:val="none" w:sz="0" w:space="0" w:color="auto"/>
        <w:bottom w:val="none" w:sz="0" w:space="0" w:color="auto"/>
        <w:right w:val="none" w:sz="0" w:space="0" w:color="auto"/>
      </w:divBdr>
    </w:div>
    <w:div w:id="643123887">
      <w:bodyDiv w:val="1"/>
      <w:marLeft w:val="0"/>
      <w:marRight w:val="0"/>
      <w:marTop w:val="0"/>
      <w:marBottom w:val="0"/>
      <w:divBdr>
        <w:top w:val="none" w:sz="0" w:space="0" w:color="auto"/>
        <w:left w:val="none" w:sz="0" w:space="0" w:color="auto"/>
        <w:bottom w:val="none" w:sz="0" w:space="0" w:color="auto"/>
        <w:right w:val="none" w:sz="0" w:space="0" w:color="auto"/>
      </w:divBdr>
    </w:div>
    <w:div w:id="646281337">
      <w:bodyDiv w:val="1"/>
      <w:marLeft w:val="0"/>
      <w:marRight w:val="0"/>
      <w:marTop w:val="0"/>
      <w:marBottom w:val="0"/>
      <w:divBdr>
        <w:top w:val="none" w:sz="0" w:space="0" w:color="auto"/>
        <w:left w:val="none" w:sz="0" w:space="0" w:color="auto"/>
        <w:bottom w:val="none" w:sz="0" w:space="0" w:color="auto"/>
        <w:right w:val="none" w:sz="0" w:space="0" w:color="auto"/>
      </w:divBdr>
    </w:div>
    <w:div w:id="651057115">
      <w:bodyDiv w:val="1"/>
      <w:marLeft w:val="0"/>
      <w:marRight w:val="0"/>
      <w:marTop w:val="0"/>
      <w:marBottom w:val="0"/>
      <w:divBdr>
        <w:top w:val="none" w:sz="0" w:space="0" w:color="auto"/>
        <w:left w:val="none" w:sz="0" w:space="0" w:color="auto"/>
        <w:bottom w:val="none" w:sz="0" w:space="0" w:color="auto"/>
        <w:right w:val="none" w:sz="0" w:space="0" w:color="auto"/>
      </w:divBdr>
    </w:div>
    <w:div w:id="655570211">
      <w:bodyDiv w:val="1"/>
      <w:marLeft w:val="0"/>
      <w:marRight w:val="0"/>
      <w:marTop w:val="0"/>
      <w:marBottom w:val="0"/>
      <w:divBdr>
        <w:top w:val="none" w:sz="0" w:space="0" w:color="auto"/>
        <w:left w:val="none" w:sz="0" w:space="0" w:color="auto"/>
        <w:bottom w:val="none" w:sz="0" w:space="0" w:color="auto"/>
        <w:right w:val="none" w:sz="0" w:space="0" w:color="auto"/>
      </w:divBdr>
    </w:div>
    <w:div w:id="684330936">
      <w:bodyDiv w:val="1"/>
      <w:marLeft w:val="0"/>
      <w:marRight w:val="0"/>
      <w:marTop w:val="0"/>
      <w:marBottom w:val="0"/>
      <w:divBdr>
        <w:top w:val="none" w:sz="0" w:space="0" w:color="auto"/>
        <w:left w:val="none" w:sz="0" w:space="0" w:color="auto"/>
        <w:bottom w:val="none" w:sz="0" w:space="0" w:color="auto"/>
        <w:right w:val="none" w:sz="0" w:space="0" w:color="auto"/>
      </w:divBdr>
    </w:div>
    <w:div w:id="691423015">
      <w:bodyDiv w:val="1"/>
      <w:marLeft w:val="0"/>
      <w:marRight w:val="0"/>
      <w:marTop w:val="0"/>
      <w:marBottom w:val="0"/>
      <w:divBdr>
        <w:top w:val="none" w:sz="0" w:space="0" w:color="auto"/>
        <w:left w:val="none" w:sz="0" w:space="0" w:color="auto"/>
        <w:bottom w:val="none" w:sz="0" w:space="0" w:color="auto"/>
        <w:right w:val="none" w:sz="0" w:space="0" w:color="auto"/>
      </w:divBdr>
    </w:div>
    <w:div w:id="697194484">
      <w:bodyDiv w:val="1"/>
      <w:marLeft w:val="0"/>
      <w:marRight w:val="0"/>
      <w:marTop w:val="0"/>
      <w:marBottom w:val="0"/>
      <w:divBdr>
        <w:top w:val="none" w:sz="0" w:space="0" w:color="auto"/>
        <w:left w:val="none" w:sz="0" w:space="0" w:color="auto"/>
        <w:bottom w:val="none" w:sz="0" w:space="0" w:color="auto"/>
        <w:right w:val="none" w:sz="0" w:space="0" w:color="auto"/>
      </w:divBdr>
    </w:div>
    <w:div w:id="699354257">
      <w:bodyDiv w:val="1"/>
      <w:marLeft w:val="0"/>
      <w:marRight w:val="0"/>
      <w:marTop w:val="0"/>
      <w:marBottom w:val="0"/>
      <w:divBdr>
        <w:top w:val="none" w:sz="0" w:space="0" w:color="auto"/>
        <w:left w:val="none" w:sz="0" w:space="0" w:color="auto"/>
        <w:bottom w:val="none" w:sz="0" w:space="0" w:color="auto"/>
        <w:right w:val="none" w:sz="0" w:space="0" w:color="auto"/>
      </w:divBdr>
    </w:div>
    <w:div w:id="704602807">
      <w:bodyDiv w:val="1"/>
      <w:marLeft w:val="0"/>
      <w:marRight w:val="0"/>
      <w:marTop w:val="0"/>
      <w:marBottom w:val="0"/>
      <w:divBdr>
        <w:top w:val="none" w:sz="0" w:space="0" w:color="auto"/>
        <w:left w:val="none" w:sz="0" w:space="0" w:color="auto"/>
        <w:bottom w:val="none" w:sz="0" w:space="0" w:color="auto"/>
        <w:right w:val="none" w:sz="0" w:space="0" w:color="auto"/>
      </w:divBdr>
    </w:div>
    <w:div w:id="707991852">
      <w:bodyDiv w:val="1"/>
      <w:marLeft w:val="0"/>
      <w:marRight w:val="0"/>
      <w:marTop w:val="0"/>
      <w:marBottom w:val="0"/>
      <w:divBdr>
        <w:top w:val="none" w:sz="0" w:space="0" w:color="auto"/>
        <w:left w:val="none" w:sz="0" w:space="0" w:color="auto"/>
        <w:bottom w:val="none" w:sz="0" w:space="0" w:color="auto"/>
        <w:right w:val="none" w:sz="0" w:space="0" w:color="auto"/>
      </w:divBdr>
    </w:div>
    <w:div w:id="723911396">
      <w:bodyDiv w:val="1"/>
      <w:marLeft w:val="0"/>
      <w:marRight w:val="0"/>
      <w:marTop w:val="0"/>
      <w:marBottom w:val="0"/>
      <w:divBdr>
        <w:top w:val="none" w:sz="0" w:space="0" w:color="auto"/>
        <w:left w:val="none" w:sz="0" w:space="0" w:color="auto"/>
        <w:bottom w:val="none" w:sz="0" w:space="0" w:color="auto"/>
        <w:right w:val="none" w:sz="0" w:space="0" w:color="auto"/>
      </w:divBdr>
    </w:div>
    <w:div w:id="726220494">
      <w:bodyDiv w:val="1"/>
      <w:marLeft w:val="0"/>
      <w:marRight w:val="0"/>
      <w:marTop w:val="0"/>
      <w:marBottom w:val="0"/>
      <w:divBdr>
        <w:top w:val="none" w:sz="0" w:space="0" w:color="auto"/>
        <w:left w:val="none" w:sz="0" w:space="0" w:color="auto"/>
        <w:bottom w:val="none" w:sz="0" w:space="0" w:color="auto"/>
        <w:right w:val="none" w:sz="0" w:space="0" w:color="auto"/>
      </w:divBdr>
    </w:div>
    <w:div w:id="729500194">
      <w:bodyDiv w:val="1"/>
      <w:marLeft w:val="0"/>
      <w:marRight w:val="0"/>
      <w:marTop w:val="0"/>
      <w:marBottom w:val="0"/>
      <w:divBdr>
        <w:top w:val="none" w:sz="0" w:space="0" w:color="auto"/>
        <w:left w:val="none" w:sz="0" w:space="0" w:color="auto"/>
        <w:bottom w:val="none" w:sz="0" w:space="0" w:color="auto"/>
        <w:right w:val="none" w:sz="0" w:space="0" w:color="auto"/>
      </w:divBdr>
    </w:div>
    <w:div w:id="742799379">
      <w:bodyDiv w:val="1"/>
      <w:marLeft w:val="0"/>
      <w:marRight w:val="0"/>
      <w:marTop w:val="0"/>
      <w:marBottom w:val="0"/>
      <w:divBdr>
        <w:top w:val="none" w:sz="0" w:space="0" w:color="auto"/>
        <w:left w:val="none" w:sz="0" w:space="0" w:color="auto"/>
        <w:bottom w:val="none" w:sz="0" w:space="0" w:color="auto"/>
        <w:right w:val="none" w:sz="0" w:space="0" w:color="auto"/>
      </w:divBdr>
    </w:div>
    <w:div w:id="756756531">
      <w:bodyDiv w:val="1"/>
      <w:marLeft w:val="0"/>
      <w:marRight w:val="0"/>
      <w:marTop w:val="0"/>
      <w:marBottom w:val="0"/>
      <w:divBdr>
        <w:top w:val="none" w:sz="0" w:space="0" w:color="auto"/>
        <w:left w:val="none" w:sz="0" w:space="0" w:color="auto"/>
        <w:bottom w:val="none" w:sz="0" w:space="0" w:color="auto"/>
        <w:right w:val="none" w:sz="0" w:space="0" w:color="auto"/>
      </w:divBdr>
    </w:div>
    <w:div w:id="758604227">
      <w:bodyDiv w:val="1"/>
      <w:marLeft w:val="0"/>
      <w:marRight w:val="0"/>
      <w:marTop w:val="0"/>
      <w:marBottom w:val="0"/>
      <w:divBdr>
        <w:top w:val="none" w:sz="0" w:space="0" w:color="auto"/>
        <w:left w:val="none" w:sz="0" w:space="0" w:color="auto"/>
        <w:bottom w:val="none" w:sz="0" w:space="0" w:color="auto"/>
        <w:right w:val="none" w:sz="0" w:space="0" w:color="auto"/>
      </w:divBdr>
    </w:div>
    <w:div w:id="762385178">
      <w:bodyDiv w:val="1"/>
      <w:marLeft w:val="0"/>
      <w:marRight w:val="0"/>
      <w:marTop w:val="0"/>
      <w:marBottom w:val="0"/>
      <w:divBdr>
        <w:top w:val="none" w:sz="0" w:space="0" w:color="auto"/>
        <w:left w:val="none" w:sz="0" w:space="0" w:color="auto"/>
        <w:bottom w:val="none" w:sz="0" w:space="0" w:color="auto"/>
        <w:right w:val="none" w:sz="0" w:space="0" w:color="auto"/>
      </w:divBdr>
    </w:div>
    <w:div w:id="773283424">
      <w:bodyDiv w:val="1"/>
      <w:marLeft w:val="0"/>
      <w:marRight w:val="0"/>
      <w:marTop w:val="0"/>
      <w:marBottom w:val="0"/>
      <w:divBdr>
        <w:top w:val="none" w:sz="0" w:space="0" w:color="auto"/>
        <w:left w:val="none" w:sz="0" w:space="0" w:color="auto"/>
        <w:bottom w:val="none" w:sz="0" w:space="0" w:color="auto"/>
        <w:right w:val="none" w:sz="0" w:space="0" w:color="auto"/>
      </w:divBdr>
    </w:div>
    <w:div w:id="781537930">
      <w:bodyDiv w:val="1"/>
      <w:marLeft w:val="0"/>
      <w:marRight w:val="0"/>
      <w:marTop w:val="0"/>
      <w:marBottom w:val="0"/>
      <w:divBdr>
        <w:top w:val="none" w:sz="0" w:space="0" w:color="auto"/>
        <w:left w:val="none" w:sz="0" w:space="0" w:color="auto"/>
        <w:bottom w:val="none" w:sz="0" w:space="0" w:color="auto"/>
        <w:right w:val="none" w:sz="0" w:space="0" w:color="auto"/>
      </w:divBdr>
    </w:div>
    <w:div w:id="792098451">
      <w:bodyDiv w:val="1"/>
      <w:marLeft w:val="0"/>
      <w:marRight w:val="0"/>
      <w:marTop w:val="0"/>
      <w:marBottom w:val="0"/>
      <w:divBdr>
        <w:top w:val="none" w:sz="0" w:space="0" w:color="auto"/>
        <w:left w:val="none" w:sz="0" w:space="0" w:color="auto"/>
        <w:bottom w:val="none" w:sz="0" w:space="0" w:color="auto"/>
        <w:right w:val="none" w:sz="0" w:space="0" w:color="auto"/>
      </w:divBdr>
    </w:div>
    <w:div w:id="798573093">
      <w:bodyDiv w:val="1"/>
      <w:marLeft w:val="0"/>
      <w:marRight w:val="0"/>
      <w:marTop w:val="0"/>
      <w:marBottom w:val="0"/>
      <w:divBdr>
        <w:top w:val="none" w:sz="0" w:space="0" w:color="auto"/>
        <w:left w:val="none" w:sz="0" w:space="0" w:color="auto"/>
        <w:bottom w:val="none" w:sz="0" w:space="0" w:color="auto"/>
        <w:right w:val="none" w:sz="0" w:space="0" w:color="auto"/>
      </w:divBdr>
    </w:div>
    <w:div w:id="804934795">
      <w:bodyDiv w:val="1"/>
      <w:marLeft w:val="0"/>
      <w:marRight w:val="0"/>
      <w:marTop w:val="0"/>
      <w:marBottom w:val="0"/>
      <w:divBdr>
        <w:top w:val="none" w:sz="0" w:space="0" w:color="auto"/>
        <w:left w:val="none" w:sz="0" w:space="0" w:color="auto"/>
        <w:bottom w:val="none" w:sz="0" w:space="0" w:color="auto"/>
        <w:right w:val="none" w:sz="0" w:space="0" w:color="auto"/>
      </w:divBdr>
    </w:div>
    <w:div w:id="832570535">
      <w:bodyDiv w:val="1"/>
      <w:marLeft w:val="0"/>
      <w:marRight w:val="0"/>
      <w:marTop w:val="0"/>
      <w:marBottom w:val="0"/>
      <w:divBdr>
        <w:top w:val="none" w:sz="0" w:space="0" w:color="auto"/>
        <w:left w:val="none" w:sz="0" w:space="0" w:color="auto"/>
        <w:bottom w:val="none" w:sz="0" w:space="0" w:color="auto"/>
        <w:right w:val="none" w:sz="0" w:space="0" w:color="auto"/>
      </w:divBdr>
    </w:div>
    <w:div w:id="832642539">
      <w:bodyDiv w:val="1"/>
      <w:marLeft w:val="0"/>
      <w:marRight w:val="0"/>
      <w:marTop w:val="0"/>
      <w:marBottom w:val="0"/>
      <w:divBdr>
        <w:top w:val="none" w:sz="0" w:space="0" w:color="auto"/>
        <w:left w:val="none" w:sz="0" w:space="0" w:color="auto"/>
        <w:bottom w:val="none" w:sz="0" w:space="0" w:color="auto"/>
        <w:right w:val="none" w:sz="0" w:space="0" w:color="auto"/>
      </w:divBdr>
    </w:div>
    <w:div w:id="835146791">
      <w:bodyDiv w:val="1"/>
      <w:marLeft w:val="0"/>
      <w:marRight w:val="0"/>
      <w:marTop w:val="0"/>
      <w:marBottom w:val="0"/>
      <w:divBdr>
        <w:top w:val="none" w:sz="0" w:space="0" w:color="auto"/>
        <w:left w:val="none" w:sz="0" w:space="0" w:color="auto"/>
        <w:bottom w:val="none" w:sz="0" w:space="0" w:color="auto"/>
        <w:right w:val="none" w:sz="0" w:space="0" w:color="auto"/>
      </w:divBdr>
    </w:div>
    <w:div w:id="848716485">
      <w:bodyDiv w:val="1"/>
      <w:marLeft w:val="0"/>
      <w:marRight w:val="0"/>
      <w:marTop w:val="0"/>
      <w:marBottom w:val="0"/>
      <w:divBdr>
        <w:top w:val="none" w:sz="0" w:space="0" w:color="auto"/>
        <w:left w:val="none" w:sz="0" w:space="0" w:color="auto"/>
        <w:bottom w:val="none" w:sz="0" w:space="0" w:color="auto"/>
        <w:right w:val="none" w:sz="0" w:space="0" w:color="auto"/>
      </w:divBdr>
    </w:div>
    <w:div w:id="858590277">
      <w:bodyDiv w:val="1"/>
      <w:marLeft w:val="0"/>
      <w:marRight w:val="0"/>
      <w:marTop w:val="0"/>
      <w:marBottom w:val="0"/>
      <w:divBdr>
        <w:top w:val="none" w:sz="0" w:space="0" w:color="auto"/>
        <w:left w:val="none" w:sz="0" w:space="0" w:color="auto"/>
        <w:bottom w:val="none" w:sz="0" w:space="0" w:color="auto"/>
        <w:right w:val="none" w:sz="0" w:space="0" w:color="auto"/>
      </w:divBdr>
    </w:div>
    <w:div w:id="868446041">
      <w:bodyDiv w:val="1"/>
      <w:marLeft w:val="0"/>
      <w:marRight w:val="0"/>
      <w:marTop w:val="0"/>
      <w:marBottom w:val="0"/>
      <w:divBdr>
        <w:top w:val="none" w:sz="0" w:space="0" w:color="auto"/>
        <w:left w:val="none" w:sz="0" w:space="0" w:color="auto"/>
        <w:bottom w:val="none" w:sz="0" w:space="0" w:color="auto"/>
        <w:right w:val="none" w:sz="0" w:space="0" w:color="auto"/>
      </w:divBdr>
    </w:div>
    <w:div w:id="889657688">
      <w:bodyDiv w:val="1"/>
      <w:marLeft w:val="0"/>
      <w:marRight w:val="0"/>
      <w:marTop w:val="0"/>
      <w:marBottom w:val="0"/>
      <w:divBdr>
        <w:top w:val="none" w:sz="0" w:space="0" w:color="auto"/>
        <w:left w:val="none" w:sz="0" w:space="0" w:color="auto"/>
        <w:bottom w:val="none" w:sz="0" w:space="0" w:color="auto"/>
        <w:right w:val="none" w:sz="0" w:space="0" w:color="auto"/>
      </w:divBdr>
    </w:div>
    <w:div w:id="892884015">
      <w:bodyDiv w:val="1"/>
      <w:marLeft w:val="0"/>
      <w:marRight w:val="0"/>
      <w:marTop w:val="0"/>
      <w:marBottom w:val="0"/>
      <w:divBdr>
        <w:top w:val="none" w:sz="0" w:space="0" w:color="auto"/>
        <w:left w:val="none" w:sz="0" w:space="0" w:color="auto"/>
        <w:bottom w:val="none" w:sz="0" w:space="0" w:color="auto"/>
        <w:right w:val="none" w:sz="0" w:space="0" w:color="auto"/>
      </w:divBdr>
    </w:div>
    <w:div w:id="899482218">
      <w:bodyDiv w:val="1"/>
      <w:marLeft w:val="0"/>
      <w:marRight w:val="0"/>
      <w:marTop w:val="0"/>
      <w:marBottom w:val="0"/>
      <w:divBdr>
        <w:top w:val="none" w:sz="0" w:space="0" w:color="auto"/>
        <w:left w:val="none" w:sz="0" w:space="0" w:color="auto"/>
        <w:bottom w:val="none" w:sz="0" w:space="0" w:color="auto"/>
        <w:right w:val="none" w:sz="0" w:space="0" w:color="auto"/>
      </w:divBdr>
    </w:div>
    <w:div w:id="912398119">
      <w:bodyDiv w:val="1"/>
      <w:marLeft w:val="0"/>
      <w:marRight w:val="0"/>
      <w:marTop w:val="0"/>
      <w:marBottom w:val="0"/>
      <w:divBdr>
        <w:top w:val="none" w:sz="0" w:space="0" w:color="auto"/>
        <w:left w:val="none" w:sz="0" w:space="0" w:color="auto"/>
        <w:bottom w:val="none" w:sz="0" w:space="0" w:color="auto"/>
        <w:right w:val="none" w:sz="0" w:space="0" w:color="auto"/>
      </w:divBdr>
    </w:div>
    <w:div w:id="914901129">
      <w:bodyDiv w:val="1"/>
      <w:marLeft w:val="0"/>
      <w:marRight w:val="0"/>
      <w:marTop w:val="0"/>
      <w:marBottom w:val="0"/>
      <w:divBdr>
        <w:top w:val="none" w:sz="0" w:space="0" w:color="auto"/>
        <w:left w:val="none" w:sz="0" w:space="0" w:color="auto"/>
        <w:bottom w:val="none" w:sz="0" w:space="0" w:color="auto"/>
        <w:right w:val="none" w:sz="0" w:space="0" w:color="auto"/>
      </w:divBdr>
    </w:div>
    <w:div w:id="926226479">
      <w:bodyDiv w:val="1"/>
      <w:marLeft w:val="0"/>
      <w:marRight w:val="0"/>
      <w:marTop w:val="0"/>
      <w:marBottom w:val="0"/>
      <w:divBdr>
        <w:top w:val="none" w:sz="0" w:space="0" w:color="auto"/>
        <w:left w:val="none" w:sz="0" w:space="0" w:color="auto"/>
        <w:bottom w:val="none" w:sz="0" w:space="0" w:color="auto"/>
        <w:right w:val="none" w:sz="0" w:space="0" w:color="auto"/>
      </w:divBdr>
    </w:div>
    <w:div w:id="935017907">
      <w:bodyDiv w:val="1"/>
      <w:marLeft w:val="0"/>
      <w:marRight w:val="0"/>
      <w:marTop w:val="0"/>
      <w:marBottom w:val="0"/>
      <w:divBdr>
        <w:top w:val="none" w:sz="0" w:space="0" w:color="auto"/>
        <w:left w:val="none" w:sz="0" w:space="0" w:color="auto"/>
        <w:bottom w:val="none" w:sz="0" w:space="0" w:color="auto"/>
        <w:right w:val="none" w:sz="0" w:space="0" w:color="auto"/>
      </w:divBdr>
    </w:div>
    <w:div w:id="953681623">
      <w:bodyDiv w:val="1"/>
      <w:marLeft w:val="0"/>
      <w:marRight w:val="0"/>
      <w:marTop w:val="0"/>
      <w:marBottom w:val="0"/>
      <w:divBdr>
        <w:top w:val="none" w:sz="0" w:space="0" w:color="auto"/>
        <w:left w:val="none" w:sz="0" w:space="0" w:color="auto"/>
        <w:bottom w:val="none" w:sz="0" w:space="0" w:color="auto"/>
        <w:right w:val="none" w:sz="0" w:space="0" w:color="auto"/>
      </w:divBdr>
    </w:div>
    <w:div w:id="953826861">
      <w:bodyDiv w:val="1"/>
      <w:marLeft w:val="0"/>
      <w:marRight w:val="0"/>
      <w:marTop w:val="0"/>
      <w:marBottom w:val="0"/>
      <w:divBdr>
        <w:top w:val="none" w:sz="0" w:space="0" w:color="auto"/>
        <w:left w:val="none" w:sz="0" w:space="0" w:color="auto"/>
        <w:bottom w:val="none" w:sz="0" w:space="0" w:color="auto"/>
        <w:right w:val="none" w:sz="0" w:space="0" w:color="auto"/>
      </w:divBdr>
    </w:div>
    <w:div w:id="962421805">
      <w:bodyDiv w:val="1"/>
      <w:marLeft w:val="0"/>
      <w:marRight w:val="0"/>
      <w:marTop w:val="0"/>
      <w:marBottom w:val="0"/>
      <w:divBdr>
        <w:top w:val="none" w:sz="0" w:space="0" w:color="auto"/>
        <w:left w:val="none" w:sz="0" w:space="0" w:color="auto"/>
        <w:bottom w:val="none" w:sz="0" w:space="0" w:color="auto"/>
        <w:right w:val="none" w:sz="0" w:space="0" w:color="auto"/>
      </w:divBdr>
    </w:div>
    <w:div w:id="965308599">
      <w:bodyDiv w:val="1"/>
      <w:marLeft w:val="0"/>
      <w:marRight w:val="0"/>
      <w:marTop w:val="0"/>
      <w:marBottom w:val="0"/>
      <w:divBdr>
        <w:top w:val="none" w:sz="0" w:space="0" w:color="auto"/>
        <w:left w:val="none" w:sz="0" w:space="0" w:color="auto"/>
        <w:bottom w:val="none" w:sz="0" w:space="0" w:color="auto"/>
        <w:right w:val="none" w:sz="0" w:space="0" w:color="auto"/>
      </w:divBdr>
    </w:div>
    <w:div w:id="982083097">
      <w:bodyDiv w:val="1"/>
      <w:marLeft w:val="0"/>
      <w:marRight w:val="0"/>
      <w:marTop w:val="0"/>
      <w:marBottom w:val="0"/>
      <w:divBdr>
        <w:top w:val="none" w:sz="0" w:space="0" w:color="auto"/>
        <w:left w:val="none" w:sz="0" w:space="0" w:color="auto"/>
        <w:bottom w:val="none" w:sz="0" w:space="0" w:color="auto"/>
        <w:right w:val="none" w:sz="0" w:space="0" w:color="auto"/>
      </w:divBdr>
    </w:div>
    <w:div w:id="994603815">
      <w:bodyDiv w:val="1"/>
      <w:marLeft w:val="0"/>
      <w:marRight w:val="0"/>
      <w:marTop w:val="0"/>
      <w:marBottom w:val="0"/>
      <w:divBdr>
        <w:top w:val="none" w:sz="0" w:space="0" w:color="auto"/>
        <w:left w:val="none" w:sz="0" w:space="0" w:color="auto"/>
        <w:bottom w:val="none" w:sz="0" w:space="0" w:color="auto"/>
        <w:right w:val="none" w:sz="0" w:space="0" w:color="auto"/>
      </w:divBdr>
    </w:div>
    <w:div w:id="1002514440">
      <w:bodyDiv w:val="1"/>
      <w:marLeft w:val="0"/>
      <w:marRight w:val="0"/>
      <w:marTop w:val="0"/>
      <w:marBottom w:val="0"/>
      <w:divBdr>
        <w:top w:val="none" w:sz="0" w:space="0" w:color="auto"/>
        <w:left w:val="none" w:sz="0" w:space="0" w:color="auto"/>
        <w:bottom w:val="none" w:sz="0" w:space="0" w:color="auto"/>
        <w:right w:val="none" w:sz="0" w:space="0" w:color="auto"/>
      </w:divBdr>
    </w:div>
    <w:div w:id="1018043368">
      <w:bodyDiv w:val="1"/>
      <w:marLeft w:val="0"/>
      <w:marRight w:val="0"/>
      <w:marTop w:val="0"/>
      <w:marBottom w:val="0"/>
      <w:divBdr>
        <w:top w:val="none" w:sz="0" w:space="0" w:color="auto"/>
        <w:left w:val="none" w:sz="0" w:space="0" w:color="auto"/>
        <w:bottom w:val="none" w:sz="0" w:space="0" w:color="auto"/>
        <w:right w:val="none" w:sz="0" w:space="0" w:color="auto"/>
      </w:divBdr>
    </w:div>
    <w:div w:id="1019745795">
      <w:bodyDiv w:val="1"/>
      <w:marLeft w:val="0"/>
      <w:marRight w:val="0"/>
      <w:marTop w:val="0"/>
      <w:marBottom w:val="0"/>
      <w:divBdr>
        <w:top w:val="none" w:sz="0" w:space="0" w:color="auto"/>
        <w:left w:val="none" w:sz="0" w:space="0" w:color="auto"/>
        <w:bottom w:val="none" w:sz="0" w:space="0" w:color="auto"/>
        <w:right w:val="none" w:sz="0" w:space="0" w:color="auto"/>
      </w:divBdr>
    </w:div>
    <w:div w:id="1061053637">
      <w:bodyDiv w:val="1"/>
      <w:marLeft w:val="0"/>
      <w:marRight w:val="0"/>
      <w:marTop w:val="0"/>
      <w:marBottom w:val="0"/>
      <w:divBdr>
        <w:top w:val="none" w:sz="0" w:space="0" w:color="auto"/>
        <w:left w:val="none" w:sz="0" w:space="0" w:color="auto"/>
        <w:bottom w:val="none" w:sz="0" w:space="0" w:color="auto"/>
        <w:right w:val="none" w:sz="0" w:space="0" w:color="auto"/>
      </w:divBdr>
    </w:div>
    <w:div w:id="1077434385">
      <w:bodyDiv w:val="1"/>
      <w:marLeft w:val="0"/>
      <w:marRight w:val="0"/>
      <w:marTop w:val="0"/>
      <w:marBottom w:val="0"/>
      <w:divBdr>
        <w:top w:val="none" w:sz="0" w:space="0" w:color="auto"/>
        <w:left w:val="none" w:sz="0" w:space="0" w:color="auto"/>
        <w:bottom w:val="none" w:sz="0" w:space="0" w:color="auto"/>
        <w:right w:val="none" w:sz="0" w:space="0" w:color="auto"/>
      </w:divBdr>
    </w:div>
    <w:div w:id="1101029688">
      <w:bodyDiv w:val="1"/>
      <w:marLeft w:val="0"/>
      <w:marRight w:val="0"/>
      <w:marTop w:val="0"/>
      <w:marBottom w:val="0"/>
      <w:divBdr>
        <w:top w:val="none" w:sz="0" w:space="0" w:color="auto"/>
        <w:left w:val="none" w:sz="0" w:space="0" w:color="auto"/>
        <w:bottom w:val="none" w:sz="0" w:space="0" w:color="auto"/>
        <w:right w:val="none" w:sz="0" w:space="0" w:color="auto"/>
      </w:divBdr>
    </w:div>
    <w:div w:id="1107114970">
      <w:bodyDiv w:val="1"/>
      <w:marLeft w:val="0"/>
      <w:marRight w:val="0"/>
      <w:marTop w:val="0"/>
      <w:marBottom w:val="0"/>
      <w:divBdr>
        <w:top w:val="none" w:sz="0" w:space="0" w:color="auto"/>
        <w:left w:val="none" w:sz="0" w:space="0" w:color="auto"/>
        <w:bottom w:val="none" w:sz="0" w:space="0" w:color="auto"/>
        <w:right w:val="none" w:sz="0" w:space="0" w:color="auto"/>
      </w:divBdr>
    </w:div>
    <w:div w:id="1112632964">
      <w:bodyDiv w:val="1"/>
      <w:marLeft w:val="0"/>
      <w:marRight w:val="0"/>
      <w:marTop w:val="0"/>
      <w:marBottom w:val="0"/>
      <w:divBdr>
        <w:top w:val="none" w:sz="0" w:space="0" w:color="auto"/>
        <w:left w:val="none" w:sz="0" w:space="0" w:color="auto"/>
        <w:bottom w:val="none" w:sz="0" w:space="0" w:color="auto"/>
        <w:right w:val="none" w:sz="0" w:space="0" w:color="auto"/>
      </w:divBdr>
    </w:div>
    <w:div w:id="1121268702">
      <w:bodyDiv w:val="1"/>
      <w:marLeft w:val="0"/>
      <w:marRight w:val="0"/>
      <w:marTop w:val="0"/>
      <w:marBottom w:val="0"/>
      <w:divBdr>
        <w:top w:val="none" w:sz="0" w:space="0" w:color="auto"/>
        <w:left w:val="none" w:sz="0" w:space="0" w:color="auto"/>
        <w:bottom w:val="none" w:sz="0" w:space="0" w:color="auto"/>
        <w:right w:val="none" w:sz="0" w:space="0" w:color="auto"/>
      </w:divBdr>
    </w:div>
    <w:div w:id="1134374582">
      <w:bodyDiv w:val="1"/>
      <w:marLeft w:val="0"/>
      <w:marRight w:val="0"/>
      <w:marTop w:val="0"/>
      <w:marBottom w:val="0"/>
      <w:divBdr>
        <w:top w:val="none" w:sz="0" w:space="0" w:color="auto"/>
        <w:left w:val="none" w:sz="0" w:space="0" w:color="auto"/>
        <w:bottom w:val="none" w:sz="0" w:space="0" w:color="auto"/>
        <w:right w:val="none" w:sz="0" w:space="0" w:color="auto"/>
      </w:divBdr>
    </w:div>
    <w:div w:id="1137916346">
      <w:bodyDiv w:val="1"/>
      <w:marLeft w:val="0"/>
      <w:marRight w:val="0"/>
      <w:marTop w:val="0"/>
      <w:marBottom w:val="0"/>
      <w:divBdr>
        <w:top w:val="none" w:sz="0" w:space="0" w:color="auto"/>
        <w:left w:val="none" w:sz="0" w:space="0" w:color="auto"/>
        <w:bottom w:val="none" w:sz="0" w:space="0" w:color="auto"/>
        <w:right w:val="none" w:sz="0" w:space="0" w:color="auto"/>
      </w:divBdr>
    </w:div>
    <w:div w:id="1139765707">
      <w:bodyDiv w:val="1"/>
      <w:marLeft w:val="0"/>
      <w:marRight w:val="0"/>
      <w:marTop w:val="0"/>
      <w:marBottom w:val="0"/>
      <w:divBdr>
        <w:top w:val="none" w:sz="0" w:space="0" w:color="auto"/>
        <w:left w:val="none" w:sz="0" w:space="0" w:color="auto"/>
        <w:bottom w:val="none" w:sz="0" w:space="0" w:color="auto"/>
        <w:right w:val="none" w:sz="0" w:space="0" w:color="auto"/>
      </w:divBdr>
    </w:div>
    <w:div w:id="1216896879">
      <w:bodyDiv w:val="1"/>
      <w:marLeft w:val="0"/>
      <w:marRight w:val="0"/>
      <w:marTop w:val="0"/>
      <w:marBottom w:val="0"/>
      <w:divBdr>
        <w:top w:val="none" w:sz="0" w:space="0" w:color="auto"/>
        <w:left w:val="none" w:sz="0" w:space="0" w:color="auto"/>
        <w:bottom w:val="none" w:sz="0" w:space="0" w:color="auto"/>
        <w:right w:val="none" w:sz="0" w:space="0" w:color="auto"/>
      </w:divBdr>
    </w:div>
    <w:div w:id="1222525001">
      <w:bodyDiv w:val="1"/>
      <w:marLeft w:val="0"/>
      <w:marRight w:val="0"/>
      <w:marTop w:val="0"/>
      <w:marBottom w:val="0"/>
      <w:divBdr>
        <w:top w:val="none" w:sz="0" w:space="0" w:color="auto"/>
        <w:left w:val="none" w:sz="0" w:space="0" w:color="auto"/>
        <w:bottom w:val="none" w:sz="0" w:space="0" w:color="auto"/>
        <w:right w:val="none" w:sz="0" w:space="0" w:color="auto"/>
      </w:divBdr>
    </w:div>
    <w:div w:id="1234049907">
      <w:bodyDiv w:val="1"/>
      <w:marLeft w:val="0"/>
      <w:marRight w:val="0"/>
      <w:marTop w:val="0"/>
      <w:marBottom w:val="0"/>
      <w:divBdr>
        <w:top w:val="none" w:sz="0" w:space="0" w:color="auto"/>
        <w:left w:val="none" w:sz="0" w:space="0" w:color="auto"/>
        <w:bottom w:val="none" w:sz="0" w:space="0" w:color="auto"/>
        <w:right w:val="none" w:sz="0" w:space="0" w:color="auto"/>
      </w:divBdr>
    </w:div>
    <w:div w:id="1237088007">
      <w:bodyDiv w:val="1"/>
      <w:marLeft w:val="0"/>
      <w:marRight w:val="0"/>
      <w:marTop w:val="0"/>
      <w:marBottom w:val="0"/>
      <w:divBdr>
        <w:top w:val="none" w:sz="0" w:space="0" w:color="auto"/>
        <w:left w:val="none" w:sz="0" w:space="0" w:color="auto"/>
        <w:bottom w:val="none" w:sz="0" w:space="0" w:color="auto"/>
        <w:right w:val="none" w:sz="0" w:space="0" w:color="auto"/>
      </w:divBdr>
    </w:div>
    <w:div w:id="1238707460">
      <w:bodyDiv w:val="1"/>
      <w:marLeft w:val="0"/>
      <w:marRight w:val="0"/>
      <w:marTop w:val="0"/>
      <w:marBottom w:val="0"/>
      <w:divBdr>
        <w:top w:val="none" w:sz="0" w:space="0" w:color="auto"/>
        <w:left w:val="none" w:sz="0" w:space="0" w:color="auto"/>
        <w:bottom w:val="none" w:sz="0" w:space="0" w:color="auto"/>
        <w:right w:val="none" w:sz="0" w:space="0" w:color="auto"/>
      </w:divBdr>
    </w:div>
    <w:div w:id="1241021495">
      <w:bodyDiv w:val="1"/>
      <w:marLeft w:val="0"/>
      <w:marRight w:val="0"/>
      <w:marTop w:val="0"/>
      <w:marBottom w:val="0"/>
      <w:divBdr>
        <w:top w:val="none" w:sz="0" w:space="0" w:color="auto"/>
        <w:left w:val="none" w:sz="0" w:space="0" w:color="auto"/>
        <w:bottom w:val="none" w:sz="0" w:space="0" w:color="auto"/>
        <w:right w:val="none" w:sz="0" w:space="0" w:color="auto"/>
      </w:divBdr>
    </w:div>
    <w:div w:id="1258829056">
      <w:bodyDiv w:val="1"/>
      <w:marLeft w:val="0"/>
      <w:marRight w:val="0"/>
      <w:marTop w:val="0"/>
      <w:marBottom w:val="0"/>
      <w:divBdr>
        <w:top w:val="none" w:sz="0" w:space="0" w:color="auto"/>
        <w:left w:val="none" w:sz="0" w:space="0" w:color="auto"/>
        <w:bottom w:val="none" w:sz="0" w:space="0" w:color="auto"/>
        <w:right w:val="none" w:sz="0" w:space="0" w:color="auto"/>
      </w:divBdr>
    </w:div>
    <w:div w:id="1259295007">
      <w:bodyDiv w:val="1"/>
      <w:marLeft w:val="0"/>
      <w:marRight w:val="0"/>
      <w:marTop w:val="0"/>
      <w:marBottom w:val="0"/>
      <w:divBdr>
        <w:top w:val="none" w:sz="0" w:space="0" w:color="auto"/>
        <w:left w:val="none" w:sz="0" w:space="0" w:color="auto"/>
        <w:bottom w:val="none" w:sz="0" w:space="0" w:color="auto"/>
        <w:right w:val="none" w:sz="0" w:space="0" w:color="auto"/>
      </w:divBdr>
    </w:div>
    <w:div w:id="1262643917">
      <w:bodyDiv w:val="1"/>
      <w:marLeft w:val="0"/>
      <w:marRight w:val="0"/>
      <w:marTop w:val="0"/>
      <w:marBottom w:val="0"/>
      <w:divBdr>
        <w:top w:val="none" w:sz="0" w:space="0" w:color="auto"/>
        <w:left w:val="none" w:sz="0" w:space="0" w:color="auto"/>
        <w:bottom w:val="none" w:sz="0" w:space="0" w:color="auto"/>
        <w:right w:val="none" w:sz="0" w:space="0" w:color="auto"/>
      </w:divBdr>
    </w:div>
    <w:div w:id="1267615754">
      <w:bodyDiv w:val="1"/>
      <w:marLeft w:val="0"/>
      <w:marRight w:val="0"/>
      <w:marTop w:val="0"/>
      <w:marBottom w:val="0"/>
      <w:divBdr>
        <w:top w:val="none" w:sz="0" w:space="0" w:color="auto"/>
        <w:left w:val="none" w:sz="0" w:space="0" w:color="auto"/>
        <w:bottom w:val="none" w:sz="0" w:space="0" w:color="auto"/>
        <w:right w:val="none" w:sz="0" w:space="0" w:color="auto"/>
      </w:divBdr>
    </w:div>
    <w:div w:id="1267617600">
      <w:bodyDiv w:val="1"/>
      <w:marLeft w:val="0"/>
      <w:marRight w:val="0"/>
      <w:marTop w:val="0"/>
      <w:marBottom w:val="0"/>
      <w:divBdr>
        <w:top w:val="none" w:sz="0" w:space="0" w:color="auto"/>
        <w:left w:val="none" w:sz="0" w:space="0" w:color="auto"/>
        <w:bottom w:val="none" w:sz="0" w:space="0" w:color="auto"/>
        <w:right w:val="none" w:sz="0" w:space="0" w:color="auto"/>
      </w:divBdr>
    </w:div>
    <w:div w:id="1313099977">
      <w:bodyDiv w:val="1"/>
      <w:marLeft w:val="0"/>
      <w:marRight w:val="0"/>
      <w:marTop w:val="0"/>
      <w:marBottom w:val="0"/>
      <w:divBdr>
        <w:top w:val="none" w:sz="0" w:space="0" w:color="auto"/>
        <w:left w:val="none" w:sz="0" w:space="0" w:color="auto"/>
        <w:bottom w:val="none" w:sz="0" w:space="0" w:color="auto"/>
        <w:right w:val="none" w:sz="0" w:space="0" w:color="auto"/>
      </w:divBdr>
    </w:div>
    <w:div w:id="1317998593">
      <w:bodyDiv w:val="1"/>
      <w:marLeft w:val="0"/>
      <w:marRight w:val="0"/>
      <w:marTop w:val="0"/>
      <w:marBottom w:val="0"/>
      <w:divBdr>
        <w:top w:val="none" w:sz="0" w:space="0" w:color="auto"/>
        <w:left w:val="none" w:sz="0" w:space="0" w:color="auto"/>
        <w:bottom w:val="none" w:sz="0" w:space="0" w:color="auto"/>
        <w:right w:val="none" w:sz="0" w:space="0" w:color="auto"/>
      </w:divBdr>
    </w:div>
    <w:div w:id="1322386635">
      <w:bodyDiv w:val="1"/>
      <w:marLeft w:val="0"/>
      <w:marRight w:val="0"/>
      <w:marTop w:val="0"/>
      <w:marBottom w:val="0"/>
      <w:divBdr>
        <w:top w:val="none" w:sz="0" w:space="0" w:color="auto"/>
        <w:left w:val="none" w:sz="0" w:space="0" w:color="auto"/>
        <w:bottom w:val="none" w:sz="0" w:space="0" w:color="auto"/>
        <w:right w:val="none" w:sz="0" w:space="0" w:color="auto"/>
      </w:divBdr>
    </w:div>
    <w:div w:id="1339307513">
      <w:bodyDiv w:val="1"/>
      <w:marLeft w:val="0"/>
      <w:marRight w:val="0"/>
      <w:marTop w:val="0"/>
      <w:marBottom w:val="0"/>
      <w:divBdr>
        <w:top w:val="none" w:sz="0" w:space="0" w:color="auto"/>
        <w:left w:val="none" w:sz="0" w:space="0" w:color="auto"/>
        <w:bottom w:val="none" w:sz="0" w:space="0" w:color="auto"/>
        <w:right w:val="none" w:sz="0" w:space="0" w:color="auto"/>
      </w:divBdr>
    </w:div>
    <w:div w:id="1354915933">
      <w:bodyDiv w:val="1"/>
      <w:marLeft w:val="0"/>
      <w:marRight w:val="0"/>
      <w:marTop w:val="0"/>
      <w:marBottom w:val="0"/>
      <w:divBdr>
        <w:top w:val="none" w:sz="0" w:space="0" w:color="auto"/>
        <w:left w:val="none" w:sz="0" w:space="0" w:color="auto"/>
        <w:bottom w:val="none" w:sz="0" w:space="0" w:color="auto"/>
        <w:right w:val="none" w:sz="0" w:space="0" w:color="auto"/>
      </w:divBdr>
    </w:div>
    <w:div w:id="1362517100">
      <w:bodyDiv w:val="1"/>
      <w:marLeft w:val="0"/>
      <w:marRight w:val="0"/>
      <w:marTop w:val="0"/>
      <w:marBottom w:val="0"/>
      <w:divBdr>
        <w:top w:val="none" w:sz="0" w:space="0" w:color="auto"/>
        <w:left w:val="none" w:sz="0" w:space="0" w:color="auto"/>
        <w:bottom w:val="none" w:sz="0" w:space="0" w:color="auto"/>
        <w:right w:val="none" w:sz="0" w:space="0" w:color="auto"/>
      </w:divBdr>
    </w:div>
    <w:div w:id="1363432843">
      <w:bodyDiv w:val="1"/>
      <w:marLeft w:val="0"/>
      <w:marRight w:val="0"/>
      <w:marTop w:val="0"/>
      <w:marBottom w:val="0"/>
      <w:divBdr>
        <w:top w:val="none" w:sz="0" w:space="0" w:color="auto"/>
        <w:left w:val="none" w:sz="0" w:space="0" w:color="auto"/>
        <w:bottom w:val="none" w:sz="0" w:space="0" w:color="auto"/>
        <w:right w:val="none" w:sz="0" w:space="0" w:color="auto"/>
      </w:divBdr>
    </w:div>
    <w:div w:id="1390685046">
      <w:bodyDiv w:val="1"/>
      <w:marLeft w:val="0"/>
      <w:marRight w:val="0"/>
      <w:marTop w:val="0"/>
      <w:marBottom w:val="0"/>
      <w:divBdr>
        <w:top w:val="none" w:sz="0" w:space="0" w:color="auto"/>
        <w:left w:val="none" w:sz="0" w:space="0" w:color="auto"/>
        <w:bottom w:val="none" w:sz="0" w:space="0" w:color="auto"/>
        <w:right w:val="none" w:sz="0" w:space="0" w:color="auto"/>
      </w:divBdr>
    </w:div>
    <w:div w:id="1397120762">
      <w:bodyDiv w:val="1"/>
      <w:marLeft w:val="0"/>
      <w:marRight w:val="0"/>
      <w:marTop w:val="0"/>
      <w:marBottom w:val="0"/>
      <w:divBdr>
        <w:top w:val="none" w:sz="0" w:space="0" w:color="auto"/>
        <w:left w:val="none" w:sz="0" w:space="0" w:color="auto"/>
        <w:bottom w:val="none" w:sz="0" w:space="0" w:color="auto"/>
        <w:right w:val="none" w:sz="0" w:space="0" w:color="auto"/>
      </w:divBdr>
    </w:div>
    <w:div w:id="1418750004">
      <w:bodyDiv w:val="1"/>
      <w:marLeft w:val="0"/>
      <w:marRight w:val="0"/>
      <w:marTop w:val="0"/>
      <w:marBottom w:val="0"/>
      <w:divBdr>
        <w:top w:val="none" w:sz="0" w:space="0" w:color="auto"/>
        <w:left w:val="none" w:sz="0" w:space="0" w:color="auto"/>
        <w:bottom w:val="none" w:sz="0" w:space="0" w:color="auto"/>
        <w:right w:val="none" w:sz="0" w:space="0" w:color="auto"/>
      </w:divBdr>
    </w:div>
    <w:div w:id="1425566796">
      <w:bodyDiv w:val="1"/>
      <w:marLeft w:val="0"/>
      <w:marRight w:val="0"/>
      <w:marTop w:val="0"/>
      <w:marBottom w:val="0"/>
      <w:divBdr>
        <w:top w:val="none" w:sz="0" w:space="0" w:color="auto"/>
        <w:left w:val="none" w:sz="0" w:space="0" w:color="auto"/>
        <w:bottom w:val="none" w:sz="0" w:space="0" w:color="auto"/>
        <w:right w:val="none" w:sz="0" w:space="0" w:color="auto"/>
      </w:divBdr>
    </w:div>
    <w:div w:id="1427924292">
      <w:bodyDiv w:val="1"/>
      <w:marLeft w:val="0"/>
      <w:marRight w:val="0"/>
      <w:marTop w:val="0"/>
      <w:marBottom w:val="0"/>
      <w:divBdr>
        <w:top w:val="none" w:sz="0" w:space="0" w:color="auto"/>
        <w:left w:val="none" w:sz="0" w:space="0" w:color="auto"/>
        <w:bottom w:val="none" w:sz="0" w:space="0" w:color="auto"/>
        <w:right w:val="none" w:sz="0" w:space="0" w:color="auto"/>
      </w:divBdr>
    </w:div>
    <w:div w:id="1458916731">
      <w:bodyDiv w:val="1"/>
      <w:marLeft w:val="0"/>
      <w:marRight w:val="0"/>
      <w:marTop w:val="0"/>
      <w:marBottom w:val="0"/>
      <w:divBdr>
        <w:top w:val="none" w:sz="0" w:space="0" w:color="auto"/>
        <w:left w:val="none" w:sz="0" w:space="0" w:color="auto"/>
        <w:bottom w:val="none" w:sz="0" w:space="0" w:color="auto"/>
        <w:right w:val="none" w:sz="0" w:space="0" w:color="auto"/>
      </w:divBdr>
    </w:div>
    <w:div w:id="1463187395">
      <w:bodyDiv w:val="1"/>
      <w:marLeft w:val="0"/>
      <w:marRight w:val="0"/>
      <w:marTop w:val="0"/>
      <w:marBottom w:val="0"/>
      <w:divBdr>
        <w:top w:val="none" w:sz="0" w:space="0" w:color="auto"/>
        <w:left w:val="none" w:sz="0" w:space="0" w:color="auto"/>
        <w:bottom w:val="none" w:sz="0" w:space="0" w:color="auto"/>
        <w:right w:val="none" w:sz="0" w:space="0" w:color="auto"/>
      </w:divBdr>
    </w:div>
    <w:div w:id="1465729607">
      <w:bodyDiv w:val="1"/>
      <w:marLeft w:val="0"/>
      <w:marRight w:val="0"/>
      <w:marTop w:val="0"/>
      <w:marBottom w:val="0"/>
      <w:divBdr>
        <w:top w:val="none" w:sz="0" w:space="0" w:color="auto"/>
        <w:left w:val="none" w:sz="0" w:space="0" w:color="auto"/>
        <w:bottom w:val="none" w:sz="0" w:space="0" w:color="auto"/>
        <w:right w:val="none" w:sz="0" w:space="0" w:color="auto"/>
      </w:divBdr>
    </w:div>
    <w:div w:id="1468015385">
      <w:bodyDiv w:val="1"/>
      <w:marLeft w:val="0"/>
      <w:marRight w:val="0"/>
      <w:marTop w:val="0"/>
      <w:marBottom w:val="0"/>
      <w:divBdr>
        <w:top w:val="none" w:sz="0" w:space="0" w:color="auto"/>
        <w:left w:val="none" w:sz="0" w:space="0" w:color="auto"/>
        <w:bottom w:val="none" w:sz="0" w:space="0" w:color="auto"/>
        <w:right w:val="none" w:sz="0" w:space="0" w:color="auto"/>
      </w:divBdr>
    </w:div>
    <w:div w:id="1470631149">
      <w:bodyDiv w:val="1"/>
      <w:marLeft w:val="0"/>
      <w:marRight w:val="0"/>
      <w:marTop w:val="0"/>
      <w:marBottom w:val="0"/>
      <w:divBdr>
        <w:top w:val="none" w:sz="0" w:space="0" w:color="auto"/>
        <w:left w:val="none" w:sz="0" w:space="0" w:color="auto"/>
        <w:bottom w:val="none" w:sz="0" w:space="0" w:color="auto"/>
        <w:right w:val="none" w:sz="0" w:space="0" w:color="auto"/>
      </w:divBdr>
    </w:div>
    <w:div w:id="1472868506">
      <w:bodyDiv w:val="1"/>
      <w:marLeft w:val="0"/>
      <w:marRight w:val="0"/>
      <w:marTop w:val="0"/>
      <w:marBottom w:val="0"/>
      <w:divBdr>
        <w:top w:val="none" w:sz="0" w:space="0" w:color="auto"/>
        <w:left w:val="none" w:sz="0" w:space="0" w:color="auto"/>
        <w:bottom w:val="none" w:sz="0" w:space="0" w:color="auto"/>
        <w:right w:val="none" w:sz="0" w:space="0" w:color="auto"/>
      </w:divBdr>
    </w:div>
    <w:div w:id="1482577189">
      <w:bodyDiv w:val="1"/>
      <w:marLeft w:val="0"/>
      <w:marRight w:val="0"/>
      <w:marTop w:val="0"/>
      <w:marBottom w:val="0"/>
      <w:divBdr>
        <w:top w:val="none" w:sz="0" w:space="0" w:color="auto"/>
        <w:left w:val="none" w:sz="0" w:space="0" w:color="auto"/>
        <w:bottom w:val="none" w:sz="0" w:space="0" w:color="auto"/>
        <w:right w:val="none" w:sz="0" w:space="0" w:color="auto"/>
      </w:divBdr>
    </w:div>
    <w:div w:id="1495609861">
      <w:bodyDiv w:val="1"/>
      <w:marLeft w:val="0"/>
      <w:marRight w:val="0"/>
      <w:marTop w:val="0"/>
      <w:marBottom w:val="0"/>
      <w:divBdr>
        <w:top w:val="none" w:sz="0" w:space="0" w:color="auto"/>
        <w:left w:val="none" w:sz="0" w:space="0" w:color="auto"/>
        <w:bottom w:val="none" w:sz="0" w:space="0" w:color="auto"/>
        <w:right w:val="none" w:sz="0" w:space="0" w:color="auto"/>
      </w:divBdr>
    </w:div>
    <w:div w:id="1502312511">
      <w:bodyDiv w:val="1"/>
      <w:marLeft w:val="0"/>
      <w:marRight w:val="0"/>
      <w:marTop w:val="0"/>
      <w:marBottom w:val="0"/>
      <w:divBdr>
        <w:top w:val="none" w:sz="0" w:space="0" w:color="auto"/>
        <w:left w:val="none" w:sz="0" w:space="0" w:color="auto"/>
        <w:bottom w:val="none" w:sz="0" w:space="0" w:color="auto"/>
        <w:right w:val="none" w:sz="0" w:space="0" w:color="auto"/>
      </w:divBdr>
    </w:div>
    <w:div w:id="1525051686">
      <w:bodyDiv w:val="1"/>
      <w:marLeft w:val="0"/>
      <w:marRight w:val="0"/>
      <w:marTop w:val="0"/>
      <w:marBottom w:val="0"/>
      <w:divBdr>
        <w:top w:val="none" w:sz="0" w:space="0" w:color="auto"/>
        <w:left w:val="none" w:sz="0" w:space="0" w:color="auto"/>
        <w:bottom w:val="none" w:sz="0" w:space="0" w:color="auto"/>
        <w:right w:val="none" w:sz="0" w:space="0" w:color="auto"/>
      </w:divBdr>
    </w:div>
    <w:div w:id="1543781743">
      <w:bodyDiv w:val="1"/>
      <w:marLeft w:val="0"/>
      <w:marRight w:val="0"/>
      <w:marTop w:val="0"/>
      <w:marBottom w:val="0"/>
      <w:divBdr>
        <w:top w:val="none" w:sz="0" w:space="0" w:color="auto"/>
        <w:left w:val="none" w:sz="0" w:space="0" w:color="auto"/>
        <w:bottom w:val="none" w:sz="0" w:space="0" w:color="auto"/>
        <w:right w:val="none" w:sz="0" w:space="0" w:color="auto"/>
      </w:divBdr>
    </w:div>
    <w:div w:id="1544251278">
      <w:bodyDiv w:val="1"/>
      <w:marLeft w:val="0"/>
      <w:marRight w:val="0"/>
      <w:marTop w:val="0"/>
      <w:marBottom w:val="0"/>
      <w:divBdr>
        <w:top w:val="none" w:sz="0" w:space="0" w:color="auto"/>
        <w:left w:val="none" w:sz="0" w:space="0" w:color="auto"/>
        <w:bottom w:val="none" w:sz="0" w:space="0" w:color="auto"/>
        <w:right w:val="none" w:sz="0" w:space="0" w:color="auto"/>
      </w:divBdr>
    </w:div>
    <w:div w:id="1569415931">
      <w:bodyDiv w:val="1"/>
      <w:marLeft w:val="0"/>
      <w:marRight w:val="0"/>
      <w:marTop w:val="0"/>
      <w:marBottom w:val="0"/>
      <w:divBdr>
        <w:top w:val="none" w:sz="0" w:space="0" w:color="auto"/>
        <w:left w:val="none" w:sz="0" w:space="0" w:color="auto"/>
        <w:bottom w:val="none" w:sz="0" w:space="0" w:color="auto"/>
        <w:right w:val="none" w:sz="0" w:space="0" w:color="auto"/>
      </w:divBdr>
    </w:div>
    <w:div w:id="1594969647">
      <w:bodyDiv w:val="1"/>
      <w:marLeft w:val="0"/>
      <w:marRight w:val="0"/>
      <w:marTop w:val="0"/>
      <w:marBottom w:val="0"/>
      <w:divBdr>
        <w:top w:val="none" w:sz="0" w:space="0" w:color="auto"/>
        <w:left w:val="none" w:sz="0" w:space="0" w:color="auto"/>
        <w:bottom w:val="none" w:sz="0" w:space="0" w:color="auto"/>
        <w:right w:val="none" w:sz="0" w:space="0" w:color="auto"/>
      </w:divBdr>
    </w:div>
    <w:div w:id="1613123230">
      <w:bodyDiv w:val="1"/>
      <w:marLeft w:val="0"/>
      <w:marRight w:val="0"/>
      <w:marTop w:val="0"/>
      <w:marBottom w:val="0"/>
      <w:divBdr>
        <w:top w:val="none" w:sz="0" w:space="0" w:color="auto"/>
        <w:left w:val="none" w:sz="0" w:space="0" w:color="auto"/>
        <w:bottom w:val="none" w:sz="0" w:space="0" w:color="auto"/>
        <w:right w:val="none" w:sz="0" w:space="0" w:color="auto"/>
      </w:divBdr>
    </w:div>
    <w:div w:id="1625845757">
      <w:bodyDiv w:val="1"/>
      <w:marLeft w:val="0"/>
      <w:marRight w:val="0"/>
      <w:marTop w:val="0"/>
      <w:marBottom w:val="0"/>
      <w:divBdr>
        <w:top w:val="none" w:sz="0" w:space="0" w:color="auto"/>
        <w:left w:val="none" w:sz="0" w:space="0" w:color="auto"/>
        <w:bottom w:val="none" w:sz="0" w:space="0" w:color="auto"/>
        <w:right w:val="none" w:sz="0" w:space="0" w:color="auto"/>
      </w:divBdr>
    </w:div>
    <w:div w:id="1629965921">
      <w:bodyDiv w:val="1"/>
      <w:marLeft w:val="0"/>
      <w:marRight w:val="0"/>
      <w:marTop w:val="0"/>
      <w:marBottom w:val="0"/>
      <w:divBdr>
        <w:top w:val="none" w:sz="0" w:space="0" w:color="auto"/>
        <w:left w:val="none" w:sz="0" w:space="0" w:color="auto"/>
        <w:bottom w:val="none" w:sz="0" w:space="0" w:color="auto"/>
        <w:right w:val="none" w:sz="0" w:space="0" w:color="auto"/>
      </w:divBdr>
    </w:div>
    <w:div w:id="1632714049">
      <w:bodyDiv w:val="1"/>
      <w:marLeft w:val="0"/>
      <w:marRight w:val="0"/>
      <w:marTop w:val="0"/>
      <w:marBottom w:val="0"/>
      <w:divBdr>
        <w:top w:val="none" w:sz="0" w:space="0" w:color="auto"/>
        <w:left w:val="none" w:sz="0" w:space="0" w:color="auto"/>
        <w:bottom w:val="none" w:sz="0" w:space="0" w:color="auto"/>
        <w:right w:val="none" w:sz="0" w:space="0" w:color="auto"/>
      </w:divBdr>
    </w:div>
    <w:div w:id="1640719017">
      <w:bodyDiv w:val="1"/>
      <w:marLeft w:val="0"/>
      <w:marRight w:val="0"/>
      <w:marTop w:val="0"/>
      <w:marBottom w:val="0"/>
      <w:divBdr>
        <w:top w:val="none" w:sz="0" w:space="0" w:color="auto"/>
        <w:left w:val="none" w:sz="0" w:space="0" w:color="auto"/>
        <w:bottom w:val="none" w:sz="0" w:space="0" w:color="auto"/>
        <w:right w:val="none" w:sz="0" w:space="0" w:color="auto"/>
      </w:divBdr>
    </w:div>
    <w:div w:id="1662615081">
      <w:bodyDiv w:val="1"/>
      <w:marLeft w:val="0"/>
      <w:marRight w:val="0"/>
      <w:marTop w:val="0"/>
      <w:marBottom w:val="0"/>
      <w:divBdr>
        <w:top w:val="none" w:sz="0" w:space="0" w:color="auto"/>
        <w:left w:val="none" w:sz="0" w:space="0" w:color="auto"/>
        <w:bottom w:val="none" w:sz="0" w:space="0" w:color="auto"/>
        <w:right w:val="none" w:sz="0" w:space="0" w:color="auto"/>
      </w:divBdr>
    </w:div>
    <w:div w:id="1677997731">
      <w:bodyDiv w:val="1"/>
      <w:marLeft w:val="0"/>
      <w:marRight w:val="0"/>
      <w:marTop w:val="0"/>
      <w:marBottom w:val="0"/>
      <w:divBdr>
        <w:top w:val="none" w:sz="0" w:space="0" w:color="auto"/>
        <w:left w:val="none" w:sz="0" w:space="0" w:color="auto"/>
        <w:bottom w:val="none" w:sz="0" w:space="0" w:color="auto"/>
        <w:right w:val="none" w:sz="0" w:space="0" w:color="auto"/>
      </w:divBdr>
    </w:div>
    <w:div w:id="1710185295">
      <w:bodyDiv w:val="1"/>
      <w:marLeft w:val="0"/>
      <w:marRight w:val="0"/>
      <w:marTop w:val="0"/>
      <w:marBottom w:val="0"/>
      <w:divBdr>
        <w:top w:val="none" w:sz="0" w:space="0" w:color="auto"/>
        <w:left w:val="none" w:sz="0" w:space="0" w:color="auto"/>
        <w:bottom w:val="none" w:sz="0" w:space="0" w:color="auto"/>
        <w:right w:val="none" w:sz="0" w:space="0" w:color="auto"/>
      </w:divBdr>
    </w:div>
    <w:div w:id="1714307153">
      <w:bodyDiv w:val="1"/>
      <w:marLeft w:val="0"/>
      <w:marRight w:val="0"/>
      <w:marTop w:val="0"/>
      <w:marBottom w:val="0"/>
      <w:divBdr>
        <w:top w:val="none" w:sz="0" w:space="0" w:color="auto"/>
        <w:left w:val="none" w:sz="0" w:space="0" w:color="auto"/>
        <w:bottom w:val="none" w:sz="0" w:space="0" w:color="auto"/>
        <w:right w:val="none" w:sz="0" w:space="0" w:color="auto"/>
      </w:divBdr>
    </w:div>
    <w:div w:id="1716346979">
      <w:bodyDiv w:val="1"/>
      <w:marLeft w:val="0"/>
      <w:marRight w:val="0"/>
      <w:marTop w:val="0"/>
      <w:marBottom w:val="0"/>
      <w:divBdr>
        <w:top w:val="none" w:sz="0" w:space="0" w:color="auto"/>
        <w:left w:val="none" w:sz="0" w:space="0" w:color="auto"/>
        <w:bottom w:val="none" w:sz="0" w:space="0" w:color="auto"/>
        <w:right w:val="none" w:sz="0" w:space="0" w:color="auto"/>
      </w:divBdr>
    </w:div>
    <w:div w:id="1727801098">
      <w:bodyDiv w:val="1"/>
      <w:marLeft w:val="0"/>
      <w:marRight w:val="0"/>
      <w:marTop w:val="0"/>
      <w:marBottom w:val="0"/>
      <w:divBdr>
        <w:top w:val="none" w:sz="0" w:space="0" w:color="auto"/>
        <w:left w:val="none" w:sz="0" w:space="0" w:color="auto"/>
        <w:bottom w:val="none" w:sz="0" w:space="0" w:color="auto"/>
        <w:right w:val="none" w:sz="0" w:space="0" w:color="auto"/>
      </w:divBdr>
    </w:div>
    <w:div w:id="1749380211">
      <w:bodyDiv w:val="1"/>
      <w:marLeft w:val="0"/>
      <w:marRight w:val="0"/>
      <w:marTop w:val="0"/>
      <w:marBottom w:val="0"/>
      <w:divBdr>
        <w:top w:val="none" w:sz="0" w:space="0" w:color="auto"/>
        <w:left w:val="none" w:sz="0" w:space="0" w:color="auto"/>
        <w:bottom w:val="none" w:sz="0" w:space="0" w:color="auto"/>
        <w:right w:val="none" w:sz="0" w:space="0" w:color="auto"/>
      </w:divBdr>
    </w:div>
    <w:div w:id="1758747547">
      <w:bodyDiv w:val="1"/>
      <w:marLeft w:val="0"/>
      <w:marRight w:val="0"/>
      <w:marTop w:val="0"/>
      <w:marBottom w:val="0"/>
      <w:divBdr>
        <w:top w:val="none" w:sz="0" w:space="0" w:color="auto"/>
        <w:left w:val="none" w:sz="0" w:space="0" w:color="auto"/>
        <w:bottom w:val="none" w:sz="0" w:space="0" w:color="auto"/>
        <w:right w:val="none" w:sz="0" w:space="0" w:color="auto"/>
      </w:divBdr>
    </w:div>
    <w:div w:id="1767770924">
      <w:bodyDiv w:val="1"/>
      <w:marLeft w:val="0"/>
      <w:marRight w:val="0"/>
      <w:marTop w:val="0"/>
      <w:marBottom w:val="0"/>
      <w:divBdr>
        <w:top w:val="none" w:sz="0" w:space="0" w:color="auto"/>
        <w:left w:val="none" w:sz="0" w:space="0" w:color="auto"/>
        <w:bottom w:val="none" w:sz="0" w:space="0" w:color="auto"/>
        <w:right w:val="none" w:sz="0" w:space="0" w:color="auto"/>
      </w:divBdr>
    </w:div>
    <w:div w:id="1787390669">
      <w:bodyDiv w:val="1"/>
      <w:marLeft w:val="0"/>
      <w:marRight w:val="0"/>
      <w:marTop w:val="0"/>
      <w:marBottom w:val="0"/>
      <w:divBdr>
        <w:top w:val="none" w:sz="0" w:space="0" w:color="auto"/>
        <w:left w:val="none" w:sz="0" w:space="0" w:color="auto"/>
        <w:bottom w:val="none" w:sz="0" w:space="0" w:color="auto"/>
        <w:right w:val="none" w:sz="0" w:space="0" w:color="auto"/>
      </w:divBdr>
    </w:div>
    <w:div w:id="1791440176">
      <w:bodyDiv w:val="1"/>
      <w:marLeft w:val="0"/>
      <w:marRight w:val="0"/>
      <w:marTop w:val="0"/>
      <w:marBottom w:val="0"/>
      <w:divBdr>
        <w:top w:val="none" w:sz="0" w:space="0" w:color="auto"/>
        <w:left w:val="none" w:sz="0" w:space="0" w:color="auto"/>
        <w:bottom w:val="none" w:sz="0" w:space="0" w:color="auto"/>
        <w:right w:val="none" w:sz="0" w:space="0" w:color="auto"/>
      </w:divBdr>
    </w:div>
    <w:div w:id="1798184439">
      <w:bodyDiv w:val="1"/>
      <w:marLeft w:val="0"/>
      <w:marRight w:val="0"/>
      <w:marTop w:val="0"/>
      <w:marBottom w:val="0"/>
      <w:divBdr>
        <w:top w:val="none" w:sz="0" w:space="0" w:color="auto"/>
        <w:left w:val="none" w:sz="0" w:space="0" w:color="auto"/>
        <w:bottom w:val="none" w:sz="0" w:space="0" w:color="auto"/>
        <w:right w:val="none" w:sz="0" w:space="0" w:color="auto"/>
      </w:divBdr>
    </w:div>
    <w:div w:id="1805081567">
      <w:bodyDiv w:val="1"/>
      <w:marLeft w:val="0"/>
      <w:marRight w:val="0"/>
      <w:marTop w:val="0"/>
      <w:marBottom w:val="0"/>
      <w:divBdr>
        <w:top w:val="none" w:sz="0" w:space="0" w:color="auto"/>
        <w:left w:val="none" w:sz="0" w:space="0" w:color="auto"/>
        <w:bottom w:val="none" w:sz="0" w:space="0" w:color="auto"/>
        <w:right w:val="none" w:sz="0" w:space="0" w:color="auto"/>
      </w:divBdr>
    </w:div>
    <w:div w:id="1813593404">
      <w:bodyDiv w:val="1"/>
      <w:marLeft w:val="0"/>
      <w:marRight w:val="0"/>
      <w:marTop w:val="0"/>
      <w:marBottom w:val="0"/>
      <w:divBdr>
        <w:top w:val="none" w:sz="0" w:space="0" w:color="auto"/>
        <w:left w:val="none" w:sz="0" w:space="0" w:color="auto"/>
        <w:bottom w:val="none" w:sz="0" w:space="0" w:color="auto"/>
        <w:right w:val="none" w:sz="0" w:space="0" w:color="auto"/>
      </w:divBdr>
    </w:div>
    <w:div w:id="1820918413">
      <w:bodyDiv w:val="1"/>
      <w:marLeft w:val="0"/>
      <w:marRight w:val="0"/>
      <w:marTop w:val="0"/>
      <w:marBottom w:val="0"/>
      <w:divBdr>
        <w:top w:val="none" w:sz="0" w:space="0" w:color="auto"/>
        <w:left w:val="none" w:sz="0" w:space="0" w:color="auto"/>
        <w:bottom w:val="none" w:sz="0" w:space="0" w:color="auto"/>
        <w:right w:val="none" w:sz="0" w:space="0" w:color="auto"/>
      </w:divBdr>
    </w:div>
    <w:div w:id="1821382305">
      <w:bodyDiv w:val="1"/>
      <w:marLeft w:val="0"/>
      <w:marRight w:val="0"/>
      <w:marTop w:val="0"/>
      <w:marBottom w:val="0"/>
      <w:divBdr>
        <w:top w:val="none" w:sz="0" w:space="0" w:color="auto"/>
        <w:left w:val="none" w:sz="0" w:space="0" w:color="auto"/>
        <w:bottom w:val="none" w:sz="0" w:space="0" w:color="auto"/>
        <w:right w:val="none" w:sz="0" w:space="0" w:color="auto"/>
      </w:divBdr>
    </w:div>
    <w:div w:id="1844853397">
      <w:bodyDiv w:val="1"/>
      <w:marLeft w:val="0"/>
      <w:marRight w:val="0"/>
      <w:marTop w:val="0"/>
      <w:marBottom w:val="0"/>
      <w:divBdr>
        <w:top w:val="none" w:sz="0" w:space="0" w:color="auto"/>
        <w:left w:val="none" w:sz="0" w:space="0" w:color="auto"/>
        <w:bottom w:val="none" w:sz="0" w:space="0" w:color="auto"/>
        <w:right w:val="none" w:sz="0" w:space="0" w:color="auto"/>
      </w:divBdr>
    </w:div>
    <w:div w:id="1846942460">
      <w:bodyDiv w:val="1"/>
      <w:marLeft w:val="0"/>
      <w:marRight w:val="0"/>
      <w:marTop w:val="0"/>
      <w:marBottom w:val="0"/>
      <w:divBdr>
        <w:top w:val="none" w:sz="0" w:space="0" w:color="auto"/>
        <w:left w:val="none" w:sz="0" w:space="0" w:color="auto"/>
        <w:bottom w:val="none" w:sz="0" w:space="0" w:color="auto"/>
        <w:right w:val="none" w:sz="0" w:space="0" w:color="auto"/>
      </w:divBdr>
    </w:div>
    <w:div w:id="1877154569">
      <w:bodyDiv w:val="1"/>
      <w:marLeft w:val="0"/>
      <w:marRight w:val="0"/>
      <w:marTop w:val="0"/>
      <w:marBottom w:val="0"/>
      <w:divBdr>
        <w:top w:val="none" w:sz="0" w:space="0" w:color="auto"/>
        <w:left w:val="none" w:sz="0" w:space="0" w:color="auto"/>
        <w:bottom w:val="none" w:sz="0" w:space="0" w:color="auto"/>
        <w:right w:val="none" w:sz="0" w:space="0" w:color="auto"/>
      </w:divBdr>
    </w:div>
    <w:div w:id="1882790494">
      <w:bodyDiv w:val="1"/>
      <w:marLeft w:val="0"/>
      <w:marRight w:val="0"/>
      <w:marTop w:val="0"/>
      <w:marBottom w:val="0"/>
      <w:divBdr>
        <w:top w:val="none" w:sz="0" w:space="0" w:color="auto"/>
        <w:left w:val="none" w:sz="0" w:space="0" w:color="auto"/>
        <w:bottom w:val="none" w:sz="0" w:space="0" w:color="auto"/>
        <w:right w:val="none" w:sz="0" w:space="0" w:color="auto"/>
      </w:divBdr>
    </w:div>
    <w:div w:id="1891728223">
      <w:bodyDiv w:val="1"/>
      <w:marLeft w:val="0"/>
      <w:marRight w:val="0"/>
      <w:marTop w:val="0"/>
      <w:marBottom w:val="0"/>
      <w:divBdr>
        <w:top w:val="none" w:sz="0" w:space="0" w:color="auto"/>
        <w:left w:val="none" w:sz="0" w:space="0" w:color="auto"/>
        <w:bottom w:val="none" w:sz="0" w:space="0" w:color="auto"/>
        <w:right w:val="none" w:sz="0" w:space="0" w:color="auto"/>
      </w:divBdr>
    </w:div>
    <w:div w:id="1891764919">
      <w:bodyDiv w:val="1"/>
      <w:marLeft w:val="0"/>
      <w:marRight w:val="0"/>
      <w:marTop w:val="0"/>
      <w:marBottom w:val="0"/>
      <w:divBdr>
        <w:top w:val="none" w:sz="0" w:space="0" w:color="auto"/>
        <w:left w:val="none" w:sz="0" w:space="0" w:color="auto"/>
        <w:bottom w:val="none" w:sz="0" w:space="0" w:color="auto"/>
        <w:right w:val="none" w:sz="0" w:space="0" w:color="auto"/>
      </w:divBdr>
    </w:div>
    <w:div w:id="1919247694">
      <w:bodyDiv w:val="1"/>
      <w:marLeft w:val="0"/>
      <w:marRight w:val="0"/>
      <w:marTop w:val="0"/>
      <w:marBottom w:val="0"/>
      <w:divBdr>
        <w:top w:val="none" w:sz="0" w:space="0" w:color="auto"/>
        <w:left w:val="none" w:sz="0" w:space="0" w:color="auto"/>
        <w:bottom w:val="none" w:sz="0" w:space="0" w:color="auto"/>
        <w:right w:val="none" w:sz="0" w:space="0" w:color="auto"/>
      </w:divBdr>
    </w:div>
    <w:div w:id="1920939480">
      <w:bodyDiv w:val="1"/>
      <w:marLeft w:val="0"/>
      <w:marRight w:val="0"/>
      <w:marTop w:val="0"/>
      <w:marBottom w:val="0"/>
      <w:divBdr>
        <w:top w:val="none" w:sz="0" w:space="0" w:color="auto"/>
        <w:left w:val="none" w:sz="0" w:space="0" w:color="auto"/>
        <w:bottom w:val="none" w:sz="0" w:space="0" w:color="auto"/>
        <w:right w:val="none" w:sz="0" w:space="0" w:color="auto"/>
      </w:divBdr>
    </w:div>
    <w:div w:id="1926764562">
      <w:bodyDiv w:val="1"/>
      <w:marLeft w:val="0"/>
      <w:marRight w:val="0"/>
      <w:marTop w:val="0"/>
      <w:marBottom w:val="0"/>
      <w:divBdr>
        <w:top w:val="none" w:sz="0" w:space="0" w:color="auto"/>
        <w:left w:val="none" w:sz="0" w:space="0" w:color="auto"/>
        <w:bottom w:val="none" w:sz="0" w:space="0" w:color="auto"/>
        <w:right w:val="none" w:sz="0" w:space="0" w:color="auto"/>
      </w:divBdr>
    </w:div>
    <w:div w:id="1935744614">
      <w:bodyDiv w:val="1"/>
      <w:marLeft w:val="0"/>
      <w:marRight w:val="0"/>
      <w:marTop w:val="0"/>
      <w:marBottom w:val="0"/>
      <w:divBdr>
        <w:top w:val="none" w:sz="0" w:space="0" w:color="auto"/>
        <w:left w:val="none" w:sz="0" w:space="0" w:color="auto"/>
        <w:bottom w:val="none" w:sz="0" w:space="0" w:color="auto"/>
        <w:right w:val="none" w:sz="0" w:space="0" w:color="auto"/>
      </w:divBdr>
    </w:div>
    <w:div w:id="1952857840">
      <w:bodyDiv w:val="1"/>
      <w:marLeft w:val="0"/>
      <w:marRight w:val="0"/>
      <w:marTop w:val="0"/>
      <w:marBottom w:val="0"/>
      <w:divBdr>
        <w:top w:val="none" w:sz="0" w:space="0" w:color="auto"/>
        <w:left w:val="none" w:sz="0" w:space="0" w:color="auto"/>
        <w:bottom w:val="none" w:sz="0" w:space="0" w:color="auto"/>
        <w:right w:val="none" w:sz="0" w:space="0" w:color="auto"/>
      </w:divBdr>
    </w:div>
    <w:div w:id="1952929045">
      <w:bodyDiv w:val="1"/>
      <w:marLeft w:val="0"/>
      <w:marRight w:val="0"/>
      <w:marTop w:val="0"/>
      <w:marBottom w:val="0"/>
      <w:divBdr>
        <w:top w:val="none" w:sz="0" w:space="0" w:color="auto"/>
        <w:left w:val="none" w:sz="0" w:space="0" w:color="auto"/>
        <w:bottom w:val="none" w:sz="0" w:space="0" w:color="auto"/>
        <w:right w:val="none" w:sz="0" w:space="0" w:color="auto"/>
      </w:divBdr>
    </w:div>
    <w:div w:id="1966305447">
      <w:bodyDiv w:val="1"/>
      <w:marLeft w:val="0"/>
      <w:marRight w:val="0"/>
      <w:marTop w:val="0"/>
      <w:marBottom w:val="0"/>
      <w:divBdr>
        <w:top w:val="none" w:sz="0" w:space="0" w:color="auto"/>
        <w:left w:val="none" w:sz="0" w:space="0" w:color="auto"/>
        <w:bottom w:val="none" w:sz="0" w:space="0" w:color="auto"/>
        <w:right w:val="none" w:sz="0" w:space="0" w:color="auto"/>
      </w:divBdr>
    </w:div>
    <w:div w:id="1986621000">
      <w:bodyDiv w:val="1"/>
      <w:marLeft w:val="0"/>
      <w:marRight w:val="0"/>
      <w:marTop w:val="0"/>
      <w:marBottom w:val="0"/>
      <w:divBdr>
        <w:top w:val="none" w:sz="0" w:space="0" w:color="auto"/>
        <w:left w:val="none" w:sz="0" w:space="0" w:color="auto"/>
        <w:bottom w:val="none" w:sz="0" w:space="0" w:color="auto"/>
        <w:right w:val="none" w:sz="0" w:space="0" w:color="auto"/>
      </w:divBdr>
    </w:div>
    <w:div w:id="1988432472">
      <w:bodyDiv w:val="1"/>
      <w:marLeft w:val="0"/>
      <w:marRight w:val="0"/>
      <w:marTop w:val="0"/>
      <w:marBottom w:val="0"/>
      <w:divBdr>
        <w:top w:val="none" w:sz="0" w:space="0" w:color="auto"/>
        <w:left w:val="none" w:sz="0" w:space="0" w:color="auto"/>
        <w:bottom w:val="none" w:sz="0" w:space="0" w:color="auto"/>
        <w:right w:val="none" w:sz="0" w:space="0" w:color="auto"/>
      </w:divBdr>
    </w:div>
    <w:div w:id="1988707772">
      <w:bodyDiv w:val="1"/>
      <w:marLeft w:val="0"/>
      <w:marRight w:val="0"/>
      <w:marTop w:val="0"/>
      <w:marBottom w:val="0"/>
      <w:divBdr>
        <w:top w:val="none" w:sz="0" w:space="0" w:color="auto"/>
        <w:left w:val="none" w:sz="0" w:space="0" w:color="auto"/>
        <w:bottom w:val="none" w:sz="0" w:space="0" w:color="auto"/>
        <w:right w:val="none" w:sz="0" w:space="0" w:color="auto"/>
      </w:divBdr>
    </w:div>
    <w:div w:id="2018801372">
      <w:bodyDiv w:val="1"/>
      <w:marLeft w:val="0"/>
      <w:marRight w:val="0"/>
      <w:marTop w:val="0"/>
      <w:marBottom w:val="0"/>
      <w:divBdr>
        <w:top w:val="none" w:sz="0" w:space="0" w:color="auto"/>
        <w:left w:val="none" w:sz="0" w:space="0" w:color="auto"/>
        <w:bottom w:val="none" w:sz="0" w:space="0" w:color="auto"/>
        <w:right w:val="none" w:sz="0" w:space="0" w:color="auto"/>
      </w:divBdr>
    </w:div>
    <w:div w:id="2020421792">
      <w:bodyDiv w:val="1"/>
      <w:marLeft w:val="0"/>
      <w:marRight w:val="0"/>
      <w:marTop w:val="0"/>
      <w:marBottom w:val="0"/>
      <w:divBdr>
        <w:top w:val="none" w:sz="0" w:space="0" w:color="auto"/>
        <w:left w:val="none" w:sz="0" w:space="0" w:color="auto"/>
        <w:bottom w:val="none" w:sz="0" w:space="0" w:color="auto"/>
        <w:right w:val="none" w:sz="0" w:space="0" w:color="auto"/>
      </w:divBdr>
    </w:div>
    <w:div w:id="2033336218">
      <w:bodyDiv w:val="1"/>
      <w:marLeft w:val="0"/>
      <w:marRight w:val="0"/>
      <w:marTop w:val="0"/>
      <w:marBottom w:val="0"/>
      <w:divBdr>
        <w:top w:val="none" w:sz="0" w:space="0" w:color="auto"/>
        <w:left w:val="none" w:sz="0" w:space="0" w:color="auto"/>
        <w:bottom w:val="none" w:sz="0" w:space="0" w:color="auto"/>
        <w:right w:val="none" w:sz="0" w:space="0" w:color="auto"/>
      </w:divBdr>
    </w:div>
    <w:div w:id="2059435329">
      <w:bodyDiv w:val="1"/>
      <w:marLeft w:val="0"/>
      <w:marRight w:val="0"/>
      <w:marTop w:val="0"/>
      <w:marBottom w:val="0"/>
      <w:divBdr>
        <w:top w:val="none" w:sz="0" w:space="0" w:color="auto"/>
        <w:left w:val="none" w:sz="0" w:space="0" w:color="auto"/>
        <w:bottom w:val="none" w:sz="0" w:space="0" w:color="auto"/>
        <w:right w:val="none" w:sz="0" w:space="0" w:color="auto"/>
      </w:divBdr>
    </w:div>
    <w:div w:id="2063671071">
      <w:bodyDiv w:val="1"/>
      <w:marLeft w:val="0"/>
      <w:marRight w:val="0"/>
      <w:marTop w:val="0"/>
      <w:marBottom w:val="0"/>
      <w:divBdr>
        <w:top w:val="none" w:sz="0" w:space="0" w:color="auto"/>
        <w:left w:val="none" w:sz="0" w:space="0" w:color="auto"/>
        <w:bottom w:val="none" w:sz="0" w:space="0" w:color="auto"/>
        <w:right w:val="none" w:sz="0" w:space="0" w:color="auto"/>
      </w:divBdr>
    </w:div>
    <w:div w:id="2092192157">
      <w:bodyDiv w:val="1"/>
      <w:marLeft w:val="0"/>
      <w:marRight w:val="0"/>
      <w:marTop w:val="0"/>
      <w:marBottom w:val="0"/>
      <w:divBdr>
        <w:top w:val="none" w:sz="0" w:space="0" w:color="auto"/>
        <w:left w:val="none" w:sz="0" w:space="0" w:color="auto"/>
        <w:bottom w:val="none" w:sz="0" w:space="0" w:color="auto"/>
        <w:right w:val="none" w:sz="0" w:space="0" w:color="auto"/>
      </w:divBdr>
    </w:div>
    <w:div w:id="2094357986">
      <w:bodyDiv w:val="1"/>
      <w:marLeft w:val="0"/>
      <w:marRight w:val="0"/>
      <w:marTop w:val="0"/>
      <w:marBottom w:val="0"/>
      <w:divBdr>
        <w:top w:val="none" w:sz="0" w:space="0" w:color="auto"/>
        <w:left w:val="none" w:sz="0" w:space="0" w:color="auto"/>
        <w:bottom w:val="none" w:sz="0" w:space="0" w:color="auto"/>
        <w:right w:val="none" w:sz="0" w:space="0" w:color="auto"/>
      </w:divBdr>
    </w:div>
    <w:div w:id="2095124513">
      <w:bodyDiv w:val="1"/>
      <w:marLeft w:val="0"/>
      <w:marRight w:val="0"/>
      <w:marTop w:val="0"/>
      <w:marBottom w:val="0"/>
      <w:divBdr>
        <w:top w:val="none" w:sz="0" w:space="0" w:color="auto"/>
        <w:left w:val="none" w:sz="0" w:space="0" w:color="auto"/>
        <w:bottom w:val="none" w:sz="0" w:space="0" w:color="auto"/>
        <w:right w:val="none" w:sz="0" w:space="0" w:color="auto"/>
      </w:divBdr>
    </w:div>
    <w:div w:id="2097555477">
      <w:bodyDiv w:val="1"/>
      <w:marLeft w:val="0"/>
      <w:marRight w:val="0"/>
      <w:marTop w:val="0"/>
      <w:marBottom w:val="0"/>
      <w:divBdr>
        <w:top w:val="none" w:sz="0" w:space="0" w:color="auto"/>
        <w:left w:val="none" w:sz="0" w:space="0" w:color="auto"/>
        <w:bottom w:val="none" w:sz="0" w:space="0" w:color="auto"/>
        <w:right w:val="none" w:sz="0" w:space="0" w:color="auto"/>
      </w:divBdr>
    </w:div>
    <w:div w:id="2115132802">
      <w:bodyDiv w:val="1"/>
      <w:marLeft w:val="0"/>
      <w:marRight w:val="0"/>
      <w:marTop w:val="0"/>
      <w:marBottom w:val="0"/>
      <w:divBdr>
        <w:top w:val="none" w:sz="0" w:space="0" w:color="auto"/>
        <w:left w:val="none" w:sz="0" w:space="0" w:color="auto"/>
        <w:bottom w:val="none" w:sz="0" w:space="0" w:color="auto"/>
        <w:right w:val="none" w:sz="0" w:space="0" w:color="auto"/>
      </w:divBdr>
    </w:div>
    <w:div w:id="2117864172">
      <w:bodyDiv w:val="1"/>
      <w:marLeft w:val="0"/>
      <w:marRight w:val="0"/>
      <w:marTop w:val="0"/>
      <w:marBottom w:val="0"/>
      <w:divBdr>
        <w:top w:val="none" w:sz="0" w:space="0" w:color="auto"/>
        <w:left w:val="none" w:sz="0" w:space="0" w:color="auto"/>
        <w:bottom w:val="none" w:sz="0" w:space="0" w:color="auto"/>
        <w:right w:val="none" w:sz="0" w:space="0" w:color="auto"/>
      </w:divBdr>
    </w:div>
    <w:div w:id="2123065219">
      <w:bodyDiv w:val="1"/>
      <w:marLeft w:val="0"/>
      <w:marRight w:val="0"/>
      <w:marTop w:val="0"/>
      <w:marBottom w:val="0"/>
      <w:divBdr>
        <w:top w:val="none" w:sz="0" w:space="0" w:color="auto"/>
        <w:left w:val="none" w:sz="0" w:space="0" w:color="auto"/>
        <w:bottom w:val="none" w:sz="0" w:space="0" w:color="auto"/>
        <w:right w:val="none" w:sz="0" w:space="0" w:color="auto"/>
      </w:divBdr>
    </w:div>
    <w:div w:id="2146896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Cul21</b:Tag>
    <b:SourceType>JournalArticle</b:SourceType>
    <b:Guid>{DB1AB526-4B9B-4CD2-A29B-3D317BBBCFE0}</b:Guid>
    <b:LCID>en-GB</b:LCID>
    <b:Author>
      <b:Author>
        <b:NameList>
          <b:Person>
            <b:Last>Culot</b:Last>
            <b:First>Giovanna</b:First>
          </b:Person>
          <b:Person>
            <b:Last>Nassimbeni</b:Last>
            <b:First>Guido</b:First>
          </b:Person>
          <b:Person>
            <b:Last>Podrecca</b:Last>
            <b:First>Matteo</b:First>
          </b:Person>
          <b:Person>
            <b:Last>Sartor</b:Last>
            <b:First>Marco</b:First>
          </b:Person>
        </b:NameList>
      </b:Author>
    </b:Author>
    <b:Title>The ISO/IEC 27001 information security management standard: literature review and theory-based research agenda.</b:Title>
    <b:Year>2021</b:Year>
    <b:JournalName>The TQM Journal</b:JournalName>
    <b:Pages>76-105</b:Pages>
    <b:Volume>33</b:Volume>
    <b:Issue>7</b:Issue>
    <b:RefOrder>1</b:RefOrder>
  </b:Source>
  <b:Source>
    <b:Tag>Ser22</b:Tag>
    <b:SourceType>JournalArticle</b:SourceType>
    <b:Guid>{EDD0DC69-9EAF-482E-B690-0AD12A0CB04B}</b:Guid>
    <b:Title>Cyber governance studies in ensuring cybersecurity: an overview of cybersecurity governance</b:Title>
    <b:JournalName>International Cybersecurity Law Review</b:JournalName>
    <b:Year>2022</b:Year>
    <b:Pages>7–34</b:Pages>
    <b:Volume>3</b:Volume>
    <b:Issue>1</b:Issue>
    <b:Author>
      <b:Author>
        <b:NameList>
          <b:Person>
            <b:Last>Serkan</b:Last>
            <b:First>Savaş</b:First>
          </b:Person>
          <b:Person>
            <b:Last>Süleyman</b:Last>
            <b:First>Karataş</b:First>
          </b:Person>
        </b:NameList>
      </b:Author>
    </b:Author>
    <b:LCID>en-GB</b:LCID>
    <b:RefOrder>2</b:RefOrder>
  </b:Source>
  <b:Source>
    <b:Tag>Cha24</b:Tag>
    <b:SourceType>Book</b:SourceType>
    <b:Guid>{F1556FA5-38AB-4975-8338-7C669447AA76}</b:Guid>
    <b:Title>Implementation of an ISMS Based on ISO/IEC 27001:2022 to Improve Information Security in the Internet Services Sector</b:Title>
    <b:Year>2024</b:Year>
    <b:City>Los Alamitos, California</b:City>
    <b:Publisher>IEEE</b:Publisher>
    <b:Author>
      <b:Author>
        <b:NameList>
          <b:Person>
            <b:Last>Chavez</b:Last>
            <b:First>Stefanny</b:First>
          </b:Person>
          <b:Person>
            <b:Last>Anahue</b:Last>
            <b:First>Joel</b:First>
          </b:Person>
          <b:Person>
            <b:Last>Ticona</b:Last>
            <b:First>Wilfredo</b:First>
          </b:Person>
        </b:NameList>
      </b:Author>
    </b:Author>
    <b:LCID>en-GB</b:LCID>
    <b:RefOrder>6</b:RefOrder>
  </b:Source>
  <b:Source>
    <b:Tag>Sta26</b:Tag>
    <b:SourceType>Book</b:SourceType>
    <b:Guid>{A496063F-5C77-47C6-B2E1-06B1EE8DD525}</b:Guid>
    <b:Title>Integration of ISMS into the Organization's Strategy and Its Impact on Security Culture in the Digital Environment</b:Title>
    <b:Year>2026</b:Year>
    <b:City>Bratislava</b:City>
    <b:Publisher>Administrative Sciences (MDPI)</b:Publisher>
    <b:Author>
      <b:Author>
        <b:NameList>
          <b:Person>
            <b:Last>Staffenova</b:Last>
            <b:First>Nikola</b:First>
          </b:Person>
          <b:Person>
            <b:Last>Dupakova</b:Last>
            <b:First>Dominika</b:First>
          </b:Person>
          <b:Person>
            <b:Last>Kubina</b:Last>
            <b:First>Milan</b:First>
          </b:Person>
        </b:NameList>
      </b:Author>
    </b:Author>
    <b:LCID>en-GB</b:LCID>
    <b:RefOrder>7</b:RefOrder>
  </b:Source>
  <b:Source>
    <b:Tag>Tur26</b:Tag>
    <b:SourceType>JournalArticle</b:SourceType>
    <b:Guid>{52D53035-108F-406A-B662-91395AFFA0D7}</b:Guid>
    <b:LCID>en-GB</b:LCID>
    <b:Title>Agile Resilience in Security for Small and Medium-Sized Businesses</b:Title>
    <b:Year>2026</b:Year>
    <b:JournalName>Journal of Cybersecurity and Privacy</b:JournalName>
    <b:Pages>119</b:Pages>
    <b:Volume>6</b:Volume>
    <b:Issue>4</b:Issue>
    <b:Author>
      <b:Author>
        <b:NameList>
          <b:Person>
            <b:Last>Turen</b:Last>
            <b:First>Selahattin Hurol</b:First>
          </b:Person>
          <b:Person>
            <b:Last>Eustace</b:Last>
            <b:First>Kenneth</b:First>
          </b:Person>
          <b:Person>
            <b:Last>Islam</b:Last>
            <b:First>Rafiqul</b:First>
          </b:Person>
          <b:Person>
            <b:Last>Fellows</b:Last>
            <b:First>Geoffrey</b:First>
          </b:Person>
        </b:NameList>
      </b:Author>
    </b:Author>
    <b:RefOrder>8</b:RefOrder>
  </b:Source>
  <b:Source>
    <b:Tag>Mer14</b:Tag>
    <b:SourceType>Book</b:SourceType>
    <b:Guid>{ED24B1E2-E334-441C-8508-A845CB608B47}</b:Guid>
    <b:Title>Information Security: Principles and Practices</b:Title>
    <b:Year>2014</b:Year>
    <b:LCID>en-GB</b:LCID>
    <b:City>Indianapolis, IN</b:City>
    <b:Author>
      <b:Author>
        <b:NameList>
          <b:Person>
            <b:Last>Merkow</b:Last>
            <b:First>Mark S.</b:First>
          </b:Person>
          <b:Person>
            <b:Last>Breithaupt</b:Last>
            <b:First>Jim</b:First>
          </b:Person>
        </b:NameList>
      </b:Author>
    </b:Author>
    <b:RefOrder>9</b:RefOrder>
  </b:Source>
  <b:Source>
    <b:Tag>Ray14</b:Tag>
    <b:SourceType>ConferenceProceedings</b:SourceType>
    <b:Guid>{7E444503-3A1B-4AF3-8A3B-6B7AB48C9D75}</b:Guid>
    <b:Title>From information security to cyber security cultures</b:Title>
    <b:Year>2014</b:Year>
    <b:LCID>en-GB</b:LCID>
    <b:ConferenceName>2014 Information Security for South Africa</b:ConferenceName>
    <b:City>Johannesburg, South Africa</b:City>
    <b:Author>
      <b:Author>
        <b:NameList>
          <b:Person>
            <b:Last>Rayne</b:Last>
            <b:First>Reid</b:First>
          </b:Person>
          <b:Person>
            <b:Last>Johan</b:Last>
            <b:First>Van Niekerk</b:First>
          </b:Person>
        </b:NameList>
      </b:Author>
    </b:Author>
    <b:RefOrder>3</b:RefOrder>
  </b:Source>
  <b:Source>
    <b:Tag>Mal23</b:Tag>
    <b:SourceType>ConferenceProceedings</b:SourceType>
    <b:Guid>{476CE0F6-3449-4879-9C6F-563B5735223F}</b:Guid>
    <b:Title>Management of Enterprise Cyber Security: A Review of ISO/IEC 27001:2022</b:Title>
    <b:Year>2023</b:Year>
    <b:LCID>en-GB</b:LCID>
    <b:ConferenceName>2023 International Conference on Cyber Management and Engineering (CyMaEn)</b:ConferenceName>
    <b:Author>
      <b:Author>
        <b:NameList>
          <b:Person>
            <b:Last>Malatji</b:Last>
            <b:First>Masike</b:First>
          </b:Person>
        </b:NameList>
      </b:Author>
    </b:Author>
    <b:RefOrder>10</b:RefOrder>
  </b:Source>
  <b:Source>
    <b:Tag>Loc10</b:Tag>
    <b:SourceType>JournalArticle</b:SourceType>
    <b:Guid>{AEE19E88-6115-4D4E-81AD-2A2ACCD66363}</b:Guid>
    <b:Title>Good Governance for Terrestrial Protected Areas: A Framework, Principles and Performance Outcomes</b:Title>
    <b:Year>2010</b:Year>
    <b:JournalName>Journal of Environmental Management</b:JournalName>
    <b:Pages>754–766</b:Pages>
    <b:Volume>91</b:Volume>
    <b:Issue>3</b:Issue>
    <b:Author>
      <b:Author>
        <b:NameList>
          <b:Person>
            <b:Last>Lockwood</b:Last>
            <b:First>Michael</b:First>
          </b:Person>
        </b:NameList>
      </b:Author>
    </b:Author>
    <b:LCID>en-GB</b:LCID>
    <b:RefOrder>11</b:RefOrder>
  </b:Source>
  <b:Source>
    <b:Tag>DaV20</b:Tag>
    <b:SourceType>JournalArticle</b:SourceType>
    <b:Guid>{956A6382-5F51-47C1-9D5C-9B2AA10C6149}</b:Guid>
    <b:LCID>en-GB</b:LCID>
    <b:Title>Comparing the Protection and Use of Online Personal Information in South Africa and the United Kingdom in Line with Data Protection Requirements</b:Title>
    <b:JournalName>Information &amp; Computer Security</b:JournalName>
    <b:Year>2020</b:Year>
    <b:Pages>399–422</b:Pages>
    <b:Volume>28</b:Volume>
    <b:Issue>3</b:Issue>
    <b:Author>
      <b:Author>
        <b:NameList>
          <b:Person>
            <b:Last>Da Veiga</b:Last>
            <b:First>Adele</b:First>
          </b:Person>
          <b:Person>
            <b:Last>Vorster</b:Last>
            <b:First>Ruthea</b:First>
          </b:Person>
          <b:Person>
            <b:Last>Li</b:Last>
            <b:First>Fudong</b:First>
          </b:Person>
          <b:Person>
            <b:Last>Clarke</b:Last>
            <b:First>Nathan</b:First>
          </b:Person>
          <b:Person>
            <b:Last>Furnell</b:Last>
            <b:First>Steven M.</b:First>
          </b:Person>
        </b:NameList>
      </b:Author>
    </b:Author>
    <b:RefOrder>12</b:RefOrder>
  </b:Source>
  <b:Source>
    <b:Tag>Hus24</b:Tag>
    <b:SourceType>JournalArticle</b:SourceType>
    <b:Guid>{8B02334C-0B8E-4030-AB7B-2C6444BEDA34}</b:Guid>
    <b:LCID>en-GB</b:LCID>
    <b:Title>Evaluation of Risk Management in the Ministry Interior of Iraq According to the Standards (ISO 31000:2018)</b:Title>
    <b:JournalName>Journal of Economics and Administrative Sciences</b:JournalName>
    <b:Year>2024</b:Year>
    <b:Author>
      <b:Author>
        <b:NameList>
          <b:Person>
            <b:Last>Hussein</b:Last>
            <b:First>Hasan Alaa</b:First>
          </b:Person>
          <b:Person>
            <b:Last>Jawad</b:Last>
            <b:First>Maha Kamel</b:First>
          </b:Person>
        </b:NameList>
      </b:Author>
    </b:Author>
    <b:RefOrder>13</b:RefOrder>
  </b:Source>
  <b:Source>
    <b:Tag>Lal13</b:Tag>
    <b:SourceType>ConferenceProceedings</b:SourceType>
    <b:Guid>{C733DE46-5071-46FD-9A96-029D67C496AF}</b:Guid>
    <b:Title>Information Security Risk Management in a World of Services</b:Title>
    <b:Year>2013</b:Year>
    <b:LCID>en-GB</b:LCID>
    <b:ConferenceName>International Conference on Social Computing</b:ConferenceName>
    <b:Author>
      <b:Author>
        <b:NameList>
          <b:Person>
            <b:Last>Lalanne</b:Last>
            <b:First>Vincent</b:First>
          </b:Person>
          <b:Person>
            <b:Last>Munier</b:Last>
            <b:First>Manuel</b:First>
          </b:Person>
          <b:Person>
            <b:Last>Gabillon</b:Last>
            <b:First>Alban</b:First>
          </b:Person>
        </b:NameList>
      </b:Author>
    </b:Author>
    <b:RefOrder>14</b:RefOrder>
  </b:Source>
  <b:Source>
    <b:Tag>Hub23</b:Tag>
    <b:SourceType>Book</b:SourceType>
    <b:Guid>{9A394AE4-F2BE-4AAD-9404-F5978C8D34FC}</b:Guid>
    <b:Title>How to Measure Anything in Cybersecurity Risk</b:Title>
    <b:Year>2023</b:Year>
    <b:City>Hoboken, New Jersey</b:City>
    <b:LCID>en-GB</b:LCID>
    <b:Publisher>Wiley</b:Publisher>
    <b:Author>
      <b:Author>
        <b:NameList>
          <b:Person>
            <b:Last>Hubbard</b:Last>
            <b:First>Douglas W.</b:First>
          </b:Person>
          <b:Person>
            <b:Last>Seiersen</b:Last>
            <b:First>Richard</b:First>
          </b:Person>
        </b:NameList>
      </b:Author>
    </b:Author>
    <b:RefOrder>15</b:RefOrder>
  </b:Source>
  <b:Source>
    <b:Tag>Cal20</b:Tag>
    <b:SourceType>Book</b:SourceType>
    <b:Guid>{B4FC0D6D-7177-41D4-8B1A-6DD0662CB679}</b:Guid>
    <b:Title>Implementing Information Security Based on ISO 27001/ISO 27002</b:Title>
    <b:Year>2020</b:Year>
    <b:City>Zaltbommel</b:City>
    <b:Publisher>Van Haren Publishing</b:Publisher>
    <b:Author>
      <b:Author>
        <b:NameList>
          <b:Person>
            <b:Last>Calder</b:Last>
            <b:First>Alan</b:First>
          </b:Person>
        </b:NameList>
      </b:Author>
    </b:Author>
    <b:RefOrder>16</b:RefOrder>
  </b:Source>
  <b:Source>
    <b:Tag>Kum16</b:Tag>
    <b:SourceType>Book</b:SourceType>
    <b:Guid>{F650B313-96E8-4FBA-A563-E1DC191D5ADB}</b:Guid>
    <b:LCID>en-GB</b:LCID>
    <b:Title>Layered App Security Architecture for Protecting Sensitive Data</b:Title>
    <b:Year>2016</b:Year>
    <b:Author>
      <b:Author>
        <b:NameList>
          <b:Person>
            <b:Last>Kumar</b:Last>
            <b:First>Tambi Varun</b:First>
          </b:Person>
        </b:NameList>
      </b:Author>
    </b:Author>
    <b:RefOrder>17</b:RefOrder>
  </b:Source>
  <b:Source>
    <b:Tag>Joh19</b:Tag>
    <b:SourceType>Book</b:SourceType>
    <b:Guid>{5D373D76-1E76-4207-8ECC-095FEC5CB359}</b:Guid>
    <b:LCID>en-GB</b:LCID>
    <b:Title>Security Controls Evaluation, Testing, and Assessment Handbook</b:Title>
    <b:Year>2019</b:Year>
    <b:City>Cambridge, Massachusetts</b:City>
    <b:Publisher>Academic Press</b:Publisher>
    <b:Author>
      <b:Author>
        <b:NameList>
          <b:Person>
            <b:Last>Johnson</b:Last>
            <b:First>Leighton</b:First>
          </b:Person>
        </b:NameList>
      </b:Author>
    </b:Author>
    <b:RefOrder>18</b:RefOrder>
  </b:Source>
  <b:Source>
    <b:Tag>Int19</b:Tag>
    <b:SourceType>Report</b:SourceType>
    <b:Guid>{12B1E62E-B4DB-42D8-8662-5BA59B85A0BA}</b:Guid>
    <b:Title>ISO 22301:2019 Security and Resilience—Business Continuity Management Systems—Requirements</b:Title>
    <b:Year>2019</b:Year>
    <b:City>Geneva</b:City>
    <b:Publisher>International Organization for Standardization</b:Publisher>
    <b:LCID>en-GB</b:LCID>
    <b:Author>
      <b:Author>
        <b:Corporate>International Organization for Standardization</b:Corporate>
      </b:Author>
    </b:Author>
    <b:RefOrder>19</b:RefOrder>
  </b:Source>
  <b:Source>
    <b:Tag>ALH24</b:Tag>
    <b:SourceType>Book</b:SourceType>
    <b:Guid>{CAE0931C-8D4B-4A9B-9008-35EF30BE6702}</b:Guid>
    <b:Title>Cyber Resilience Framework: Strengthening Defenses and Enhancing Continuity in Business Security</b:Title>
    <b:Year>2024</b:Year>
    <b:Author>
      <b:Author>
        <b:NameList>
          <b:Person>
            <b:Last>AL-Hawamleh</b:Last>
            <b:First>Ahmad</b:First>
          </b:Person>
        </b:NameList>
      </b:Author>
    </b:Author>
    <b:LCID>en-GB</b:LCID>
    <b:RefOrder>20</b:RefOrder>
  </b:Source>
  <b:Source>
    <b:Tag>Hil14</b:Tag>
    <b:SourceType>Book</b:SourceType>
    <b:Guid>{457DB011-6B03-4213-958B-041B88F9BD08}</b:Guid>
    <b:LCID>en-GB</b:LCID>
    <b:Title>Business Continuity Management: Global Best Practices</b:Title>
    <b:Year>2014</b:Year>
    <b:City>Brookfield, Connecticut</b:City>
    <b:Publisher>Rothstein Publishing</b:Publisher>
    <b:Author>
      <b:Author>
        <b:NameList>
          <b:Person>
            <b:Last>Hiles </b:Last>
            <b:First>Andrew</b:First>
          </b:Person>
        </b:NameList>
      </b:Author>
    </b:Author>
    <b:RefOrder>21</b:RefOrder>
  </b:Source>
  <b:Source>
    <b:Tag>Blu20</b:Tag>
    <b:SourceType>BookSection</b:SourceType>
    <b:Guid>{1A7EA737-F0F8-4B16-9309-BD5EE7E79A3C}</b:Guid>
    <b:Title>Institute Resilience Through Detection, Response, and Recovery</b:Title>
    <b:Year>2020</b:Year>
    <b:City>Berkeley, California</b:City>
    <b:Publisher>Apress</b:Publisher>
    <b:LCID>en-GB</b:LCID>
    <b:BookTitle>Rational Cybersecurity for Business: The Security Leaders’ Guide to Business Alignment</b:BookTitle>
    <b:Pages>259–295</b:Pages>
    <b:Author>
      <b:Author>
        <b:NameList>
          <b:Person>
            <b:Last>Blum</b:Last>
            <b:First>Dan</b:First>
          </b:Person>
        </b:NameList>
      </b:Author>
    </b:Author>
    <b:RefOrder>22</b:RefOrder>
  </b:Source>
  <b:Source>
    <b:Tag>Bog24</b:Tag>
    <b:SourceType>Report</b:SourceType>
    <b:Guid>{5488EC7E-341E-4567-BB7E-90A5B2B96F91}</b:Guid>
    <b:Title>Cybersecurity of Air Traffic Management and Aviation Systems: A Systems Engineering Approach to Risk Mitigation</b:Title>
    <b:Year>2024</b:Year>
    <b:City>Melbourne, Australia</b:City>
    <b:Publisher>RMIT University</b:Publisher>
    <b:LCID>en-GB</b:LCID>
    <b:Author>
      <b:Author>
        <b:NameList>
          <b:Person>
            <b:Last>Bogoda</b:Last>
            <b:First>Lanka</b:First>
          </b:Person>
        </b:NameList>
      </b:Author>
    </b:Author>
    <b:RefOrder>23</b:RefOrder>
  </b:Source>
  <b:Source>
    <b:Tag>Zin06</b:Tag>
    <b:SourceType>Book</b:SourceType>
    <b:Guid>{F504F33E-2E24-4FB6-ADDE-EFB7F6FA4411}</b:Guid>
    <b:Title>Six Sigma—The First 90 Days</b:Title>
    <b:Year>2006</b:Year>
    <b:City>Upper Saddle River, New Jersey</b:City>
    <b:LCID>en-GB</b:LCID>
    <b:Author>
      <b:Author>
        <b:NameList>
          <b:Person>
            <b:Last>Zinkgraf</b:Last>
            <b:First>Stephen A.</b:First>
          </b:Person>
        </b:NameList>
      </b:Author>
    </b:Author>
    <b:RefOrder>24</b:RefOrder>
  </b:Source>
  <b:Source>
    <b:Tag>Cok04</b:Tag>
    <b:SourceType>Book</b:SourceType>
    <b:Guid>{0E45FED7-0918-4C24-82AA-78DCE2E12B8A}</b:Guid>
    <b:LCID>en-GB</b:LCID>
    <b:Title>Performance Management: Finding the Missing Pieces (to Close the Intelligence Gap)</b:Title>
    <b:Year>2004</b:Year>
    <b:City>Hoboken, New Jersey</b:City>
    <b:Publisher>John Wiley &amp; Sons</b:Publisher>
    <b:Author>
      <b:Author>
        <b:NameList>
          <b:Person>
            <b:Last>Cokins</b:Last>
            <b:First>Gary</b:First>
          </b:Person>
        </b:NameList>
      </b:Author>
    </b:Author>
    <b:RefOrder>25</b:RefOrder>
  </b:Source>
  <b:Source>
    <b:Tag>Ram17</b:Tag>
    <b:SourceType>JournalArticle</b:SourceType>
    <b:Guid>{3C6F8A6F-2B30-4573-BBF2-620A2E9E3701}</b:Guid>
    <b:Title>Model-Based Quantitative Network Security Metrics: A Survey</b:Title>
    <b:Year>2017</b:Year>
    <b:LCID>en-GB</b:LCID>
    <b:JournalName>IEEE Communications Surveys &amp; Tutorials</b:JournalName>
    <b:Author>
      <b:Author>
        <b:NameList>
          <b:Person>
            <b:Last>Ramos</b:Last>
            <b:First>Alex</b:First>
          </b:Person>
          <b:Person>
            <b:Last>Lazar</b:Last>
            <b:First>Marcella</b:First>
          </b:Person>
          <b:Person>
            <b:Last>Holanda Filho</b:Last>
            <b:First>Raimir</b:First>
          </b:Person>
          <b:Person>
            <b:Last>Rodrigues</b:Last>
            <b:First>Joel J. P. C.</b:First>
          </b:Person>
        </b:NameList>
      </b:Author>
    </b:Author>
    <b:RefOrder>26</b:RefOrder>
  </b:Source>
  <b:Source>
    <b:Tag>Fra02</b:Tag>
    <b:SourceType>Book</b:SourceType>
    <b:Guid>{DE945334-36FF-4CC3-A7C7-A569236028EB}</b:Guid>
    <b:Title>Information Security Governance: A Practical Development and Implementation Approach</b:Title>
    <b:Year>2009</b:Year>
    <b:City>Hoboken, New Jersey</b:City>
    <b:Publisher>John Wiley &amp; Sons</b:Publisher>
    <b:Author>
      <b:Author>
        <b:NameList>
          <b:Person>
            <b:Last>Brotby</b:Last>
            <b:First>William Krag</b:First>
          </b:Person>
        </b:NameList>
      </b:Author>
    </b:Author>
    <b:LCID>en-GB</b:LCID>
    <b:RefOrder>4</b:RefOrder>
  </b:Source>
  <b:Source>
    <b:Tag>Sta02</b:Tag>
    <b:SourceType>Book</b:SourceType>
    <b:Guid>{6E23BF4F-7738-46B6-8732-32CF9EB054AC}</b:Guid>
    <b:Title>Principles of Information Security</b:Title>
    <b:Year>2022</b:Year>
    <b:City>Boston, Massachusetts</b:City>
    <b:Publisher>Cengage</b:Publisher>
    <b:Author>
      <b:Author>
        <b:NameList>
          <b:Person>
            <b:Last>Whitman</b:Last>
            <b:First>Michael E.</b:First>
          </b:Person>
          <b:Person>
            <b:Last>Mattord</b:Last>
            <b:First>Herbert J.</b:First>
          </b:Person>
        </b:NameList>
      </b:Author>
    </b:Author>
    <b:LCID>en-GB</b:LCID>
    <b:RefOrder>5</b:RefOrder>
  </b:Source>
</b:Sources>
</file>

<file path=customXml/itemProps1.xml><?xml version="1.0" encoding="utf-8"?>
<ds:datastoreItem xmlns:ds="http://schemas.openxmlformats.org/officeDocument/2006/customXml" ds:itemID="{CEB9B503-6ECB-4500-9001-4D58C7A63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Pages>
  <Words>5085</Words>
  <Characters>28987</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Sameer Sukhadiya</dc:creator>
  <cp:keywords/>
  <dc:description/>
  <cp:lastModifiedBy>Sameer Sukhadiya</cp:lastModifiedBy>
  <cp:revision>5</cp:revision>
  <dcterms:created xsi:type="dcterms:W3CDTF">2026-08-09T10:51:00Z</dcterms:created>
  <dcterms:modified xsi:type="dcterms:W3CDTF">2026-08-11T15:25:00Z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15d32fa9-8a65-4a53-b552-1e121a27ec00</vt:lpwstr>
  </property>
</Properties>
</file>