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14:paraId="3BDEC478" w14:textId="77777777" w:rsidR="007D1947" w:rsidRPr="004E2C35" w:rsidRDefault="007D1947">
          <w:pPr>
            <w:pStyle w:val="NoSpacing"/>
            <w:spacing w:before="1540" w:after="240"/>
            <w:jc w:val="center"/>
            <w:rPr>
              <w:rFonts w:ascii="Arial" w:hAnsi="Arial" w:cs="Arial"/>
              <w:color w:val="5B9BD5" w:themeColor="accent1"/>
            </w:rPr>
          </w:pPr>
          <w:r w:rsidRPr="004E2C35">
            <w:rPr>
              <w:rFonts w:ascii="Arial" w:hAnsi="Arial" w:cs="Arial"/>
              <w:noProof/>
              <w:color w:val="5B9BD5" w:themeColor="accent1"/>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C240649" w14:textId="02BC827F" w:rsidR="007D1947" w:rsidRPr="004E2C35" w:rsidRDefault="00DC5661">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sdt>
            <w:sdtPr>
              <w:rPr>
                <w:rFonts w:ascii="Arial" w:eastAsiaTheme="majorEastAsia" w:hAnsi="Arial" w:cs="Arial"/>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286404" w:rsidRPr="004E2C35">
                <w:rPr>
                  <w:rFonts w:ascii="Arial" w:eastAsiaTheme="majorEastAsia" w:hAnsi="Arial" w:cs="Arial"/>
                  <w:caps/>
                  <w:color w:val="5B9BD5" w:themeColor="accent1"/>
                  <w:sz w:val="72"/>
                  <w:szCs w:val="72"/>
                </w:rPr>
                <w:t>Hilton hotel</w:t>
              </w:r>
            </w:sdtContent>
          </w:sdt>
          <w:r w:rsidR="002D18FB" w:rsidRPr="004E2C35">
            <w:rPr>
              <w:rFonts w:ascii="Arial" w:hAnsi="Arial" w:cs="Arial"/>
              <w:sz w:val="24"/>
              <w:szCs w:val="24"/>
            </w:rPr>
            <w:t xml:space="preserve"> </w:t>
          </w:r>
        </w:p>
        <w:p w14:paraId="3D11FE6E" w14:textId="4F46332A" w:rsidR="007D1947" w:rsidRPr="004E2C35" w:rsidRDefault="007D1947" w:rsidP="00286404">
          <w:pPr>
            <w:pStyle w:val="NoSpacing"/>
            <w:rPr>
              <w:rFonts w:ascii="Arial" w:hAnsi="Arial" w:cs="Arial"/>
              <w:color w:val="5B9BD5" w:themeColor="accent1"/>
              <w:sz w:val="28"/>
              <w:szCs w:val="28"/>
            </w:rPr>
          </w:pPr>
        </w:p>
        <w:p w14:paraId="765A889E" w14:textId="77777777" w:rsidR="007D1947" w:rsidRPr="004E2C35" w:rsidRDefault="007D1947">
          <w:pPr>
            <w:pStyle w:val="NoSpacing"/>
            <w:spacing w:before="480"/>
            <w:jc w:val="center"/>
            <w:rPr>
              <w:rFonts w:ascii="Arial" w:hAnsi="Arial" w:cs="Arial"/>
              <w:color w:val="5B9BD5" w:themeColor="accent1"/>
            </w:rPr>
          </w:pPr>
          <w:r w:rsidRPr="004E2C35">
            <w:rPr>
              <w:rFonts w:ascii="Arial" w:hAnsi="Arial" w:cs="Arial"/>
              <w:noProof/>
              <w:color w:val="5B9BD5" w:themeColor="accent1"/>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487582885"/>
                                  <w:dataBinding w:prefixMappings="xmlns:ns0='http://schemas.microsoft.com/office/2006/coverPageProps' " w:xpath="/ns0:CoverPageProperties[1]/ns0:PublishDate[1]" w:storeItemID="{55AF091B-3C7A-41E3-B477-F2FDAA23CFDA}"/>
                                  <w:date w:fullDate="2022-05-22T00:00:00Z">
                                    <w:dateFormat w:val="MMMM d, yyyy"/>
                                    <w:lid w:val="en-US"/>
                                    <w:storeMappedDataAs w:val="dateTime"/>
                                    <w:calendar w:val="gregorian"/>
                                  </w:date>
                                </w:sdtPr>
                                <w:sdtEndPr/>
                                <w:sdtContent>
                                  <w:p w14:paraId="5DA3BD92" w14:textId="1EEFDB6A" w:rsidR="007D1947" w:rsidRDefault="002D18FB">
                                    <w:pPr>
                                      <w:pStyle w:val="NoSpacing"/>
                                      <w:spacing w:after="40"/>
                                      <w:jc w:val="center"/>
                                      <w:rPr>
                                        <w:caps/>
                                        <w:color w:val="5B9BD5" w:themeColor="accent1"/>
                                        <w:sz w:val="28"/>
                                        <w:szCs w:val="28"/>
                                      </w:rPr>
                                    </w:pPr>
                                    <w:r>
                                      <w:rPr>
                                        <w:caps/>
                                        <w:color w:val="5B9BD5" w:themeColor="accent1"/>
                                        <w:sz w:val="28"/>
                                        <w:szCs w:val="28"/>
                                      </w:rPr>
                                      <w:t>May 22, 2022</w:t>
                                    </w:r>
                                  </w:p>
                                </w:sdtContent>
                              </w:sdt>
                              <w:p w14:paraId="6DAC6D9E" w14:textId="77777777" w:rsidR="007D1947" w:rsidRDefault="00DC5661">
                                <w:pPr>
                                  <w:pStyle w:val="NoSpacing"/>
                                  <w:jc w:val="center"/>
                                  <w:rPr>
                                    <w:color w:val="5B9BD5" w:themeColor="accent1"/>
                                  </w:rPr>
                                </w:pPr>
                                <w:sdt>
                                  <w:sdtPr>
                                    <w:rPr>
                                      <w:caps/>
                                      <w:color w:val="5B9BD5" w:themeColor="accent1"/>
                                    </w:rPr>
                                    <w:alias w:val="Company"/>
                                    <w:tag w:val=""/>
                                    <w:id w:val="87512686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DC5661">
                                <w:pPr>
                                  <w:pStyle w:val="NoSpacing"/>
                                  <w:jc w:val="center"/>
                                  <w:rPr>
                                    <w:color w:val="5B9BD5" w:themeColor="accent1"/>
                                  </w:rPr>
                                </w:pPr>
                                <w:sdt>
                                  <w:sdtPr>
                                    <w:rPr>
                                      <w:color w:val="5B9BD5" w:themeColor="accent1"/>
                                    </w:rPr>
                                    <w:alias w:val="Address"/>
                                    <w:tag w:val=""/>
                                    <w:id w:val="298664656"/>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487582885"/>
                            <w:dataBinding w:prefixMappings="xmlns:ns0='http://schemas.microsoft.com/office/2006/coverPageProps' " w:xpath="/ns0:CoverPageProperties[1]/ns0:PublishDate[1]" w:storeItemID="{55AF091B-3C7A-41E3-B477-F2FDAA23CFDA}"/>
                            <w:date w:fullDate="2022-05-22T00:00:00Z">
                              <w:dateFormat w:val="MMMM d, yyyy"/>
                              <w:lid w:val="en-US"/>
                              <w:storeMappedDataAs w:val="dateTime"/>
                              <w:calendar w:val="gregorian"/>
                            </w:date>
                          </w:sdtPr>
                          <w:sdtEndPr/>
                          <w:sdtContent>
                            <w:p w14:paraId="5DA3BD92" w14:textId="1EEFDB6A" w:rsidR="007D1947" w:rsidRDefault="002D18FB">
                              <w:pPr>
                                <w:pStyle w:val="NoSpacing"/>
                                <w:spacing w:after="40"/>
                                <w:jc w:val="center"/>
                                <w:rPr>
                                  <w:caps/>
                                  <w:color w:val="5B9BD5" w:themeColor="accent1"/>
                                  <w:sz w:val="28"/>
                                  <w:szCs w:val="28"/>
                                </w:rPr>
                              </w:pPr>
                              <w:r>
                                <w:rPr>
                                  <w:caps/>
                                  <w:color w:val="5B9BD5" w:themeColor="accent1"/>
                                  <w:sz w:val="28"/>
                                  <w:szCs w:val="28"/>
                                </w:rPr>
                                <w:t>May 22, 2022</w:t>
                              </w:r>
                            </w:p>
                          </w:sdtContent>
                        </w:sdt>
                        <w:p w14:paraId="6DAC6D9E" w14:textId="77777777" w:rsidR="007D1947" w:rsidRDefault="00DC5661">
                          <w:pPr>
                            <w:pStyle w:val="NoSpacing"/>
                            <w:jc w:val="center"/>
                            <w:rPr>
                              <w:color w:val="5B9BD5" w:themeColor="accent1"/>
                            </w:rPr>
                          </w:pPr>
                          <w:sdt>
                            <w:sdtPr>
                              <w:rPr>
                                <w:caps/>
                                <w:color w:val="5B9BD5" w:themeColor="accent1"/>
                              </w:rPr>
                              <w:alias w:val="Company"/>
                              <w:tag w:val=""/>
                              <w:id w:val="87512686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DC5661">
                          <w:pPr>
                            <w:pStyle w:val="NoSpacing"/>
                            <w:jc w:val="center"/>
                            <w:rPr>
                              <w:color w:val="5B9BD5" w:themeColor="accent1"/>
                            </w:rPr>
                          </w:pPr>
                          <w:sdt>
                            <w:sdtPr>
                              <w:rPr>
                                <w:color w:val="5B9BD5" w:themeColor="accent1"/>
                              </w:rPr>
                              <w:alias w:val="Address"/>
                              <w:tag w:val=""/>
                              <w:id w:val="298664656"/>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4E2C35">
            <w:rPr>
              <w:rFonts w:ascii="Arial" w:hAnsi="Arial" w:cs="Arial"/>
              <w:noProof/>
              <w:color w:val="5B9BD5" w:themeColor="accent1"/>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46ECBC" w14:textId="77777777" w:rsidR="00286404" w:rsidRPr="004E2C35" w:rsidRDefault="00286404" w:rsidP="007D1947">
          <w:pPr>
            <w:pStyle w:val="Heading1"/>
            <w:rPr>
              <w:rFonts w:ascii="Arial" w:hAnsi="Arial" w:cs="Arial"/>
            </w:rPr>
          </w:pPr>
        </w:p>
        <w:p w14:paraId="75C0C452" w14:textId="77777777" w:rsidR="00286404" w:rsidRPr="004E2C35" w:rsidRDefault="00286404" w:rsidP="007D1947">
          <w:pPr>
            <w:pStyle w:val="Heading1"/>
            <w:rPr>
              <w:rFonts w:ascii="Arial" w:hAnsi="Arial" w:cs="Arial"/>
            </w:rPr>
          </w:pPr>
        </w:p>
        <w:p w14:paraId="7F388255" w14:textId="77777777" w:rsidR="00286404" w:rsidRPr="004E2C35" w:rsidRDefault="00286404" w:rsidP="00286404">
          <w:pPr>
            <w:spacing w:line="480" w:lineRule="auto"/>
            <w:jc w:val="center"/>
            <w:rPr>
              <w:rFonts w:ascii="Arial" w:hAnsi="Arial" w:cs="Arial"/>
              <w:sz w:val="24"/>
              <w:szCs w:val="24"/>
            </w:rPr>
          </w:pPr>
        </w:p>
        <w:p w14:paraId="35ED0385" w14:textId="77777777" w:rsidR="00286404" w:rsidRPr="004E2C35" w:rsidRDefault="00286404" w:rsidP="00286404">
          <w:pPr>
            <w:jc w:val="center"/>
            <w:rPr>
              <w:rFonts w:ascii="Arial" w:hAnsi="Arial" w:cs="Arial"/>
              <w:color w:val="5B9BD5" w:themeColor="accent1"/>
              <w:sz w:val="36"/>
              <w:szCs w:val="36"/>
            </w:rPr>
          </w:pPr>
          <w:r w:rsidRPr="004E2C35">
            <w:rPr>
              <w:rFonts w:ascii="Arial" w:hAnsi="Arial" w:cs="Arial"/>
              <w:color w:val="5B9BD5" w:themeColor="accent1"/>
              <w:sz w:val="36"/>
              <w:szCs w:val="36"/>
            </w:rPr>
            <w:t>Student’s Name: Cristina Mutu</w:t>
          </w:r>
        </w:p>
        <w:p w14:paraId="60ACDCE8" w14:textId="77777777" w:rsidR="00286404" w:rsidRPr="004E2C35" w:rsidRDefault="00286404" w:rsidP="00286404">
          <w:pPr>
            <w:jc w:val="center"/>
            <w:rPr>
              <w:rFonts w:ascii="Arial" w:hAnsi="Arial" w:cs="Arial"/>
              <w:color w:val="5B9BD5" w:themeColor="accent1"/>
              <w:sz w:val="36"/>
              <w:szCs w:val="36"/>
            </w:rPr>
          </w:pPr>
          <w:r w:rsidRPr="004E2C35">
            <w:rPr>
              <w:rFonts w:ascii="Arial" w:hAnsi="Arial" w:cs="Arial"/>
              <w:color w:val="5B9BD5" w:themeColor="accent1"/>
              <w:sz w:val="36"/>
              <w:szCs w:val="36"/>
            </w:rPr>
            <w:t xml:space="preserve">Student’s ID: 2012841 </w:t>
          </w:r>
        </w:p>
        <w:p w14:paraId="62A39715" w14:textId="7FE818C3" w:rsidR="00286404" w:rsidRPr="004E2C35" w:rsidRDefault="00286404" w:rsidP="00286404">
          <w:pPr>
            <w:jc w:val="center"/>
            <w:rPr>
              <w:rFonts w:ascii="Arial" w:hAnsi="Arial" w:cs="Arial"/>
              <w:color w:val="5B9BD5" w:themeColor="accent1"/>
              <w:sz w:val="36"/>
              <w:szCs w:val="36"/>
            </w:rPr>
          </w:pPr>
          <w:r w:rsidRPr="004E2C35">
            <w:rPr>
              <w:rFonts w:ascii="Arial" w:hAnsi="Arial" w:cs="Arial"/>
              <w:color w:val="5B9BD5" w:themeColor="accent1"/>
              <w:sz w:val="36"/>
              <w:szCs w:val="36"/>
            </w:rPr>
            <w:t>Module title: Financial Management for the Hotel Industry BMIH500</w:t>
          </w:r>
          <w:r w:rsidR="0010791F">
            <w:rPr>
              <w:rFonts w:ascii="Arial" w:hAnsi="Arial" w:cs="Arial"/>
              <w:color w:val="5B9BD5" w:themeColor="accent1"/>
              <w:sz w:val="36"/>
              <w:szCs w:val="36"/>
            </w:rPr>
            <w:t>7</w:t>
          </w:r>
        </w:p>
        <w:p w14:paraId="38E7E290" w14:textId="22BDD495" w:rsidR="00286404" w:rsidRPr="004E2C35" w:rsidRDefault="00286404" w:rsidP="00286404">
          <w:pPr>
            <w:jc w:val="center"/>
            <w:rPr>
              <w:rFonts w:ascii="Arial" w:hAnsi="Arial" w:cs="Arial"/>
              <w:color w:val="5B9BD5" w:themeColor="accent1"/>
              <w:sz w:val="36"/>
              <w:szCs w:val="36"/>
            </w:rPr>
          </w:pPr>
          <w:r w:rsidRPr="004E2C35">
            <w:rPr>
              <w:rFonts w:ascii="Arial" w:hAnsi="Arial" w:cs="Arial"/>
              <w:color w:val="5B9BD5" w:themeColor="accent1"/>
              <w:sz w:val="36"/>
              <w:szCs w:val="36"/>
            </w:rPr>
            <w:t>Lecturer’s Name: Dale Clarke</w:t>
          </w:r>
        </w:p>
        <w:p w14:paraId="0A37FA41" w14:textId="5AF4A091" w:rsidR="007D1947" w:rsidRPr="00663D89" w:rsidRDefault="007D1947" w:rsidP="007D1947">
          <w:pPr>
            <w:pStyle w:val="Heading1"/>
            <w:rPr>
              <w:rFonts w:ascii="Arial" w:hAnsi="Arial" w:cs="Arial"/>
            </w:rPr>
          </w:pPr>
          <w:r w:rsidRPr="00663D89">
            <w:rPr>
              <w:rFonts w:ascii="Arial" w:hAnsi="Arial" w:cs="Arial"/>
            </w:rPr>
            <w:br w:type="page"/>
          </w:r>
          <w:bookmarkStart w:id="0" w:name="_Toc463944599"/>
          <w:r w:rsidRPr="00663D89">
            <w:rPr>
              <w:rFonts w:ascii="Arial" w:hAnsi="Arial" w:cs="Arial"/>
            </w:rPr>
            <w:lastRenderedPageBreak/>
            <w:t>Executive Summary</w:t>
          </w:r>
          <w:bookmarkEnd w:id="0"/>
        </w:p>
        <w:p w14:paraId="0C547626" w14:textId="4E5E4CEF" w:rsidR="007D1947" w:rsidRPr="004E2C35" w:rsidRDefault="002D18FB">
          <w:pPr>
            <w:rPr>
              <w:rFonts w:ascii="Arial" w:hAnsi="Arial" w:cs="Arial"/>
              <w:sz w:val="24"/>
              <w:szCs w:val="24"/>
            </w:rPr>
          </w:pPr>
          <w:r w:rsidRPr="004E2C35">
            <w:rPr>
              <w:rFonts w:ascii="Arial" w:hAnsi="Arial" w:cs="Arial"/>
              <w:sz w:val="24"/>
              <w:szCs w:val="24"/>
            </w:rPr>
            <w:t xml:space="preserve">The purpose of the report is to conduct the financial analysis of Hilton Holdings for the financial year 2019, and 2020. The report has revealed that Hilton experienced a deteriorating performance for the financial year 2020. The COVID 19 pandemic negatively affected the hospitality industry. This is because Hilton had to close some of its restaurants to reduce the spread of the virus. As an analyst, I would not advice an investor to invest in Hilton. </w:t>
          </w:r>
        </w:p>
        <w:p w14:paraId="1F455677" w14:textId="77777777" w:rsidR="007D1947" w:rsidRPr="004E2C35" w:rsidRDefault="007D1947">
          <w:pPr>
            <w:rPr>
              <w:rFonts w:ascii="Arial" w:hAnsi="Arial" w:cs="Arial"/>
              <w:sz w:val="24"/>
              <w:szCs w:val="24"/>
            </w:rPr>
          </w:pPr>
        </w:p>
        <w:p w14:paraId="4212D1B9" w14:textId="77777777" w:rsidR="007D1947" w:rsidRPr="004E2C35" w:rsidRDefault="007D1947">
          <w:pPr>
            <w:rPr>
              <w:rFonts w:ascii="Arial" w:hAnsi="Arial" w:cs="Arial"/>
            </w:rPr>
          </w:pPr>
        </w:p>
        <w:p w14:paraId="67046C6A" w14:textId="77777777" w:rsidR="007D1947" w:rsidRPr="004E2C35" w:rsidRDefault="007D1947">
          <w:pPr>
            <w:rPr>
              <w:rFonts w:ascii="Arial" w:hAnsi="Arial" w:cs="Arial"/>
            </w:rPr>
          </w:pPr>
        </w:p>
        <w:p w14:paraId="2FBFFFEA" w14:textId="77777777" w:rsidR="007D1947" w:rsidRPr="004E2C35" w:rsidRDefault="007D1947">
          <w:pPr>
            <w:rPr>
              <w:rFonts w:ascii="Arial" w:hAnsi="Arial" w:cs="Arial"/>
            </w:rPr>
          </w:pPr>
        </w:p>
        <w:p w14:paraId="73C992F0" w14:textId="77777777" w:rsidR="007D1947" w:rsidRPr="004E2C35" w:rsidRDefault="007D1947">
          <w:pPr>
            <w:rPr>
              <w:rFonts w:ascii="Arial" w:hAnsi="Arial" w:cs="Arial"/>
            </w:rPr>
          </w:pPr>
        </w:p>
        <w:p w14:paraId="171706B6" w14:textId="77777777" w:rsidR="007D1947" w:rsidRPr="004E2C35" w:rsidRDefault="007D1947">
          <w:pPr>
            <w:rPr>
              <w:rFonts w:ascii="Arial" w:hAnsi="Arial" w:cs="Arial"/>
            </w:rPr>
          </w:pPr>
        </w:p>
        <w:p w14:paraId="696941F7" w14:textId="77777777" w:rsidR="007D1947" w:rsidRPr="004E2C35" w:rsidRDefault="007D1947">
          <w:pPr>
            <w:rPr>
              <w:rFonts w:ascii="Arial" w:hAnsi="Arial" w:cs="Arial"/>
            </w:rPr>
          </w:pPr>
        </w:p>
        <w:p w14:paraId="0614965F" w14:textId="77777777" w:rsidR="007D1947" w:rsidRPr="004E2C35" w:rsidRDefault="007D1947">
          <w:pPr>
            <w:rPr>
              <w:rFonts w:ascii="Arial" w:hAnsi="Arial" w:cs="Arial"/>
            </w:rPr>
          </w:pPr>
        </w:p>
        <w:p w14:paraId="5ED974BB" w14:textId="77777777" w:rsidR="007D1947" w:rsidRPr="004E2C35" w:rsidRDefault="007D1947">
          <w:pPr>
            <w:rPr>
              <w:rFonts w:ascii="Arial" w:hAnsi="Arial" w:cs="Arial"/>
            </w:rPr>
          </w:pPr>
        </w:p>
        <w:p w14:paraId="576008F1" w14:textId="77777777" w:rsidR="007D1947" w:rsidRPr="004E2C35" w:rsidRDefault="007D1947">
          <w:pPr>
            <w:rPr>
              <w:rFonts w:ascii="Arial" w:hAnsi="Arial" w:cs="Arial"/>
            </w:rPr>
          </w:pPr>
        </w:p>
        <w:p w14:paraId="1A43EBAE" w14:textId="77777777" w:rsidR="007D1947" w:rsidRPr="004E2C35" w:rsidRDefault="007D1947">
          <w:pPr>
            <w:rPr>
              <w:rFonts w:ascii="Arial" w:hAnsi="Arial" w:cs="Arial"/>
            </w:rPr>
          </w:pPr>
        </w:p>
        <w:p w14:paraId="3AB53BCB" w14:textId="77777777" w:rsidR="007D1947" w:rsidRPr="004E2C35" w:rsidRDefault="007D1947">
          <w:pPr>
            <w:rPr>
              <w:rFonts w:ascii="Arial" w:hAnsi="Arial" w:cs="Arial"/>
            </w:rPr>
          </w:pPr>
        </w:p>
        <w:p w14:paraId="55C39C75" w14:textId="77777777" w:rsidR="007D1947" w:rsidRPr="004E2C35" w:rsidRDefault="007D1947">
          <w:pPr>
            <w:rPr>
              <w:rFonts w:ascii="Arial" w:hAnsi="Arial" w:cs="Arial"/>
            </w:rPr>
          </w:pPr>
        </w:p>
        <w:p w14:paraId="4C5619CE" w14:textId="77777777" w:rsidR="007D1947" w:rsidRPr="004E2C35" w:rsidRDefault="007D1947">
          <w:pPr>
            <w:rPr>
              <w:rFonts w:ascii="Arial" w:hAnsi="Arial" w:cs="Arial"/>
            </w:rPr>
          </w:pPr>
        </w:p>
        <w:p w14:paraId="1E28E3DB" w14:textId="77777777" w:rsidR="007D1947" w:rsidRPr="004E2C35" w:rsidRDefault="007D1947">
          <w:pPr>
            <w:rPr>
              <w:rFonts w:ascii="Arial" w:hAnsi="Arial" w:cs="Arial"/>
            </w:rPr>
          </w:pPr>
        </w:p>
        <w:p w14:paraId="21BA113E" w14:textId="77777777" w:rsidR="007D1947" w:rsidRPr="004E2C35" w:rsidRDefault="007D1947">
          <w:pPr>
            <w:rPr>
              <w:rFonts w:ascii="Arial" w:hAnsi="Arial" w:cs="Arial"/>
            </w:rPr>
          </w:pPr>
        </w:p>
        <w:p w14:paraId="7A343257" w14:textId="77777777" w:rsidR="007D1947" w:rsidRPr="004E2C35" w:rsidRDefault="007D1947">
          <w:pPr>
            <w:rPr>
              <w:rFonts w:ascii="Arial" w:hAnsi="Arial" w:cs="Arial"/>
            </w:rPr>
          </w:pPr>
        </w:p>
        <w:p w14:paraId="3F7C2400" w14:textId="77777777" w:rsidR="007D1947" w:rsidRPr="004E2C35" w:rsidRDefault="007D1947">
          <w:pPr>
            <w:rPr>
              <w:rFonts w:ascii="Arial" w:hAnsi="Arial" w:cs="Arial"/>
            </w:rPr>
          </w:pPr>
        </w:p>
        <w:p w14:paraId="187DD929" w14:textId="77777777" w:rsidR="007D1947" w:rsidRPr="004E2C35" w:rsidRDefault="007D1947">
          <w:pPr>
            <w:rPr>
              <w:rFonts w:ascii="Arial" w:hAnsi="Arial" w:cs="Arial"/>
            </w:rPr>
          </w:pPr>
        </w:p>
        <w:p w14:paraId="2F00C679" w14:textId="77777777" w:rsidR="007D1947" w:rsidRPr="004E2C35" w:rsidRDefault="007D1947">
          <w:pPr>
            <w:rPr>
              <w:rFonts w:ascii="Arial" w:hAnsi="Arial" w:cs="Arial"/>
            </w:rPr>
          </w:pPr>
        </w:p>
        <w:p w14:paraId="4BCADBDC" w14:textId="77777777" w:rsidR="007D1947" w:rsidRPr="004E2C35" w:rsidRDefault="007D1947">
          <w:pPr>
            <w:rPr>
              <w:rFonts w:ascii="Arial" w:hAnsi="Arial" w:cs="Arial"/>
            </w:rPr>
          </w:pPr>
        </w:p>
        <w:p w14:paraId="406160D6" w14:textId="77777777" w:rsidR="007D1947" w:rsidRPr="004E2C35" w:rsidRDefault="007D1947">
          <w:pPr>
            <w:rPr>
              <w:rFonts w:ascii="Arial" w:hAnsi="Arial" w:cs="Arial"/>
            </w:rPr>
          </w:pPr>
        </w:p>
        <w:p w14:paraId="72CCCA61" w14:textId="77777777" w:rsidR="007D1947" w:rsidRPr="004E2C35" w:rsidRDefault="007D1947">
          <w:pPr>
            <w:rPr>
              <w:rFonts w:ascii="Arial" w:hAnsi="Arial" w:cs="Arial"/>
            </w:rPr>
          </w:pPr>
        </w:p>
        <w:p w14:paraId="357CE6DF" w14:textId="77777777" w:rsidR="007D1947" w:rsidRPr="004E2C35" w:rsidRDefault="007D1947">
          <w:pPr>
            <w:rPr>
              <w:rFonts w:ascii="Arial" w:hAnsi="Arial" w:cs="Arial"/>
            </w:rPr>
          </w:pPr>
        </w:p>
        <w:p w14:paraId="13B1C7C4" w14:textId="77777777" w:rsidR="007D1947" w:rsidRPr="004E2C35" w:rsidRDefault="007D1947">
          <w:pPr>
            <w:rPr>
              <w:rFonts w:ascii="Arial" w:hAnsi="Arial" w:cs="Arial"/>
            </w:rPr>
          </w:pPr>
        </w:p>
        <w:p w14:paraId="26495A02" w14:textId="77777777" w:rsidR="007D1947" w:rsidRPr="004E2C35" w:rsidRDefault="007D1947">
          <w:pPr>
            <w:rPr>
              <w:rFonts w:ascii="Arial" w:hAnsi="Arial" w:cs="Arial"/>
            </w:rPr>
          </w:pPr>
        </w:p>
        <w:p w14:paraId="670ED438" w14:textId="77777777" w:rsidR="007D1947" w:rsidRPr="004E2C35" w:rsidRDefault="007D1947">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3EF04BD9" w14:textId="77777777" w:rsidR="007D1947" w:rsidRPr="00751846" w:rsidRDefault="007D1947">
              <w:pPr>
                <w:pStyle w:val="TOCHeading"/>
                <w:rPr>
                  <w:rFonts w:ascii="Arial" w:hAnsi="Arial" w:cs="Arial"/>
                </w:rPr>
              </w:pPr>
              <w:r w:rsidRPr="00751846">
                <w:rPr>
                  <w:rFonts w:ascii="Arial" w:hAnsi="Arial" w:cs="Arial"/>
                </w:rPr>
                <w:t>Table of Contents</w:t>
              </w:r>
            </w:p>
            <w:p w14:paraId="239AA611" w14:textId="77777777" w:rsidR="00115B96" w:rsidRPr="00751846" w:rsidRDefault="00DC5661" w:rsidP="00663D89">
              <w:pPr>
                <w:pStyle w:val="TOC1"/>
                <w:rPr>
                  <w:rFonts w:eastAsiaTheme="minorEastAsia"/>
                  <w:lang w:eastAsia="en-GB"/>
                </w:rPr>
              </w:pPr>
              <w:hyperlink w:anchor="_Toc463944599" w:history="1">
                <w:r w:rsidR="00115B96" w:rsidRPr="00751846">
                  <w:rPr>
                    <w:rStyle w:val="Hyperlink"/>
                    <w:u w:val="none"/>
                  </w:rPr>
                  <w:t>Executive Summary</w:t>
                </w:r>
                <w:r w:rsidR="00115B96" w:rsidRPr="00751846">
                  <w:rPr>
                    <w:webHidden/>
                  </w:rPr>
                  <w:tab/>
                </w:r>
                <w:r w:rsidR="00115B96" w:rsidRPr="00751846">
                  <w:rPr>
                    <w:webHidden/>
                  </w:rPr>
                  <w:fldChar w:fldCharType="begin"/>
                </w:r>
                <w:r w:rsidR="00115B96" w:rsidRPr="00751846">
                  <w:rPr>
                    <w:webHidden/>
                  </w:rPr>
                  <w:instrText xml:space="preserve"> PAGEREF _Toc463944599 \h </w:instrText>
                </w:r>
                <w:r w:rsidR="00115B96" w:rsidRPr="00751846">
                  <w:rPr>
                    <w:webHidden/>
                  </w:rPr>
                </w:r>
                <w:r w:rsidR="00115B96" w:rsidRPr="00751846">
                  <w:rPr>
                    <w:webHidden/>
                  </w:rPr>
                  <w:fldChar w:fldCharType="separate"/>
                </w:r>
                <w:r w:rsidR="00115B96" w:rsidRPr="00751846">
                  <w:rPr>
                    <w:webHidden/>
                  </w:rPr>
                  <w:t>1</w:t>
                </w:r>
                <w:r w:rsidR="00115B96" w:rsidRPr="00751846">
                  <w:rPr>
                    <w:webHidden/>
                  </w:rPr>
                  <w:fldChar w:fldCharType="end"/>
                </w:r>
              </w:hyperlink>
            </w:p>
            <w:p w14:paraId="7EE192AB" w14:textId="77777777" w:rsidR="00115B96" w:rsidRPr="00751846" w:rsidRDefault="00DC5661" w:rsidP="00663D89">
              <w:pPr>
                <w:pStyle w:val="TOC1"/>
                <w:rPr>
                  <w:rFonts w:eastAsiaTheme="minorEastAsia"/>
                  <w:lang w:eastAsia="en-GB"/>
                </w:rPr>
              </w:pPr>
              <w:hyperlink w:anchor="_Toc463944600" w:history="1">
                <w:r w:rsidR="00115B96" w:rsidRPr="00751846">
                  <w:rPr>
                    <w:rStyle w:val="Hyperlink"/>
                    <w:u w:val="none"/>
                  </w:rPr>
                  <w:t>Introduction</w:t>
                </w:r>
                <w:r w:rsidR="00115B96" w:rsidRPr="00751846">
                  <w:rPr>
                    <w:webHidden/>
                  </w:rPr>
                  <w:tab/>
                  <w:t>3</w:t>
                </w:r>
              </w:hyperlink>
            </w:p>
            <w:p w14:paraId="2EC4A8AD" w14:textId="77777777" w:rsidR="00115B96" w:rsidRPr="00751846" w:rsidRDefault="00DC5661" w:rsidP="00663D89">
              <w:pPr>
                <w:pStyle w:val="TOC1"/>
                <w:rPr>
                  <w:rFonts w:eastAsiaTheme="minorEastAsia"/>
                  <w:lang w:eastAsia="en-GB"/>
                </w:rPr>
              </w:pPr>
              <w:hyperlink w:anchor="_Toc463944601" w:history="1">
                <w:r w:rsidR="00115B96" w:rsidRPr="00751846">
                  <w:rPr>
                    <w:rStyle w:val="Hyperlink"/>
                    <w:u w:val="none"/>
                  </w:rPr>
                  <w:t>Financial Analysis</w:t>
                </w:r>
                <w:r w:rsidR="00115B96" w:rsidRPr="00751846">
                  <w:rPr>
                    <w:webHidden/>
                  </w:rPr>
                  <w:tab/>
                  <w:t>4</w:t>
                </w:r>
              </w:hyperlink>
            </w:p>
            <w:p w14:paraId="4987C6BE" w14:textId="77777777" w:rsidR="00115B96" w:rsidRPr="00751846" w:rsidRDefault="00DC5661" w:rsidP="00663D89">
              <w:pPr>
                <w:pStyle w:val="TOC1"/>
                <w:rPr>
                  <w:rFonts w:eastAsiaTheme="minorEastAsia"/>
                  <w:lang w:eastAsia="en-GB"/>
                </w:rPr>
              </w:pPr>
              <w:hyperlink w:anchor="_Toc463944602" w:history="1">
                <w:r w:rsidR="00115B96" w:rsidRPr="00751846">
                  <w:rPr>
                    <w:rStyle w:val="Hyperlink"/>
                    <w:u w:val="none"/>
                  </w:rPr>
                  <w:t>Financial Analysis Trends</w:t>
                </w:r>
                <w:r w:rsidR="00115B96" w:rsidRPr="00751846">
                  <w:rPr>
                    <w:webHidden/>
                  </w:rPr>
                  <w:tab/>
                  <w:t>4</w:t>
                </w:r>
              </w:hyperlink>
            </w:p>
            <w:p w14:paraId="78E05551" w14:textId="01FA3072" w:rsidR="00115B96" w:rsidRPr="00751846" w:rsidRDefault="00DC5661" w:rsidP="00663D89">
              <w:pPr>
                <w:pStyle w:val="TOC1"/>
                <w:rPr>
                  <w:rFonts w:eastAsiaTheme="minorEastAsia"/>
                  <w:lang w:eastAsia="en-GB"/>
                </w:rPr>
              </w:pPr>
              <w:hyperlink w:anchor="_Toc463944607" w:history="1">
                <w:r w:rsidR="00115B96" w:rsidRPr="00751846">
                  <w:rPr>
                    <w:rStyle w:val="Hyperlink"/>
                    <w:u w:val="none"/>
                  </w:rPr>
                  <w:t>Benefits and Limitations of Ratio Analysis</w:t>
                </w:r>
                <w:r w:rsidR="00115B96" w:rsidRPr="00751846">
                  <w:rPr>
                    <w:webHidden/>
                  </w:rPr>
                  <w:tab/>
                </w:r>
                <w:r w:rsidR="00051315">
                  <w:rPr>
                    <w:webHidden/>
                  </w:rPr>
                  <w:t>8</w:t>
                </w:r>
              </w:hyperlink>
            </w:p>
            <w:p w14:paraId="5135ECA6" w14:textId="273FCC88" w:rsidR="00115B96" w:rsidRPr="00751846" w:rsidRDefault="00DC5661" w:rsidP="00663D89">
              <w:pPr>
                <w:pStyle w:val="TOC1"/>
                <w:rPr>
                  <w:rFonts w:eastAsiaTheme="minorEastAsia"/>
                  <w:lang w:eastAsia="en-GB"/>
                </w:rPr>
              </w:pPr>
              <w:hyperlink w:anchor="_Toc463944608" w:history="1">
                <w:r w:rsidR="00115B96" w:rsidRPr="00751846">
                  <w:rPr>
                    <w:rStyle w:val="Hyperlink"/>
                    <w:u w:val="none"/>
                  </w:rPr>
                  <w:t>Conclusion (average of 10% of word count)</w:t>
                </w:r>
                <w:r w:rsidR="00115B96" w:rsidRPr="00751846">
                  <w:rPr>
                    <w:webHidden/>
                  </w:rPr>
                  <w:tab/>
                </w:r>
                <w:r w:rsidR="00051315">
                  <w:rPr>
                    <w:webHidden/>
                  </w:rPr>
                  <w:t>11</w:t>
                </w:r>
              </w:hyperlink>
            </w:p>
            <w:p w14:paraId="1CC48F9F" w14:textId="352CD275" w:rsidR="00115B96" w:rsidRPr="00751846" w:rsidRDefault="00DC5661" w:rsidP="00663D89">
              <w:pPr>
                <w:pStyle w:val="TOC1"/>
                <w:rPr>
                  <w:rFonts w:eastAsiaTheme="minorEastAsia"/>
                  <w:lang w:eastAsia="en-GB"/>
                </w:rPr>
              </w:pPr>
              <w:hyperlink w:anchor="_Toc463944609" w:history="1">
                <w:r w:rsidR="00115B96" w:rsidRPr="00751846">
                  <w:rPr>
                    <w:rStyle w:val="Hyperlink"/>
                    <w:u w:val="none"/>
                  </w:rPr>
                  <w:t>Bibliography</w:t>
                </w:r>
                <w:r w:rsidR="00115B96" w:rsidRPr="00751846">
                  <w:rPr>
                    <w:webHidden/>
                  </w:rPr>
                  <w:tab/>
                </w:r>
                <w:r w:rsidR="004654B5" w:rsidRPr="00751846">
                  <w:rPr>
                    <w:webHidden/>
                  </w:rPr>
                  <w:t>1</w:t>
                </w:r>
                <w:r w:rsidR="00051315">
                  <w:rPr>
                    <w:webHidden/>
                  </w:rPr>
                  <w:t>2</w:t>
                </w:r>
              </w:hyperlink>
            </w:p>
            <w:p w14:paraId="3BC68F25" w14:textId="2B34AC22" w:rsidR="007D1947" w:rsidRPr="004E2C35" w:rsidRDefault="00DC5661">
              <w:pPr>
                <w:rPr>
                  <w:rFonts w:ascii="Arial" w:hAnsi="Arial" w:cs="Arial"/>
                </w:rPr>
              </w:pPr>
            </w:p>
          </w:sdtContent>
        </w:sdt>
        <w:p w14:paraId="4B6E43C0" w14:textId="77777777" w:rsidR="007D1947" w:rsidRPr="004E2C35" w:rsidRDefault="007D1947">
          <w:pPr>
            <w:rPr>
              <w:rFonts w:ascii="Arial" w:hAnsi="Arial" w:cs="Arial"/>
            </w:rPr>
          </w:pPr>
        </w:p>
        <w:p w14:paraId="6029F743" w14:textId="77777777" w:rsidR="007D1947" w:rsidRPr="004E2C35" w:rsidRDefault="007D1947">
          <w:pPr>
            <w:rPr>
              <w:rFonts w:ascii="Arial" w:hAnsi="Arial" w:cs="Arial"/>
            </w:rPr>
          </w:pPr>
        </w:p>
        <w:p w14:paraId="44FFAF5D" w14:textId="77777777" w:rsidR="007D1947" w:rsidRPr="004E2C35" w:rsidRDefault="007D1947">
          <w:pPr>
            <w:rPr>
              <w:rFonts w:ascii="Arial" w:hAnsi="Arial" w:cs="Arial"/>
            </w:rPr>
          </w:pPr>
        </w:p>
        <w:p w14:paraId="1FF75D73" w14:textId="77777777" w:rsidR="007D1947" w:rsidRPr="004E2C35" w:rsidRDefault="007D1947">
          <w:pPr>
            <w:rPr>
              <w:rFonts w:ascii="Arial" w:hAnsi="Arial" w:cs="Arial"/>
            </w:rPr>
          </w:pPr>
        </w:p>
        <w:p w14:paraId="6FC8D65F" w14:textId="77777777" w:rsidR="007D1947" w:rsidRPr="004E2C35" w:rsidRDefault="007D1947">
          <w:pPr>
            <w:rPr>
              <w:rFonts w:ascii="Arial" w:hAnsi="Arial" w:cs="Arial"/>
            </w:rPr>
          </w:pPr>
        </w:p>
        <w:p w14:paraId="06D4F34D" w14:textId="77777777" w:rsidR="007D1947" w:rsidRPr="004E2C35" w:rsidRDefault="007D1947">
          <w:pPr>
            <w:rPr>
              <w:rFonts w:ascii="Arial" w:hAnsi="Arial" w:cs="Arial"/>
            </w:rPr>
          </w:pPr>
        </w:p>
        <w:p w14:paraId="32867CF5" w14:textId="77777777" w:rsidR="007D1947" w:rsidRPr="004E2C35" w:rsidRDefault="007D1947">
          <w:pPr>
            <w:rPr>
              <w:rFonts w:ascii="Arial" w:hAnsi="Arial" w:cs="Arial"/>
            </w:rPr>
          </w:pPr>
        </w:p>
        <w:p w14:paraId="6C748E61" w14:textId="77777777" w:rsidR="007D1947" w:rsidRPr="004E2C35" w:rsidRDefault="007D1947">
          <w:pPr>
            <w:rPr>
              <w:rFonts w:ascii="Arial" w:hAnsi="Arial" w:cs="Arial"/>
            </w:rPr>
          </w:pPr>
        </w:p>
        <w:p w14:paraId="4E87151A" w14:textId="77777777" w:rsidR="007D1947" w:rsidRPr="004E2C35" w:rsidRDefault="007D1947">
          <w:pPr>
            <w:rPr>
              <w:rFonts w:ascii="Arial" w:hAnsi="Arial" w:cs="Arial"/>
            </w:rPr>
          </w:pPr>
        </w:p>
        <w:p w14:paraId="2F4155A5" w14:textId="77777777" w:rsidR="007D1947" w:rsidRPr="004E2C35" w:rsidRDefault="007D1947">
          <w:pPr>
            <w:rPr>
              <w:rFonts w:ascii="Arial" w:hAnsi="Arial" w:cs="Arial"/>
            </w:rPr>
          </w:pPr>
        </w:p>
        <w:p w14:paraId="787F748D" w14:textId="77777777" w:rsidR="007D1947" w:rsidRPr="004E2C35" w:rsidRDefault="007D1947">
          <w:pPr>
            <w:rPr>
              <w:rFonts w:ascii="Arial" w:hAnsi="Arial" w:cs="Arial"/>
            </w:rPr>
          </w:pPr>
        </w:p>
        <w:p w14:paraId="4CA74EB7" w14:textId="77777777" w:rsidR="007D1947" w:rsidRPr="004E2C35" w:rsidRDefault="007D1947">
          <w:pPr>
            <w:rPr>
              <w:rFonts w:ascii="Arial" w:hAnsi="Arial" w:cs="Arial"/>
            </w:rPr>
          </w:pPr>
        </w:p>
        <w:p w14:paraId="4983A84F" w14:textId="77777777" w:rsidR="007D1947" w:rsidRPr="004E2C35" w:rsidRDefault="007D1947">
          <w:pPr>
            <w:rPr>
              <w:rFonts w:ascii="Arial" w:hAnsi="Arial" w:cs="Arial"/>
            </w:rPr>
          </w:pPr>
        </w:p>
        <w:p w14:paraId="5ADCB2C4" w14:textId="77777777" w:rsidR="007D1947" w:rsidRPr="004E2C35" w:rsidRDefault="007D1947">
          <w:pPr>
            <w:rPr>
              <w:rFonts w:ascii="Arial" w:hAnsi="Arial" w:cs="Arial"/>
            </w:rPr>
          </w:pPr>
        </w:p>
        <w:p w14:paraId="5FC301C3" w14:textId="77777777" w:rsidR="007D1947" w:rsidRPr="004E2C35" w:rsidRDefault="007D1947">
          <w:pPr>
            <w:rPr>
              <w:rFonts w:ascii="Arial" w:hAnsi="Arial" w:cs="Arial"/>
            </w:rPr>
          </w:pPr>
        </w:p>
        <w:p w14:paraId="572779A5" w14:textId="77777777" w:rsidR="007D1947" w:rsidRPr="004E2C35" w:rsidRDefault="007D1947">
          <w:pPr>
            <w:rPr>
              <w:rFonts w:ascii="Arial" w:hAnsi="Arial" w:cs="Arial"/>
            </w:rPr>
          </w:pPr>
        </w:p>
        <w:p w14:paraId="207286AF" w14:textId="77777777" w:rsidR="007D1947" w:rsidRPr="004E2C35" w:rsidRDefault="007D1947">
          <w:pPr>
            <w:rPr>
              <w:rFonts w:ascii="Arial" w:hAnsi="Arial" w:cs="Arial"/>
            </w:rPr>
          </w:pPr>
        </w:p>
        <w:p w14:paraId="64A5B5F3" w14:textId="77777777" w:rsidR="007D1947" w:rsidRPr="004E2C35" w:rsidRDefault="007D1947">
          <w:pPr>
            <w:rPr>
              <w:rFonts w:ascii="Arial" w:hAnsi="Arial" w:cs="Arial"/>
            </w:rPr>
          </w:pPr>
        </w:p>
        <w:p w14:paraId="444204F7" w14:textId="77777777" w:rsidR="007D1947" w:rsidRPr="004E2C35" w:rsidRDefault="007D1947">
          <w:pPr>
            <w:rPr>
              <w:rFonts w:ascii="Arial" w:hAnsi="Arial" w:cs="Arial"/>
            </w:rPr>
          </w:pPr>
        </w:p>
        <w:p w14:paraId="33C561D4" w14:textId="77777777" w:rsidR="007D1947" w:rsidRPr="004E2C35" w:rsidRDefault="007D1947">
          <w:pPr>
            <w:rPr>
              <w:rFonts w:ascii="Arial" w:hAnsi="Arial" w:cs="Arial"/>
            </w:rPr>
          </w:pPr>
        </w:p>
        <w:p w14:paraId="3646E3A6" w14:textId="77777777" w:rsidR="007D1947" w:rsidRPr="004E2C35" w:rsidRDefault="007D1947">
          <w:pPr>
            <w:rPr>
              <w:rFonts w:ascii="Arial" w:hAnsi="Arial" w:cs="Arial"/>
            </w:rPr>
          </w:pPr>
        </w:p>
        <w:p w14:paraId="2A770B60" w14:textId="77777777" w:rsidR="007D1947" w:rsidRDefault="007D1947">
          <w:pPr>
            <w:rPr>
              <w:rFonts w:ascii="Arial" w:hAnsi="Arial" w:cs="Arial"/>
            </w:rPr>
          </w:pPr>
        </w:p>
        <w:p w14:paraId="5299A254" w14:textId="77777777" w:rsidR="00663D89" w:rsidRPr="004E2C35" w:rsidRDefault="00663D89">
          <w:pPr>
            <w:rPr>
              <w:rFonts w:ascii="Arial" w:hAnsi="Arial" w:cs="Arial"/>
            </w:rPr>
          </w:pPr>
        </w:p>
        <w:p w14:paraId="33FC2C21" w14:textId="77777777" w:rsidR="007D1947" w:rsidRPr="004E2C35" w:rsidRDefault="007D1947" w:rsidP="007D1947">
          <w:pPr>
            <w:pStyle w:val="Heading1"/>
            <w:rPr>
              <w:rFonts w:ascii="Arial" w:hAnsi="Arial" w:cs="Arial"/>
            </w:rPr>
          </w:pPr>
          <w:bookmarkStart w:id="1" w:name="_Toc463944600"/>
          <w:r w:rsidRPr="004E2C35">
            <w:rPr>
              <w:rFonts w:ascii="Arial" w:hAnsi="Arial" w:cs="Arial"/>
            </w:rPr>
            <w:lastRenderedPageBreak/>
            <w:t>Introduction</w:t>
          </w:r>
          <w:bookmarkEnd w:id="1"/>
        </w:p>
        <w:p w14:paraId="6C35C80D" w14:textId="77777777" w:rsidR="007D1947" w:rsidRPr="004E2C35" w:rsidRDefault="007D1947" w:rsidP="007D1947">
          <w:pPr>
            <w:rPr>
              <w:rFonts w:ascii="Arial" w:hAnsi="Arial" w:cs="Arial"/>
            </w:rPr>
          </w:pPr>
        </w:p>
        <w:p w14:paraId="30F1C959" w14:textId="2CABEB2B" w:rsidR="009E6BBE" w:rsidRPr="004E2C35" w:rsidRDefault="009E6BBE" w:rsidP="009E6BBE">
          <w:pPr>
            <w:spacing w:line="360" w:lineRule="auto"/>
            <w:rPr>
              <w:rFonts w:ascii="Arial" w:hAnsi="Arial" w:cs="Arial"/>
              <w:sz w:val="24"/>
              <w:szCs w:val="24"/>
              <w:lang w:val="en-US"/>
            </w:rPr>
          </w:pPr>
          <w:r w:rsidRPr="004E2C35">
            <w:rPr>
              <w:rFonts w:ascii="Arial" w:hAnsi="Arial" w:cs="Arial"/>
              <w:sz w:val="24"/>
              <w:szCs w:val="24"/>
              <w:lang w:val="en-US"/>
            </w:rPr>
            <w:t xml:space="preserve">Financial statement analysis is an important field in finance which attempts to analyze how the company has performed in the past few years. Comparison of ratios of one year to another indicate whether the company has improved from one year to another. Improving ratios is a measure of financial health, and performance of a company. This could attract investors to invest in a particular company. However, a decreasing ratio could hinder or prevent investors to withdraw their interest in a particular company. The report is about the performance of Hilton Worldwide Holdings Incorporation which manages a portfolio of </w:t>
          </w:r>
          <w:r w:rsidR="005D2550" w:rsidRPr="004E2C35">
            <w:rPr>
              <w:rFonts w:ascii="Arial" w:hAnsi="Arial" w:cs="Arial"/>
              <w:sz w:val="24"/>
              <w:szCs w:val="24"/>
              <w:lang w:val="en-US"/>
            </w:rPr>
            <w:t>hotels and</w:t>
          </w:r>
          <w:r w:rsidRPr="004E2C35">
            <w:rPr>
              <w:rFonts w:ascii="Arial" w:hAnsi="Arial" w:cs="Arial"/>
              <w:sz w:val="24"/>
              <w:szCs w:val="24"/>
              <w:lang w:val="en-US"/>
            </w:rPr>
            <w:t xml:space="preserve"> operate in the hospitality industry. </w:t>
          </w:r>
        </w:p>
        <w:p w14:paraId="24FB9339" w14:textId="77777777" w:rsidR="004A11F6" w:rsidRPr="004E2C35" w:rsidRDefault="004A11F6" w:rsidP="007D1947">
          <w:pPr>
            <w:rPr>
              <w:rFonts w:ascii="Arial" w:hAnsi="Arial" w:cs="Arial"/>
            </w:rPr>
          </w:pPr>
        </w:p>
        <w:p w14:paraId="624BAEC6" w14:textId="77777777" w:rsidR="004A11F6" w:rsidRPr="004E2C35" w:rsidRDefault="004A11F6" w:rsidP="007D1947">
          <w:pPr>
            <w:rPr>
              <w:rFonts w:ascii="Arial" w:hAnsi="Arial" w:cs="Arial"/>
            </w:rPr>
          </w:pPr>
        </w:p>
        <w:p w14:paraId="0C7CBD32" w14:textId="77777777" w:rsidR="004A11F6" w:rsidRPr="004E2C35" w:rsidRDefault="004A11F6" w:rsidP="007D1947">
          <w:pPr>
            <w:rPr>
              <w:rFonts w:ascii="Arial" w:hAnsi="Arial" w:cs="Arial"/>
            </w:rPr>
          </w:pPr>
        </w:p>
        <w:p w14:paraId="2872E3C8" w14:textId="77777777" w:rsidR="004A11F6" w:rsidRPr="004E2C35" w:rsidRDefault="004A11F6" w:rsidP="007D1947">
          <w:pPr>
            <w:rPr>
              <w:rFonts w:ascii="Arial" w:hAnsi="Arial" w:cs="Arial"/>
            </w:rPr>
          </w:pPr>
        </w:p>
        <w:p w14:paraId="5A994779" w14:textId="77777777" w:rsidR="004A11F6" w:rsidRPr="004E2C35" w:rsidRDefault="004A11F6" w:rsidP="007D1947">
          <w:pPr>
            <w:rPr>
              <w:rFonts w:ascii="Arial" w:hAnsi="Arial" w:cs="Arial"/>
            </w:rPr>
          </w:pPr>
        </w:p>
        <w:p w14:paraId="4557C24D" w14:textId="77777777" w:rsidR="004A11F6" w:rsidRPr="004E2C35" w:rsidRDefault="004A11F6" w:rsidP="007D1947">
          <w:pPr>
            <w:rPr>
              <w:rFonts w:ascii="Arial" w:hAnsi="Arial" w:cs="Arial"/>
            </w:rPr>
          </w:pPr>
        </w:p>
        <w:p w14:paraId="52C5D98A" w14:textId="77777777" w:rsidR="004A11F6" w:rsidRPr="004E2C35" w:rsidRDefault="004A11F6" w:rsidP="007D1947">
          <w:pPr>
            <w:rPr>
              <w:rFonts w:ascii="Arial" w:hAnsi="Arial" w:cs="Arial"/>
            </w:rPr>
          </w:pPr>
        </w:p>
        <w:p w14:paraId="0B376D9C" w14:textId="77777777" w:rsidR="004A11F6" w:rsidRPr="004E2C35" w:rsidRDefault="004A11F6" w:rsidP="007D1947">
          <w:pPr>
            <w:rPr>
              <w:rFonts w:ascii="Arial" w:hAnsi="Arial" w:cs="Arial"/>
            </w:rPr>
          </w:pPr>
        </w:p>
        <w:p w14:paraId="6874B16B" w14:textId="77777777" w:rsidR="004A11F6" w:rsidRPr="004E2C35" w:rsidRDefault="004A11F6" w:rsidP="007D1947">
          <w:pPr>
            <w:rPr>
              <w:rFonts w:ascii="Arial" w:hAnsi="Arial" w:cs="Arial"/>
            </w:rPr>
          </w:pPr>
        </w:p>
        <w:p w14:paraId="5FC7351A" w14:textId="77777777" w:rsidR="004A11F6" w:rsidRPr="004E2C35" w:rsidRDefault="004A11F6" w:rsidP="007D1947">
          <w:pPr>
            <w:rPr>
              <w:rFonts w:ascii="Arial" w:hAnsi="Arial" w:cs="Arial"/>
            </w:rPr>
          </w:pPr>
        </w:p>
        <w:p w14:paraId="784D2179" w14:textId="77777777" w:rsidR="004A11F6" w:rsidRPr="004E2C35" w:rsidRDefault="004A11F6" w:rsidP="007D1947">
          <w:pPr>
            <w:rPr>
              <w:rFonts w:ascii="Arial" w:hAnsi="Arial" w:cs="Arial"/>
            </w:rPr>
          </w:pPr>
        </w:p>
        <w:p w14:paraId="420A28E6" w14:textId="77777777" w:rsidR="004A11F6" w:rsidRPr="004E2C35" w:rsidRDefault="004A11F6" w:rsidP="007D1947">
          <w:pPr>
            <w:rPr>
              <w:rFonts w:ascii="Arial" w:hAnsi="Arial" w:cs="Arial"/>
            </w:rPr>
          </w:pPr>
        </w:p>
        <w:p w14:paraId="1ACFE8D5" w14:textId="77777777" w:rsidR="004A11F6" w:rsidRPr="004E2C35" w:rsidRDefault="004A11F6" w:rsidP="007D1947">
          <w:pPr>
            <w:rPr>
              <w:rFonts w:ascii="Arial" w:hAnsi="Arial" w:cs="Arial"/>
            </w:rPr>
          </w:pPr>
        </w:p>
        <w:p w14:paraId="3523EEB9" w14:textId="77777777" w:rsidR="004A11F6" w:rsidRPr="004E2C35" w:rsidRDefault="004A11F6" w:rsidP="007D1947">
          <w:pPr>
            <w:rPr>
              <w:rFonts w:ascii="Arial" w:hAnsi="Arial" w:cs="Arial"/>
            </w:rPr>
          </w:pPr>
        </w:p>
        <w:p w14:paraId="3E8A03A7" w14:textId="77777777" w:rsidR="004A11F6" w:rsidRPr="004E2C35" w:rsidRDefault="004A11F6" w:rsidP="007D1947">
          <w:pPr>
            <w:rPr>
              <w:rFonts w:ascii="Arial" w:hAnsi="Arial" w:cs="Arial"/>
            </w:rPr>
          </w:pPr>
        </w:p>
        <w:p w14:paraId="4FBAEC58" w14:textId="77777777" w:rsidR="004A11F6" w:rsidRPr="004E2C35" w:rsidRDefault="004A11F6" w:rsidP="007D1947">
          <w:pPr>
            <w:rPr>
              <w:rFonts w:ascii="Arial" w:hAnsi="Arial" w:cs="Arial"/>
            </w:rPr>
          </w:pPr>
        </w:p>
        <w:p w14:paraId="5109BB2B" w14:textId="77777777" w:rsidR="004A11F6" w:rsidRPr="004E2C35" w:rsidRDefault="004A11F6" w:rsidP="007D1947">
          <w:pPr>
            <w:rPr>
              <w:rFonts w:ascii="Arial" w:hAnsi="Arial" w:cs="Arial"/>
            </w:rPr>
          </w:pPr>
        </w:p>
        <w:p w14:paraId="7D5E3A3B" w14:textId="77777777" w:rsidR="004A11F6" w:rsidRPr="004E2C35" w:rsidRDefault="004A11F6" w:rsidP="007D1947">
          <w:pPr>
            <w:rPr>
              <w:rFonts w:ascii="Arial" w:hAnsi="Arial" w:cs="Arial"/>
            </w:rPr>
          </w:pPr>
        </w:p>
        <w:p w14:paraId="22ECF2EE" w14:textId="77777777" w:rsidR="004A11F6" w:rsidRPr="004E2C35" w:rsidRDefault="004A11F6" w:rsidP="007D1947">
          <w:pPr>
            <w:rPr>
              <w:rFonts w:ascii="Arial" w:hAnsi="Arial" w:cs="Arial"/>
            </w:rPr>
          </w:pPr>
        </w:p>
        <w:p w14:paraId="773053EC" w14:textId="77777777" w:rsidR="004A11F6" w:rsidRPr="004E2C35" w:rsidRDefault="004A11F6" w:rsidP="007D1947">
          <w:pPr>
            <w:rPr>
              <w:rFonts w:ascii="Arial" w:hAnsi="Arial" w:cs="Arial"/>
            </w:rPr>
          </w:pPr>
        </w:p>
        <w:p w14:paraId="57F8277E" w14:textId="77777777" w:rsidR="004A11F6" w:rsidRPr="004E2C35" w:rsidRDefault="004A11F6" w:rsidP="007D1947">
          <w:pPr>
            <w:rPr>
              <w:rFonts w:ascii="Arial" w:hAnsi="Arial" w:cs="Arial"/>
            </w:rPr>
          </w:pPr>
        </w:p>
        <w:p w14:paraId="660FF286" w14:textId="77777777" w:rsidR="004A11F6" w:rsidRPr="004E2C35" w:rsidRDefault="004A11F6" w:rsidP="004A11F6">
          <w:pPr>
            <w:pStyle w:val="Heading1"/>
            <w:rPr>
              <w:rFonts w:ascii="Arial" w:hAnsi="Arial" w:cs="Arial"/>
            </w:rPr>
          </w:pPr>
          <w:bookmarkStart w:id="2" w:name="_Toc463944601"/>
          <w:r w:rsidRPr="004E2C35">
            <w:rPr>
              <w:rFonts w:ascii="Arial" w:hAnsi="Arial" w:cs="Arial"/>
            </w:rPr>
            <w:lastRenderedPageBreak/>
            <w:t>Financial Analysis</w:t>
          </w:r>
          <w:bookmarkEnd w:id="2"/>
        </w:p>
        <w:p w14:paraId="61F6DED6" w14:textId="77777777" w:rsidR="0015533E" w:rsidRPr="004E2C35" w:rsidRDefault="0015533E" w:rsidP="0015533E">
          <w:pPr>
            <w:spacing w:line="360" w:lineRule="auto"/>
            <w:rPr>
              <w:rFonts w:ascii="Arial" w:hAnsi="Arial" w:cs="Arial"/>
              <w:sz w:val="24"/>
              <w:szCs w:val="24"/>
              <w:lang w:val="en-US"/>
            </w:rPr>
          </w:pPr>
          <w:bookmarkStart w:id="3" w:name="_Toc463944602"/>
          <w:r w:rsidRPr="004E2C35">
            <w:rPr>
              <w:rFonts w:ascii="Arial" w:hAnsi="Arial" w:cs="Arial"/>
              <w:sz w:val="24"/>
              <w:szCs w:val="24"/>
              <w:lang w:val="en-US"/>
            </w:rPr>
            <w:t>Income Statement:</w:t>
          </w:r>
        </w:p>
        <w:tbl>
          <w:tblPr>
            <w:tblStyle w:val="TableGrid"/>
            <w:tblW w:w="9776" w:type="dxa"/>
            <w:tblLook w:val="04A0" w:firstRow="1" w:lastRow="0" w:firstColumn="1" w:lastColumn="0" w:noHBand="0" w:noVBand="1"/>
          </w:tblPr>
          <w:tblGrid>
            <w:gridCol w:w="4081"/>
            <w:gridCol w:w="1418"/>
            <w:gridCol w:w="1418"/>
            <w:gridCol w:w="1442"/>
            <w:gridCol w:w="1417"/>
          </w:tblGrid>
          <w:tr w:rsidR="0015533E" w:rsidRPr="004E2C35" w14:paraId="10A67F52" w14:textId="77777777" w:rsidTr="009B72F9">
            <w:trPr>
              <w:trHeight w:val="300"/>
            </w:trPr>
            <w:tc>
              <w:tcPr>
                <w:tcW w:w="5499" w:type="dxa"/>
                <w:gridSpan w:val="2"/>
                <w:noWrap/>
                <w:hideMark/>
              </w:tcPr>
              <w:p w14:paraId="56CFA61C" w14:textId="77777777" w:rsidR="0015533E" w:rsidRPr="004E2C35" w:rsidRDefault="0015533E" w:rsidP="0015533E">
                <w:pPr>
                  <w:spacing w:line="360" w:lineRule="auto"/>
                  <w:rPr>
                    <w:rFonts w:ascii="Arial" w:eastAsia="Times New Roman" w:hAnsi="Arial" w:cs="Arial"/>
                    <w:b/>
                    <w:bCs/>
                    <w:color w:val="232A31"/>
                    <w:sz w:val="24"/>
                    <w:szCs w:val="24"/>
                  </w:rPr>
                </w:pPr>
                <w:r w:rsidRPr="004E2C35">
                  <w:rPr>
                    <w:rFonts w:ascii="Arial" w:eastAsia="Times New Roman" w:hAnsi="Arial" w:cs="Arial"/>
                    <w:b/>
                    <w:bCs/>
                    <w:color w:val="232A31"/>
                    <w:sz w:val="24"/>
                    <w:szCs w:val="24"/>
                  </w:rPr>
                  <w:t>Hilton Worldwide Holdings Inc. (HLT)</w:t>
                </w:r>
              </w:p>
            </w:tc>
            <w:tc>
              <w:tcPr>
                <w:tcW w:w="1418" w:type="dxa"/>
                <w:noWrap/>
                <w:hideMark/>
              </w:tcPr>
              <w:p w14:paraId="77246F5D" w14:textId="77777777" w:rsidR="0015533E" w:rsidRPr="004E2C35" w:rsidRDefault="0015533E" w:rsidP="0015533E">
                <w:pPr>
                  <w:spacing w:line="360" w:lineRule="auto"/>
                  <w:rPr>
                    <w:rFonts w:ascii="Arial" w:eastAsia="Times New Roman" w:hAnsi="Arial" w:cs="Arial"/>
                    <w:b/>
                    <w:bCs/>
                    <w:color w:val="232A31"/>
                    <w:sz w:val="24"/>
                    <w:szCs w:val="24"/>
                  </w:rPr>
                </w:pPr>
              </w:p>
            </w:tc>
            <w:tc>
              <w:tcPr>
                <w:tcW w:w="1442" w:type="dxa"/>
                <w:noWrap/>
                <w:hideMark/>
              </w:tcPr>
              <w:p w14:paraId="4BD131E7" w14:textId="77777777" w:rsidR="0015533E" w:rsidRPr="004E2C35" w:rsidRDefault="0015533E" w:rsidP="0015533E">
                <w:pPr>
                  <w:spacing w:line="360" w:lineRule="auto"/>
                  <w:rPr>
                    <w:rFonts w:ascii="Arial" w:eastAsia="Times New Roman" w:hAnsi="Arial" w:cs="Arial"/>
                    <w:sz w:val="24"/>
                    <w:szCs w:val="24"/>
                  </w:rPr>
                </w:pPr>
              </w:p>
            </w:tc>
            <w:tc>
              <w:tcPr>
                <w:tcW w:w="1417" w:type="dxa"/>
                <w:noWrap/>
                <w:hideMark/>
              </w:tcPr>
              <w:p w14:paraId="33745325" w14:textId="77777777" w:rsidR="0015533E" w:rsidRPr="004E2C35" w:rsidRDefault="0015533E" w:rsidP="0015533E">
                <w:pPr>
                  <w:spacing w:line="360" w:lineRule="auto"/>
                  <w:rPr>
                    <w:rFonts w:ascii="Arial" w:eastAsia="Times New Roman" w:hAnsi="Arial" w:cs="Arial"/>
                    <w:sz w:val="24"/>
                    <w:szCs w:val="24"/>
                  </w:rPr>
                </w:pPr>
              </w:p>
            </w:tc>
          </w:tr>
          <w:tr w:rsidR="0015533E" w:rsidRPr="004E2C35" w14:paraId="3273608F" w14:textId="77777777" w:rsidTr="009B72F9">
            <w:trPr>
              <w:trHeight w:val="300"/>
            </w:trPr>
            <w:tc>
              <w:tcPr>
                <w:tcW w:w="4081" w:type="dxa"/>
                <w:noWrap/>
                <w:hideMark/>
              </w:tcPr>
              <w:p w14:paraId="5E6F2E33" w14:textId="77777777" w:rsidR="0015533E" w:rsidRPr="004E2C35" w:rsidRDefault="0015533E" w:rsidP="0015533E">
                <w:pPr>
                  <w:spacing w:line="360" w:lineRule="auto"/>
                  <w:rPr>
                    <w:rFonts w:ascii="Arial" w:eastAsia="Times New Roman" w:hAnsi="Arial" w:cs="Arial"/>
                    <w:sz w:val="24"/>
                    <w:szCs w:val="24"/>
                  </w:rPr>
                </w:pPr>
              </w:p>
            </w:tc>
            <w:tc>
              <w:tcPr>
                <w:tcW w:w="1418" w:type="dxa"/>
                <w:noWrap/>
                <w:hideMark/>
              </w:tcPr>
              <w:p w14:paraId="6A4C4A51" w14:textId="77777777" w:rsidR="0015533E" w:rsidRPr="004E2C35" w:rsidRDefault="0015533E" w:rsidP="0015533E">
                <w:pPr>
                  <w:spacing w:line="360" w:lineRule="auto"/>
                  <w:rPr>
                    <w:rFonts w:ascii="Arial" w:eastAsia="Times New Roman" w:hAnsi="Arial" w:cs="Arial"/>
                    <w:sz w:val="24"/>
                    <w:szCs w:val="24"/>
                  </w:rPr>
                </w:pPr>
              </w:p>
            </w:tc>
            <w:tc>
              <w:tcPr>
                <w:tcW w:w="1418" w:type="dxa"/>
                <w:noWrap/>
                <w:hideMark/>
              </w:tcPr>
              <w:p w14:paraId="0BCC05EE" w14:textId="77777777" w:rsidR="0015533E" w:rsidRPr="004E2C35" w:rsidRDefault="0015533E" w:rsidP="0015533E">
                <w:pPr>
                  <w:spacing w:line="360" w:lineRule="auto"/>
                  <w:rPr>
                    <w:rFonts w:ascii="Arial" w:eastAsia="Times New Roman" w:hAnsi="Arial" w:cs="Arial"/>
                    <w:sz w:val="24"/>
                    <w:szCs w:val="24"/>
                  </w:rPr>
                </w:pPr>
              </w:p>
            </w:tc>
            <w:tc>
              <w:tcPr>
                <w:tcW w:w="1442" w:type="dxa"/>
                <w:noWrap/>
                <w:hideMark/>
              </w:tcPr>
              <w:p w14:paraId="2D0C42A5" w14:textId="77777777" w:rsidR="0015533E" w:rsidRPr="004E2C35" w:rsidRDefault="0015533E" w:rsidP="0015533E">
                <w:pPr>
                  <w:spacing w:line="360" w:lineRule="auto"/>
                  <w:rPr>
                    <w:rFonts w:ascii="Arial" w:eastAsia="Times New Roman" w:hAnsi="Arial" w:cs="Arial"/>
                    <w:sz w:val="24"/>
                    <w:szCs w:val="24"/>
                  </w:rPr>
                </w:pPr>
              </w:p>
            </w:tc>
            <w:tc>
              <w:tcPr>
                <w:tcW w:w="1417" w:type="dxa"/>
                <w:noWrap/>
                <w:hideMark/>
              </w:tcPr>
              <w:p w14:paraId="4A657CD9" w14:textId="77777777" w:rsidR="0015533E" w:rsidRPr="004E2C35" w:rsidRDefault="0015533E" w:rsidP="0015533E">
                <w:pPr>
                  <w:spacing w:line="360" w:lineRule="auto"/>
                  <w:rPr>
                    <w:rFonts w:ascii="Arial" w:eastAsia="Times New Roman" w:hAnsi="Arial" w:cs="Arial"/>
                    <w:sz w:val="24"/>
                    <w:szCs w:val="24"/>
                  </w:rPr>
                </w:pPr>
              </w:p>
            </w:tc>
          </w:tr>
          <w:tr w:rsidR="0015533E" w:rsidRPr="004E2C35" w14:paraId="61754814" w14:textId="77777777" w:rsidTr="009B72F9">
            <w:trPr>
              <w:trHeight w:val="300"/>
            </w:trPr>
            <w:tc>
              <w:tcPr>
                <w:tcW w:w="4081" w:type="dxa"/>
                <w:noWrap/>
                <w:hideMark/>
              </w:tcPr>
              <w:p w14:paraId="0F4C0B9E" w14:textId="77777777" w:rsidR="0015533E" w:rsidRPr="004E2C35" w:rsidRDefault="0015533E" w:rsidP="0015533E">
                <w:pPr>
                  <w:spacing w:line="360" w:lineRule="auto"/>
                  <w:rPr>
                    <w:rFonts w:ascii="Arial" w:eastAsia="Times New Roman" w:hAnsi="Arial" w:cs="Arial"/>
                    <w:sz w:val="24"/>
                    <w:szCs w:val="24"/>
                  </w:rPr>
                </w:pPr>
              </w:p>
            </w:tc>
            <w:tc>
              <w:tcPr>
                <w:tcW w:w="1418" w:type="dxa"/>
                <w:noWrap/>
                <w:hideMark/>
              </w:tcPr>
              <w:p w14:paraId="736672AE"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2020</w:t>
                </w:r>
              </w:p>
            </w:tc>
            <w:tc>
              <w:tcPr>
                <w:tcW w:w="1418" w:type="dxa"/>
                <w:noWrap/>
                <w:hideMark/>
              </w:tcPr>
              <w:p w14:paraId="3C4A6596"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2019</w:t>
                </w:r>
              </w:p>
            </w:tc>
            <w:tc>
              <w:tcPr>
                <w:tcW w:w="1442" w:type="dxa"/>
                <w:noWrap/>
                <w:hideMark/>
              </w:tcPr>
              <w:p w14:paraId="0D280662"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Change</w:t>
                </w:r>
              </w:p>
            </w:tc>
            <w:tc>
              <w:tcPr>
                <w:tcW w:w="1417" w:type="dxa"/>
                <w:noWrap/>
                <w:hideMark/>
              </w:tcPr>
              <w:p w14:paraId="53899DBD"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 Change</w:t>
                </w:r>
              </w:p>
            </w:tc>
          </w:tr>
          <w:tr w:rsidR="0015533E" w:rsidRPr="004E2C35" w14:paraId="76A3B840" w14:textId="77777777" w:rsidTr="009B72F9">
            <w:trPr>
              <w:trHeight w:val="300"/>
            </w:trPr>
            <w:tc>
              <w:tcPr>
                <w:tcW w:w="4081" w:type="dxa"/>
                <w:noWrap/>
                <w:hideMark/>
              </w:tcPr>
              <w:p w14:paraId="6B5B2119"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Fiscal Year Ends</w:t>
                </w:r>
              </w:p>
            </w:tc>
            <w:tc>
              <w:tcPr>
                <w:tcW w:w="1418" w:type="dxa"/>
                <w:noWrap/>
                <w:hideMark/>
              </w:tcPr>
              <w:p w14:paraId="2211A343"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31/12/2021</w:t>
                </w:r>
              </w:p>
            </w:tc>
            <w:tc>
              <w:tcPr>
                <w:tcW w:w="1418" w:type="dxa"/>
                <w:noWrap/>
                <w:hideMark/>
              </w:tcPr>
              <w:p w14:paraId="19B0F977"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31/12/2020</w:t>
                </w:r>
              </w:p>
            </w:tc>
            <w:tc>
              <w:tcPr>
                <w:tcW w:w="1442" w:type="dxa"/>
                <w:noWrap/>
                <w:hideMark/>
              </w:tcPr>
              <w:p w14:paraId="355EFF95" w14:textId="77777777" w:rsidR="0015533E" w:rsidRPr="004E2C35" w:rsidRDefault="0015533E" w:rsidP="0015533E">
                <w:pPr>
                  <w:spacing w:line="360" w:lineRule="auto"/>
                  <w:jc w:val="right"/>
                  <w:rPr>
                    <w:rFonts w:ascii="Arial" w:eastAsia="Times New Roman" w:hAnsi="Arial" w:cs="Arial"/>
                    <w:color w:val="000000"/>
                    <w:sz w:val="24"/>
                    <w:szCs w:val="24"/>
                  </w:rPr>
                </w:pPr>
              </w:p>
            </w:tc>
            <w:tc>
              <w:tcPr>
                <w:tcW w:w="1417" w:type="dxa"/>
                <w:noWrap/>
                <w:hideMark/>
              </w:tcPr>
              <w:p w14:paraId="187FB732" w14:textId="77777777" w:rsidR="0015533E" w:rsidRPr="004E2C35" w:rsidRDefault="0015533E" w:rsidP="0015533E">
                <w:pPr>
                  <w:spacing w:line="360" w:lineRule="auto"/>
                  <w:rPr>
                    <w:rFonts w:ascii="Arial" w:eastAsia="Times New Roman" w:hAnsi="Arial" w:cs="Arial"/>
                    <w:sz w:val="24"/>
                    <w:szCs w:val="24"/>
                  </w:rPr>
                </w:pPr>
              </w:p>
            </w:tc>
          </w:tr>
          <w:tr w:rsidR="0015533E" w:rsidRPr="004E2C35" w14:paraId="69EA5B81" w14:textId="77777777" w:rsidTr="009B72F9">
            <w:trPr>
              <w:trHeight w:val="300"/>
            </w:trPr>
            <w:tc>
              <w:tcPr>
                <w:tcW w:w="4081" w:type="dxa"/>
                <w:noWrap/>
                <w:hideMark/>
              </w:tcPr>
              <w:p w14:paraId="01E06D35"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Sales</w:t>
                </w:r>
              </w:p>
            </w:tc>
            <w:tc>
              <w:tcPr>
                <w:tcW w:w="1418" w:type="dxa"/>
                <w:noWrap/>
                <w:hideMark/>
              </w:tcPr>
              <w:p w14:paraId="19CA4AC5"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4,307,000</w:t>
                </w:r>
              </w:p>
            </w:tc>
            <w:tc>
              <w:tcPr>
                <w:tcW w:w="1418" w:type="dxa"/>
                <w:noWrap/>
                <w:hideMark/>
              </w:tcPr>
              <w:p w14:paraId="00A32A1C"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9,452,000</w:t>
                </w:r>
              </w:p>
            </w:tc>
            <w:tc>
              <w:tcPr>
                <w:tcW w:w="1442" w:type="dxa"/>
                <w:noWrap/>
                <w:hideMark/>
              </w:tcPr>
              <w:p w14:paraId="0E9323AE"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-5,145,000</w:t>
                </w:r>
              </w:p>
            </w:tc>
            <w:tc>
              <w:tcPr>
                <w:tcW w:w="1417" w:type="dxa"/>
                <w:noWrap/>
                <w:hideMark/>
              </w:tcPr>
              <w:p w14:paraId="3DCC83D5"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-54.43%</w:t>
                </w:r>
              </w:p>
            </w:tc>
          </w:tr>
          <w:tr w:rsidR="0015533E" w:rsidRPr="004E2C35" w14:paraId="424346CB" w14:textId="77777777" w:rsidTr="009B72F9">
            <w:trPr>
              <w:trHeight w:val="300"/>
            </w:trPr>
            <w:tc>
              <w:tcPr>
                <w:tcW w:w="4081" w:type="dxa"/>
                <w:noWrap/>
                <w:hideMark/>
              </w:tcPr>
              <w:p w14:paraId="5EC55335" w14:textId="5943B51F" w:rsidR="0015533E" w:rsidRPr="004E2C35" w:rsidRDefault="004C4341" w:rsidP="0015533E">
                <w:pPr>
                  <w:spacing w:line="360" w:lineRule="auto"/>
                  <w:rPr>
                    <w:rFonts w:ascii="Arial" w:eastAsia="Times New Roman" w:hAnsi="Arial" w:cs="Arial"/>
                    <w:color w:val="000000"/>
                    <w:sz w:val="24"/>
                    <w:szCs w:val="24"/>
                  </w:rPr>
                </w:pPr>
                <w:r>
                  <w:rPr>
                    <w:rFonts w:ascii="Arial" w:eastAsia="Times New Roman" w:hAnsi="Arial" w:cs="Arial"/>
                    <w:color w:val="000000"/>
                    <w:sz w:val="24"/>
                    <w:szCs w:val="24"/>
                  </w:rPr>
                  <w:t>Costs of goods sold</w:t>
                </w:r>
              </w:p>
            </w:tc>
            <w:tc>
              <w:tcPr>
                <w:tcW w:w="1418" w:type="dxa"/>
                <w:noWrap/>
                <w:hideMark/>
              </w:tcPr>
              <w:p w14:paraId="5315EEF2"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3,724,000</w:t>
                </w:r>
              </w:p>
            </w:tc>
            <w:tc>
              <w:tcPr>
                <w:tcW w:w="1418" w:type="dxa"/>
                <w:noWrap/>
                <w:hideMark/>
              </w:tcPr>
              <w:p w14:paraId="0B7C99D3"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7,017,000</w:t>
                </w:r>
              </w:p>
            </w:tc>
            <w:tc>
              <w:tcPr>
                <w:tcW w:w="1442" w:type="dxa"/>
                <w:noWrap/>
                <w:hideMark/>
              </w:tcPr>
              <w:p w14:paraId="4625FA4F"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-3,293,000</w:t>
                </w:r>
              </w:p>
            </w:tc>
            <w:tc>
              <w:tcPr>
                <w:tcW w:w="1417" w:type="dxa"/>
                <w:noWrap/>
                <w:hideMark/>
              </w:tcPr>
              <w:p w14:paraId="3A008D8E"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-46.93%</w:t>
                </w:r>
              </w:p>
            </w:tc>
          </w:tr>
          <w:tr w:rsidR="0015533E" w:rsidRPr="004E2C35" w14:paraId="3D43C46C" w14:textId="77777777" w:rsidTr="009B72F9">
            <w:trPr>
              <w:trHeight w:val="300"/>
            </w:trPr>
            <w:tc>
              <w:tcPr>
                <w:tcW w:w="4081" w:type="dxa"/>
                <w:noWrap/>
                <w:hideMark/>
              </w:tcPr>
              <w:p w14:paraId="29FFBB28"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Gross profit</w:t>
                </w:r>
              </w:p>
            </w:tc>
            <w:tc>
              <w:tcPr>
                <w:tcW w:w="1418" w:type="dxa"/>
                <w:noWrap/>
                <w:hideMark/>
              </w:tcPr>
              <w:p w14:paraId="52BBA61A"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583,000</w:t>
                </w:r>
              </w:p>
            </w:tc>
            <w:tc>
              <w:tcPr>
                <w:tcW w:w="1418" w:type="dxa"/>
                <w:noWrap/>
                <w:hideMark/>
              </w:tcPr>
              <w:p w14:paraId="03E0129C"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2,435,000</w:t>
                </w:r>
              </w:p>
            </w:tc>
            <w:tc>
              <w:tcPr>
                <w:tcW w:w="1442" w:type="dxa"/>
                <w:noWrap/>
                <w:hideMark/>
              </w:tcPr>
              <w:p w14:paraId="46369202"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-1,852,000</w:t>
                </w:r>
              </w:p>
            </w:tc>
            <w:tc>
              <w:tcPr>
                <w:tcW w:w="1417" w:type="dxa"/>
                <w:noWrap/>
                <w:hideMark/>
              </w:tcPr>
              <w:p w14:paraId="368C3E6E"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-76.06%</w:t>
                </w:r>
              </w:p>
            </w:tc>
          </w:tr>
          <w:tr w:rsidR="0015533E" w:rsidRPr="004E2C35" w14:paraId="598D2F5A" w14:textId="77777777" w:rsidTr="009B72F9">
            <w:trPr>
              <w:trHeight w:val="300"/>
            </w:trPr>
            <w:tc>
              <w:tcPr>
                <w:tcW w:w="4081" w:type="dxa"/>
                <w:noWrap/>
                <w:hideMark/>
              </w:tcPr>
              <w:p w14:paraId="6BD3417E"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Operating Expenses</w:t>
                </w:r>
              </w:p>
            </w:tc>
            <w:tc>
              <w:tcPr>
                <w:tcW w:w="1418" w:type="dxa"/>
                <w:noWrap/>
                <w:hideMark/>
              </w:tcPr>
              <w:p w14:paraId="22846BF2"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702,000</w:t>
                </w:r>
              </w:p>
            </w:tc>
            <w:tc>
              <w:tcPr>
                <w:tcW w:w="1418" w:type="dxa"/>
                <w:noWrap/>
                <w:hideMark/>
              </w:tcPr>
              <w:p w14:paraId="4D2DEF6A"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859,000</w:t>
                </w:r>
              </w:p>
            </w:tc>
            <w:tc>
              <w:tcPr>
                <w:tcW w:w="1442" w:type="dxa"/>
                <w:noWrap/>
                <w:hideMark/>
              </w:tcPr>
              <w:p w14:paraId="7646A0CD"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-157,000</w:t>
                </w:r>
              </w:p>
            </w:tc>
            <w:tc>
              <w:tcPr>
                <w:tcW w:w="1417" w:type="dxa"/>
                <w:noWrap/>
                <w:hideMark/>
              </w:tcPr>
              <w:p w14:paraId="0E93DCE0"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-18.28%</w:t>
                </w:r>
              </w:p>
            </w:tc>
          </w:tr>
          <w:tr w:rsidR="0015533E" w:rsidRPr="004E2C35" w14:paraId="1DF0EA99" w14:textId="77777777" w:rsidTr="009B72F9">
            <w:trPr>
              <w:trHeight w:val="300"/>
            </w:trPr>
            <w:tc>
              <w:tcPr>
                <w:tcW w:w="4081" w:type="dxa"/>
                <w:noWrap/>
                <w:hideMark/>
              </w:tcPr>
              <w:p w14:paraId="185E6F75"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Operating income</w:t>
                </w:r>
              </w:p>
            </w:tc>
            <w:tc>
              <w:tcPr>
                <w:tcW w:w="1418" w:type="dxa"/>
                <w:noWrap/>
                <w:hideMark/>
              </w:tcPr>
              <w:p w14:paraId="79E69439"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-119,000</w:t>
                </w:r>
              </w:p>
            </w:tc>
            <w:tc>
              <w:tcPr>
                <w:tcW w:w="1418" w:type="dxa"/>
                <w:noWrap/>
                <w:hideMark/>
              </w:tcPr>
              <w:p w14:paraId="1DD13BCE"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1,576,000</w:t>
                </w:r>
              </w:p>
            </w:tc>
            <w:tc>
              <w:tcPr>
                <w:tcW w:w="1442" w:type="dxa"/>
                <w:noWrap/>
                <w:hideMark/>
              </w:tcPr>
              <w:p w14:paraId="7EF0134A"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-1,695,000</w:t>
                </w:r>
              </w:p>
            </w:tc>
            <w:tc>
              <w:tcPr>
                <w:tcW w:w="1417" w:type="dxa"/>
                <w:noWrap/>
                <w:hideMark/>
              </w:tcPr>
              <w:p w14:paraId="5B210CB2"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-107.55%</w:t>
                </w:r>
              </w:p>
            </w:tc>
          </w:tr>
          <w:tr w:rsidR="0015533E" w:rsidRPr="004E2C35" w14:paraId="362807AD" w14:textId="77777777" w:rsidTr="009B72F9">
            <w:trPr>
              <w:trHeight w:val="300"/>
            </w:trPr>
            <w:tc>
              <w:tcPr>
                <w:tcW w:w="4081" w:type="dxa"/>
                <w:noWrap/>
                <w:hideMark/>
              </w:tcPr>
              <w:p w14:paraId="3E64B291"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Interest Expense</w:t>
                </w:r>
              </w:p>
            </w:tc>
            <w:tc>
              <w:tcPr>
                <w:tcW w:w="1418" w:type="dxa"/>
                <w:noWrap/>
                <w:hideMark/>
              </w:tcPr>
              <w:p w14:paraId="38234D5A"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429,000</w:t>
                </w:r>
              </w:p>
            </w:tc>
            <w:tc>
              <w:tcPr>
                <w:tcW w:w="1418" w:type="dxa"/>
                <w:noWrap/>
                <w:hideMark/>
              </w:tcPr>
              <w:p w14:paraId="3D5B4605"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414,000</w:t>
                </w:r>
              </w:p>
            </w:tc>
            <w:tc>
              <w:tcPr>
                <w:tcW w:w="1442" w:type="dxa"/>
                <w:noWrap/>
                <w:hideMark/>
              </w:tcPr>
              <w:p w14:paraId="7199FCDD"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15,000</w:t>
                </w:r>
              </w:p>
            </w:tc>
            <w:tc>
              <w:tcPr>
                <w:tcW w:w="1417" w:type="dxa"/>
                <w:noWrap/>
                <w:hideMark/>
              </w:tcPr>
              <w:p w14:paraId="3B869C54"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3.62%</w:t>
                </w:r>
              </w:p>
            </w:tc>
          </w:tr>
          <w:tr w:rsidR="0015533E" w:rsidRPr="004E2C35" w14:paraId="1D220ACD" w14:textId="77777777" w:rsidTr="009B72F9">
            <w:trPr>
              <w:trHeight w:val="300"/>
            </w:trPr>
            <w:tc>
              <w:tcPr>
                <w:tcW w:w="4081" w:type="dxa"/>
                <w:noWrap/>
                <w:hideMark/>
              </w:tcPr>
              <w:p w14:paraId="38BB446D"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 xml:space="preserve">Total Other income/ expenses net </w:t>
                </w:r>
              </w:p>
            </w:tc>
            <w:tc>
              <w:tcPr>
                <w:tcW w:w="1418" w:type="dxa"/>
                <w:noWrap/>
                <w:hideMark/>
              </w:tcPr>
              <w:p w14:paraId="033CD581"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-376,000</w:t>
                </w:r>
              </w:p>
            </w:tc>
            <w:tc>
              <w:tcPr>
                <w:tcW w:w="1418" w:type="dxa"/>
                <w:noWrap/>
                <w:hideMark/>
              </w:tcPr>
              <w:p w14:paraId="4FD7696A"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82,000</w:t>
                </w:r>
              </w:p>
            </w:tc>
            <w:tc>
              <w:tcPr>
                <w:tcW w:w="1442" w:type="dxa"/>
                <w:noWrap/>
                <w:hideMark/>
              </w:tcPr>
              <w:p w14:paraId="15F3E027"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-458,000</w:t>
                </w:r>
              </w:p>
            </w:tc>
            <w:tc>
              <w:tcPr>
                <w:tcW w:w="1417" w:type="dxa"/>
                <w:noWrap/>
                <w:hideMark/>
              </w:tcPr>
              <w:p w14:paraId="47EAFE13"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-558.54%</w:t>
                </w:r>
              </w:p>
            </w:tc>
          </w:tr>
          <w:tr w:rsidR="0015533E" w:rsidRPr="004E2C35" w14:paraId="1F7D9807" w14:textId="77777777" w:rsidTr="009B72F9">
            <w:trPr>
              <w:trHeight w:val="300"/>
            </w:trPr>
            <w:tc>
              <w:tcPr>
                <w:tcW w:w="4081" w:type="dxa"/>
                <w:noWrap/>
                <w:hideMark/>
              </w:tcPr>
              <w:p w14:paraId="3E052387"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Income before taxes</w:t>
                </w:r>
              </w:p>
            </w:tc>
            <w:tc>
              <w:tcPr>
                <w:tcW w:w="1418" w:type="dxa"/>
                <w:noWrap/>
                <w:hideMark/>
              </w:tcPr>
              <w:p w14:paraId="6630CFB4"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-924,000</w:t>
                </w:r>
              </w:p>
            </w:tc>
            <w:tc>
              <w:tcPr>
                <w:tcW w:w="1418" w:type="dxa"/>
                <w:noWrap/>
                <w:hideMark/>
              </w:tcPr>
              <w:p w14:paraId="799D082D"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1,244,000</w:t>
                </w:r>
              </w:p>
            </w:tc>
            <w:tc>
              <w:tcPr>
                <w:tcW w:w="1442" w:type="dxa"/>
                <w:noWrap/>
                <w:hideMark/>
              </w:tcPr>
              <w:p w14:paraId="184F93BF"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-2,168,000</w:t>
                </w:r>
              </w:p>
            </w:tc>
            <w:tc>
              <w:tcPr>
                <w:tcW w:w="1417" w:type="dxa"/>
                <w:noWrap/>
                <w:hideMark/>
              </w:tcPr>
              <w:p w14:paraId="3FE3C15B"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-174.28%</w:t>
                </w:r>
              </w:p>
            </w:tc>
          </w:tr>
          <w:tr w:rsidR="0015533E" w:rsidRPr="004E2C35" w14:paraId="03992BED" w14:textId="77777777" w:rsidTr="009B72F9">
            <w:trPr>
              <w:trHeight w:val="300"/>
            </w:trPr>
            <w:tc>
              <w:tcPr>
                <w:tcW w:w="4081" w:type="dxa"/>
                <w:noWrap/>
                <w:hideMark/>
              </w:tcPr>
              <w:p w14:paraId="303E0176"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Net income</w:t>
                </w:r>
              </w:p>
            </w:tc>
            <w:tc>
              <w:tcPr>
                <w:tcW w:w="1418" w:type="dxa"/>
                <w:noWrap/>
                <w:hideMark/>
              </w:tcPr>
              <w:p w14:paraId="55CAD931"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-715,000</w:t>
                </w:r>
              </w:p>
            </w:tc>
            <w:tc>
              <w:tcPr>
                <w:tcW w:w="1418" w:type="dxa"/>
                <w:noWrap/>
                <w:hideMark/>
              </w:tcPr>
              <w:p w14:paraId="61FB1805"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881,000</w:t>
                </w:r>
              </w:p>
            </w:tc>
            <w:tc>
              <w:tcPr>
                <w:tcW w:w="1442" w:type="dxa"/>
                <w:noWrap/>
                <w:hideMark/>
              </w:tcPr>
              <w:p w14:paraId="78D5753E"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-1,596,000</w:t>
                </w:r>
              </w:p>
            </w:tc>
            <w:tc>
              <w:tcPr>
                <w:tcW w:w="1417" w:type="dxa"/>
                <w:noWrap/>
                <w:hideMark/>
              </w:tcPr>
              <w:p w14:paraId="2FFFCE46"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-181.16%</w:t>
                </w:r>
              </w:p>
            </w:tc>
          </w:tr>
        </w:tbl>
        <w:p w14:paraId="2636C411" w14:textId="793137A8" w:rsidR="0015533E" w:rsidRDefault="001B56C7" w:rsidP="0015533E">
          <w:pPr>
            <w:spacing w:line="360" w:lineRule="auto"/>
            <w:rPr>
              <w:rFonts w:ascii="Arial" w:hAnsi="Arial" w:cs="Arial"/>
              <w:sz w:val="24"/>
              <w:szCs w:val="24"/>
              <w:lang w:val="en-US"/>
            </w:rPr>
          </w:pPr>
          <w:r>
            <w:rPr>
              <w:rFonts w:ascii="Arial" w:hAnsi="Arial" w:cs="Arial"/>
              <w:sz w:val="24"/>
              <w:szCs w:val="24"/>
              <w:lang w:val="en-US"/>
            </w:rPr>
            <w:t xml:space="preserve"> </w:t>
          </w:r>
        </w:p>
        <w:p w14:paraId="2CECDFC3" w14:textId="0C6E72C1" w:rsidR="00C95A66" w:rsidRPr="002E4521" w:rsidRDefault="0022639E" w:rsidP="0015533E">
          <w:pPr>
            <w:spacing w:line="360" w:lineRule="auto"/>
            <w:rPr>
              <w:rFonts w:ascii="Arial" w:hAnsi="Arial" w:cs="Arial"/>
              <w:sz w:val="24"/>
              <w:szCs w:val="24"/>
              <w:lang w:val="en-US"/>
              <w14:textOutline w14:w="9525" w14:cap="rnd" w14:cmpd="sng" w14:algn="ctr">
                <w14:noFill/>
                <w14:prstDash w14:val="solid"/>
                <w14:bevel/>
              </w14:textOutline>
            </w:rPr>
          </w:pPr>
          <w:r>
            <w:rPr>
              <w:noProof/>
            </w:rPr>
            <w:drawing>
              <wp:inline distT="0" distB="0" distL="0" distR="0" wp14:anchorId="04350F5D" wp14:editId="7D9A7A97">
                <wp:extent cx="4832904" cy="3313043"/>
                <wp:effectExtent l="0" t="0" r="6350" b="1905"/>
                <wp:docPr id="2" name="Chart 2">
                  <a:extLst xmlns:a="http://schemas.openxmlformats.org/drawingml/2006/main">
                    <a:ext uri="{FF2B5EF4-FFF2-40B4-BE49-F238E27FC236}">
                      <a16:creationId xmlns:a16="http://schemas.microsoft.com/office/drawing/2014/main" id="{05B7222F-EE43-4B22-36EA-4B1652A356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E0C9705" w14:textId="03C80238"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The analysis shows that Hilton’s revenues decreased by 54.43% from 2019 to 2020. The decrease in revenues was mainly contributed by the COVID 19 which restricted international travel. The closure of international boarders significantly affected the </w:t>
          </w:r>
          <w:r w:rsidRPr="004E2C35">
            <w:rPr>
              <w:rFonts w:ascii="Arial" w:hAnsi="Arial" w:cs="Arial"/>
              <w:sz w:val="24"/>
              <w:szCs w:val="24"/>
              <w:lang w:val="en-US"/>
            </w:rPr>
            <w:lastRenderedPageBreak/>
            <w:t>hospitality industry. It’s important to note that Hilton mostly generate revenues from the foreign guests. Hilton also closed some of its restaurants due to the government regulations to curb the spread of the corona virus. The decrease of revenues by over half from the previous years affected the company’s profitability (Pyles, 2013).</w:t>
          </w:r>
        </w:p>
        <w:p w14:paraId="640A624C" w14:textId="32A59FEE" w:rsidR="0015533E"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The reduction in revenues means that there were less activities that occurred in 2020 compared to 2019.  The closure of some restaurants meant that few raw materials, and supplies were made in 2020. This had an impact in the reduction of cost of goods sold from $7,017,000 in 2019 to $3,724,000 in 2020.  The reduction in cost of sales negatively impact the management efficiency.</w:t>
          </w:r>
        </w:p>
        <w:p w14:paraId="0954EFCC" w14:textId="3CEF9641" w:rsidR="00785DF3" w:rsidRPr="004E2C35" w:rsidRDefault="00785DF3" w:rsidP="0015533E">
          <w:pPr>
            <w:spacing w:line="360" w:lineRule="auto"/>
            <w:rPr>
              <w:rFonts w:ascii="Arial" w:hAnsi="Arial" w:cs="Arial"/>
              <w:sz w:val="24"/>
              <w:szCs w:val="24"/>
              <w:lang w:val="en-US"/>
            </w:rPr>
          </w:pPr>
          <w:r>
            <w:rPr>
              <w:noProof/>
            </w:rPr>
            <w:drawing>
              <wp:inline distT="0" distB="0" distL="0" distR="0" wp14:anchorId="4E63FEE6" wp14:editId="5A25E1BB">
                <wp:extent cx="4572000" cy="2743200"/>
                <wp:effectExtent l="0" t="0" r="0" b="0"/>
                <wp:docPr id="1" name="Chart 1">
                  <a:extLst xmlns:a="http://schemas.openxmlformats.org/drawingml/2006/main">
                    <a:ext uri="{FF2B5EF4-FFF2-40B4-BE49-F238E27FC236}">
                      <a16:creationId xmlns:a16="http://schemas.microsoft.com/office/drawing/2014/main" id="{884C289B-11B9-6EC1-9F07-784051EAC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69E262" w14:textId="62AD2889"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The gross profit is an important metric which evaluates the ability of a company to generate profit after the cost of sales is deducted from the revenues (Needles et al., 2010). A rising ratio means that the company’s profitability improved from one year to another. Based on the calculations, the gross profit of Hilton Holdings decreased by 76.06% from $2</w:t>
          </w:r>
          <w:r w:rsidR="009B72F9">
            <w:rPr>
              <w:rFonts w:ascii="Arial" w:hAnsi="Arial" w:cs="Arial"/>
              <w:sz w:val="24"/>
              <w:szCs w:val="24"/>
              <w:lang w:val="en-US"/>
            </w:rPr>
            <w:t>,</w:t>
          </w:r>
          <w:r w:rsidRPr="004E2C35">
            <w:rPr>
              <w:rFonts w:ascii="Arial" w:hAnsi="Arial" w:cs="Arial"/>
              <w:sz w:val="24"/>
              <w:szCs w:val="24"/>
              <w:lang w:val="en-US"/>
            </w:rPr>
            <w:t>435</w:t>
          </w:r>
          <w:r w:rsidR="009B72F9">
            <w:rPr>
              <w:rFonts w:ascii="Arial" w:hAnsi="Arial" w:cs="Arial"/>
              <w:sz w:val="24"/>
              <w:szCs w:val="24"/>
              <w:lang w:val="en-US"/>
            </w:rPr>
            <w:t>,</w:t>
          </w:r>
          <w:r w:rsidRPr="004E2C35">
            <w:rPr>
              <w:rFonts w:ascii="Arial" w:hAnsi="Arial" w:cs="Arial"/>
              <w:sz w:val="24"/>
              <w:szCs w:val="24"/>
              <w:lang w:val="en-US"/>
            </w:rPr>
            <w:t>000 in 2019 to $583,000. The decrease in gross profit was contributed by the decline in sales revenues.</w:t>
          </w:r>
        </w:p>
        <w:p w14:paraId="621ED591" w14:textId="27F9051C"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Operating expenses constitutes an important item since they </w:t>
          </w:r>
          <w:r w:rsidR="005D2550" w:rsidRPr="004E2C35">
            <w:rPr>
              <w:rFonts w:ascii="Arial" w:hAnsi="Arial" w:cs="Arial"/>
              <w:sz w:val="24"/>
              <w:szCs w:val="24"/>
              <w:lang w:val="en-US"/>
            </w:rPr>
            <w:t>must be</w:t>
          </w:r>
          <w:r w:rsidRPr="004E2C35">
            <w:rPr>
              <w:rFonts w:ascii="Arial" w:hAnsi="Arial" w:cs="Arial"/>
              <w:sz w:val="24"/>
              <w:szCs w:val="24"/>
              <w:lang w:val="en-US"/>
            </w:rPr>
            <w:t xml:space="preserve"> incurred when generating revenues (Pyles, 2013). A decrease in operating expenses can be recommended since it demonstrates effectiveness in the operations. Hilton’s operating expenses declined by 18.28% from $859,000 in 2019 to $702,000 in 2020. The decline could be attributed by a decline in sales, and marketing, and employee </w:t>
          </w:r>
          <w:r w:rsidRPr="004E2C35">
            <w:rPr>
              <w:rFonts w:ascii="Arial" w:hAnsi="Arial" w:cs="Arial"/>
              <w:sz w:val="24"/>
              <w:szCs w:val="24"/>
              <w:lang w:val="en-US"/>
            </w:rPr>
            <w:lastRenderedPageBreak/>
            <w:t>costs. Hilton laid off some staff during the pandemic since there was reduced operations.</w:t>
          </w:r>
        </w:p>
        <w:p w14:paraId="53F40134" w14:textId="1745C7E2"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Operating income shows the profit generated after operating expenses are subtracted from the gross profit (Pyles, 2013). A rising ratio means that the company’s profitability is improving. Based on the calculations, the operating income declined by 107.55% from $1,576,000 in 2019 to -$119,000 in 2020.  The decline in operating income is contributed by a decrease in revenues in 2020. </w:t>
          </w:r>
        </w:p>
        <w:p w14:paraId="52DF0673" w14:textId="77777777"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The interest expenses increased from $414,000 in 2019 to $429,000 in 2020. The increase was contributed by the growing level of debt in its capital structure. Lenders like banks usually requires payment of interest obligations at a specific period of time (Ryan, 2007). Despite the decline in operations, Hilton continued to pay the obligations as agreed with the lenders. </w:t>
          </w:r>
        </w:p>
        <w:p w14:paraId="51074C75" w14:textId="58FF94F6"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The net income is the most common item which shareholders or potential investors looks when determining the company’s profitability (Ryan, 2007). The net income usually </w:t>
          </w:r>
          <w:r w:rsidR="005D2550" w:rsidRPr="004E2C35">
            <w:rPr>
              <w:rFonts w:ascii="Arial" w:hAnsi="Arial" w:cs="Arial"/>
              <w:sz w:val="24"/>
              <w:szCs w:val="24"/>
              <w:lang w:val="en-US"/>
            </w:rPr>
            <w:t>determines</w:t>
          </w:r>
          <w:r w:rsidRPr="004E2C35">
            <w:rPr>
              <w:rFonts w:ascii="Arial" w:hAnsi="Arial" w:cs="Arial"/>
              <w:sz w:val="24"/>
              <w:szCs w:val="24"/>
              <w:lang w:val="en-US"/>
            </w:rPr>
            <w:t xml:space="preserve"> whether shareholders will receive dividends after the company generates profits. The net income decreased by 181.16% from $881,000 in 2019 to $715,000 in 2020. The decrease was contributed by the decline in sales revenues from 2019 to 2020. It is evident that Hilton was unable to pay dividends to shareholders since it generated net loss in 2020. Overall, Hilton performed dismally in 2020 due to COVID 19 impact.</w:t>
          </w:r>
        </w:p>
        <w:p w14:paraId="200D06D0" w14:textId="77777777"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Balance Sheet</w:t>
          </w:r>
        </w:p>
        <w:tbl>
          <w:tblPr>
            <w:tblStyle w:val="TableGrid"/>
            <w:tblW w:w="9209" w:type="dxa"/>
            <w:tblLook w:val="04A0" w:firstRow="1" w:lastRow="0" w:firstColumn="1" w:lastColumn="0" w:noHBand="0" w:noVBand="1"/>
          </w:tblPr>
          <w:tblGrid>
            <w:gridCol w:w="3497"/>
            <w:gridCol w:w="1495"/>
            <w:gridCol w:w="1429"/>
            <w:gridCol w:w="1371"/>
            <w:gridCol w:w="1417"/>
          </w:tblGrid>
          <w:tr w:rsidR="0015533E" w:rsidRPr="004E2C35" w14:paraId="73A0304A" w14:textId="77777777" w:rsidTr="00B27BFA">
            <w:trPr>
              <w:trHeight w:val="564"/>
            </w:trPr>
            <w:tc>
              <w:tcPr>
                <w:tcW w:w="3497" w:type="dxa"/>
                <w:noWrap/>
                <w:hideMark/>
              </w:tcPr>
              <w:p w14:paraId="2ECB1907" w14:textId="77777777" w:rsidR="0015533E" w:rsidRPr="004E2C35" w:rsidRDefault="0015533E" w:rsidP="0015533E">
                <w:pPr>
                  <w:spacing w:line="360" w:lineRule="auto"/>
                  <w:rPr>
                    <w:rFonts w:ascii="Arial" w:eastAsia="Times New Roman" w:hAnsi="Arial" w:cs="Arial"/>
                    <w:sz w:val="24"/>
                    <w:szCs w:val="24"/>
                  </w:rPr>
                </w:pPr>
              </w:p>
            </w:tc>
            <w:tc>
              <w:tcPr>
                <w:tcW w:w="1495" w:type="dxa"/>
                <w:noWrap/>
                <w:hideMark/>
              </w:tcPr>
              <w:p w14:paraId="408BF59D" w14:textId="77777777" w:rsidR="0015533E" w:rsidRPr="004E2C35" w:rsidRDefault="0015533E" w:rsidP="0015533E">
                <w:pPr>
                  <w:spacing w:line="360" w:lineRule="auto"/>
                  <w:jc w:val="center"/>
                  <w:rPr>
                    <w:rFonts w:ascii="Arial" w:eastAsia="Times New Roman" w:hAnsi="Arial" w:cs="Arial"/>
                    <w:color w:val="000000"/>
                    <w:sz w:val="24"/>
                    <w:szCs w:val="24"/>
                  </w:rPr>
                </w:pPr>
                <w:r w:rsidRPr="004E2C35">
                  <w:rPr>
                    <w:rFonts w:ascii="Arial" w:eastAsia="Times New Roman" w:hAnsi="Arial" w:cs="Arial"/>
                    <w:color w:val="000000"/>
                    <w:sz w:val="24"/>
                    <w:szCs w:val="24"/>
                  </w:rPr>
                  <w:t>2020</w:t>
                </w:r>
              </w:p>
            </w:tc>
            <w:tc>
              <w:tcPr>
                <w:tcW w:w="1429" w:type="dxa"/>
                <w:noWrap/>
                <w:hideMark/>
              </w:tcPr>
              <w:p w14:paraId="545A5A3B" w14:textId="77777777" w:rsidR="0015533E" w:rsidRPr="004E2C35" w:rsidRDefault="0015533E" w:rsidP="0015533E">
                <w:pPr>
                  <w:spacing w:line="360" w:lineRule="auto"/>
                  <w:jc w:val="center"/>
                  <w:rPr>
                    <w:rFonts w:ascii="Arial" w:eastAsia="Times New Roman" w:hAnsi="Arial" w:cs="Arial"/>
                    <w:color w:val="000000"/>
                    <w:sz w:val="24"/>
                    <w:szCs w:val="24"/>
                  </w:rPr>
                </w:pPr>
                <w:r w:rsidRPr="004E2C35">
                  <w:rPr>
                    <w:rFonts w:ascii="Arial" w:eastAsia="Times New Roman" w:hAnsi="Arial" w:cs="Arial"/>
                    <w:color w:val="000000"/>
                    <w:sz w:val="24"/>
                    <w:szCs w:val="24"/>
                  </w:rPr>
                  <w:t>2019</w:t>
                </w:r>
              </w:p>
            </w:tc>
            <w:tc>
              <w:tcPr>
                <w:tcW w:w="1371" w:type="dxa"/>
                <w:noWrap/>
                <w:hideMark/>
              </w:tcPr>
              <w:p w14:paraId="29446D3D"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 xml:space="preserve">   Change</w:t>
                </w:r>
              </w:p>
            </w:tc>
            <w:tc>
              <w:tcPr>
                <w:tcW w:w="1417" w:type="dxa"/>
                <w:noWrap/>
                <w:hideMark/>
              </w:tcPr>
              <w:p w14:paraId="411F94E7" w14:textId="3479A82A"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 Change</w:t>
                </w:r>
              </w:p>
            </w:tc>
          </w:tr>
          <w:tr w:rsidR="0015533E" w:rsidRPr="004E2C35" w14:paraId="420A7E14" w14:textId="77777777" w:rsidTr="00B27BFA">
            <w:trPr>
              <w:trHeight w:val="564"/>
            </w:trPr>
            <w:tc>
              <w:tcPr>
                <w:tcW w:w="3497" w:type="dxa"/>
                <w:noWrap/>
                <w:hideMark/>
              </w:tcPr>
              <w:p w14:paraId="636986EF"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Current Asset</w:t>
                </w:r>
              </w:p>
            </w:tc>
            <w:tc>
              <w:tcPr>
                <w:tcW w:w="1495" w:type="dxa"/>
                <w:noWrap/>
                <w:hideMark/>
              </w:tcPr>
              <w:p w14:paraId="626A68FF"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4,202,000</w:t>
                </w:r>
              </w:p>
            </w:tc>
            <w:tc>
              <w:tcPr>
                <w:tcW w:w="1429" w:type="dxa"/>
                <w:noWrap/>
                <w:hideMark/>
              </w:tcPr>
              <w:p w14:paraId="274AE73D"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2,093,000</w:t>
                </w:r>
              </w:p>
            </w:tc>
            <w:tc>
              <w:tcPr>
                <w:tcW w:w="1371" w:type="dxa"/>
                <w:noWrap/>
                <w:hideMark/>
              </w:tcPr>
              <w:p w14:paraId="7F95D883"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2,109,000</w:t>
                </w:r>
              </w:p>
            </w:tc>
            <w:tc>
              <w:tcPr>
                <w:tcW w:w="1417" w:type="dxa"/>
                <w:noWrap/>
                <w:hideMark/>
              </w:tcPr>
              <w:p w14:paraId="32A01320"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100.76%</w:t>
                </w:r>
              </w:p>
            </w:tc>
          </w:tr>
          <w:tr w:rsidR="0015533E" w:rsidRPr="004E2C35" w14:paraId="2F3E5236" w14:textId="77777777" w:rsidTr="00B27BFA">
            <w:trPr>
              <w:trHeight w:val="564"/>
            </w:trPr>
            <w:tc>
              <w:tcPr>
                <w:tcW w:w="3497" w:type="dxa"/>
                <w:noWrap/>
                <w:hideMark/>
              </w:tcPr>
              <w:p w14:paraId="27939BBC"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Non-Current Asset</w:t>
                </w:r>
              </w:p>
            </w:tc>
            <w:tc>
              <w:tcPr>
                <w:tcW w:w="1495" w:type="dxa"/>
                <w:noWrap/>
                <w:hideMark/>
              </w:tcPr>
              <w:p w14:paraId="64CA464C"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15,810,000</w:t>
                </w:r>
              </w:p>
            </w:tc>
            <w:tc>
              <w:tcPr>
                <w:tcW w:w="1429" w:type="dxa"/>
                <w:noWrap/>
                <w:hideMark/>
              </w:tcPr>
              <w:p w14:paraId="3EF7CAFE"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12,558,000</w:t>
                </w:r>
              </w:p>
            </w:tc>
            <w:tc>
              <w:tcPr>
                <w:tcW w:w="1371" w:type="dxa"/>
                <w:noWrap/>
                <w:hideMark/>
              </w:tcPr>
              <w:p w14:paraId="43335601"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3,252,000</w:t>
                </w:r>
              </w:p>
            </w:tc>
            <w:tc>
              <w:tcPr>
                <w:tcW w:w="1417" w:type="dxa"/>
                <w:noWrap/>
                <w:hideMark/>
              </w:tcPr>
              <w:p w14:paraId="23773523"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25.90%</w:t>
                </w:r>
              </w:p>
            </w:tc>
          </w:tr>
          <w:tr w:rsidR="0015533E" w:rsidRPr="004E2C35" w14:paraId="028197FB" w14:textId="77777777" w:rsidTr="00B27BFA">
            <w:trPr>
              <w:trHeight w:val="564"/>
            </w:trPr>
            <w:tc>
              <w:tcPr>
                <w:tcW w:w="3497" w:type="dxa"/>
                <w:noWrap/>
                <w:hideMark/>
              </w:tcPr>
              <w:p w14:paraId="04E4BAF0"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Total Asset</w:t>
                </w:r>
              </w:p>
            </w:tc>
            <w:tc>
              <w:tcPr>
                <w:tcW w:w="1495" w:type="dxa"/>
                <w:noWrap/>
                <w:hideMark/>
              </w:tcPr>
              <w:p w14:paraId="55E42A14"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16,755,000</w:t>
                </w:r>
              </w:p>
            </w:tc>
            <w:tc>
              <w:tcPr>
                <w:tcW w:w="1429" w:type="dxa"/>
                <w:noWrap/>
                <w:hideMark/>
              </w:tcPr>
              <w:p w14:paraId="2D2F3781"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14,957,000</w:t>
                </w:r>
              </w:p>
            </w:tc>
            <w:tc>
              <w:tcPr>
                <w:tcW w:w="1371" w:type="dxa"/>
                <w:noWrap/>
                <w:hideMark/>
              </w:tcPr>
              <w:p w14:paraId="07711B78"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1,798,000</w:t>
                </w:r>
              </w:p>
            </w:tc>
            <w:tc>
              <w:tcPr>
                <w:tcW w:w="1417" w:type="dxa"/>
                <w:noWrap/>
                <w:hideMark/>
              </w:tcPr>
              <w:p w14:paraId="193788A3"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12.02%</w:t>
                </w:r>
              </w:p>
            </w:tc>
          </w:tr>
          <w:tr w:rsidR="0015533E" w:rsidRPr="004E2C35" w14:paraId="428B7F4A" w14:textId="77777777" w:rsidTr="00B27BFA">
            <w:trPr>
              <w:trHeight w:val="564"/>
            </w:trPr>
            <w:tc>
              <w:tcPr>
                <w:tcW w:w="3497" w:type="dxa"/>
                <w:noWrap/>
                <w:hideMark/>
              </w:tcPr>
              <w:p w14:paraId="40B02597"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Current Liabilities</w:t>
                </w:r>
              </w:p>
            </w:tc>
            <w:tc>
              <w:tcPr>
                <w:tcW w:w="1495" w:type="dxa"/>
                <w:noWrap/>
                <w:hideMark/>
              </w:tcPr>
              <w:p w14:paraId="409EEE8B"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2,431,000</w:t>
                </w:r>
              </w:p>
            </w:tc>
            <w:tc>
              <w:tcPr>
                <w:tcW w:w="1429" w:type="dxa"/>
                <w:noWrap/>
                <w:hideMark/>
              </w:tcPr>
              <w:p w14:paraId="2C322F6D"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2,871,000</w:t>
                </w:r>
              </w:p>
            </w:tc>
            <w:tc>
              <w:tcPr>
                <w:tcW w:w="1371" w:type="dxa"/>
                <w:noWrap/>
                <w:hideMark/>
              </w:tcPr>
              <w:p w14:paraId="1C5235C7"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-440,000</w:t>
                </w:r>
              </w:p>
            </w:tc>
            <w:tc>
              <w:tcPr>
                <w:tcW w:w="1417" w:type="dxa"/>
                <w:noWrap/>
                <w:hideMark/>
              </w:tcPr>
              <w:p w14:paraId="18E5CA38"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-15.33%</w:t>
                </w:r>
              </w:p>
            </w:tc>
          </w:tr>
          <w:tr w:rsidR="0015533E" w:rsidRPr="004E2C35" w14:paraId="2E506354" w14:textId="77777777" w:rsidTr="00B27BFA">
            <w:trPr>
              <w:trHeight w:val="564"/>
            </w:trPr>
            <w:tc>
              <w:tcPr>
                <w:tcW w:w="3497" w:type="dxa"/>
                <w:noWrap/>
                <w:hideMark/>
              </w:tcPr>
              <w:p w14:paraId="7C9F1584"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Non-current Liabilities</w:t>
                </w:r>
              </w:p>
            </w:tc>
            <w:tc>
              <w:tcPr>
                <w:tcW w:w="1495" w:type="dxa"/>
                <w:noWrap/>
                <w:hideMark/>
              </w:tcPr>
              <w:p w14:paraId="7E096EC6"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15,810,000</w:t>
                </w:r>
              </w:p>
            </w:tc>
            <w:tc>
              <w:tcPr>
                <w:tcW w:w="1429" w:type="dxa"/>
                <w:noWrap/>
                <w:hideMark/>
              </w:tcPr>
              <w:p w14:paraId="4AEB8BA7"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12,558,000</w:t>
                </w:r>
              </w:p>
            </w:tc>
            <w:tc>
              <w:tcPr>
                <w:tcW w:w="1371" w:type="dxa"/>
                <w:noWrap/>
                <w:hideMark/>
              </w:tcPr>
              <w:p w14:paraId="49596AE5"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3,252,000</w:t>
                </w:r>
              </w:p>
            </w:tc>
            <w:tc>
              <w:tcPr>
                <w:tcW w:w="1417" w:type="dxa"/>
                <w:noWrap/>
                <w:hideMark/>
              </w:tcPr>
              <w:p w14:paraId="0666BC3F"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25.90%</w:t>
                </w:r>
              </w:p>
            </w:tc>
          </w:tr>
          <w:tr w:rsidR="0015533E" w:rsidRPr="004E2C35" w14:paraId="612FF673" w14:textId="77777777" w:rsidTr="00B27BFA">
            <w:trPr>
              <w:trHeight w:val="564"/>
            </w:trPr>
            <w:tc>
              <w:tcPr>
                <w:tcW w:w="3497" w:type="dxa"/>
                <w:noWrap/>
                <w:hideMark/>
              </w:tcPr>
              <w:p w14:paraId="5CFF47F5"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Total Liabilities</w:t>
                </w:r>
              </w:p>
            </w:tc>
            <w:tc>
              <w:tcPr>
                <w:tcW w:w="1495" w:type="dxa"/>
                <w:noWrap/>
                <w:hideMark/>
              </w:tcPr>
              <w:p w14:paraId="487875EB"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18,241,000</w:t>
                </w:r>
              </w:p>
            </w:tc>
            <w:tc>
              <w:tcPr>
                <w:tcW w:w="1429" w:type="dxa"/>
                <w:noWrap/>
                <w:hideMark/>
              </w:tcPr>
              <w:p w14:paraId="50509222"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15,429,000</w:t>
                </w:r>
              </w:p>
            </w:tc>
            <w:tc>
              <w:tcPr>
                <w:tcW w:w="1371" w:type="dxa"/>
                <w:noWrap/>
                <w:hideMark/>
              </w:tcPr>
              <w:p w14:paraId="3E03136B"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2,812,000</w:t>
                </w:r>
              </w:p>
            </w:tc>
            <w:tc>
              <w:tcPr>
                <w:tcW w:w="1417" w:type="dxa"/>
                <w:noWrap/>
                <w:hideMark/>
              </w:tcPr>
              <w:p w14:paraId="170CCD62"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18.23%</w:t>
                </w:r>
              </w:p>
            </w:tc>
          </w:tr>
          <w:tr w:rsidR="0015533E" w:rsidRPr="004E2C35" w14:paraId="0F3EDC71" w14:textId="77777777" w:rsidTr="00B27BFA">
            <w:trPr>
              <w:trHeight w:val="564"/>
            </w:trPr>
            <w:tc>
              <w:tcPr>
                <w:tcW w:w="3497" w:type="dxa"/>
                <w:noWrap/>
                <w:hideMark/>
              </w:tcPr>
              <w:p w14:paraId="080E8F6B"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lastRenderedPageBreak/>
                  <w:t>Common Stock</w:t>
                </w:r>
              </w:p>
            </w:tc>
            <w:tc>
              <w:tcPr>
                <w:tcW w:w="1495" w:type="dxa"/>
                <w:noWrap/>
                <w:hideMark/>
              </w:tcPr>
              <w:p w14:paraId="31A0B617"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3,000</w:t>
                </w:r>
              </w:p>
            </w:tc>
            <w:tc>
              <w:tcPr>
                <w:tcW w:w="1429" w:type="dxa"/>
                <w:noWrap/>
                <w:hideMark/>
              </w:tcPr>
              <w:p w14:paraId="7D766F5C"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3,000</w:t>
                </w:r>
              </w:p>
            </w:tc>
            <w:tc>
              <w:tcPr>
                <w:tcW w:w="1371" w:type="dxa"/>
                <w:noWrap/>
                <w:hideMark/>
              </w:tcPr>
              <w:p w14:paraId="439B28EA"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0</w:t>
                </w:r>
              </w:p>
            </w:tc>
            <w:tc>
              <w:tcPr>
                <w:tcW w:w="1417" w:type="dxa"/>
                <w:noWrap/>
                <w:hideMark/>
              </w:tcPr>
              <w:p w14:paraId="327D62AA"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0.00%</w:t>
                </w:r>
              </w:p>
            </w:tc>
          </w:tr>
          <w:tr w:rsidR="0015533E" w:rsidRPr="004E2C35" w14:paraId="0CF1A8D2" w14:textId="77777777" w:rsidTr="00B27BFA">
            <w:trPr>
              <w:trHeight w:val="564"/>
            </w:trPr>
            <w:tc>
              <w:tcPr>
                <w:tcW w:w="3497" w:type="dxa"/>
                <w:noWrap/>
                <w:hideMark/>
              </w:tcPr>
              <w:p w14:paraId="799B95DE"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Retained Earnings</w:t>
                </w:r>
              </w:p>
            </w:tc>
            <w:tc>
              <w:tcPr>
                <w:tcW w:w="1495" w:type="dxa"/>
                <w:noWrap/>
                <w:hideMark/>
              </w:tcPr>
              <w:p w14:paraId="60D1560A"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-6,732,000</w:t>
                </w:r>
              </w:p>
            </w:tc>
            <w:tc>
              <w:tcPr>
                <w:tcW w:w="1429" w:type="dxa"/>
                <w:noWrap/>
                <w:hideMark/>
              </w:tcPr>
              <w:p w14:paraId="59DEA927"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-5,965,000</w:t>
                </w:r>
              </w:p>
            </w:tc>
            <w:tc>
              <w:tcPr>
                <w:tcW w:w="1371" w:type="dxa"/>
                <w:noWrap/>
                <w:hideMark/>
              </w:tcPr>
              <w:p w14:paraId="4E0C301C"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-767,000</w:t>
                </w:r>
              </w:p>
            </w:tc>
            <w:tc>
              <w:tcPr>
                <w:tcW w:w="1417" w:type="dxa"/>
                <w:noWrap/>
                <w:hideMark/>
              </w:tcPr>
              <w:p w14:paraId="449E6E13"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12.86%</w:t>
                </w:r>
              </w:p>
            </w:tc>
          </w:tr>
          <w:tr w:rsidR="0015533E" w:rsidRPr="004E2C35" w14:paraId="44980CD8" w14:textId="77777777" w:rsidTr="00B27BFA">
            <w:trPr>
              <w:trHeight w:val="564"/>
            </w:trPr>
            <w:tc>
              <w:tcPr>
                <w:tcW w:w="3497" w:type="dxa"/>
                <w:noWrap/>
                <w:hideMark/>
              </w:tcPr>
              <w:p w14:paraId="2DE63291"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Total Stockholders' Equity</w:t>
                </w:r>
              </w:p>
            </w:tc>
            <w:tc>
              <w:tcPr>
                <w:tcW w:w="1495" w:type="dxa"/>
                <w:noWrap/>
                <w:hideMark/>
              </w:tcPr>
              <w:p w14:paraId="732EB9F1"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-1,490,000</w:t>
                </w:r>
              </w:p>
            </w:tc>
            <w:tc>
              <w:tcPr>
                <w:tcW w:w="1429" w:type="dxa"/>
                <w:noWrap/>
                <w:hideMark/>
              </w:tcPr>
              <w:p w14:paraId="62A04783"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-482,000</w:t>
                </w:r>
              </w:p>
            </w:tc>
            <w:tc>
              <w:tcPr>
                <w:tcW w:w="1371" w:type="dxa"/>
                <w:noWrap/>
                <w:hideMark/>
              </w:tcPr>
              <w:p w14:paraId="39E45B42"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-1,008,000</w:t>
                </w:r>
              </w:p>
            </w:tc>
            <w:tc>
              <w:tcPr>
                <w:tcW w:w="1417" w:type="dxa"/>
                <w:noWrap/>
                <w:hideMark/>
              </w:tcPr>
              <w:p w14:paraId="088DD7AF"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209.13%</w:t>
                </w:r>
              </w:p>
            </w:tc>
          </w:tr>
          <w:tr w:rsidR="0015533E" w:rsidRPr="004E2C35" w14:paraId="35276B67" w14:textId="77777777" w:rsidTr="00B27BFA">
            <w:trPr>
              <w:trHeight w:val="564"/>
            </w:trPr>
            <w:tc>
              <w:tcPr>
                <w:tcW w:w="3497" w:type="dxa"/>
                <w:noWrap/>
                <w:hideMark/>
              </w:tcPr>
              <w:p w14:paraId="1831A41F" w14:textId="77777777" w:rsidR="0015533E" w:rsidRPr="004E2C35" w:rsidRDefault="0015533E" w:rsidP="0015533E">
                <w:pPr>
                  <w:spacing w:line="360" w:lineRule="auto"/>
                  <w:rPr>
                    <w:rFonts w:ascii="Arial" w:eastAsia="Times New Roman" w:hAnsi="Arial" w:cs="Arial"/>
                    <w:color w:val="000000"/>
                    <w:sz w:val="24"/>
                    <w:szCs w:val="24"/>
                  </w:rPr>
                </w:pPr>
                <w:r w:rsidRPr="004E2C35">
                  <w:rPr>
                    <w:rFonts w:ascii="Arial" w:eastAsia="Times New Roman" w:hAnsi="Arial" w:cs="Arial"/>
                    <w:color w:val="000000"/>
                    <w:sz w:val="24"/>
                    <w:szCs w:val="24"/>
                  </w:rPr>
                  <w:t>Total Liabilities and Stockholder</w:t>
                </w:r>
              </w:p>
            </w:tc>
            <w:tc>
              <w:tcPr>
                <w:tcW w:w="1495" w:type="dxa"/>
                <w:noWrap/>
                <w:hideMark/>
              </w:tcPr>
              <w:p w14:paraId="4371F115"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16,755,000</w:t>
                </w:r>
              </w:p>
            </w:tc>
            <w:tc>
              <w:tcPr>
                <w:tcW w:w="1429" w:type="dxa"/>
                <w:noWrap/>
                <w:hideMark/>
              </w:tcPr>
              <w:p w14:paraId="053A98D6"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14,957,000</w:t>
                </w:r>
              </w:p>
            </w:tc>
            <w:tc>
              <w:tcPr>
                <w:tcW w:w="1371" w:type="dxa"/>
                <w:noWrap/>
                <w:hideMark/>
              </w:tcPr>
              <w:p w14:paraId="3405F3EE"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1,798,000</w:t>
                </w:r>
              </w:p>
            </w:tc>
            <w:tc>
              <w:tcPr>
                <w:tcW w:w="1417" w:type="dxa"/>
                <w:noWrap/>
                <w:hideMark/>
              </w:tcPr>
              <w:p w14:paraId="636BAF0D" w14:textId="77777777" w:rsidR="0015533E" w:rsidRPr="004E2C35" w:rsidRDefault="0015533E" w:rsidP="0015533E">
                <w:pPr>
                  <w:spacing w:line="360" w:lineRule="auto"/>
                  <w:jc w:val="right"/>
                  <w:rPr>
                    <w:rFonts w:ascii="Arial" w:eastAsia="Times New Roman" w:hAnsi="Arial" w:cs="Arial"/>
                    <w:color w:val="000000"/>
                    <w:sz w:val="24"/>
                    <w:szCs w:val="24"/>
                  </w:rPr>
                </w:pPr>
                <w:r w:rsidRPr="004E2C35">
                  <w:rPr>
                    <w:rFonts w:ascii="Arial" w:eastAsia="Times New Roman" w:hAnsi="Arial" w:cs="Arial"/>
                    <w:color w:val="000000"/>
                    <w:sz w:val="24"/>
                    <w:szCs w:val="24"/>
                  </w:rPr>
                  <w:t>12.02%</w:t>
                </w:r>
              </w:p>
            </w:tc>
          </w:tr>
        </w:tbl>
        <w:p w14:paraId="4450148D" w14:textId="77777777" w:rsidR="0015533E" w:rsidRPr="004E2C35" w:rsidRDefault="0015533E" w:rsidP="0015533E">
          <w:pPr>
            <w:spacing w:line="360" w:lineRule="auto"/>
            <w:rPr>
              <w:rFonts w:ascii="Arial" w:hAnsi="Arial" w:cs="Arial"/>
              <w:sz w:val="24"/>
              <w:szCs w:val="24"/>
              <w:lang w:val="en-US"/>
            </w:rPr>
          </w:pPr>
        </w:p>
        <w:p w14:paraId="4F313FA9" w14:textId="668D3304" w:rsidR="0015533E"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The balance sheet is an important element in determining the company’s financial condition or status at a particular year (Ryan, 2007). It reveals the financial risks which shareholders are exposed. The balance sheet usually </w:t>
          </w:r>
          <w:r w:rsidR="00A7033B" w:rsidRPr="004E2C35">
            <w:rPr>
              <w:rFonts w:ascii="Arial" w:hAnsi="Arial" w:cs="Arial"/>
              <w:sz w:val="24"/>
              <w:szCs w:val="24"/>
              <w:lang w:val="en-US"/>
            </w:rPr>
            <w:t>includes</w:t>
          </w:r>
          <w:r w:rsidRPr="004E2C35">
            <w:rPr>
              <w:rFonts w:ascii="Arial" w:hAnsi="Arial" w:cs="Arial"/>
              <w:sz w:val="24"/>
              <w:szCs w:val="24"/>
              <w:lang w:val="en-US"/>
            </w:rPr>
            <w:t xml:space="preserve"> current assets, non-current assets, current liabilities, long term liabilities, and shareholder equity. These items have different meaning or interpretation to the company.</w:t>
          </w:r>
        </w:p>
        <w:p w14:paraId="19668A5D" w14:textId="19902DD5" w:rsidR="00E63054" w:rsidRPr="004E2C35" w:rsidRDefault="00E63054" w:rsidP="0015533E">
          <w:pPr>
            <w:spacing w:line="360" w:lineRule="auto"/>
            <w:rPr>
              <w:rFonts w:ascii="Arial" w:hAnsi="Arial" w:cs="Arial"/>
              <w:sz w:val="24"/>
              <w:szCs w:val="24"/>
              <w:lang w:val="en-US"/>
            </w:rPr>
          </w:pPr>
          <w:r>
            <w:rPr>
              <w:noProof/>
            </w:rPr>
            <w:drawing>
              <wp:inline distT="0" distB="0" distL="0" distR="0" wp14:anchorId="4B3AFC76" wp14:editId="1242E37E">
                <wp:extent cx="4572000" cy="2743200"/>
                <wp:effectExtent l="0" t="0" r="0" b="0"/>
                <wp:docPr id="3" name="Chart 3">
                  <a:extLst xmlns:a="http://schemas.openxmlformats.org/drawingml/2006/main">
                    <a:ext uri="{FF2B5EF4-FFF2-40B4-BE49-F238E27FC236}">
                      <a16:creationId xmlns:a16="http://schemas.microsoft.com/office/drawing/2014/main" id="{477A59F4-BDAE-2C56-072C-561ADCB260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F641973" w14:textId="20282049"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Current assets indicate the available resources needed to meet the </w:t>
          </w:r>
          <w:r w:rsidR="005D2550" w:rsidRPr="004E2C35">
            <w:rPr>
              <w:rFonts w:ascii="Arial" w:hAnsi="Arial" w:cs="Arial"/>
              <w:sz w:val="24"/>
              <w:szCs w:val="24"/>
              <w:lang w:val="en-US"/>
            </w:rPr>
            <w:t>short-term</w:t>
          </w:r>
          <w:r w:rsidRPr="004E2C35">
            <w:rPr>
              <w:rFonts w:ascii="Arial" w:hAnsi="Arial" w:cs="Arial"/>
              <w:sz w:val="24"/>
              <w:szCs w:val="24"/>
              <w:lang w:val="en-US"/>
            </w:rPr>
            <w:t xml:space="preserve"> obligations (Brigham &amp; Houston, 2012). The analysis shows that current assets increased from $2093000 in 2019 to $4202000 in 2020. The increase in current assets is a measure of liquidity improvement in 2020. This might be contributed by increased inventory, cash and cash equivalents, and accounts receivables. Hilton Holdings can be recommended for the improvement in current assets. </w:t>
          </w:r>
        </w:p>
        <w:p w14:paraId="2E312F90" w14:textId="5D4DEA3E"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The total assets </w:t>
          </w:r>
          <w:r w:rsidR="005D2550" w:rsidRPr="004E2C35">
            <w:rPr>
              <w:rFonts w:ascii="Arial" w:hAnsi="Arial" w:cs="Arial"/>
              <w:sz w:val="24"/>
              <w:szCs w:val="24"/>
              <w:lang w:val="en-US"/>
            </w:rPr>
            <w:t>represent</w:t>
          </w:r>
          <w:r w:rsidRPr="004E2C35">
            <w:rPr>
              <w:rFonts w:ascii="Arial" w:hAnsi="Arial" w:cs="Arial"/>
              <w:sz w:val="24"/>
              <w:szCs w:val="24"/>
              <w:lang w:val="en-US"/>
            </w:rPr>
            <w:t xml:space="preserve"> the resources which the company holds, and used in revenues generation (Needles et al., 2010). This </w:t>
          </w:r>
          <w:r w:rsidR="005D2550" w:rsidRPr="004E2C35">
            <w:rPr>
              <w:rFonts w:ascii="Arial" w:hAnsi="Arial" w:cs="Arial"/>
              <w:sz w:val="24"/>
              <w:szCs w:val="24"/>
              <w:lang w:val="en-US"/>
            </w:rPr>
            <w:t>includes</w:t>
          </w:r>
          <w:r w:rsidRPr="004E2C35">
            <w:rPr>
              <w:rFonts w:ascii="Arial" w:hAnsi="Arial" w:cs="Arial"/>
              <w:sz w:val="24"/>
              <w:szCs w:val="24"/>
              <w:lang w:val="en-US"/>
            </w:rPr>
            <w:t xml:space="preserve"> buildings, property, and equipment used in generating sales revenues. A larger proportion of Hilton’s total </w:t>
          </w:r>
          <w:r w:rsidRPr="004E2C35">
            <w:rPr>
              <w:rFonts w:ascii="Arial" w:hAnsi="Arial" w:cs="Arial"/>
              <w:sz w:val="24"/>
              <w:szCs w:val="24"/>
              <w:lang w:val="en-US"/>
            </w:rPr>
            <w:lastRenderedPageBreak/>
            <w:t xml:space="preserve">assets include buildings such as restaurants. The analysis shows that total assets rose from $12.02% from $14,797,000 in 2019 to $16,755,000 in 2020.  </w:t>
          </w:r>
        </w:p>
        <w:p w14:paraId="2FFA7889" w14:textId="6B11F23B"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The current liabilities indicate the current obligations which the company current holds. The current liabilities decreased by 15.33% from $2,871,000 in 2019 to $2,431,000 in 2020. The decrease in current liabilities is an indication of the management effort to improve the liquidity position. Notably, a </w:t>
          </w:r>
          <w:r w:rsidR="005D2550" w:rsidRPr="004E2C35">
            <w:rPr>
              <w:rFonts w:ascii="Arial" w:hAnsi="Arial" w:cs="Arial"/>
              <w:sz w:val="24"/>
              <w:szCs w:val="24"/>
              <w:lang w:val="en-US"/>
            </w:rPr>
            <w:t>decreasing current liability</w:t>
          </w:r>
          <w:r w:rsidRPr="004E2C35">
            <w:rPr>
              <w:rFonts w:ascii="Arial" w:hAnsi="Arial" w:cs="Arial"/>
              <w:sz w:val="24"/>
              <w:szCs w:val="24"/>
              <w:lang w:val="en-US"/>
            </w:rPr>
            <w:t xml:space="preserve"> is a favorable to the company since it’s not tied to the debts.  However, the total liabilities increased from $15,429,000 in 2019 to $18,241,000 in 2020. This meant that the financial risks of the company increased in 2020 due to long term borrowings.</w:t>
          </w:r>
        </w:p>
        <w:p w14:paraId="080C1603" w14:textId="70D75D9D" w:rsidR="00AA2A91"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The retained earnings of Hilton Holdings decreased by $767,000 from 2019 to 2020. The decrease win retained earnings led to a large decline in shareholder equity from </w:t>
          </w:r>
          <w:r w:rsidR="00B27BFA">
            <w:rPr>
              <w:rFonts w:ascii="Arial" w:hAnsi="Arial" w:cs="Arial"/>
              <w:sz w:val="24"/>
              <w:szCs w:val="24"/>
              <w:lang w:val="en-US"/>
            </w:rPr>
            <w:t>-</w:t>
          </w:r>
          <w:r w:rsidRPr="004E2C35">
            <w:rPr>
              <w:rFonts w:ascii="Arial" w:hAnsi="Arial" w:cs="Arial"/>
              <w:sz w:val="24"/>
              <w:szCs w:val="24"/>
              <w:lang w:val="en-US"/>
            </w:rPr>
            <w:t xml:space="preserve">$482,000 in 2019 to -$1,490,000 in 2020. This means that the shareholder equity was exposed to financial risks in 2020. The decrease in net income lowered the company’s profitability. This had a negative impact on the retained earnings, and total shareholder equity reported in 2020. Although Hilton performed well in terms of liquidity, the financial risks of the company rise in 2020. </w:t>
          </w:r>
          <w:bookmarkEnd w:id="3"/>
        </w:p>
        <w:p w14:paraId="19BEB7E0" w14:textId="50C43B0A" w:rsidR="0015533E" w:rsidRPr="004E2C35" w:rsidRDefault="0015533E" w:rsidP="0015533E">
          <w:pPr>
            <w:autoSpaceDE w:val="0"/>
            <w:autoSpaceDN w:val="0"/>
            <w:adjustRightInd w:val="0"/>
            <w:spacing w:line="360" w:lineRule="auto"/>
            <w:rPr>
              <w:rFonts w:ascii="Arial" w:hAnsi="Arial" w:cs="Arial"/>
              <w:b/>
              <w:sz w:val="24"/>
              <w:szCs w:val="24"/>
            </w:rPr>
          </w:pPr>
          <w:r w:rsidRPr="004E2C35">
            <w:rPr>
              <w:rFonts w:ascii="Arial" w:hAnsi="Arial" w:cs="Arial"/>
              <w:b/>
              <w:sz w:val="24"/>
              <w:szCs w:val="24"/>
            </w:rPr>
            <w:t>Outline the importance of using ratio analysis for decision making</w:t>
          </w:r>
          <w:r w:rsidR="001F5AFE">
            <w:rPr>
              <w:rFonts w:ascii="Arial" w:hAnsi="Arial" w:cs="Arial"/>
              <w:b/>
              <w:sz w:val="24"/>
              <w:szCs w:val="24"/>
            </w:rPr>
            <w:t>:</w:t>
          </w:r>
        </w:p>
        <w:p w14:paraId="44A0DE7F" w14:textId="3C634485"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Ratio analysis is used in demonstrating the financial performance and health of a company. Various stakeholders such as suppliers, customers, managers, shareholders, competitors, and government agencies </w:t>
          </w:r>
          <w:r w:rsidR="005D2550" w:rsidRPr="004E2C35">
            <w:rPr>
              <w:rFonts w:ascii="Arial" w:hAnsi="Arial" w:cs="Arial"/>
              <w:sz w:val="24"/>
              <w:szCs w:val="24"/>
              <w:lang w:val="en-US"/>
            </w:rPr>
            <w:t>rely</w:t>
          </w:r>
          <w:r w:rsidRPr="004E2C35">
            <w:rPr>
              <w:rFonts w:ascii="Arial" w:hAnsi="Arial" w:cs="Arial"/>
              <w:sz w:val="24"/>
              <w:szCs w:val="24"/>
              <w:lang w:val="en-US"/>
            </w:rPr>
            <w:t xml:space="preserve"> on these ratios to make useful decisions (Kota, 2020).  It is usually done by analyzing the information available in the company’s financial statements.  Ratio analysis originated in the 19</w:t>
          </w:r>
          <w:r w:rsidRPr="004E2C35">
            <w:rPr>
              <w:rFonts w:ascii="Arial" w:hAnsi="Arial" w:cs="Arial"/>
              <w:sz w:val="24"/>
              <w:szCs w:val="24"/>
              <w:vertAlign w:val="superscript"/>
              <w:lang w:val="en-US"/>
            </w:rPr>
            <w:t>th</w:t>
          </w:r>
          <w:r w:rsidRPr="004E2C35">
            <w:rPr>
              <w:rFonts w:ascii="Arial" w:hAnsi="Arial" w:cs="Arial"/>
              <w:sz w:val="24"/>
              <w:szCs w:val="24"/>
              <w:lang w:val="en-US"/>
            </w:rPr>
            <w:t xml:space="preserve"> century in the United </w:t>
          </w:r>
          <w:r w:rsidR="005D2550" w:rsidRPr="004E2C35">
            <w:rPr>
              <w:rFonts w:ascii="Arial" w:hAnsi="Arial" w:cs="Arial"/>
              <w:sz w:val="24"/>
              <w:szCs w:val="24"/>
              <w:lang w:val="en-US"/>
            </w:rPr>
            <w:t>States and</w:t>
          </w:r>
          <w:r w:rsidRPr="004E2C35">
            <w:rPr>
              <w:rFonts w:ascii="Arial" w:hAnsi="Arial" w:cs="Arial"/>
              <w:sz w:val="24"/>
              <w:szCs w:val="24"/>
              <w:lang w:val="en-US"/>
            </w:rPr>
            <w:t xml:space="preserve"> was useful in evaluating the loan repaying capacity of companies.  The tool was latter extended to investors for business objectives, and increased market competitiveness. </w:t>
          </w:r>
        </w:p>
        <w:p w14:paraId="6A848AF8" w14:textId="1872F6AF"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Financial ratios are specifically used in evaluating the company’s performance in terms of profitability, liquidity, management efficiency, and leverage position (Banerjee &amp; Vaidya, 2022).  This provides the direction which the company is taking.  Ratios are useful in identifying the trends which impact the company’s performance (Brigham &amp; Houston, 2012).  Ratios can be used as a benchmark in comparing a firm’s performance against a competitor operating in the same industry. Through the </w:t>
          </w:r>
          <w:r w:rsidRPr="004E2C35">
            <w:rPr>
              <w:rFonts w:ascii="Arial" w:hAnsi="Arial" w:cs="Arial"/>
              <w:sz w:val="24"/>
              <w:szCs w:val="24"/>
              <w:lang w:val="en-US"/>
            </w:rPr>
            <w:lastRenderedPageBreak/>
            <w:t xml:space="preserve">ratios, an analyst is able to identify gaps, strengths, opportunities, threats, and competitive advantages.  This may also help a company improve the competitive position of the company in the industry (Nilima, 2022). Ratios can be a useful took in indicating how efficiently a company utilizes its financial resources to generate revenues (e finance management, 2022).  This can specifically reveal whether the financial resources are underutilized or over utilized (Kota, 2020).  Liquidity ratios such as current, and quick ratios </w:t>
          </w:r>
          <w:r w:rsidR="004654B5" w:rsidRPr="004E2C35">
            <w:rPr>
              <w:rFonts w:ascii="Arial" w:hAnsi="Arial" w:cs="Arial"/>
              <w:sz w:val="24"/>
              <w:szCs w:val="24"/>
              <w:lang w:val="en-US"/>
            </w:rPr>
            <w:t>reveal</w:t>
          </w:r>
          <w:r w:rsidRPr="004E2C35">
            <w:rPr>
              <w:rFonts w:ascii="Arial" w:hAnsi="Arial" w:cs="Arial"/>
              <w:sz w:val="24"/>
              <w:szCs w:val="24"/>
              <w:lang w:val="en-US"/>
            </w:rPr>
            <w:t xml:space="preserve"> the ability of a company to meet short term obligations. Notably, liquidity is usually important to suppliers since they are able to gauge whether a company has the capacity to pay when they supply raw materials, and other supplies. For instance, a company that has a current ratio of above 2.0 reveals that it’s able to meet the obligations on time. A current ratio below 1.50 could be an indicator that the company is experiencing liquidity challenges. This could further serve as a warning to suppliers that the firm is having a lower capacity to settle the </w:t>
          </w:r>
          <w:r w:rsidR="004654B5" w:rsidRPr="004E2C35">
            <w:rPr>
              <w:rFonts w:ascii="Arial" w:hAnsi="Arial" w:cs="Arial"/>
              <w:sz w:val="24"/>
              <w:szCs w:val="24"/>
              <w:lang w:val="en-US"/>
            </w:rPr>
            <w:t>short-term</w:t>
          </w:r>
          <w:r w:rsidRPr="004E2C35">
            <w:rPr>
              <w:rFonts w:ascii="Arial" w:hAnsi="Arial" w:cs="Arial"/>
              <w:sz w:val="24"/>
              <w:szCs w:val="24"/>
              <w:lang w:val="en-US"/>
            </w:rPr>
            <w:t xml:space="preserve"> obligations on time. </w:t>
          </w:r>
        </w:p>
        <w:p w14:paraId="79D44E51" w14:textId="426860DC"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Ratios can be used in showing the financial risks which a company encounters in </w:t>
          </w:r>
          <w:r w:rsidR="005D2550" w:rsidRPr="004E2C35">
            <w:rPr>
              <w:rFonts w:ascii="Arial" w:hAnsi="Arial" w:cs="Arial"/>
              <w:sz w:val="24"/>
              <w:szCs w:val="24"/>
              <w:lang w:val="en-US"/>
            </w:rPr>
            <w:t>raising and</w:t>
          </w:r>
          <w:r w:rsidRPr="004E2C35">
            <w:rPr>
              <w:rFonts w:ascii="Arial" w:hAnsi="Arial" w:cs="Arial"/>
              <w:sz w:val="24"/>
              <w:szCs w:val="24"/>
              <w:lang w:val="en-US"/>
            </w:rPr>
            <w:t xml:space="preserve"> repaying its debts.  This is usually reflected by the leverage or debt ratios (Kota, 2020). The most stakeholders which are mostly concerned with the leverage ratios are lenders, creditors, and bankers. For instance, a company that has increasing debt ratios could be an indication of bankruptcy. This would hinder the lenders from extending loans to such companies. Times interest earned (TIE) ratio usually reveals the ability of a company to pay interest expenses using the Earnings before Income, and Taxes (EBIT). A higher or satisfactory number of times shows the ability to meet the interest expenses when extended with loan. </w:t>
          </w:r>
        </w:p>
        <w:p w14:paraId="60CD6DCA" w14:textId="77777777"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Profitability ratios is another category of ratios useful in the decision making. This category usually examines the capacity of a company to generate profits compared to operating expenses associated with the firm (Kota, 2020). A higher or improving ratio from one year to another is an indication of financial strength and health of a company. Most investors in the market are usually attracted to a company whose profitability ratios are improving. For instance, the net profit margin is an example of profitability that demonstrates the ability of a company to generate profit after interest expenses, and income taxes. A company that generates improved profit margin could indicate that it’s providing a positive return on investment. However, a </w:t>
          </w:r>
          <w:r w:rsidRPr="004E2C35">
            <w:rPr>
              <w:rFonts w:ascii="Arial" w:hAnsi="Arial" w:cs="Arial"/>
              <w:sz w:val="24"/>
              <w:szCs w:val="24"/>
              <w:lang w:val="en-US"/>
            </w:rPr>
            <w:lastRenderedPageBreak/>
            <w:t>company that experiences a deteriorating ratio could hinder investors from investing in the company.</w:t>
          </w:r>
        </w:p>
        <w:p w14:paraId="43F9BBAB" w14:textId="62F781A3" w:rsidR="0015533E" w:rsidRPr="004E2C35" w:rsidRDefault="00A7033B" w:rsidP="0015533E">
          <w:pPr>
            <w:spacing w:line="360" w:lineRule="auto"/>
            <w:rPr>
              <w:rFonts w:ascii="Arial" w:hAnsi="Arial" w:cs="Arial"/>
              <w:sz w:val="24"/>
              <w:szCs w:val="24"/>
            </w:rPr>
          </w:pPr>
          <w:r w:rsidRPr="004E2C35">
            <w:rPr>
              <w:rFonts w:ascii="Arial" w:hAnsi="Arial" w:cs="Arial"/>
              <w:b/>
              <w:sz w:val="24"/>
              <w:szCs w:val="24"/>
            </w:rPr>
            <w:t>I</w:t>
          </w:r>
          <w:r w:rsidR="0015533E" w:rsidRPr="004E2C35">
            <w:rPr>
              <w:rFonts w:ascii="Arial" w:hAnsi="Arial" w:cs="Arial"/>
              <w:b/>
              <w:sz w:val="24"/>
              <w:szCs w:val="24"/>
            </w:rPr>
            <w:t xml:space="preserve">nvestigate the limitation of ratio </w:t>
          </w:r>
          <w:r w:rsidR="00C8637A" w:rsidRPr="004E2C35">
            <w:rPr>
              <w:rFonts w:ascii="Arial" w:hAnsi="Arial" w:cs="Arial"/>
              <w:b/>
              <w:sz w:val="24"/>
              <w:szCs w:val="24"/>
            </w:rPr>
            <w:t>analysis</w:t>
          </w:r>
          <w:r w:rsidR="00C8637A">
            <w:rPr>
              <w:rFonts w:ascii="Arial" w:hAnsi="Arial" w:cs="Arial"/>
              <w:b/>
              <w:sz w:val="24"/>
              <w:szCs w:val="24"/>
            </w:rPr>
            <w:t>.</w:t>
          </w:r>
        </w:p>
        <w:p w14:paraId="5EA16E6E" w14:textId="299968B3"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Financial ratios are important analytical tools used in business decision making. However, the ratios are associated with certain limitations which it’s crucial to understand (Vaidya, 2022).   Understanding the limitations of ratio analysis can help investors avoid the possible shortcomings.  Firstly, the management could manipulate the financial statements to make them look appealing to investors (Management Study Guide, 2022). The management is usually aware that investors or shareholders are interested with certain numbers such as cash flow, revenues, and net income. The management will manipulate these numbers within legal framework to look appealing. Investors will rely on these manipulated in </w:t>
          </w:r>
          <w:r w:rsidR="004654B5" w:rsidRPr="004E2C35">
            <w:rPr>
              <w:rFonts w:ascii="Arial" w:hAnsi="Arial" w:cs="Arial"/>
              <w:sz w:val="24"/>
              <w:szCs w:val="24"/>
              <w:lang w:val="en-US"/>
            </w:rPr>
            <w:t>calculating and</w:t>
          </w:r>
          <w:r w:rsidRPr="004E2C35">
            <w:rPr>
              <w:rFonts w:ascii="Arial" w:hAnsi="Arial" w:cs="Arial"/>
              <w:sz w:val="24"/>
              <w:szCs w:val="24"/>
              <w:lang w:val="en-US"/>
            </w:rPr>
            <w:t xml:space="preserve"> interpreting the ratios. The financial ratios prepared from these financial statements is misleading to shareholders, suppliers, customers, and the general public. </w:t>
          </w:r>
        </w:p>
        <w:p w14:paraId="72164D98" w14:textId="77777777" w:rsidR="0015533E"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Different companies either operating in the same or different keeps changing their accounting policies from one period to another (Management Study Guide, 2022). Comparing ratios of a company that has changed its accounting policies with another which has not changed is not meaningful.  The lack of standardization of financial statements is a major limitation of financial ratios. Different accounting policies is what make the financial ratios to become incomparable. </w:t>
          </w:r>
        </w:p>
        <w:p w14:paraId="52FFD408" w14:textId="5EAEBBF3" w:rsidR="00AA2A91" w:rsidRPr="004E2C35" w:rsidRDefault="0015533E" w:rsidP="0015533E">
          <w:pPr>
            <w:spacing w:line="360" w:lineRule="auto"/>
            <w:rPr>
              <w:rFonts w:ascii="Arial" w:hAnsi="Arial" w:cs="Arial"/>
              <w:sz w:val="24"/>
              <w:szCs w:val="24"/>
              <w:lang w:val="en-US"/>
            </w:rPr>
          </w:pPr>
          <w:r w:rsidRPr="004E2C35">
            <w:rPr>
              <w:rFonts w:ascii="Arial" w:hAnsi="Arial" w:cs="Arial"/>
              <w:sz w:val="24"/>
              <w:szCs w:val="24"/>
              <w:lang w:val="en-US"/>
            </w:rPr>
            <w:t xml:space="preserve">Ratio analysis fails to consider qualitative factors such as inflation (Vaidya, 2022). There is a change in inflation from one year to another due to time value of money (TVM). However, the management fails to consider inflation when preparing the financial statements. The ratios </w:t>
          </w:r>
          <w:r w:rsidR="004654B5" w:rsidRPr="004E2C35">
            <w:rPr>
              <w:rFonts w:ascii="Arial" w:hAnsi="Arial" w:cs="Arial"/>
              <w:sz w:val="24"/>
              <w:szCs w:val="24"/>
              <w:lang w:val="en-US"/>
            </w:rPr>
            <w:t>computed and</w:t>
          </w:r>
          <w:r w:rsidRPr="004E2C35">
            <w:rPr>
              <w:rFonts w:ascii="Arial" w:hAnsi="Arial" w:cs="Arial"/>
              <w:sz w:val="24"/>
              <w:szCs w:val="24"/>
              <w:lang w:val="en-US"/>
            </w:rPr>
            <w:t xml:space="preserve"> compared with one year with another is inaccurate since inflation is not factored (Management Study Guide, 2022).  Businesses keeps changing their business model or the way the business operate. There are certain rules such as rule of thumb which have become obsolete. Ratios fails to account meaningful information such as innovation which could help investors make useful business decisions. </w:t>
          </w:r>
        </w:p>
        <w:p w14:paraId="6CF543C0" w14:textId="7AF29E15" w:rsidR="00AA2A91" w:rsidRPr="004E2C35" w:rsidRDefault="00AA2A91" w:rsidP="0015533E">
          <w:pPr>
            <w:pStyle w:val="Heading1"/>
            <w:rPr>
              <w:rFonts w:ascii="Arial" w:hAnsi="Arial" w:cs="Arial"/>
            </w:rPr>
          </w:pPr>
          <w:bookmarkStart w:id="4" w:name="_Toc463944608"/>
          <w:r w:rsidRPr="004E2C35">
            <w:rPr>
              <w:rFonts w:ascii="Arial" w:hAnsi="Arial" w:cs="Arial"/>
            </w:rPr>
            <w:lastRenderedPageBreak/>
            <w:t>Conclusion</w:t>
          </w:r>
          <w:r w:rsidR="00D854A5" w:rsidRPr="004E2C35">
            <w:rPr>
              <w:rFonts w:ascii="Arial" w:hAnsi="Arial" w:cs="Arial"/>
            </w:rPr>
            <w:t xml:space="preserve"> </w:t>
          </w:r>
          <w:bookmarkEnd w:id="4"/>
        </w:p>
        <w:p w14:paraId="1835104B" w14:textId="7372DD67" w:rsidR="00AA2A91" w:rsidRPr="004E2C35" w:rsidRDefault="0015533E" w:rsidP="0015533E">
          <w:pPr>
            <w:spacing w:line="360" w:lineRule="auto"/>
            <w:rPr>
              <w:rFonts w:ascii="Arial" w:hAnsi="Arial" w:cs="Arial"/>
              <w:sz w:val="24"/>
              <w:szCs w:val="24"/>
            </w:rPr>
          </w:pPr>
          <w:r w:rsidRPr="004E2C35">
            <w:rPr>
              <w:rFonts w:ascii="Arial" w:hAnsi="Arial" w:cs="Arial"/>
              <w:sz w:val="24"/>
              <w:szCs w:val="24"/>
            </w:rPr>
            <w:t xml:space="preserve">Ratios are important in understanding the trends or changes which a company </w:t>
          </w:r>
          <w:r w:rsidR="005D2550" w:rsidRPr="004E2C35">
            <w:rPr>
              <w:rFonts w:ascii="Arial" w:hAnsi="Arial" w:cs="Arial"/>
              <w:sz w:val="24"/>
              <w:szCs w:val="24"/>
            </w:rPr>
            <w:t>experience</w:t>
          </w:r>
          <w:r w:rsidRPr="004E2C35">
            <w:rPr>
              <w:rFonts w:ascii="Arial" w:hAnsi="Arial" w:cs="Arial"/>
              <w:sz w:val="24"/>
              <w:szCs w:val="24"/>
            </w:rPr>
            <w:t xml:space="preserve">.  Analysts uses ratios for making business decisions such as investment. Particularly, ratios </w:t>
          </w:r>
          <w:r w:rsidR="005D2550" w:rsidRPr="004E2C35">
            <w:rPr>
              <w:rFonts w:ascii="Arial" w:hAnsi="Arial" w:cs="Arial"/>
              <w:sz w:val="24"/>
              <w:szCs w:val="24"/>
            </w:rPr>
            <w:t>attempt</w:t>
          </w:r>
          <w:r w:rsidRPr="004E2C35">
            <w:rPr>
              <w:rFonts w:ascii="Arial" w:hAnsi="Arial" w:cs="Arial"/>
              <w:sz w:val="24"/>
              <w:szCs w:val="24"/>
            </w:rPr>
            <w:t xml:space="preserve"> to determine the liquidity, profitability, efficiency, and leverage position. The analysis has indicated that Hilton Holdings experienced a deteriorating performance in 2020 due to COVID 19 pandemic.  However, the company maintained a better liquidity position in 2020 compared to 2019. </w:t>
          </w:r>
        </w:p>
        <w:p w14:paraId="46BEC451" w14:textId="774788B3" w:rsidR="00AA2A91" w:rsidRDefault="00AA2A91" w:rsidP="0015533E">
          <w:pPr>
            <w:spacing w:line="360" w:lineRule="auto"/>
            <w:rPr>
              <w:rFonts w:ascii="Arial" w:hAnsi="Arial" w:cs="Arial"/>
              <w:sz w:val="24"/>
              <w:szCs w:val="24"/>
            </w:rPr>
          </w:pPr>
        </w:p>
        <w:p w14:paraId="0E542F78" w14:textId="4DCBABB3" w:rsidR="00210C77" w:rsidRDefault="00210C77" w:rsidP="0015533E">
          <w:pPr>
            <w:spacing w:line="360" w:lineRule="auto"/>
            <w:rPr>
              <w:rFonts w:ascii="Arial" w:hAnsi="Arial" w:cs="Arial"/>
              <w:sz w:val="24"/>
              <w:szCs w:val="24"/>
            </w:rPr>
          </w:pPr>
        </w:p>
        <w:p w14:paraId="1986CAAC" w14:textId="6319D763" w:rsidR="00210C77" w:rsidRDefault="00210C77" w:rsidP="0015533E">
          <w:pPr>
            <w:spacing w:line="360" w:lineRule="auto"/>
            <w:rPr>
              <w:rFonts w:ascii="Arial" w:hAnsi="Arial" w:cs="Arial"/>
              <w:sz w:val="24"/>
              <w:szCs w:val="24"/>
            </w:rPr>
          </w:pPr>
        </w:p>
        <w:p w14:paraId="7168E5ED" w14:textId="77777777" w:rsidR="00210C77" w:rsidRDefault="00210C77" w:rsidP="0015533E">
          <w:pPr>
            <w:spacing w:line="360" w:lineRule="auto"/>
            <w:rPr>
              <w:rFonts w:ascii="Arial" w:hAnsi="Arial" w:cs="Arial"/>
              <w:sz w:val="24"/>
              <w:szCs w:val="24"/>
            </w:rPr>
          </w:pPr>
        </w:p>
        <w:p w14:paraId="7C8D6C1A" w14:textId="58791FB3" w:rsidR="00210C77" w:rsidRDefault="00210C77" w:rsidP="0015533E">
          <w:pPr>
            <w:spacing w:line="360" w:lineRule="auto"/>
            <w:rPr>
              <w:rFonts w:ascii="Arial" w:hAnsi="Arial" w:cs="Arial"/>
              <w:sz w:val="24"/>
              <w:szCs w:val="24"/>
            </w:rPr>
          </w:pPr>
        </w:p>
        <w:p w14:paraId="39C1F26A" w14:textId="6E776C3C" w:rsidR="00210C77" w:rsidRDefault="00210C77" w:rsidP="0015533E">
          <w:pPr>
            <w:spacing w:line="360" w:lineRule="auto"/>
            <w:rPr>
              <w:rFonts w:ascii="Arial" w:hAnsi="Arial" w:cs="Arial"/>
              <w:sz w:val="24"/>
              <w:szCs w:val="24"/>
            </w:rPr>
          </w:pPr>
        </w:p>
        <w:p w14:paraId="76803919" w14:textId="04199B0A" w:rsidR="00210C77" w:rsidRDefault="00210C77" w:rsidP="00210C77">
          <w:pPr>
            <w:tabs>
              <w:tab w:val="left" w:pos="7170"/>
            </w:tabs>
            <w:spacing w:line="360" w:lineRule="auto"/>
            <w:rPr>
              <w:rFonts w:ascii="Arial" w:hAnsi="Arial" w:cs="Arial"/>
              <w:sz w:val="24"/>
              <w:szCs w:val="24"/>
            </w:rPr>
          </w:pPr>
          <w:r>
            <w:rPr>
              <w:rFonts w:ascii="Arial" w:hAnsi="Arial" w:cs="Arial"/>
              <w:sz w:val="24"/>
              <w:szCs w:val="24"/>
            </w:rPr>
            <w:tab/>
          </w:r>
        </w:p>
        <w:p w14:paraId="655D8B06" w14:textId="50AB4E74" w:rsidR="00210C77" w:rsidRDefault="00210C77" w:rsidP="00210C77">
          <w:pPr>
            <w:tabs>
              <w:tab w:val="left" w:pos="7170"/>
            </w:tabs>
            <w:spacing w:line="360" w:lineRule="auto"/>
            <w:rPr>
              <w:rFonts w:ascii="Arial" w:hAnsi="Arial" w:cs="Arial"/>
              <w:sz w:val="24"/>
              <w:szCs w:val="24"/>
            </w:rPr>
          </w:pPr>
        </w:p>
        <w:p w14:paraId="56ED99D9" w14:textId="77777777" w:rsidR="00210C77" w:rsidRDefault="00210C77" w:rsidP="00210C77">
          <w:pPr>
            <w:tabs>
              <w:tab w:val="left" w:pos="7170"/>
            </w:tabs>
            <w:spacing w:line="360" w:lineRule="auto"/>
            <w:rPr>
              <w:rFonts w:ascii="Arial" w:hAnsi="Arial" w:cs="Arial"/>
              <w:sz w:val="24"/>
              <w:szCs w:val="24"/>
            </w:rPr>
          </w:pPr>
        </w:p>
        <w:p w14:paraId="260A0022" w14:textId="68B3E4ED" w:rsidR="00210C77" w:rsidRDefault="00210C77" w:rsidP="0015533E">
          <w:pPr>
            <w:spacing w:line="360" w:lineRule="auto"/>
            <w:rPr>
              <w:rFonts w:ascii="Arial" w:hAnsi="Arial" w:cs="Arial"/>
              <w:sz w:val="24"/>
              <w:szCs w:val="24"/>
            </w:rPr>
          </w:pPr>
        </w:p>
        <w:p w14:paraId="58624A5D" w14:textId="77777777" w:rsidR="00210C77" w:rsidRDefault="00210C77" w:rsidP="0015533E">
          <w:pPr>
            <w:spacing w:line="360" w:lineRule="auto"/>
            <w:rPr>
              <w:rFonts w:ascii="Arial" w:hAnsi="Arial" w:cs="Arial"/>
              <w:sz w:val="24"/>
              <w:szCs w:val="24"/>
            </w:rPr>
          </w:pPr>
        </w:p>
        <w:p w14:paraId="4F2CD876" w14:textId="067901D5" w:rsidR="00210C77" w:rsidRDefault="00210C77" w:rsidP="0015533E">
          <w:pPr>
            <w:spacing w:line="360" w:lineRule="auto"/>
            <w:rPr>
              <w:rFonts w:ascii="Arial" w:hAnsi="Arial" w:cs="Arial"/>
              <w:sz w:val="24"/>
              <w:szCs w:val="24"/>
            </w:rPr>
          </w:pPr>
        </w:p>
        <w:p w14:paraId="6B480F7C" w14:textId="4686F059" w:rsidR="00210C77" w:rsidRDefault="00210C77" w:rsidP="0015533E">
          <w:pPr>
            <w:spacing w:line="360" w:lineRule="auto"/>
            <w:rPr>
              <w:rFonts w:ascii="Arial" w:hAnsi="Arial" w:cs="Arial"/>
              <w:sz w:val="24"/>
              <w:szCs w:val="24"/>
            </w:rPr>
          </w:pPr>
        </w:p>
        <w:p w14:paraId="41BF5A2D" w14:textId="64F35400" w:rsidR="00210C77" w:rsidRDefault="00210C77" w:rsidP="0015533E">
          <w:pPr>
            <w:spacing w:line="360" w:lineRule="auto"/>
            <w:rPr>
              <w:rFonts w:ascii="Arial" w:hAnsi="Arial" w:cs="Arial"/>
              <w:sz w:val="24"/>
              <w:szCs w:val="24"/>
            </w:rPr>
          </w:pPr>
        </w:p>
        <w:p w14:paraId="65EA742A" w14:textId="77777777" w:rsidR="00210C77" w:rsidRPr="004E2C35" w:rsidRDefault="00210C77" w:rsidP="0015533E">
          <w:pPr>
            <w:spacing w:line="360" w:lineRule="auto"/>
            <w:rPr>
              <w:rFonts w:ascii="Arial" w:hAnsi="Arial" w:cs="Arial"/>
              <w:sz w:val="24"/>
              <w:szCs w:val="24"/>
            </w:rPr>
          </w:pPr>
        </w:p>
        <w:p w14:paraId="1F7E44AC" w14:textId="77777777" w:rsidR="00AA2A91" w:rsidRPr="004E2C35" w:rsidRDefault="00AA2A91" w:rsidP="0015533E">
          <w:pPr>
            <w:spacing w:line="360" w:lineRule="auto"/>
            <w:rPr>
              <w:rFonts w:ascii="Arial" w:hAnsi="Arial" w:cs="Arial"/>
              <w:sz w:val="24"/>
              <w:szCs w:val="24"/>
            </w:rPr>
          </w:pPr>
        </w:p>
        <w:p w14:paraId="4A1D4DE1" w14:textId="77777777" w:rsidR="00AA2A91" w:rsidRPr="004E2C35" w:rsidRDefault="00AA2A91" w:rsidP="00AA2A91">
          <w:pPr>
            <w:rPr>
              <w:rFonts w:ascii="Arial" w:hAnsi="Arial" w:cs="Arial"/>
            </w:rPr>
          </w:pPr>
        </w:p>
        <w:p w14:paraId="614190F2" w14:textId="77777777" w:rsidR="00AA2A91" w:rsidRPr="004E2C35" w:rsidRDefault="00AA2A91" w:rsidP="00AA2A91">
          <w:pPr>
            <w:rPr>
              <w:rFonts w:ascii="Arial" w:hAnsi="Arial" w:cs="Arial"/>
            </w:rPr>
          </w:pPr>
        </w:p>
        <w:p w14:paraId="1C5E3BF7" w14:textId="569F30B3" w:rsidR="0015533E" w:rsidRPr="001F5AFE" w:rsidRDefault="00AA2A91" w:rsidP="001F5AFE">
          <w:pPr>
            <w:pStyle w:val="Heading1"/>
            <w:rPr>
              <w:rFonts w:ascii="Arial" w:hAnsi="Arial" w:cs="Arial"/>
            </w:rPr>
          </w:pPr>
          <w:bookmarkStart w:id="5" w:name="_Toc463944609"/>
          <w:r w:rsidRPr="004E2C35">
            <w:rPr>
              <w:rFonts w:ascii="Arial" w:hAnsi="Arial" w:cs="Arial"/>
            </w:rPr>
            <w:lastRenderedPageBreak/>
            <w:t>Bibliography</w:t>
          </w:r>
        </w:p>
        <w:bookmarkEnd w:id="5" w:displacedByCustomXml="next"/>
      </w:sdtContent>
    </w:sdt>
    <w:p w14:paraId="41796E1C" w14:textId="059B88D7" w:rsidR="002D18FB" w:rsidRPr="004E2C35" w:rsidRDefault="0015533E" w:rsidP="002D18FB">
      <w:pPr>
        <w:pStyle w:val="ListParagraph"/>
        <w:numPr>
          <w:ilvl w:val="0"/>
          <w:numId w:val="2"/>
        </w:numPr>
        <w:spacing w:line="360" w:lineRule="auto"/>
        <w:rPr>
          <w:rFonts w:ascii="Arial" w:hAnsi="Arial" w:cs="Arial"/>
          <w:sz w:val="22"/>
          <w:szCs w:val="22"/>
        </w:rPr>
      </w:pPr>
      <w:r w:rsidRPr="004E2C35">
        <w:rPr>
          <w:rFonts w:ascii="Arial" w:hAnsi="Arial" w:cs="Arial"/>
          <w:sz w:val="24"/>
          <w:szCs w:val="24"/>
        </w:rPr>
        <w:t>Banerjee, P., &amp; Vaidya, D.</w:t>
      </w:r>
      <w:r w:rsidR="0007047A" w:rsidRPr="004E2C35">
        <w:rPr>
          <w:rFonts w:ascii="Arial" w:hAnsi="Arial" w:cs="Arial"/>
          <w:sz w:val="24"/>
          <w:szCs w:val="24"/>
        </w:rPr>
        <w:t xml:space="preserve"> </w:t>
      </w:r>
      <w:r w:rsidRPr="004E2C35">
        <w:rPr>
          <w:rFonts w:ascii="Arial" w:hAnsi="Arial" w:cs="Arial"/>
          <w:sz w:val="24"/>
          <w:szCs w:val="24"/>
        </w:rPr>
        <w:t xml:space="preserve">(2022) </w:t>
      </w:r>
      <w:r w:rsidRPr="004E2C35">
        <w:rPr>
          <w:rFonts w:ascii="Arial" w:hAnsi="Arial" w:cs="Arial"/>
          <w:i/>
          <w:sz w:val="24"/>
          <w:szCs w:val="24"/>
        </w:rPr>
        <w:t>Importance of Ratio Analysis</w:t>
      </w:r>
      <w:r w:rsidR="00A94214" w:rsidRPr="004E2C35">
        <w:rPr>
          <w:rFonts w:ascii="Arial" w:hAnsi="Arial" w:cs="Arial"/>
          <w:sz w:val="24"/>
          <w:szCs w:val="24"/>
          <w:lang w:val="en-US"/>
        </w:rPr>
        <w:t>.</w:t>
      </w:r>
      <w:r w:rsidRPr="004E2C35">
        <w:rPr>
          <w:rFonts w:ascii="Arial" w:hAnsi="Arial" w:cs="Arial"/>
          <w:sz w:val="24"/>
          <w:szCs w:val="24"/>
          <w:lang w:val="en-US"/>
        </w:rPr>
        <w:t xml:space="preserve"> Available from:</w:t>
      </w:r>
      <w:r w:rsidRPr="004E2C35">
        <w:rPr>
          <w:rFonts w:ascii="Arial" w:hAnsi="Arial" w:cs="Arial"/>
          <w:sz w:val="24"/>
          <w:szCs w:val="24"/>
        </w:rPr>
        <w:t xml:space="preserve"> </w:t>
      </w:r>
      <w:hyperlink r:id="rId17" w:history="1">
        <w:r w:rsidR="00A94214" w:rsidRPr="004E2C35">
          <w:rPr>
            <w:rStyle w:val="Hyperlink"/>
            <w:rFonts w:ascii="Arial" w:hAnsi="Arial" w:cs="Arial"/>
            <w:sz w:val="24"/>
            <w:szCs w:val="24"/>
            <w:lang w:val="en-US"/>
          </w:rPr>
          <w:t>https://www.wallstreetmojo.com/importance-of-ratio-analysis/</w:t>
        </w:r>
        <w:r w:rsidR="00A94214" w:rsidRPr="004E2C35">
          <w:rPr>
            <w:rStyle w:val="Hyperlink"/>
            <w:rFonts w:ascii="Arial" w:hAnsi="Arial" w:cs="Arial"/>
            <w:color w:val="000000" w:themeColor="text1"/>
            <w:sz w:val="24"/>
            <w:szCs w:val="24"/>
            <w:u w:val="none"/>
            <w:lang w:val="en-US"/>
          </w:rPr>
          <w:t>(Accessed</w:t>
        </w:r>
      </w:hyperlink>
      <w:r w:rsidR="00A94214" w:rsidRPr="004E2C35">
        <w:rPr>
          <w:rFonts w:ascii="Arial" w:hAnsi="Arial" w:cs="Arial"/>
          <w:color w:val="000000" w:themeColor="text1"/>
          <w:sz w:val="24"/>
          <w:szCs w:val="24"/>
          <w:lang w:val="en-US"/>
        </w:rPr>
        <w:t>: 22</w:t>
      </w:r>
      <w:r w:rsidR="00A94214" w:rsidRPr="004E2C35">
        <w:rPr>
          <w:rFonts w:ascii="Arial" w:hAnsi="Arial" w:cs="Arial"/>
          <w:color w:val="000000" w:themeColor="text1"/>
          <w:sz w:val="24"/>
          <w:szCs w:val="24"/>
          <w:vertAlign w:val="superscript"/>
          <w:lang w:val="en-US"/>
        </w:rPr>
        <w:t>nd</w:t>
      </w:r>
      <w:r w:rsidR="00A94214" w:rsidRPr="004E2C35">
        <w:rPr>
          <w:rFonts w:ascii="Arial" w:hAnsi="Arial" w:cs="Arial"/>
          <w:color w:val="000000" w:themeColor="text1"/>
          <w:sz w:val="24"/>
          <w:szCs w:val="24"/>
          <w:lang w:val="en-US"/>
        </w:rPr>
        <w:t xml:space="preserve"> May, 2022)</w:t>
      </w:r>
    </w:p>
    <w:p w14:paraId="4B0CE1D1" w14:textId="0E2A29F9" w:rsidR="002D18FB" w:rsidRPr="004E2C35" w:rsidRDefault="0015533E" w:rsidP="002D18FB">
      <w:pPr>
        <w:pStyle w:val="ListParagraph"/>
        <w:numPr>
          <w:ilvl w:val="0"/>
          <w:numId w:val="2"/>
        </w:numPr>
        <w:spacing w:line="360" w:lineRule="auto"/>
        <w:rPr>
          <w:rFonts w:ascii="Arial" w:hAnsi="Arial" w:cs="Arial"/>
          <w:sz w:val="22"/>
          <w:szCs w:val="22"/>
        </w:rPr>
      </w:pPr>
      <w:r w:rsidRPr="004E2C35">
        <w:rPr>
          <w:rFonts w:ascii="Arial" w:hAnsi="Arial" w:cs="Arial"/>
          <w:color w:val="000000"/>
          <w:sz w:val="24"/>
          <w:szCs w:val="24"/>
          <w:lang w:val="en-US"/>
        </w:rPr>
        <w:t>Brigham, E. and Houston, J</w:t>
      </w:r>
      <w:r w:rsidR="0007047A" w:rsidRPr="004E2C35">
        <w:rPr>
          <w:rFonts w:ascii="Arial" w:hAnsi="Arial" w:cs="Arial"/>
          <w:color w:val="000000"/>
          <w:sz w:val="24"/>
          <w:szCs w:val="24"/>
          <w:lang w:val="en-US"/>
        </w:rPr>
        <w:t>.</w:t>
      </w:r>
      <w:r w:rsidRPr="004E2C35">
        <w:rPr>
          <w:rFonts w:ascii="Arial" w:hAnsi="Arial" w:cs="Arial"/>
          <w:color w:val="000000"/>
          <w:sz w:val="24"/>
          <w:szCs w:val="24"/>
          <w:lang w:val="en-US"/>
        </w:rPr>
        <w:t xml:space="preserve"> (2012). </w:t>
      </w:r>
      <w:r w:rsidRPr="004E2C35">
        <w:rPr>
          <w:rFonts w:ascii="Arial" w:hAnsi="Arial" w:cs="Arial"/>
          <w:i/>
          <w:iCs/>
          <w:color w:val="000000"/>
          <w:sz w:val="24"/>
          <w:szCs w:val="24"/>
          <w:lang w:val="en-US"/>
        </w:rPr>
        <w:t>Fundamentals of financial management</w:t>
      </w:r>
      <w:r w:rsidRPr="004E2C35">
        <w:rPr>
          <w:rFonts w:ascii="Arial" w:hAnsi="Arial" w:cs="Arial"/>
          <w:color w:val="000000"/>
          <w:sz w:val="24"/>
          <w:szCs w:val="24"/>
          <w:lang w:val="en-US"/>
        </w:rPr>
        <w:t xml:space="preserve">. 13th Ed. New York: </w:t>
      </w:r>
      <w:r w:rsidRPr="004E2C35">
        <w:rPr>
          <w:rFonts w:ascii="Arial" w:hAnsi="Arial" w:cs="Arial"/>
          <w:i/>
          <w:color w:val="000000"/>
          <w:sz w:val="24"/>
          <w:szCs w:val="24"/>
          <w:lang w:val="en-US"/>
        </w:rPr>
        <w:t>Cengage Learning.</w:t>
      </w:r>
    </w:p>
    <w:p w14:paraId="0FE2DDD2" w14:textId="7E98F0C8" w:rsidR="002D18FB" w:rsidRPr="004E2C35" w:rsidRDefault="0015533E" w:rsidP="0015533E">
      <w:pPr>
        <w:pStyle w:val="ListParagraph"/>
        <w:numPr>
          <w:ilvl w:val="0"/>
          <w:numId w:val="2"/>
        </w:numPr>
        <w:spacing w:line="360" w:lineRule="auto"/>
        <w:rPr>
          <w:rFonts w:ascii="Arial" w:hAnsi="Arial" w:cs="Arial"/>
          <w:sz w:val="22"/>
          <w:szCs w:val="22"/>
        </w:rPr>
      </w:pPr>
      <w:r w:rsidRPr="004E2C35">
        <w:rPr>
          <w:rFonts w:ascii="Arial" w:hAnsi="Arial" w:cs="Arial"/>
          <w:sz w:val="24"/>
          <w:szCs w:val="24"/>
          <w:lang w:val="en-US"/>
        </w:rPr>
        <w:t xml:space="preserve">E-finance management (2022) </w:t>
      </w:r>
      <w:r w:rsidRPr="004E2C35">
        <w:rPr>
          <w:rFonts w:ascii="Arial" w:hAnsi="Arial" w:cs="Arial"/>
          <w:i/>
          <w:sz w:val="24"/>
          <w:szCs w:val="24"/>
          <w:lang w:val="en-US"/>
        </w:rPr>
        <w:t>Important of Ratio Analysis.</w:t>
      </w:r>
      <w:r w:rsidR="00A94214" w:rsidRPr="004E2C35">
        <w:rPr>
          <w:rFonts w:ascii="Arial" w:hAnsi="Arial" w:cs="Arial"/>
          <w:sz w:val="24"/>
          <w:szCs w:val="24"/>
          <w:lang w:val="en-US"/>
        </w:rPr>
        <w:t xml:space="preserve"> </w:t>
      </w:r>
      <w:r w:rsidRPr="004E2C35">
        <w:rPr>
          <w:rFonts w:ascii="Arial" w:hAnsi="Arial" w:cs="Arial"/>
          <w:sz w:val="24"/>
          <w:szCs w:val="24"/>
          <w:lang w:val="en-US"/>
        </w:rPr>
        <w:t>Available from:</w:t>
      </w:r>
      <w:r w:rsidRPr="004E2C35">
        <w:rPr>
          <w:rFonts w:ascii="Arial" w:hAnsi="Arial" w:cs="Arial"/>
          <w:sz w:val="24"/>
          <w:szCs w:val="24"/>
        </w:rPr>
        <w:t xml:space="preserve"> </w:t>
      </w:r>
      <w:hyperlink r:id="rId18" w:history="1">
        <w:r w:rsidR="002D18FB" w:rsidRPr="004E2C35">
          <w:rPr>
            <w:rStyle w:val="Hyperlink"/>
            <w:rFonts w:ascii="Arial" w:hAnsi="Arial" w:cs="Arial"/>
            <w:sz w:val="24"/>
            <w:szCs w:val="24"/>
            <w:lang w:val="en-US"/>
          </w:rPr>
          <w:t>https://efinancemanagement.com/financial-analysis/importance-of-ratio</w:t>
        </w:r>
      </w:hyperlink>
      <w:r w:rsidR="00A94214" w:rsidRPr="004E2C35">
        <w:rPr>
          <w:rFonts w:ascii="Arial" w:hAnsi="Arial" w:cs="Arial"/>
          <w:sz w:val="24"/>
          <w:szCs w:val="24"/>
          <w:lang w:val="en-US"/>
        </w:rPr>
        <w:t xml:space="preserve"> (Accessed: April 21</w:t>
      </w:r>
      <w:r w:rsidR="00A94214" w:rsidRPr="004E2C35">
        <w:rPr>
          <w:rFonts w:ascii="Arial" w:hAnsi="Arial" w:cs="Arial"/>
          <w:sz w:val="24"/>
          <w:szCs w:val="24"/>
          <w:vertAlign w:val="superscript"/>
          <w:lang w:val="en-US"/>
        </w:rPr>
        <w:t>st</w:t>
      </w:r>
      <w:r w:rsidR="00A94214" w:rsidRPr="004E2C35">
        <w:rPr>
          <w:rFonts w:ascii="Arial" w:hAnsi="Arial" w:cs="Arial"/>
          <w:sz w:val="24"/>
          <w:szCs w:val="24"/>
          <w:lang w:val="en-US"/>
        </w:rPr>
        <w:t>, 2022)</w:t>
      </w:r>
    </w:p>
    <w:p w14:paraId="73CD2D26" w14:textId="2E7414A4" w:rsidR="002D18FB" w:rsidRPr="004E2C35" w:rsidRDefault="0015533E" w:rsidP="0015533E">
      <w:pPr>
        <w:pStyle w:val="ListParagraph"/>
        <w:numPr>
          <w:ilvl w:val="0"/>
          <w:numId w:val="2"/>
        </w:numPr>
        <w:spacing w:line="360" w:lineRule="auto"/>
        <w:rPr>
          <w:rFonts w:ascii="Arial" w:hAnsi="Arial" w:cs="Arial"/>
          <w:sz w:val="22"/>
          <w:szCs w:val="22"/>
        </w:rPr>
      </w:pPr>
      <w:r w:rsidRPr="004E2C35">
        <w:rPr>
          <w:rFonts w:ascii="Arial" w:hAnsi="Arial" w:cs="Arial"/>
          <w:sz w:val="24"/>
          <w:szCs w:val="24"/>
          <w:lang w:val="en-US"/>
        </w:rPr>
        <w:t>Kota, H.B., (2020</w:t>
      </w:r>
      <w:r w:rsidRPr="004E2C35">
        <w:rPr>
          <w:rFonts w:ascii="Arial" w:hAnsi="Arial" w:cs="Arial"/>
          <w:i/>
          <w:sz w:val="24"/>
          <w:szCs w:val="24"/>
          <w:lang w:val="en-US"/>
        </w:rPr>
        <w:t xml:space="preserve">) </w:t>
      </w:r>
      <w:r w:rsidRPr="004E2C35">
        <w:rPr>
          <w:rFonts w:ascii="Arial" w:hAnsi="Arial" w:cs="Arial"/>
          <w:i/>
          <w:sz w:val="24"/>
          <w:szCs w:val="24"/>
        </w:rPr>
        <w:t>A vital analytical tool for business decision-making</w:t>
      </w:r>
      <w:r w:rsidRPr="004E2C35">
        <w:rPr>
          <w:rFonts w:ascii="Arial" w:hAnsi="Arial" w:cs="Arial"/>
          <w:sz w:val="24"/>
          <w:szCs w:val="24"/>
          <w:lang w:val="en-US"/>
        </w:rPr>
        <w:t>. Available from:</w:t>
      </w:r>
      <w:r w:rsidRPr="004E2C35">
        <w:rPr>
          <w:rFonts w:ascii="Arial" w:hAnsi="Arial" w:cs="Arial"/>
          <w:sz w:val="24"/>
          <w:szCs w:val="24"/>
        </w:rPr>
        <w:t xml:space="preserve"> </w:t>
      </w:r>
      <w:r w:rsidRPr="004E2C35">
        <w:rPr>
          <w:rFonts w:ascii="Arial" w:hAnsi="Arial" w:cs="Arial"/>
          <w:sz w:val="24"/>
          <w:szCs w:val="24"/>
          <w:lang w:val="en-US"/>
        </w:rPr>
        <w:t>h</w:t>
      </w:r>
      <w:hyperlink r:id="rId19" w:history="1">
        <w:r w:rsidRPr="004E2C35">
          <w:rPr>
            <w:rFonts w:ascii="Arial" w:hAnsi="Arial" w:cs="Arial"/>
            <w:color w:val="0563C1" w:themeColor="hyperlink"/>
            <w:sz w:val="24"/>
            <w:szCs w:val="24"/>
            <w:u w:val="single"/>
            <w:lang w:val="en-US"/>
          </w:rPr>
          <w:t>ttps://www.dailypioneer.com/2020/columnists/a-vital-analytical-tool-for-business-decision-m</w:t>
        </w:r>
      </w:hyperlink>
      <w:r w:rsidRPr="004E2C35">
        <w:rPr>
          <w:rFonts w:ascii="Arial" w:hAnsi="Arial" w:cs="Arial"/>
          <w:sz w:val="24"/>
          <w:szCs w:val="24"/>
          <w:lang w:val="en-US"/>
        </w:rPr>
        <w:t>aking.html#</w:t>
      </w:r>
      <w:r w:rsidR="00D40E0C" w:rsidRPr="004E2C35">
        <w:rPr>
          <w:rFonts w:ascii="Arial" w:hAnsi="Arial" w:cs="Arial"/>
          <w:sz w:val="24"/>
          <w:szCs w:val="24"/>
          <w:lang w:val="en-US"/>
        </w:rPr>
        <w:t xml:space="preserve"> </w:t>
      </w:r>
      <w:r w:rsidR="00A94214" w:rsidRPr="004E2C35">
        <w:rPr>
          <w:rFonts w:ascii="Arial" w:hAnsi="Arial" w:cs="Arial"/>
          <w:sz w:val="24"/>
          <w:szCs w:val="24"/>
          <w:lang w:val="en-US"/>
        </w:rPr>
        <w:t>(Accessed: 25</w:t>
      </w:r>
      <w:r w:rsidR="00A94214" w:rsidRPr="004E2C35">
        <w:rPr>
          <w:rFonts w:ascii="Arial" w:hAnsi="Arial" w:cs="Arial"/>
          <w:sz w:val="24"/>
          <w:szCs w:val="24"/>
          <w:vertAlign w:val="superscript"/>
          <w:lang w:val="en-US"/>
        </w:rPr>
        <w:t>th</w:t>
      </w:r>
      <w:r w:rsidR="00A94214" w:rsidRPr="004E2C35">
        <w:rPr>
          <w:rFonts w:ascii="Arial" w:hAnsi="Arial" w:cs="Arial"/>
          <w:sz w:val="24"/>
          <w:szCs w:val="24"/>
          <w:lang w:val="en-US"/>
        </w:rPr>
        <w:t xml:space="preserve"> De</w:t>
      </w:r>
      <w:r w:rsidR="00D40E0C" w:rsidRPr="004E2C35">
        <w:rPr>
          <w:rFonts w:ascii="Arial" w:hAnsi="Arial" w:cs="Arial"/>
          <w:sz w:val="24"/>
          <w:szCs w:val="24"/>
          <w:lang w:val="en-US"/>
        </w:rPr>
        <w:t>c, 2020</w:t>
      </w:r>
      <w:r w:rsidR="00A94214" w:rsidRPr="004E2C35">
        <w:rPr>
          <w:rFonts w:ascii="Arial" w:hAnsi="Arial" w:cs="Arial"/>
          <w:sz w:val="24"/>
          <w:szCs w:val="24"/>
          <w:lang w:val="en-US"/>
        </w:rPr>
        <w:t>).</w:t>
      </w:r>
    </w:p>
    <w:p w14:paraId="735ABA81" w14:textId="0DF73DBD" w:rsidR="002D18FB" w:rsidRPr="004E2C35" w:rsidRDefault="0015533E" w:rsidP="002D18FB">
      <w:pPr>
        <w:pStyle w:val="ListParagraph"/>
        <w:numPr>
          <w:ilvl w:val="0"/>
          <w:numId w:val="2"/>
        </w:numPr>
        <w:spacing w:line="360" w:lineRule="auto"/>
        <w:rPr>
          <w:rFonts w:ascii="Arial" w:hAnsi="Arial" w:cs="Arial"/>
          <w:sz w:val="22"/>
          <w:szCs w:val="22"/>
        </w:rPr>
      </w:pPr>
      <w:r w:rsidRPr="004E2C35">
        <w:rPr>
          <w:rFonts w:ascii="Arial" w:hAnsi="Arial" w:cs="Arial"/>
          <w:sz w:val="24"/>
          <w:szCs w:val="24"/>
          <w:lang w:val="en-US"/>
        </w:rPr>
        <w:t xml:space="preserve">Management Study Guide (2022) </w:t>
      </w:r>
      <w:r w:rsidRPr="004E2C35">
        <w:rPr>
          <w:rFonts w:ascii="Arial" w:hAnsi="Arial" w:cs="Arial"/>
          <w:i/>
          <w:sz w:val="24"/>
          <w:szCs w:val="24"/>
          <w:lang w:val="en-US"/>
        </w:rPr>
        <w:t>Limitations of Ratio Analysis</w:t>
      </w:r>
      <w:r w:rsidR="00A94214" w:rsidRPr="004E2C35">
        <w:rPr>
          <w:rFonts w:ascii="Arial" w:hAnsi="Arial" w:cs="Arial"/>
          <w:sz w:val="24"/>
          <w:szCs w:val="24"/>
          <w:lang w:val="en-US"/>
        </w:rPr>
        <w:t xml:space="preserve">. </w:t>
      </w:r>
      <w:r w:rsidRPr="004E2C35">
        <w:rPr>
          <w:rFonts w:ascii="Arial" w:hAnsi="Arial" w:cs="Arial"/>
          <w:sz w:val="24"/>
          <w:szCs w:val="24"/>
          <w:lang w:val="en-US"/>
        </w:rPr>
        <w:t>Available from:</w:t>
      </w:r>
      <w:r w:rsidRPr="004E2C35">
        <w:rPr>
          <w:rFonts w:ascii="Arial" w:hAnsi="Arial" w:cs="Arial"/>
          <w:sz w:val="24"/>
          <w:szCs w:val="24"/>
        </w:rPr>
        <w:t xml:space="preserve"> </w:t>
      </w:r>
      <w:r w:rsidR="00A94214" w:rsidRPr="004E2C35">
        <w:rPr>
          <w:rFonts w:ascii="Arial" w:hAnsi="Arial" w:cs="Arial"/>
          <w:sz w:val="24"/>
          <w:szCs w:val="24"/>
          <w:lang w:val="en-US"/>
        </w:rPr>
        <w:t xml:space="preserve"> </w:t>
      </w:r>
      <w:hyperlink r:id="rId20" w:history="1">
        <w:r w:rsidR="00A94214" w:rsidRPr="004E2C35">
          <w:rPr>
            <w:rStyle w:val="Hyperlink"/>
            <w:rFonts w:ascii="Arial" w:hAnsi="Arial" w:cs="Arial"/>
            <w:color w:val="000000" w:themeColor="text1"/>
            <w:sz w:val="24"/>
            <w:szCs w:val="24"/>
            <w:u w:val="none"/>
            <w:lang w:val="en-US"/>
          </w:rPr>
          <w:t>https://www.managementstudyguide.com/ratio-analysis-limitations.htm(Accessed</w:t>
        </w:r>
      </w:hyperlink>
      <w:r w:rsidR="00A94214" w:rsidRPr="004E2C35">
        <w:rPr>
          <w:rFonts w:ascii="Arial" w:hAnsi="Arial" w:cs="Arial"/>
          <w:color w:val="000000" w:themeColor="text1"/>
          <w:sz w:val="24"/>
          <w:szCs w:val="24"/>
          <w:lang w:val="en-US"/>
        </w:rPr>
        <w:t xml:space="preserve"> 22</w:t>
      </w:r>
      <w:r w:rsidR="00A94214" w:rsidRPr="004E2C35">
        <w:rPr>
          <w:rFonts w:ascii="Arial" w:hAnsi="Arial" w:cs="Arial"/>
          <w:color w:val="000000" w:themeColor="text1"/>
          <w:sz w:val="24"/>
          <w:szCs w:val="24"/>
          <w:vertAlign w:val="superscript"/>
          <w:lang w:val="en-US"/>
        </w:rPr>
        <w:t>nd</w:t>
      </w:r>
      <w:r w:rsidR="00A94214" w:rsidRPr="004E2C35">
        <w:rPr>
          <w:rFonts w:ascii="Arial" w:hAnsi="Arial" w:cs="Arial"/>
          <w:color w:val="000000" w:themeColor="text1"/>
          <w:sz w:val="24"/>
          <w:szCs w:val="24"/>
          <w:lang w:val="en-US"/>
        </w:rPr>
        <w:t xml:space="preserve"> May, 2022).</w:t>
      </w:r>
    </w:p>
    <w:p w14:paraId="57D46022" w14:textId="66FD450E" w:rsidR="002D18FB" w:rsidRPr="004E2C35" w:rsidRDefault="0015533E" w:rsidP="0015533E">
      <w:pPr>
        <w:pStyle w:val="ListParagraph"/>
        <w:numPr>
          <w:ilvl w:val="0"/>
          <w:numId w:val="2"/>
        </w:numPr>
        <w:spacing w:line="360" w:lineRule="auto"/>
        <w:rPr>
          <w:rFonts w:ascii="Arial" w:hAnsi="Arial" w:cs="Arial"/>
          <w:sz w:val="22"/>
          <w:szCs w:val="22"/>
        </w:rPr>
      </w:pPr>
      <w:r w:rsidRPr="004E2C35">
        <w:rPr>
          <w:rFonts w:ascii="Arial" w:hAnsi="Arial" w:cs="Arial"/>
          <w:color w:val="000000"/>
          <w:sz w:val="24"/>
          <w:szCs w:val="24"/>
          <w:lang w:val="en-US"/>
        </w:rPr>
        <w:t>Needles, B. Powers, M. and Crossing, S. (2010). </w:t>
      </w:r>
      <w:r w:rsidRPr="004E2C35">
        <w:rPr>
          <w:rFonts w:ascii="Arial" w:hAnsi="Arial" w:cs="Arial"/>
          <w:iCs/>
          <w:color w:val="000000"/>
          <w:sz w:val="24"/>
          <w:szCs w:val="24"/>
          <w:lang w:val="en-US"/>
        </w:rPr>
        <w:t>Principles of accounting</w:t>
      </w:r>
      <w:r w:rsidRPr="004E2C35">
        <w:rPr>
          <w:rFonts w:ascii="Arial" w:hAnsi="Arial" w:cs="Arial"/>
          <w:color w:val="000000"/>
          <w:sz w:val="24"/>
          <w:szCs w:val="24"/>
          <w:lang w:val="en-US"/>
        </w:rPr>
        <w:t xml:space="preserve">. 11th ed. </w:t>
      </w:r>
      <w:r w:rsidRPr="004E2C35">
        <w:rPr>
          <w:rFonts w:ascii="Arial" w:hAnsi="Arial" w:cs="Arial"/>
          <w:i/>
          <w:color w:val="000000"/>
          <w:sz w:val="24"/>
          <w:szCs w:val="24"/>
          <w:lang w:val="en-US"/>
        </w:rPr>
        <w:t>Mason: Cengage Learning, p.1238.</w:t>
      </w:r>
    </w:p>
    <w:p w14:paraId="2F882B75" w14:textId="15BBF6F1" w:rsidR="002D18FB" w:rsidRPr="004E2C35" w:rsidRDefault="0015533E" w:rsidP="002D18FB">
      <w:pPr>
        <w:pStyle w:val="ListParagraph"/>
        <w:numPr>
          <w:ilvl w:val="0"/>
          <w:numId w:val="2"/>
        </w:numPr>
        <w:spacing w:line="360" w:lineRule="auto"/>
        <w:rPr>
          <w:rFonts w:ascii="Arial" w:hAnsi="Arial" w:cs="Arial"/>
          <w:sz w:val="22"/>
          <w:szCs w:val="22"/>
        </w:rPr>
      </w:pPr>
      <w:r w:rsidRPr="004E2C35">
        <w:rPr>
          <w:rFonts w:ascii="Arial" w:hAnsi="Arial" w:cs="Arial"/>
          <w:sz w:val="24"/>
          <w:szCs w:val="24"/>
          <w:lang w:val="en-US"/>
        </w:rPr>
        <w:t xml:space="preserve">Nilima, M. (2022) </w:t>
      </w:r>
      <w:r w:rsidRPr="004E2C35">
        <w:rPr>
          <w:rFonts w:ascii="Arial" w:hAnsi="Arial" w:cs="Arial"/>
          <w:i/>
          <w:sz w:val="24"/>
          <w:szCs w:val="24"/>
        </w:rPr>
        <w:t>Importance of Ratio Analysis</w:t>
      </w:r>
      <w:r w:rsidRPr="004E2C35">
        <w:rPr>
          <w:rFonts w:ascii="Arial" w:hAnsi="Arial" w:cs="Arial"/>
          <w:sz w:val="24"/>
          <w:szCs w:val="24"/>
        </w:rPr>
        <w:t xml:space="preserve"> | Accounting</w:t>
      </w:r>
      <w:r w:rsidR="00A94214" w:rsidRPr="004E2C35">
        <w:rPr>
          <w:rFonts w:ascii="Arial" w:hAnsi="Arial" w:cs="Arial"/>
          <w:sz w:val="24"/>
          <w:szCs w:val="24"/>
          <w:lang w:val="en-US"/>
        </w:rPr>
        <w:t>.</w:t>
      </w:r>
      <w:r w:rsidRPr="004E2C35">
        <w:rPr>
          <w:rFonts w:ascii="Arial" w:hAnsi="Arial" w:cs="Arial"/>
          <w:sz w:val="24"/>
          <w:szCs w:val="24"/>
          <w:lang w:val="en-US"/>
        </w:rPr>
        <w:t xml:space="preserve"> Available from:</w:t>
      </w:r>
      <w:r w:rsidRPr="004E2C35">
        <w:rPr>
          <w:rFonts w:ascii="Arial" w:hAnsi="Arial" w:cs="Arial"/>
          <w:sz w:val="24"/>
          <w:szCs w:val="24"/>
        </w:rPr>
        <w:t xml:space="preserve"> </w:t>
      </w:r>
      <w:r w:rsidRPr="00F22735">
        <w:rPr>
          <w:rFonts w:ascii="Arial" w:hAnsi="Arial" w:cs="Arial"/>
          <w:color w:val="2E74B5" w:themeColor="accent1" w:themeShade="BF"/>
          <w:sz w:val="24"/>
          <w:szCs w:val="24"/>
          <w:lang w:val="en-US"/>
        </w:rPr>
        <w:t>h</w:t>
      </w:r>
      <w:hyperlink r:id="rId21" w:history="1">
        <w:r w:rsidRPr="00F22735">
          <w:rPr>
            <w:rFonts w:ascii="Arial" w:hAnsi="Arial" w:cs="Arial"/>
            <w:color w:val="2E74B5" w:themeColor="accent1" w:themeShade="BF"/>
            <w:sz w:val="24"/>
            <w:szCs w:val="24"/>
            <w:u w:val="single"/>
            <w:lang w:val="en-US"/>
          </w:rPr>
          <w:t>ttps://www.accountingnotes.net/accounting/ratio-analysis-accounting/importance-of-r</w:t>
        </w:r>
      </w:hyperlink>
      <w:r w:rsidRPr="00F22735">
        <w:rPr>
          <w:rFonts w:ascii="Arial" w:hAnsi="Arial" w:cs="Arial"/>
          <w:color w:val="2E74B5" w:themeColor="accent1" w:themeShade="BF"/>
          <w:sz w:val="24"/>
          <w:szCs w:val="24"/>
          <w:lang w:val="en-US"/>
        </w:rPr>
        <w:t>atio-analysis-accounting/</w:t>
      </w:r>
      <w:r w:rsidRPr="004E2C35">
        <w:rPr>
          <w:rFonts w:ascii="Arial" w:hAnsi="Arial" w:cs="Arial"/>
          <w:sz w:val="24"/>
          <w:szCs w:val="24"/>
          <w:lang w:val="en-US"/>
        </w:rPr>
        <w:t>13434</w:t>
      </w:r>
      <w:r w:rsidR="00A94214" w:rsidRPr="004E2C35">
        <w:rPr>
          <w:rFonts w:ascii="Arial" w:hAnsi="Arial" w:cs="Arial"/>
          <w:sz w:val="24"/>
          <w:szCs w:val="24"/>
          <w:lang w:val="en-US"/>
        </w:rPr>
        <w:t xml:space="preserve"> (Accessed 22</w:t>
      </w:r>
      <w:r w:rsidR="00A94214" w:rsidRPr="004E2C35">
        <w:rPr>
          <w:rFonts w:ascii="Arial" w:hAnsi="Arial" w:cs="Arial"/>
          <w:sz w:val="24"/>
          <w:szCs w:val="24"/>
          <w:vertAlign w:val="superscript"/>
          <w:lang w:val="en-US"/>
        </w:rPr>
        <w:t>nd</w:t>
      </w:r>
      <w:r w:rsidR="00A94214" w:rsidRPr="004E2C35">
        <w:rPr>
          <w:rFonts w:ascii="Arial" w:hAnsi="Arial" w:cs="Arial"/>
          <w:sz w:val="24"/>
          <w:szCs w:val="24"/>
          <w:lang w:val="en-US"/>
        </w:rPr>
        <w:t xml:space="preserve"> May, 2022).</w:t>
      </w:r>
    </w:p>
    <w:p w14:paraId="67E67728" w14:textId="7B8AC532" w:rsidR="002D18FB" w:rsidRPr="004E2C35" w:rsidRDefault="0015533E" w:rsidP="002D18FB">
      <w:pPr>
        <w:pStyle w:val="ListParagraph"/>
        <w:numPr>
          <w:ilvl w:val="0"/>
          <w:numId w:val="2"/>
        </w:numPr>
        <w:spacing w:line="360" w:lineRule="auto"/>
        <w:rPr>
          <w:rFonts w:ascii="Arial" w:hAnsi="Arial" w:cs="Arial"/>
          <w:sz w:val="22"/>
          <w:szCs w:val="22"/>
        </w:rPr>
      </w:pPr>
      <w:r w:rsidRPr="004E2C35">
        <w:rPr>
          <w:rFonts w:ascii="Arial" w:hAnsi="Arial" w:cs="Arial"/>
          <w:color w:val="000000"/>
          <w:sz w:val="24"/>
          <w:szCs w:val="24"/>
          <w:lang w:val="en-US"/>
        </w:rPr>
        <w:t>Pyles, M. (2013). </w:t>
      </w:r>
      <w:r w:rsidRPr="004E2C35">
        <w:rPr>
          <w:rFonts w:ascii="Arial" w:hAnsi="Arial" w:cs="Arial"/>
          <w:iCs/>
          <w:color w:val="000000"/>
          <w:sz w:val="24"/>
          <w:szCs w:val="24"/>
          <w:lang w:val="en-US"/>
        </w:rPr>
        <w:t>Applied corporate finance</w:t>
      </w:r>
      <w:r w:rsidRPr="004E2C35">
        <w:rPr>
          <w:rFonts w:ascii="Arial" w:hAnsi="Arial" w:cs="Arial"/>
          <w:color w:val="000000"/>
          <w:sz w:val="24"/>
          <w:szCs w:val="24"/>
          <w:lang w:val="en-US"/>
        </w:rPr>
        <w:t>. Charleston: Springer-</w:t>
      </w:r>
      <w:r w:rsidRPr="004E2C35">
        <w:rPr>
          <w:rFonts w:ascii="Arial" w:hAnsi="Arial" w:cs="Arial"/>
          <w:i/>
          <w:color w:val="000000"/>
          <w:sz w:val="24"/>
          <w:szCs w:val="24"/>
          <w:lang w:val="en-US"/>
        </w:rPr>
        <w:t>Verlag New York.</w:t>
      </w:r>
    </w:p>
    <w:p w14:paraId="0A5283A6" w14:textId="42B381E3" w:rsidR="002D18FB" w:rsidRPr="004E2C35" w:rsidRDefault="0015533E" w:rsidP="0015533E">
      <w:pPr>
        <w:pStyle w:val="ListParagraph"/>
        <w:numPr>
          <w:ilvl w:val="0"/>
          <w:numId w:val="2"/>
        </w:numPr>
        <w:spacing w:line="360" w:lineRule="auto"/>
        <w:rPr>
          <w:rFonts w:ascii="Arial" w:hAnsi="Arial" w:cs="Arial"/>
          <w:sz w:val="22"/>
          <w:szCs w:val="22"/>
        </w:rPr>
      </w:pPr>
      <w:r w:rsidRPr="004E2C35">
        <w:rPr>
          <w:rFonts w:ascii="Arial" w:hAnsi="Arial" w:cs="Arial"/>
          <w:color w:val="000000"/>
          <w:sz w:val="24"/>
          <w:szCs w:val="24"/>
          <w:lang w:val="en-US"/>
        </w:rPr>
        <w:t>Ryan, B. (2007). </w:t>
      </w:r>
      <w:r w:rsidRPr="004E2C35">
        <w:rPr>
          <w:rFonts w:ascii="Arial" w:hAnsi="Arial" w:cs="Arial"/>
          <w:iCs/>
          <w:color w:val="000000"/>
          <w:sz w:val="24"/>
          <w:szCs w:val="24"/>
          <w:lang w:val="en-US"/>
        </w:rPr>
        <w:t>Corporate finance and valuation</w:t>
      </w:r>
      <w:r w:rsidRPr="004E2C35">
        <w:rPr>
          <w:rFonts w:ascii="Arial" w:hAnsi="Arial" w:cs="Arial"/>
          <w:color w:val="000000"/>
          <w:sz w:val="24"/>
          <w:szCs w:val="24"/>
          <w:lang w:val="en-US"/>
        </w:rPr>
        <w:t xml:space="preserve">. Bedford: </w:t>
      </w:r>
      <w:r w:rsidRPr="004E2C35">
        <w:rPr>
          <w:rFonts w:ascii="Arial" w:hAnsi="Arial" w:cs="Arial"/>
          <w:i/>
          <w:color w:val="000000"/>
          <w:sz w:val="24"/>
          <w:szCs w:val="24"/>
          <w:lang w:val="en-US"/>
        </w:rPr>
        <w:t>Thomson Learning.</w:t>
      </w:r>
    </w:p>
    <w:p w14:paraId="1F9EEF28" w14:textId="02990077" w:rsidR="0015533E" w:rsidRPr="004E2C35" w:rsidRDefault="0015533E" w:rsidP="0015533E">
      <w:pPr>
        <w:pStyle w:val="ListParagraph"/>
        <w:numPr>
          <w:ilvl w:val="0"/>
          <w:numId w:val="2"/>
        </w:numPr>
        <w:spacing w:line="360" w:lineRule="auto"/>
        <w:rPr>
          <w:rFonts w:ascii="Arial" w:hAnsi="Arial" w:cs="Arial"/>
          <w:sz w:val="22"/>
          <w:szCs w:val="22"/>
        </w:rPr>
      </w:pPr>
      <w:r w:rsidRPr="004E2C35">
        <w:rPr>
          <w:rFonts w:ascii="Arial" w:hAnsi="Arial" w:cs="Arial"/>
          <w:sz w:val="24"/>
          <w:szCs w:val="24"/>
          <w:lang w:val="en-US"/>
        </w:rPr>
        <w:t>Vaidya, D. (2022) Ratio</w:t>
      </w:r>
      <w:r w:rsidR="00A94214" w:rsidRPr="004E2C35">
        <w:rPr>
          <w:rFonts w:ascii="Arial" w:hAnsi="Arial" w:cs="Arial"/>
          <w:sz w:val="24"/>
          <w:szCs w:val="24"/>
          <w:lang w:val="en-US"/>
        </w:rPr>
        <w:t xml:space="preserve"> Analysis Limitations. </w:t>
      </w:r>
      <w:r w:rsidRPr="004E2C35">
        <w:rPr>
          <w:rFonts w:ascii="Arial" w:hAnsi="Arial" w:cs="Arial"/>
          <w:sz w:val="24"/>
          <w:szCs w:val="24"/>
          <w:lang w:val="en-US"/>
        </w:rPr>
        <w:t>Available from:</w:t>
      </w:r>
      <w:r w:rsidRPr="004E2C35">
        <w:rPr>
          <w:rFonts w:ascii="Arial" w:hAnsi="Arial" w:cs="Arial"/>
          <w:sz w:val="24"/>
          <w:szCs w:val="24"/>
        </w:rPr>
        <w:t xml:space="preserve"> </w:t>
      </w:r>
    </w:p>
    <w:p w14:paraId="2F4993C5" w14:textId="3B83BE7E" w:rsidR="0015533E" w:rsidRPr="004E2C35" w:rsidRDefault="00DC5661" w:rsidP="001F5AFE">
      <w:pPr>
        <w:spacing w:line="360" w:lineRule="auto"/>
        <w:ind w:firstLine="360"/>
        <w:rPr>
          <w:rFonts w:ascii="Arial" w:hAnsi="Arial" w:cs="Arial"/>
          <w:color w:val="000000" w:themeColor="text1"/>
          <w:sz w:val="24"/>
          <w:szCs w:val="24"/>
          <w:lang w:val="en-US"/>
        </w:rPr>
      </w:pPr>
      <w:hyperlink r:id="rId22" w:history="1">
        <w:r w:rsidR="001F5AFE" w:rsidRPr="0004176E">
          <w:rPr>
            <w:rStyle w:val="Hyperlink"/>
            <w:rFonts w:ascii="Arial" w:hAnsi="Arial" w:cs="Arial"/>
            <w:sz w:val="24"/>
            <w:szCs w:val="24"/>
            <w:lang w:val="en-US"/>
          </w:rPr>
          <w:t>https://www.wallstreetmojo.com/ratio-analysis-limitations/</w:t>
        </w:r>
      </w:hyperlink>
      <w:r w:rsidR="00D40E0C" w:rsidRPr="004E2C35">
        <w:rPr>
          <w:rFonts w:ascii="Arial" w:hAnsi="Arial" w:cs="Arial"/>
          <w:color w:val="000000" w:themeColor="text1"/>
          <w:sz w:val="24"/>
          <w:szCs w:val="24"/>
          <w:lang w:val="en-US"/>
        </w:rPr>
        <w:t xml:space="preserve"> (Accessed 22</w:t>
      </w:r>
      <w:r w:rsidR="00D40E0C" w:rsidRPr="004E2C35">
        <w:rPr>
          <w:rFonts w:ascii="Arial" w:hAnsi="Arial" w:cs="Arial"/>
          <w:color w:val="000000" w:themeColor="text1"/>
          <w:sz w:val="24"/>
          <w:szCs w:val="24"/>
          <w:vertAlign w:val="superscript"/>
          <w:lang w:val="en-US"/>
        </w:rPr>
        <w:t>nd</w:t>
      </w:r>
      <w:r w:rsidR="00D40E0C" w:rsidRPr="004E2C35">
        <w:rPr>
          <w:rFonts w:ascii="Arial" w:hAnsi="Arial" w:cs="Arial"/>
          <w:color w:val="000000" w:themeColor="text1"/>
          <w:sz w:val="24"/>
          <w:szCs w:val="24"/>
          <w:lang w:val="en-US"/>
        </w:rPr>
        <w:t xml:space="preserve"> May</w:t>
      </w:r>
      <w:r w:rsidR="00C8637A">
        <w:rPr>
          <w:rFonts w:ascii="Arial" w:hAnsi="Arial" w:cs="Arial"/>
          <w:color w:val="000000" w:themeColor="text1"/>
          <w:sz w:val="24"/>
          <w:szCs w:val="24"/>
          <w:lang w:val="en-US"/>
        </w:rPr>
        <w:t xml:space="preserve">, </w:t>
      </w:r>
      <w:r w:rsidR="00D40E0C" w:rsidRPr="004E2C35">
        <w:rPr>
          <w:rFonts w:ascii="Arial" w:hAnsi="Arial" w:cs="Arial"/>
          <w:color w:val="000000" w:themeColor="text1"/>
          <w:sz w:val="24"/>
          <w:szCs w:val="24"/>
          <w:lang w:val="en-US"/>
        </w:rPr>
        <w:t>2022)</w:t>
      </w:r>
    </w:p>
    <w:p w14:paraId="34B6B5EC" w14:textId="77777777" w:rsidR="0015533E" w:rsidRPr="0015533E" w:rsidRDefault="0015533E" w:rsidP="0015533E">
      <w:pPr>
        <w:spacing w:line="360" w:lineRule="auto"/>
        <w:rPr>
          <w:rFonts w:ascii="Times New Roman" w:hAnsi="Times New Roman" w:cs="Times New Roman"/>
          <w:sz w:val="24"/>
          <w:szCs w:val="24"/>
          <w:lang w:val="en-US"/>
        </w:rPr>
      </w:pPr>
    </w:p>
    <w:p w14:paraId="0B60BCAC" w14:textId="77777777" w:rsidR="00CA09F3" w:rsidRDefault="00CA09F3"/>
    <w:sectPr w:rsidR="00CA09F3" w:rsidSect="007D1947">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C8E5D" w14:textId="77777777" w:rsidR="00DC5661" w:rsidRDefault="00DC5661" w:rsidP="002D18FB">
      <w:pPr>
        <w:spacing w:after="0" w:line="240" w:lineRule="auto"/>
      </w:pPr>
      <w:r>
        <w:separator/>
      </w:r>
    </w:p>
  </w:endnote>
  <w:endnote w:type="continuationSeparator" w:id="0">
    <w:p w14:paraId="059EDAB3" w14:textId="77777777" w:rsidR="00DC5661" w:rsidRDefault="00DC5661" w:rsidP="002D1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613CA" w14:textId="77777777" w:rsidR="00DC5661" w:rsidRDefault="00DC5661" w:rsidP="002D18FB">
      <w:pPr>
        <w:spacing w:after="0" w:line="240" w:lineRule="auto"/>
      </w:pPr>
      <w:r>
        <w:separator/>
      </w:r>
    </w:p>
  </w:footnote>
  <w:footnote w:type="continuationSeparator" w:id="0">
    <w:p w14:paraId="0C49C02F" w14:textId="77777777" w:rsidR="00DC5661" w:rsidRDefault="00DC5661" w:rsidP="002D1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166464"/>
      <w:docPartObj>
        <w:docPartGallery w:val="Page Numbers (Top of Page)"/>
        <w:docPartUnique/>
      </w:docPartObj>
    </w:sdtPr>
    <w:sdtEndPr>
      <w:rPr>
        <w:noProof/>
      </w:rPr>
    </w:sdtEndPr>
    <w:sdtContent>
      <w:p w14:paraId="2BB226A4" w14:textId="32954348" w:rsidR="002D18FB" w:rsidRDefault="002D18FB">
        <w:pPr>
          <w:pStyle w:val="Header"/>
          <w:jc w:val="right"/>
        </w:pPr>
        <w:r>
          <w:fldChar w:fldCharType="begin"/>
        </w:r>
        <w:r>
          <w:instrText xml:space="preserve"> PAGE   \* MERGEFORMAT </w:instrText>
        </w:r>
        <w:r>
          <w:fldChar w:fldCharType="separate"/>
        </w:r>
        <w:r w:rsidR="00D40E0C">
          <w:rPr>
            <w:noProof/>
          </w:rPr>
          <w:t>11</w:t>
        </w:r>
        <w:r>
          <w:rPr>
            <w:noProof/>
          </w:rPr>
          <w:fldChar w:fldCharType="end"/>
        </w:r>
      </w:p>
    </w:sdtContent>
  </w:sdt>
  <w:p w14:paraId="7FD0560A" w14:textId="77777777" w:rsidR="002D18FB" w:rsidRDefault="002D18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A7C15"/>
    <w:multiLevelType w:val="hybridMultilevel"/>
    <w:tmpl w:val="7F4ABE62"/>
    <w:lvl w:ilvl="0" w:tplc="22A45F74">
      <w:start w:val="1"/>
      <w:numFmt w:val="decimal"/>
      <w:lvlText w:val="%1."/>
      <w:lvlJc w:val="left"/>
      <w:pPr>
        <w:ind w:left="720" w:hanging="360"/>
      </w:pPr>
      <w:rPr>
        <w:rFonts w:ascii="Times New Roman" w:hAnsi="Times New Roman" w:cs="Times New Roman" w:hint="default"/>
        <w:sz w:val="24"/>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4395744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28981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F4F"/>
    <w:rsid w:val="00051315"/>
    <w:rsid w:val="000513EC"/>
    <w:rsid w:val="0007047A"/>
    <w:rsid w:val="000C767D"/>
    <w:rsid w:val="000E2EB8"/>
    <w:rsid w:val="0010791F"/>
    <w:rsid w:val="00115B96"/>
    <w:rsid w:val="0015533E"/>
    <w:rsid w:val="00173B30"/>
    <w:rsid w:val="00193356"/>
    <w:rsid w:val="001B56C7"/>
    <w:rsid w:val="001F5AFE"/>
    <w:rsid w:val="00203775"/>
    <w:rsid w:val="00210C77"/>
    <w:rsid w:val="0022639E"/>
    <w:rsid w:val="002449DB"/>
    <w:rsid w:val="00286404"/>
    <w:rsid w:val="002D18FB"/>
    <w:rsid w:val="002E359F"/>
    <w:rsid w:val="002E4521"/>
    <w:rsid w:val="0030611B"/>
    <w:rsid w:val="00324CCD"/>
    <w:rsid w:val="004033C1"/>
    <w:rsid w:val="004654B5"/>
    <w:rsid w:val="00484C56"/>
    <w:rsid w:val="004A11F6"/>
    <w:rsid w:val="004B0B66"/>
    <w:rsid w:val="004B33D3"/>
    <w:rsid w:val="004C4341"/>
    <w:rsid w:val="004D519C"/>
    <w:rsid w:val="004D75F9"/>
    <w:rsid w:val="004E2C35"/>
    <w:rsid w:val="0050630B"/>
    <w:rsid w:val="00534AD6"/>
    <w:rsid w:val="005D2550"/>
    <w:rsid w:val="00663D89"/>
    <w:rsid w:val="00664F28"/>
    <w:rsid w:val="00693EB1"/>
    <w:rsid w:val="00751846"/>
    <w:rsid w:val="00770BD8"/>
    <w:rsid w:val="00785DF3"/>
    <w:rsid w:val="0079635E"/>
    <w:rsid w:val="007D1947"/>
    <w:rsid w:val="008134DF"/>
    <w:rsid w:val="00823B70"/>
    <w:rsid w:val="00830A5A"/>
    <w:rsid w:val="008810DE"/>
    <w:rsid w:val="008B484C"/>
    <w:rsid w:val="008D3284"/>
    <w:rsid w:val="00964D06"/>
    <w:rsid w:val="009B72F9"/>
    <w:rsid w:val="009C1CE2"/>
    <w:rsid w:val="009E6BBE"/>
    <w:rsid w:val="00A7033B"/>
    <w:rsid w:val="00A9243C"/>
    <w:rsid w:val="00A93BDD"/>
    <w:rsid w:val="00A94214"/>
    <w:rsid w:val="00AA2A91"/>
    <w:rsid w:val="00B15B3B"/>
    <w:rsid w:val="00B27BFA"/>
    <w:rsid w:val="00B36C6C"/>
    <w:rsid w:val="00B45AAA"/>
    <w:rsid w:val="00C63E7B"/>
    <w:rsid w:val="00C71FB5"/>
    <w:rsid w:val="00C8637A"/>
    <w:rsid w:val="00C95A66"/>
    <w:rsid w:val="00CA09F3"/>
    <w:rsid w:val="00CB7901"/>
    <w:rsid w:val="00D150D3"/>
    <w:rsid w:val="00D3249C"/>
    <w:rsid w:val="00D40E0C"/>
    <w:rsid w:val="00D854A5"/>
    <w:rsid w:val="00DB6A70"/>
    <w:rsid w:val="00DC5661"/>
    <w:rsid w:val="00DF0CD4"/>
    <w:rsid w:val="00E551BC"/>
    <w:rsid w:val="00E63054"/>
    <w:rsid w:val="00E97389"/>
    <w:rsid w:val="00EB041B"/>
    <w:rsid w:val="00F04502"/>
    <w:rsid w:val="00F22735"/>
    <w:rsid w:val="00FC2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663D89"/>
    <w:pPr>
      <w:tabs>
        <w:tab w:val="right" w:leader="dot" w:pos="9016"/>
      </w:tabs>
      <w:spacing w:after="100"/>
    </w:pPr>
    <w:rPr>
      <w:rFonts w:ascii="Arial" w:hAnsi="Arial" w:cs="Arial"/>
      <w:noProof/>
      <w:sz w:val="24"/>
      <w:szCs w:val="24"/>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1553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1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8FB"/>
  </w:style>
  <w:style w:type="paragraph" w:styleId="Footer">
    <w:name w:val="footer"/>
    <w:basedOn w:val="Normal"/>
    <w:link w:val="FooterChar"/>
    <w:uiPriority w:val="99"/>
    <w:unhideWhenUsed/>
    <w:rsid w:val="002D1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8FB"/>
  </w:style>
  <w:style w:type="character" w:styleId="UnresolvedMention">
    <w:name w:val="Unresolved Mention"/>
    <w:basedOn w:val="DefaultParagraphFont"/>
    <w:uiPriority w:val="99"/>
    <w:semiHidden/>
    <w:unhideWhenUsed/>
    <w:rsid w:val="001F5A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about:blan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about:blan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about:blank"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chart" Target="charts/chart2.xml"/><Relationship Id="rId23"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hyperlink" Target="about:blan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about:blank"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about:blank"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utuc\Downloads\Ratios%20workings%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Income statement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'Income statement'!$E$3:$E$4</c:f>
              <c:strCache>
                <c:ptCount val="2"/>
                <c:pt idx="0">
                  <c:v>2020</c:v>
                </c:pt>
                <c:pt idx="1">
                  <c:v>31/12/2021</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'Income statement'!$D$5:$D$13</c:f>
              <c:strCache>
                <c:ptCount val="9"/>
                <c:pt idx="0">
                  <c:v>Sales</c:v>
                </c:pt>
                <c:pt idx="1">
                  <c:v>Cost of goods sold</c:v>
                </c:pt>
                <c:pt idx="2">
                  <c:v>Gross profit</c:v>
                </c:pt>
                <c:pt idx="3">
                  <c:v>Operating Expenses</c:v>
                </c:pt>
                <c:pt idx="4">
                  <c:v>Operating income</c:v>
                </c:pt>
                <c:pt idx="5">
                  <c:v>Interest Expense</c:v>
                </c:pt>
                <c:pt idx="6">
                  <c:v>Total Other income/ expenses net </c:v>
                </c:pt>
                <c:pt idx="7">
                  <c:v>Income before taxes</c:v>
                </c:pt>
                <c:pt idx="8">
                  <c:v>Net income</c:v>
                </c:pt>
              </c:strCache>
            </c:strRef>
          </c:cat>
          <c:val>
            <c:numRef>
              <c:f>'Income statement'!$E$5:$E$13</c:f>
              <c:numCache>
                <c:formatCode>#,##0</c:formatCode>
                <c:ptCount val="9"/>
                <c:pt idx="0">
                  <c:v>4307000</c:v>
                </c:pt>
                <c:pt idx="1">
                  <c:v>3724000</c:v>
                </c:pt>
                <c:pt idx="2">
                  <c:v>583000</c:v>
                </c:pt>
                <c:pt idx="3">
                  <c:v>702000</c:v>
                </c:pt>
                <c:pt idx="4">
                  <c:v>-119000</c:v>
                </c:pt>
                <c:pt idx="5">
                  <c:v>429000</c:v>
                </c:pt>
                <c:pt idx="6">
                  <c:v>-376000</c:v>
                </c:pt>
                <c:pt idx="7">
                  <c:v>-924000</c:v>
                </c:pt>
                <c:pt idx="8">
                  <c:v>-715000</c:v>
                </c:pt>
              </c:numCache>
            </c:numRef>
          </c:val>
          <c:extLst>
            <c:ext xmlns:c16="http://schemas.microsoft.com/office/drawing/2014/chart" uri="{C3380CC4-5D6E-409C-BE32-E72D297353CC}">
              <c16:uniqueId val="{00000000-7D03-494A-8CF2-D22D0215B634}"/>
            </c:ext>
          </c:extLst>
        </c:ser>
        <c:ser>
          <c:idx val="1"/>
          <c:order val="1"/>
          <c:tx>
            <c:strRef>
              <c:f>'Income statement'!$F$3:$F$4</c:f>
              <c:strCache>
                <c:ptCount val="2"/>
                <c:pt idx="0">
                  <c:v>2019</c:v>
                </c:pt>
                <c:pt idx="1">
                  <c:v>31/12/2020</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'Income statement'!$D$5:$D$13</c:f>
              <c:strCache>
                <c:ptCount val="9"/>
                <c:pt idx="0">
                  <c:v>Sales</c:v>
                </c:pt>
                <c:pt idx="1">
                  <c:v>Cost of goods sold</c:v>
                </c:pt>
                <c:pt idx="2">
                  <c:v>Gross profit</c:v>
                </c:pt>
                <c:pt idx="3">
                  <c:v>Operating Expenses</c:v>
                </c:pt>
                <c:pt idx="4">
                  <c:v>Operating income</c:v>
                </c:pt>
                <c:pt idx="5">
                  <c:v>Interest Expense</c:v>
                </c:pt>
                <c:pt idx="6">
                  <c:v>Total Other income/ expenses net </c:v>
                </c:pt>
                <c:pt idx="7">
                  <c:v>Income before taxes</c:v>
                </c:pt>
                <c:pt idx="8">
                  <c:v>Net income</c:v>
                </c:pt>
              </c:strCache>
            </c:strRef>
          </c:cat>
          <c:val>
            <c:numRef>
              <c:f>'Income statement'!$F$5:$F$13</c:f>
              <c:numCache>
                <c:formatCode>#,##0</c:formatCode>
                <c:ptCount val="9"/>
                <c:pt idx="0">
                  <c:v>9452000</c:v>
                </c:pt>
                <c:pt idx="1">
                  <c:v>7017000</c:v>
                </c:pt>
                <c:pt idx="2">
                  <c:v>2435000</c:v>
                </c:pt>
                <c:pt idx="3">
                  <c:v>859000</c:v>
                </c:pt>
                <c:pt idx="4">
                  <c:v>1576000</c:v>
                </c:pt>
                <c:pt idx="5">
                  <c:v>414000</c:v>
                </c:pt>
                <c:pt idx="6">
                  <c:v>82000</c:v>
                </c:pt>
                <c:pt idx="7">
                  <c:v>1244000</c:v>
                </c:pt>
                <c:pt idx="8">
                  <c:v>881000</c:v>
                </c:pt>
              </c:numCache>
            </c:numRef>
          </c:val>
          <c:extLst>
            <c:ext xmlns:c16="http://schemas.microsoft.com/office/drawing/2014/chart" uri="{C3380CC4-5D6E-409C-BE32-E72D297353CC}">
              <c16:uniqueId val="{00000001-7D03-494A-8CF2-D22D0215B634}"/>
            </c:ext>
          </c:extLst>
        </c:ser>
        <c:dLbls>
          <c:showLegendKey val="0"/>
          <c:showVal val="0"/>
          <c:showCatName val="0"/>
          <c:showSerName val="0"/>
          <c:showPercent val="0"/>
          <c:showBubbleSize val="0"/>
        </c:dLbls>
        <c:gapWidth val="315"/>
        <c:overlap val="-40"/>
        <c:axId val="1288057615"/>
        <c:axId val="1288070927"/>
      </c:barChart>
      <c:catAx>
        <c:axId val="1288057615"/>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88070927"/>
        <c:crosses val="autoZero"/>
        <c:auto val="1"/>
        <c:lblAlgn val="ctr"/>
        <c:lblOffset val="100"/>
        <c:noMultiLvlLbl val="0"/>
      </c:catAx>
      <c:valAx>
        <c:axId val="1288070927"/>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8805761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'[New Microsoft Excel Worksheet.xlsx]Sheet1'!$A$3</c:f>
              <c:strCache>
                <c:ptCount val="1"/>
                <c:pt idx="0">
                  <c:v>Costs of goods sold</c:v>
                </c:pt>
              </c:strCache>
            </c:strRef>
          </c:tx>
          <c:dPt>
            <c:idx val="0"/>
            <c:bubble3D val="0"/>
            <c:spPr>
              <a:solidFill>
                <a:schemeClr val="accent4">
                  <a:shade val="7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00E8-43EC-93A8-377A436C4A75}"/>
              </c:ext>
            </c:extLst>
          </c:dPt>
          <c:dPt>
            <c:idx val="1"/>
            <c:bubble3D val="0"/>
            <c:spPr>
              <a:solidFill>
                <a:schemeClr val="accent4">
                  <a:tint val="77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00E8-43EC-93A8-377A436C4A75}"/>
              </c:ext>
            </c:extLst>
          </c:dPt>
          <c:dLbls>
            <c:delete val="1"/>
          </c:dLbls>
          <c:cat>
            <c:multiLvlStrRef>
              <c:f>'[New Microsoft Excel Worksheet.xlsx]Sheet1'!$C$1:$D$2</c:f>
              <c:multiLvlStrCache>
                <c:ptCount val="2"/>
                <c:lvl>
                  <c:pt idx="0">
                    <c:v>31/12/2021</c:v>
                  </c:pt>
                  <c:pt idx="1">
                    <c:v>31/12/2020</c:v>
                  </c:pt>
                </c:lvl>
                <c:lvl>
                  <c:pt idx="0">
                    <c:v>2020</c:v>
                  </c:pt>
                  <c:pt idx="1">
                    <c:v>2019</c:v>
                  </c:pt>
                </c:lvl>
              </c:multiLvlStrCache>
            </c:multiLvlStrRef>
          </c:cat>
          <c:val>
            <c:numRef>
              <c:f>'[New Microsoft Excel Worksheet.xlsx]Sheet1'!$C$3:$D$3</c:f>
              <c:numCache>
                <c:formatCode>#,##0</c:formatCode>
                <c:ptCount val="2"/>
                <c:pt idx="0">
                  <c:v>3724000</c:v>
                </c:pt>
                <c:pt idx="1">
                  <c:v>7017000</c:v>
                </c:pt>
              </c:numCache>
            </c:numRef>
          </c:val>
          <c:extLst>
            <c:ext xmlns:c16="http://schemas.microsoft.com/office/drawing/2014/chart" uri="{C3380CC4-5D6E-409C-BE32-E72D297353CC}">
              <c16:uniqueId val="{00000004-00E8-43EC-93A8-377A436C4A75}"/>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Balance</a:t>
            </a:r>
            <a:r>
              <a:rPr lang="en-GB" baseline="0"/>
              <a:t> sheet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'Balance sheet'!$B$1</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elete val="1"/>
          </c:dLbls>
          <c:cat>
            <c:strRef>
              <c:f>'Balance sheet'!$A$2:$A$11</c:f>
              <c:strCache>
                <c:ptCount val="10"/>
                <c:pt idx="0">
                  <c:v>Current Asset</c:v>
                </c:pt>
                <c:pt idx="1">
                  <c:v>Non Current Asset</c:v>
                </c:pt>
                <c:pt idx="2">
                  <c:v>Total Asset</c:v>
                </c:pt>
                <c:pt idx="3">
                  <c:v>Current Liabilities</c:v>
                </c:pt>
                <c:pt idx="4">
                  <c:v>Non current Liabilities</c:v>
                </c:pt>
                <c:pt idx="5">
                  <c:v>Total Liabilities</c:v>
                </c:pt>
                <c:pt idx="6">
                  <c:v>Common Stock</c:v>
                </c:pt>
                <c:pt idx="7">
                  <c:v>Retained Earnings</c:v>
                </c:pt>
                <c:pt idx="8">
                  <c:v>Total Stockholders' Equity</c:v>
                </c:pt>
                <c:pt idx="9">
                  <c:v>Total Liabilities and Stockholder</c:v>
                </c:pt>
              </c:strCache>
            </c:strRef>
          </c:cat>
          <c:val>
            <c:numRef>
              <c:f>'Balance sheet'!$B$2:$B$11</c:f>
              <c:numCache>
                <c:formatCode>#,##0</c:formatCode>
                <c:ptCount val="10"/>
                <c:pt idx="0">
                  <c:v>4202000</c:v>
                </c:pt>
                <c:pt idx="1">
                  <c:v>15810000</c:v>
                </c:pt>
                <c:pt idx="2">
                  <c:v>16755000</c:v>
                </c:pt>
                <c:pt idx="3">
                  <c:v>2431000</c:v>
                </c:pt>
                <c:pt idx="4">
                  <c:v>15810000</c:v>
                </c:pt>
                <c:pt idx="5">
                  <c:v>18241000</c:v>
                </c:pt>
                <c:pt idx="6">
                  <c:v>3000</c:v>
                </c:pt>
                <c:pt idx="7">
                  <c:v>-6732000</c:v>
                </c:pt>
                <c:pt idx="8">
                  <c:v>-1490000</c:v>
                </c:pt>
                <c:pt idx="9">
                  <c:v>16755000</c:v>
                </c:pt>
              </c:numCache>
            </c:numRef>
          </c:val>
          <c:extLst>
            <c:ext xmlns:c16="http://schemas.microsoft.com/office/drawing/2014/chart" uri="{C3380CC4-5D6E-409C-BE32-E72D297353CC}">
              <c16:uniqueId val="{00000000-D6CD-4CF1-B88A-DBE308817ACC}"/>
            </c:ext>
          </c:extLst>
        </c:ser>
        <c:ser>
          <c:idx val="1"/>
          <c:order val="1"/>
          <c:tx>
            <c:strRef>
              <c:f>'Balance sheet'!$C$1</c:f>
              <c:strCache>
                <c:ptCount val="1"/>
                <c:pt idx="0">
                  <c:v>2019</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elete val="1"/>
          </c:dLbls>
          <c:cat>
            <c:strRef>
              <c:f>'Balance sheet'!$A$2:$A$11</c:f>
              <c:strCache>
                <c:ptCount val="10"/>
                <c:pt idx="0">
                  <c:v>Current Asset</c:v>
                </c:pt>
                <c:pt idx="1">
                  <c:v>Non Current Asset</c:v>
                </c:pt>
                <c:pt idx="2">
                  <c:v>Total Asset</c:v>
                </c:pt>
                <c:pt idx="3">
                  <c:v>Current Liabilities</c:v>
                </c:pt>
                <c:pt idx="4">
                  <c:v>Non current Liabilities</c:v>
                </c:pt>
                <c:pt idx="5">
                  <c:v>Total Liabilities</c:v>
                </c:pt>
                <c:pt idx="6">
                  <c:v>Common Stock</c:v>
                </c:pt>
                <c:pt idx="7">
                  <c:v>Retained Earnings</c:v>
                </c:pt>
                <c:pt idx="8">
                  <c:v>Total Stockholders' Equity</c:v>
                </c:pt>
                <c:pt idx="9">
                  <c:v>Total Liabilities and Stockholder</c:v>
                </c:pt>
              </c:strCache>
            </c:strRef>
          </c:cat>
          <c:val>
            <c:numRef>
              <c:f>'Balance sheet'!$C$2:$C$11</c:f>
              <c:numCache>
                <c:formatCode>#,##0</c:formatCode>
                <c:ptCount val="10"/>
                <c:pt idx="0">
                  <c:v>2093000</c:v>
                </c:pt>
                <c:pt idx="1">
                  <c:v>12558000</c:v>
                </c:pt>
                <c:pt idx="2">
                  <c:v>14957000</c:v>
                </c:pt>
                <c:pt idx="3">
                  <c:v>2871000</c:v>
                </c:pt>
                <c:pt idx="4">
                  <c:v>12558000</c:v>
                </c:pt>
                <c:pt idx="5">
                  <c:v>15429000</c:v>
                </c:pt>
                <c:pt idx="6">
                  <c:v>3000</c:v>
                </c:pt>
                <c:pt idx="7">
                  <c:v>-5965000</c:v>
                </c:pt>
                <c:pt idx="8">
                  <c:v>-482000</c:v>
                </c:pt>
                <c:pt idx="9">
                  <c:v>14957000</c:v>
                </c:pt>
              </c:numCache>
            </c:numRef>
          </c:val>
          <c:extLst>
            <c:ext xmlns:c16="http://schemas.microsoft.com/office/drawing/2014/chart" uri="{C3380CC4-5D6E-409C-BE32-E72D297353CC}">
              <c16:uniqueId val="{00000001-D6CD-4CF1-B88A-DBE308817ACC}"/>
            </c:ext>
          </c:extLst>
        </c:ser>
        <c:dLbls>
          <c:dLblPos val="inEnd"/>
          <c:showLegendKey val="0"/>
          <c:showVal val="1"/>
          <c:showCatName val="0"/>
          <c:showSerName val="0"/>
          <c:showPercent val="0"/>
          <c:showBubbleSize val="0"/>
        </c:dLbls>
        <c:gapWidth val="100"/>
        <c:overlap val="-24"/>
        <c:axId val="942235119"/>
        <c:axId val="942233039"/>
      </c:barChart>
      <c:catAx>
        <c:axId val="942235119"/>
        <c:scaling>
          <c:orientation val="minMax"/>
        </c:scaling>
        <c:delete val="0"/>
        <c:axPos val="b"/>
        <c:title>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42233039"/>
        <c:crosses val="autoZero"/>
        <c:auto val="1"/>
        <c:lblAlgn val="ctr"/>
        <c:lblOffset val="100"/>
        <c:noMultiLvlLbl val="0"/>
      </c:catAx>
      <c:valAx>
        <c:axId val="942233039"/>
        <c:scaling>
          <c:orientation val="minMax"/>
        </c:scaling>
        <c:delete val="0"/>
        <c:axPos val="l"/>
        <c:title>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42235119"/>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0DB7"/>
    <w:rsid w:val="000D111B"/>
    <w:rsid w:val="00145AD8"/>
    <w:rsid w:val="00214915"/>
    <w:rsid w:val="002C1100"/>
    <w:rsid w:val="00396BAF"/>
    <w:rsid w:val="003974A0"/>
    <w:rsid w:val="004C2BAC"/>
    <w:rsid w:val="005038FB"/>
    <w:rsid w:val="0058793B"/>
    <w:rsid w:val="0083132B"/>
    <w:rsid w:val="009120CA"/>
    <w:rsid w:val="00975FB1"/>
    <w:rsid w:val="00A34C42"/>
    <w:rsid w:val="00B40CEE"/>
    <w:rsid w:val="00BC1251"/>
    <w:rsid w:val="00C67429"/>
    <w:rsid w:val="00D70754"/>
    <w:rsid w:val="00E34B67"/>
    <w:rsid w:val="00EC7CFF"/>
    <w:rsid w:val="00F62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2022-05-22T00:00:00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7242B79-052F-43DA-98F1-DC19C7389B7D}">
  <ds:schemaRefs>
    <ds:schemaRef ds:uri="http://schemas.openxmlformats.org/officeDocument/2006/bibliography"/>
  </ds:schemaRefs>
</ds:datastoreItem>
</file>

<file path=customXml/itemProps4.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5.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Pages>
  <Words>2536</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Hilton hotel</vt:lpstr>
    </vt:vector>
  </TitlesOfParts>
  <Company>University of Wales Trinity Saint David</Company>
  <LinksUpToDate>false</LinksUpToDate>
  <CharactersWithSpaces>16959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dc:title>
  <dc:subject/>
  <dc:creator>Marie Pitson</dc:creator>
  <cp:keywords/>
  <dc:description/>
  <cp:lastModifiedBy>Cristina Mutu</cp:lastModifiedBy>
  <cp:revision>49</cp:revision>
  <dcterms:created xsi:type="dcterms:W3CDTF">2022-05-22T10:17:00Z</dcterms:created>
  <dcterms:modified xsi:type="dcterms:W3CDTF">2022-05-26T21:01:00Z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