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045FD" w14:textId="32E5E5E7" w:rsidR="00EC7143" w:rsidRDefault="00C156F1" w:rsidP="001E3F9B">
      <w:pPr>
        <w:jc w:val="center"/>
        <w:rPr>
          <w:b/>
          <w:bCs/>
        </w:rPr>
      </w:pPr>
      <w:r>
        <w:rPr>
          <w:b/>
          <w:bCs/>
          <w:noProof/>
        </w:rPr>
        <w:drawing>
          <wp:inline distT="0" distB="0" distL="0" distR="0" wp14:anchorId="4E05BA21" wp14:editId="0072103F">
            <wp:extent cx="1810385" cy="725170"/>
            <wp:effectExtent l="0" t="0" r="0" b="0"/>
            <wp:docPr id="406783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6F2BA806" w14:textId="77777777" w:rsidR="00EC7143" w:rsidRDefault="00EC7143" w:rsidP="001E3F9B">
      <w:pPr>
        <w:jc w:val="center"/>
        <w:rPr>
          <w:b/>
          <w:bCs/>
        </w:rPr>
      </w:pPr>
    </w:p>
    <w:p w14:paraId="583F7DF1" w14:textId="77777777" w:rsidR="00EC7143" w:rsidRDefault="00EC7143" w:rsidP="001E3F9B">
      <w:pPr>
        <w:jc w:val="center"/>
        <w:rPr>
          <w:b/>
          <w:bCs/>
        </w:rPr>
      </w:pPr>
    </w:p>
    <w:p w14:paraId="4A805F70" w14:textId="77777777" w:rsidR="00735F26" w:rsidRDefault="00735F26" w:rsidP="001E3F9B">
      <w:pPr>
        <w:jc w:val="center"/>
        <w:rPr>
          <w:b/>
          <w:bCs/>
        </w:rPr>
      </w:pPr>
    </w:p>
    <w:p w14:paraId="1AB3A53F" w14:textId="77777777" w:rsidR="0089061F" w:rsidRDefault="0089061F" w:rsidP="001E3F9B">
      <w:pPr>
        <w:jc w:val="center"/>
        <w:rPr>
          <w:b/>
          <w:bCs/>
        </w:rPr>
      </w:pPr>
    </w:p>
    <w:p w14:paraId="41195901" w14:textId="36E09F5B" w:rsidR="00EC7143" w:rsidRPr="00E511AB" w:rsidRDefault="00EC7143" w:rsidP="001E3F9B">
      <w:pPr>
        <w:jc w:val="center"/>
        <w:rPr>
          <w:sz w:val="28"/>
          <w:szCs w:val="28"/>
        </w:rPr>
      </w:pPr>
      <w:r w:rsidRPr="00E511AB">
        <w:rPr>
          <w:b/>
          <w:bCs/>
          <w:sz w:val="28"/>
          <w:szCs w:val="28"/>
        </w:rPr>
        <w:t xml:space="preserve">Title: </w:t>
      </w:r>
      <w:r w:rsidR="00FE0CBC" w:rsidRPr="00E511AB">
        <w:rPr>
          <w:b/>
          <w:bCs/>
          <w:sz w:val="28"/>
          <w:szCs w:val="28"/>
        </w:rPr>
        <w:t>Assessment Component: Financial Performance and Management</w:t>
      </w:r>
      <w:r w:rsidRPr="00E511AB">
        <w:rPr>
          <w:b/>
          <w:bCs/>
          <w:sz w:val="28"/>
          <w:szCs w:val="28"/>
        </w:rPr>
        <w:t xml:space="preserve"> for </w:t>
      </w:r>
      <w:r w:rsidR="00E85DE3">
        <w:rPr>
          <w:b/>
          <w:bCs/>
          <w:sz w:val="28"/>
          <w:szCs w:val="28"/>
        </w:rPr>
        <w:t>Toyota</w:t>
      </w:r>
      <w:r w:rsidR="001E3F9B" w:rsidRPr="00E511AB">
        <w:rPr>
          <w:b/>
          <w:bCs/>
          <w:sz w:val="28"/>
          <w:szCs w:val="28"/>
        </w:rPr>
        <w:t>.</w:t>
      </w:r>
    </w:p>
    <w:p w14:paraId="7DFC8020" w14:textId="718A43FA" w:rsidR="00EC7143" w:rsidRPr="007C39C2" w:rsidRDefault="00D8786C" w:rsidP="00D8786C">
      <w:pPr>
        <w:jc w:val="center"/>
        <w:rPr>
          <w:b/>
          <w:bCs/>
        </w:rPr>
      </w:pPr>
      <w:r w:rsidRPr="007C39C2">
        <w:rPr>
          <w:b/>
          <w:bCs/>
        </w:rPr>
        <w:t>Programme: Master of Business Administration</w:t>
      </w:r>
    </w:p>
    <w:p w14:paraId="2AF925CD" w14:textId="311AA708" w:rsidR="008643CC" w:rsidRDefault="008643CC" w:rsidP="00E511AB">
      <w:pPr>
        <w:spacing w:after="0"/>
        <w:jc w:val="center"/>
        <w:rPr>
          <w:b/>
          <w:bCs/>
        </w:rPr>
      </w:pPr>
      <w:r w:rsidRPr="008643CC">
        <w:rPr>
          <w:b/>
          <w:bCs/>
        </w:rPr>
        <w:t>Module: Financial Management</w:t>
      </w:r>
    </w:p>
    <w:p w14:paraId="59FBE3C8" w14:textId="51F456F2" w:rsidR="007803C1" w:rsidRPr="00324BC1" w:rsidRDefault="00CE0A19" w:rsidP="00E511AB">
      <w:pPr>
        <w:spacing w:after="0"/>
        <w:jc w:val="center"/>
        <w:rPr>
          <w:b/>
          <w:bCs/>
        </w:rPr>
      </w:pPr>
      <w:r w:rsidRPr="00324BC1">
        <w:rPr>
          <w:b/>
          <w:bCs/>
        </w:rPr>
        <w:t xml:space="preserve">Module Code: </w:t>
      </w:r>
      <w:r w:rsidR="00C378B4" w:rsidRPr="00324BC1">
        <w:rPr>
          <w:b/>
          <w:bCs/>
        </w:rPr>
        <w:t>LCMB7002</w:t>
      </w:r>
    </w:p>
    <w:p w14:paraId="58E27E76" w14:textId="662FF068" w:rsidR="00EC7143" w:rsidRPr="00324BC1" w:rsidRDefault="00686353" w:rsidP="001E3F9B">
      <w:pPr>
        <w:jc w:val="center"/>
        <w:rPr>
          <w:b/>
          <w:bCs/>
        </w:rPr>
      </w:pPr>
      <w:r w:rsidRPr="00686353">
        <w:rPr>
          <w:b/>
          <w:bCs/>
        </w:rPr>
        <w:t>Lecturer's</w:t>
      </w:r>
      <w:r w:rsidR="007C39C2" w:rsidRPr="007C39C2">
        <w:rPr>
          <w:b/>
          <w:bCs/>
        </w:rPr>
        <w:t xml:space="preserve"> </w:t>
      </w:r>
      <w:r w:rsidR="007C39C2">
        <w:rPr>
          <w:b/>
          <w:bCs/>
        </w:rPr>
        <w:t>N</w:t>
      </w:r>
      <w:r w:rsidR="007C39C2" w:rsidRPr="007C39C2">
        <w:rPr>
          <w:b/>
          <w:bCs/>
        </w:rPr>
        <w:t>ame</w:t>
      </w:r>
      <w:r w:rsidR="007C39C2">
        <w:rPr>
          <w:b/>
          <w:bCs/>
        </w:rPr>
        <w:t xml:space="preserve">: </w:t>
      </w:r>
      <w:proofErr w:type="spellStart"/>
      <w:r w:rsidR="007C39C2" w:rsidRPr="007C39C2">
        <w:rPr>
          <w:b/>
          <w:bCs/>
        </w:rPr>
        <w:t>Shengfeng</w:t>
      </w:r>
      <w:proofErr w:type="spellEnd"/>
      <w:r w:rsidR="007C39C2" w:rsidRPr="007C39C2">
        <w:rPr>
          <w:b/>
          <w:bCs/>
        </w:rPr>
        <w:t xml:space="preserve"> Mei </w:t>
      </w:r>
    </w:p>
    <w:p w14:paraId="7FFF8AC9" w14:textId="77777777" w:rsidR="00EC7143" w:rsidRPr="00324BC1" w:rsidRDefault="00EC7143" w:rsidP="001E3F9B">
      <w:pPr>
        <w:jc w:val="center"/>
        <w:rPr>
          <w:b/>
          <w:bCs/>
        </w:rPr>
      </w:pPr>
    </w:p>
    <w:p w14:paraId="7D9D07EF" w14:textId="77777777" w:rsidR="00EC7143" w:rsidRPr="00324BC1" w:rsidRDefault="00EC7143" w:rsidP="001E3F9B">
      <w:pPr>
        <w:jc w:val="center"/>
        <w:rPr>
          <w:b/>
          <w:bCs/>
        </w:rPr>
      </w:pPr>
    </w:p>
    <w:p w14:paraId="19D393AA" w14:textId="77777777" w:rsidR="00EC7143" w:rsidRPr="00324BC1" w:rsidRDefault="00EC7143" w:rsidP="00C378B4">
      <w:pPr>
        <w:rPr>
          <w:b/>
          <w:bCs/>
        </w:rPr>
      </w:pPr>
    </w:p>
    <w:p w14:paraId="49955B7D" w14:textId="77777777" w:rsidR="00EC7143" w:rsidRPr="00324BC1" w:rsidRDefault="00EC7143" w:rsidP="001E3F9B">
      <w:pPr>
        <w:jc w:val="center"/>
        <w:rPr>
          <w:b/>
          <w:bCs/>
        </w:rPr>
      </w:pPr>
    </w:p>
    <w:p w14:paraId="131B9434" w14:textId="77777777" w:rsidR="00EC7143" w:rsidRPr="00324BC1" w:rsidRDefault="00EC7143" w:rsidP="001E3F9B">
      <w:pPr>
        <w:jc w:val="center"/>
        <w:rPr>
          <w:b/>
          <w:bCs/>
        </w:rPr>
      </w:pPr>
    </w:p>
    <w:p w14:paraId="6D624831" w14:textId="2A7AFFDC" w:rsidR="008643CC" w:rsidRPr="00324BC1" w:rsidRDefault="008643CC" w:rsidP="001E3F9B">
      <w:pPr>
        <w:spacing w:after="0"/>
        <w:jc w:val="center"/>
      </w:pPr>
      <w:r w:rsidRPr="00324BC1">
        <w:rPr>
          <w:b/>
          <w:bCs/>
        </w:rPr>
        <w:t>Student Name:</w:t>
      </w:r>
      <w:r w:rsidR="00B83047">
        <w:rPr>
          <w:b/>
          <w:bCs/>
        </w:rPr>
        <w:t xml:space="preserve"> </w:t>
      </w:r>
      <w:r w:rsidR="00B83047" w:rsidRPr="00B83047">
        <w:rPr>
          <w:b/>
          <w:bCs/>
        </w:rPr>
        <w:t xml:space="preserve">Tania Sultana </w:t>
      </w:r>
    </w:p>
    <w:p w14:paraId="6E787091" w14:textId="2B7F4FA1" w:rsidR="008643CC" w:rsidRPr="00324BC1" w:rsidRDefault="008643CC" w:rsidP="001E3F9B">
      <w:pPr>
        <w:spacing w:after="0"/>
        <w:jc w:val="center"/>
      </w:pPr>
      <w:r w:rsidRPr="00324BC1">
        <w:rPr>
          <w:b/>
          <w:bCs/>
        </w:rPr>
        <w:t>Student ID:</w:t>
      </w:r>
      <w:r w:rsidR="00B83047">
        <w:rPr>
          <w:b/>
          <w:bCs/>
        </w:rPr>
        <w:t xml:space="preserve"> </w:t>
      </w:r>
      <w:r w:rsidR="00B83047" w:rsidRPr="00B83047">
        <w:rPr>
          <w:b/>
          <w:bCs/>
        </w:rPr>
        <w:t>2516332</w:t>
      </w:r>
    </w:p>
    <w:p w14:paraId="763C439C" w14:textId="0A90F1AC" w:rsidR="008643CC" w:rsidRDefault="008643CC" w:rsidP="001E3F9B">
      <w:pPr>
        <w:spacing w:after="0"/>
        <w:jc w:val="center"/>
        <w:rPr>
          <w:b/>
          <w:bCs/>
        </w:rPr>
      </w:pPr>
      <w:r w:rsidRPr="008643CC">
        <w:rPr>
          <w:b/>
          <w:bCs/>
        </w:rPr>
        <w:t>Word Count:</w:t>
      </w:r>
      <w:r w:rsidR="002C060A">
        <w:rPr>
          <w:b/>
          <w:bCs/>
        </w:rPr>
        <w:t xml:space="preserve"> </w:t>
      </w:r>
      <w:r w:rsidR="00B330D4">
        <w:rPr>
          <w:b/>
          <w:bCs/>
        </w:rPr>
        <w:t>5290</w:t>
      </w:r>
    </w:p>
    <w:p w14:paraId="09CF827C" w14:textId="2A448166" w:rsidR="00B83047" w:rsidRPr="00F23E04" w:rsidRDefault="00B83047" w:rsidP="001E3F9B">
      <w:pPr>
        <w:spacing w:after="0"/>
        <w:jc w:val="center"/>
        <w:rPr>
          <w:b/>
          <w:bCs/>
        </w:rPr>
      </w:pPr>
      <w:r w:rsidRPr="00F23E04">
        <w:rPr>
          <w:b/>
          <w:bCs/>
        </w:rPr>
        <w:t xml:space="preserve">Submission Date: </w:t>
      </w:r>
      <w:r w:rsidR="00363658" w:rsidRPr="00F23E04">
        <w:rPr>
          <w:b/>
          <w:bCs/>
        </w:rPr>
        <w:t>23.</w:t>
      </w:r>
      <w:r w:rsidR="00F23E04" w:rsidRPr="00F23E04">
        <w:rPr>
          <w:b/>
          <w:bCs/>
        </w:rPr>
        <w:t>04.2026</w:t>
      </w:r>
    </w:p>
    <w:p w14:paraId="1A04BD3F" w14:textId="77777777" w:rsidR="00564A12" w:rsidRDefault="00564A12" w:rsidP="008643CC">
      <w:r>
        <w:br w:type="page"/>
      </w:r>
    </w:p>
    <w:sdt>
      <w:sdtPr>
        <w:rPr>
          <w:rFonts w:ascii="Arial" w:eastAsiaTheme="minorEastAsia" w:hAnsi="Arial" w:cstheme="minorBidi"/>
          <w:color w:val="auto"/>
          <w:kern w:val="2"/>
          <w:sz w:val="24"/>
          <w:szCs w:val="24"/>
          <w:lang w:val="en-GB" w:eastAsia="zh-CN"/>
          <w14:ligatures w14:val="standardContextual"/>
        </w:rPr>
        <w:id w:val="-660310869"/>
        <w:docPartObj>
          <w:docPartGallery w:val="Table of Contents"/>
          <w:docPartUnique/>
        </w:docPartObj>
      </w:sdtPr>
      <w:sdtEndPr>
        <w:rPr>
          <w:b/>
          <w:bCs/>
          <w:noProof/>
        </w:rPr>
      </w:sdtEndPr>
      <w:sdtContent>
        <w:p w14:paraId="5C1F4FEB" w14:textId="2C8E5B56" w:rsidR="00E511AB" w:rsidRPr="00E511AB" w:rsidRDefault="00E511AB" w:rsidP="00E511AB">
          <w:pPr>
            <w:pStyle w:val="TOCHeading"/>
            <w:jc w:val="center"/>
            <w:rPr>
              <w:rFonts w:ascii="Arial" w:hAnsi="Arial" w:cs="Arial"/>
              <w:b/>
              <w:bCs/>
              <w:color w:val="000000" w:themeColor="text1"/>
            </w:rPr>
          </w:pPr>
          <w:r w:rsidRPr="00E511AB">
            <w:rPr>
              <w:rFonts w:ascii="Arial" w:hAnsi="Arial" w:cs="Arial"/>
              <w:b/>
              <w:bCs/>
              <w:color w:val="000000" w:themeColor="text1"/>
            </w:rPr>
            <w:t>Table of Contents</w:t>
          </w:r>
        </w:p>
        <w:p w14:paraId="462BCBFC" w14:textId="6648F4EF" w:rsidR="005858CD" w:rsidRDefault="00E511AB">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27885120" w:history="1">
            <w:r w:rsidR="005858CD" w:rsidRPr="00890B67">
              <w:rPr>
                <w:rStyle w:val="Hyperlink"/>
                <w:noProof/>
              </w:rPr>
              <w:t>Introduction</w:t>
            </w:r>
            <w:r w:rsidR="005858CD">
              <w:rPr>
                <w:noProof/>
                <w:webHidden/>
              </w:rPr>
              <w:tab/>
            </w:r>
            <w:r w:rsidR="005858CD">
              <w:rPr>
                <w:noProof/>
                <w:webHidden/>
              </w:rPr>
              <w:fldChar w:fldCharType="begin"/>
            </w:r>
            <w:r w:rsidR="005858CD">
              <w:rPr>
                <w:noProof/>
                <w:webHidden/>
              </w:rPr>
              <w:instrText xml:space="preserve"> PAGEREF _Toc227885120 \h </w:instrText>
            </w:r>
            <w:r w:rsidR="005858CD">
              <w:rPr>
                <w:noProof/>
                <w:webHidden/>
              </w:rPr>
            </w:r>
            <w:r w:rsidR="005858CD">
              <w:rPr>
                <w:noProof/>
                <w:webHidden/>
              </w:rPr>
              <w:fldChar w:fldCharType="separate"/>
            </w:r>
            <w:r w:rsidR="005858CD">
              <w:rPr>
                <w:noProof/>
                <w:webHidden/>
              </w:rPr>
              <w:t>4</w:t>
            </w:r>
            <w:r w:rsidR="005858CD">
              <w:rPr>
                <w:noProof/>
                <w:webHidden/>
              </w:rPr>
              <w:fldChar w:fldCharType="end"/>
            </w:r>
          </w:hyperlink>
        </w:p>
        <w:p w14:paraId="193D62D5" w14:textId="6D6476F4" w:rsidR="005858CD" w:rsidRDefault="005858CD">
          <w:pPr>
            <w:pStyle w:val="TOC1"/>
            <w:tabs>
              <w:tab w:val="right" w:leader="dot" w:pos="9016"/>
            </w:tabs>
            <w:rPr>
              <w:rFonts w:asciiTheme="minorHAnsi" w:hAnsiTheme="minorHAnsi"/>
              <w:noProof/>
            </w:rPr>
          </w:pPr>
          <w:hyperlink w:anchor="_Toc227885121" w:history="1">
            <w:r w:rsidRPr="00890B67">
              <w:rPr>
                <w:rStyle w:val="Hyperlink"/>
                <w:noProof/>
              </w:rPr>
              <w:t>1. Financial Health Check</w:t>
            </w:r>
            <w:r>
              <w:rPr>
                <w:noProof/>
                <w:webHidden/>
              </w:rPr>
              <w:tab/>
            </w:r>
            <w:r>
              <w:rPr>
                <w:noProof/>
                <w:webHidden/>
              </w:rPr>
              <w:fldChar w:fldCharType="begin"/>
            </w:r>
            <w:r>
              <w:rPr>
                <w:noProof/>
                <w:webHidden/>
              </w:rPr>
              <w:instrText xml:space="preserve"> PAGEREF _Toc227885121 \h </w:instrText>
            </w:r>
            <w:r>
              <w:rPr>
                <w:noProof/>
                <w:webHidden/>
              </w:rPr>
            </w:r>
            <w:r>
              <w:rPr>
                <w:noProof/>
                <w:webHidden/>
              </w:rPr>
              <w:fldChar w:fldCharType="separate"/>
            </w:r>
            <w:r>
              <w:rPr>
                <w:noProof/>
                <w:webHidden/>
              </w:rPr>
              <w:t>5</w:t>
            </w:r>
            <w:r>
              <w:rPr>
                <w:noProof/>
                <w:webHidden/>
              </w:rPr>
              <w:fldChar w:fldCharType="end"/>
            </w:r>
          </w:hyperlink>
        </w:p>
        <w:p w14:paraId="63054883" w14:textId="6C73F57E" w:rsidR="005858CD" w:rsidRDefault="005858CD">
          <w:pPr>
            <w:pStyle w:val="TOC2"/>
            <w:tabs>
              <w:tab w:val="right" w:leader="dot" w:pos="9016"/>
            </w:tabs>
            <w:rPr>
              <w:rFonts w:asciiTheme="minorHAnsi" w:hAnsiTheme="minorHAnsi"/>
              <w:noProof/>
            </w:rPr>
          </w:pPr>
          <w:hyperlink w:anchor="_Toc227885122" w:history="1">
            <w:r w:rsidRPr="00890B67">
              <w:rPr>
                <w:rStyle w:val="Hyperlink"/>
                <w:noProof/>
              </w:rPr>
              <w:t>1.1 Profitability Ratios</w:t>
            </w:r>
            <w:r>
              <w:rPr>
                <w:noProof/>
                <w:webHidden/>
              </w:rPr>
              <w:tab/>
            </w:r>
            <w:r>
              <w:rPr>
                <w:noProof/>
                <w:webHidden/>
              </w:rPr>
              <w:fldChar w:fldCharType="begin"/>
            </w:r>
            <w:r>
              <w:rPr>
                <w:noProof/>
                <w:webHidden/>
              </w:rPr>
              <w:instrText xml:space="preserve"> PAGEREF _Toc227885122 \h </w:instrText>
            </w:r>
            <w:r>
              <w:rPr>
                <w:noProof/>
                <w:webHidden/>
              </w:rPr>
            </w:r>
            <w:r>
              <w:rPr>
                <w:noProof/>
                <w:webHidden/>
              </w:rPr>
              <w:fldChar w:fldCharType="separate"/>
            </w:r>
            <w:r>
              <w:rPr>
                <w:noProof/>
                <w:webHidden/>
              </w:rPr>
              <w:t>5</w:t>
            </w:r>
            <w:r>
              <w:rPr>
                <w:noProof/>
                <w:webHidden/>
              </w:rPr>
              <w:fldChar w:fldCharType="end"/>
            </w:r>
          </w:hyperlink>
        </w:p>
        <w:p w14:paraId="5CBBC033" w14:textId="3C929FBE" w:rsidR="005858CD" w:rsidRDefault="005858CD">
          <w:pPr>
            <w:pStyle w:val="TOC3"/>
            <w:tabs>
              <w:tab w:val="right" w:leader="dot" w:pos="9016"/>
            </w:tabs>
            <w:rPr>
              <w:rFonts w:asciiTheme="minorHAnsi" w:hAnsiTheme="minorHAnsi"/>
              <w:noProof/>
            </w:rPr>
          </w:pPr>
          <w:hyperlink w:anchor="_Toc227885123" w:history="1">
            <w:r w:rsidRPr="00890B67">
              <w:rPr>
                <w:rStyle w:val="Hyperlink"/>
                <w:noProof/>
              </w:rPr>
              <w:t>1.1.1 Gross Profit Margin</w:t>
            </w:r>
            <w:r>
              <w:rPr>
                <w:noProof/>
                <w:webHidden/>
              </w:rPr>
              <w:tab/>
            </w:r>
            <w:r>
              <w:rPr>
                <w:noProof/>
                <w:webHidden/>
              </w:rPr>
              <w:fldChar w:fldCharType="begin"/>
            </w:r>
            <w:r>
              <w:rPr>
                <w:noProof/>
                <w:webHidden/>
              </w:rPr>
              <w:instrText xml:space="preserve"> PAGEREF _Toc227885123 \h </w:instrText>
            </w:r>
            <w:r>
              <w:rPr>
                <w:noProof/>
                <w:webHidden/>
              </w:rPr>
            </w:r>
            <w:r>
              <w:rPr>
                <w:noProof/>
                <w:webHidden/>
              </w:rPr>
              <w:fldChar w:fldCharType="separate"/>
            </w:r>
            <w:r>
              <w:rPr>
                <w:noProof/>
                <w:webHidden/>
              </w:rPr>
              <w:t>5</w:t>
            </w:r>
            <w:r>
              <w:rPr>
                <w:noProof/>
                <w:webHidden/>
              </w:rPr>
              <w:fldChar w:fldCharType="end"/>
            </w:r>
          </w:hyperlink>
        </w:p>
        <w:p w14:paraId="29C952F9" w14:textId="081E50A5" w:rsidR="005858CD" w:rsidRDefault="005858CD">
          <w:pPr>
            <w:pStyle w:val="TOC3"/>
            <w:tabs>
              <w:tab w:val="right" w:leader="dot" w:pos="9016"/>
            </w:tabs>
            <w:rPr>
              <w:rFonts w:asciiTheme="minorHAnsi" w:hAnsiTheme="minorHAnsi"/>
              <w:noProof/>
            </w:rPr>
          </w:pPr>
          <w:hyperlink w:anchor="_Toc227885124" w:history="1">
            <w:r w:rsidRPr="00890B67">
              <w:rPr>
                <w:rStyle w:val="Hyperlink"/>
                <w:noProof/>
              </w:rPr>
              <w:t>1.1.2 Operating Profit Margin</w:t>
            </w:r>
            <w:r>
              <w:rPr>
                <w:noProof/>
                <w:webHidden/>
              </w:rPr>
              <w:tab/>
            </w:r>
            <w:r>
              <w:rPr>
                <w:noProof/>
                <w:webHidden/>
              </w:rPr>
              <w:fldChar w:fldCharType="begin"/>
            </w:r>
            <w:r>
              <w:rPr>
                <w:noProof/>
                <w:webHidden/>
              </w:rPr>
              <w:instrText xml:space="preserve"> PAGEREF _Toc227885124 \h </w:instrText>
            </w:r>
            <w:r>
              <w:rPr>
                <w:noProof/>
                <w:webHidden/>
              </w:rPr>
            </w:r>
            <w:r>
              <w:rPr>
                <w:noProof/>
                <w:webHidden/>
              </w:rPr>
              <w:fldChar w:fldCharType="separate"/>
            </w:r>
            <w:r>
              <w:rPr>
                <w:noProof/>
                <w:webHidden/>
              </w:rPr>
              <w:t>6</w:t>
            </w:r>
            <w:r>
              <w:rPr>
                <w:noProof/>
                <w:webHidden/>
              </w:rPr>
              <w:fldChar w:fldCharType="end"/>
            </w:r>
          </w:hyperlink>
        </w:p>
        <w:p w14:paraId="2B80EA42" w14:textId="78838F3C" w:rsidR="005858CD" w:rsidRDefault="005858CD">
          <w:pPr>
            <w:pStyle w:val="TOC3"/>
            <w:tabs>
              <w:tab w:val="right" w:leader="dot" w:pos="9016"/>
            </w:tabs>
            <w:rPr>
              <w:rFonts w:asciiTheme="minorHAnsi" w:hAnsiTheme="minorHAnsi"/>
              <w:noProof/>
            </w:rPr>
          </w:pPr>
          <w:hyperlink w:anchor="_Toc227885125" w:history="1">
            <w:r w:rsidRPr="00890B67">
              <w:rPr>
                <w:rStyle w:val="Hyperlink"/>
                <w:noProof/>
              </w:rPr>
              <w:t>1.1.3 Net Profit Margin</w:t>
            </w:r>
            <w:r>
              <w:rPr>
                <w:noProof/>
                <w:webHidden/>
              </w:rPr>
              <w:tab/>
            </w:r>
            <w:r>
              <w:rPr>
                <w:noProof/>
                <w:webHidden/>
              </w:rPr>
              <w:fldChar w:fldCharType="begin"/>
            </w:r>
            <w:r>
              <w:rPr>
                <w:noProof/>
                <w:webHidden/>
              </w:rPr>
              <w:instrText xml:space="preserve"> PAGEREF _Toc227885125 \h </w:instrText>
            </w:r>
            <w:r>
              <w:rPr>
                <w:noProof/>
                <w:webHidden/>
              </w:rPr>
            </w:r>
            <w:r>
              <w:rPr>
                <w:noProof/>
                <w:webHidden/>
              </w:rPr>
              <w:fldChar w:fldCharType="separate"/>
            </w:r>
            <w:r>
              <w:rPr>
                <w:noProof/>
                <w:webHidden/>
              </w:rPr>
              <w:t>8</w:t>
            </w:r>
            <w:r>
              <w:rPr>
                <w:noProof/>
                <w:webHidden/>
              </w:rPr>
              <w:fldChar w:fldCharType="end"/>
            </w:r>
          </w:hyperlink>
        </w:p>
        <w:p w14:paraId="0BA7AA9D" w14:textId="275176AD" w:rsidR="005858CD" w:rsidRDefault="005858CD">
          <w:pPr>
            <w:pStyle w:val="TOC3"/>
            <w:tabs>
              <w:tab w:val="right" w:leader="dot" w:pos="9016"/>
            </w:tabs>
            <w:rPr>
              <w:rFonts w:asciiTheme="minorHAnsi" w:hAnsiTheme="minorHAnsi"/>
              <w:noProof/>
            </w:rPr>
          </w:pPr>
          <w:hyperlink w:anchor="_Toc227885126" w:history="1">
            <w:r w:rsidRPr="00890B67">
              <w:rPr>
                <w:rStyle w:val="Hyperlink"/>
                <w:noProof/>
              </w:rPr>
              <w:t>1.1.4 Return on Equity</w:t>
            </w:r>
            <w:r>
              <w:rPr>
                <w:noProof/>
                <w:webHidden/>
              </w:rPr>
              <w:tab/>
            </w:r>
            <w:r>
              <w:rPr>
                <w:noProof/>
                <w:webHidden/>
              </w:rPr>
              <w:fldChar w:fldCharType="begin"/>
            </w:r>
            <w:r>
              <w:rPr>
                <w:noProof/>
                <w:webHidden/>
              </w:rPr>
              <w:instrText xml:space="preserve"> PAGEREF _Toc227885126 \h </w:instrText>
            </w:r>
            <w:r>
              <w:rPr>
                <w:noProof/>
                <w:webHidden/>
              </w:rPr>
            </w:r>
            <w:r>
              <w:rPr>
                <w:noProof/>
                <w:webHidden/>
              </w:rPr>
              <w:fldChar w:fldCharType="separate"/>
            </w:r>
            <w:r>
              <w:rPr>
                <w:noProof/>
                <w:webHidden/>
              </w:rPr>
              <w:t>9</w:t>
            </w:r>
            <w:r>
              <w:rPr>
                <w:noProof/>
                <w:webHidden/>
              </w:rPr>
              <w:fldChar w:fldCharType="end"/>
            </w:r>
          </w:hyperlink>
        </w:p>
        <w:p w14:paraId="3A490B33" w14:textId="44508128" w:rsidR="005858CD" w:rsidRDefault="005858CD">
          <w:pPr>
            <w:pStyle w:val="TOC2"/>
            <w:tabs>
              <w:tab w:val="right" w:leader="dot" w:pos="9016"/>
            </w:tabs>
            <w:rPr>
              <w:rFonts w:asciiTheme="minorHAnsi" w:hAnsiTheme="minorHAnsi"/>
              <w:noProof/>
            </w:rPr>
          </w:pPr>
          <w:hyperlink w:anchor="_Toc227885127" w:history="1">
            <w:r w:rsidRPr="00890B67">
              <w:rPr>
                <w:rStyle w:val="Hyperlink"/>
                <w:noProof/>
              </w:rPr>
              <w:t>1.2 Liquidity Ratios</w:t>
            </w:r>
            <w:r>
              <w:rPr>
                <w:noProof/>
                <w:webHidden/>
              </w:rPr>
              <w:tab/>
            </w:r>
            <w:r>
              <w:rPr>
                <w:noProof/>
                <w:webHidden/>
              </w:rPr>
              <w:fldChar w:fldCharType="begin"/>
            </w:r>
            <w:r>
              <w:rPr>
                <w:noProof/>
                <w:webHidden/>
              </w:rPr>
              <w:instrText xml:space="preserve"> PAGEREF _Toc227885127 \h </w:instrText>
            </w:r>
            <w:r>
              <w:rPr>
                <w:noProof/>
                <w:webHidden/>
              </w:rPr>
            </w:r>
            <w:r>
              <w:rPr>
                <w:noProof/>
                <w:webHidden/>
              </w:rPr>
              <w:fldChar w:fldCharType="separate"/>
            </w:r>
            <w:r>
              <w:rPr>
                <w:noProof/>
                <w:webHidden/>
              </w:rPr>
              <w:t>10</w:t>
            </w:r>
            <w:r>
              <w:rPr>
                <w:noProof/>
                <w:webHidden/>
              </w:rPr>
              <w:fldChar w:fldCharType="end"/>
            </w:r>
          </w:hyperlink>
        </w:p>
        <w:p w14:paraId="1F3F65EB" w14:textId="0DB817B9" w:rsidR="005858CD" w:rsidRDefault="005858CD">
          <w:pPr>
            <w:pStyle w:val="TOC2"/>
            <w:tabs>
              <w:tab w:val="right" w:leader="dot" w:pos="9016"/>
            </w:tabs>
            <w:rPr>
              <w:rFonts w:asciiTheme="minorHAnsi" w:hAnsiTheme="minorHAnsi"/>
              <w:noProof/>
            </w:rPr>
          </w:pPr>
          <w:hyperlink w:anchor="_Toc227885128" w:history="1">
            <w:r w:rsidRPr="00890B67">
              <w:rPr>
                <w:rStyle w:val="Hyperlink"/>
                <w:noProof/>
              </w:rPr>
              <w:t>1.3 Gearing Ratios</w:t>
            </w:r>
            <w:r>
              <w:rPr>
                <w:noProof/>
                <w:webHidden/>
              </w:rPr>
              <w:tab/>
            </w:r>
            <w:r>
              <w:rPr>
                <w:noProof/>
                <w:webHidden/>
              </w:rPr>
              <w:fldChar w:fldCharType="begin"/>
            </w:r>
            <w:r>
              <w:rPr>
                <w:noProof/>
                <w:webHidden/>
              </w:rPr>
              <w:instrText xml:space="preserve"> PAGEREF _Toc227885128 \h </w:instrText>
            </w:r>
            <w:r>
              <w:rPr>
                <w:noProof/>
                <w:webHidden/>
              </w:rPr>
            </w:r>
            <w:r>
              <w:rPr>
                <w:noProof/>
                <w:webHidden/>
              </w:rPr>
              <w:fldChar w:fldCharType="separate"/>
            </w:r>
            <w:r>
              <w:rPr>
                <w:noProof/>
                <w:webHidden/>
              </w:rPr>
              <w:t>11</w:t>
            </w:r>
            <w:r>
              <w:rPr>
                <w:noProof/>
                <w:webHidden/>
              </w:rPr>
              <w:fldChar w:fldCharType="end"/>
            </w:r>
          </w:hyperlink>
        </w:p>
        <w:p w14:paraId="5E35994C" w14:textId="50D65113" w:rsidR="005858CD" w:rsidRDefault="005858CD">
          <w:pPr>
            <w:pStyle w:val="TOC2"/>
            <w:tabs>
              <w:tab w:val="right" w:leader="dot" w:pos="9016"/>
            </w:tabs>
            <w:rPr>
              <w:rFonts w:asciiTheme="minorHAnsi" w:hAnsiTheme="minorHAnsi"/>
              <w:noProof/>
            </w:rPr>
          </w:pPr>
          <w:hyperlink w:anchor="_Toc227885129" w:history="1">
            <w:r w:rsidRPr="00890B67">
              <w:rPr>
                <w:rStyle w:val="Hyperlink"/>
                <w:noProof/>
              </w:rPr>
              <w:t>1.4 Efficiency and Cash Conversion</w:t>
            </w:r>
            <w:r>
              <w:rPr>
                <w:noProof/>
                <w:webHidden/>
              </w:rPr>
              <w:tab/>
            </w:r>
            <w:r>
              <w:rPr>
                <w:noProof/>
                <w:webHidden/>
              </w:rPr>
              <w:fldChar w:fldCharType="begin"/>
            </w:r>
            <w:r>
              <w:rPr>
                <w:noProof/>
                <w:webHidden/>
              </w:rPr>
              <w:instrText xml:space="preserve"> PAGEREF _Toc227885129 \h </w:instrText>
            </w:r>
            <w:r>
              <w:rPr>
                <w:noProof/>
                <w:webHidden/>
              </w:rPr>
            </w:r>
            <w:r>
              <w:rPr>
                <w:noProof/>
                <w:webHidden/>
              </w:rPr>
              <w:fldChar w:fldCharType="separate"/>
            </w:r>
            <w:r>
              <w:rPr>
                <w:noProof/>
                <w:webHidden/>
              </w:rPr>
              <w:t>12</w:t>
            </w:r>
            <w:r>
              <w:rPr>
                <w:noProof/>
                <w:webHidden/>
              </w:rPr>
              <w:fldChar w:fldCharType="end"/>
            </w:r>
          </w:hyperlink>
        </w:p>
        <w:p w14:paraId="4946E9E7" w14:textId="63956220" w:rsidR="005858CD" w:rsidRDefault="005858CD">
          <w:pPr>
            <w:pStyle w:val="TOC2"/>
            <w:tabs>
              <w:tab w:val="right" w:leader="dot" w:pos="9016"/>
            </w:tabs>
            <w:rPr>
              <w:rFonts w:asciiTheme="minorHAnsi" w:hAnsiTheme="minorHAnsi"/>
              <w:noProof/>
            </w:rPr>
          </w:pPr>
          <w:hyperlink w:anchor="_Toc227885130" w:history="1">
            <w:r w:rsidRPr="00890B67">
              <w:rPr>
                <w:rStyle w:val="Hyperlink"/>
                <w:noProof/>
              </w:rPr>
              <w:t>1.5 Corporate Failure Risk</w:t>
            </w:r>
            <w:r>
              <w:rPr>
                <w:noProof/>
                <w:webHidden/>
              </w:rPr>
              <w:tab/>
            </w:r>
            <w:r>
              <w:rPr>
                <w:noProof/>
                <w:webHidden/>
              </w:rPr>
              <w:fldChar w:fldCharType="begin"/>
            </w:r>
            <w:r>
              <w:rPr>
                <w:noProof/>
                <w:webHidden/>
              </w:rPr>
              <w:instrText xml:space="preserve"> PAGEREF _Toc227885130 \h </w:instrText>
            </w:r>
            <w:r>
              <w:rPr>
                <w:noProof/>
                <w:webHidden/>
              </w:rPr>
            </w:r>
            <w:r>
              <w:rPr>
                <w:noProof/>
                <w:webHidden/>
              </w:rPr>
              <w:fldChar w:fldCharType="separate"/>
            </w:r>
            <w:r>
              <w:rPr>
                <w:noProof/>
                <w:webHidden/>
              </w:rPr>
              <w:t>14</w:t>
            </w:r>
            <w:r>
              <w:rPr>
                <w:noProof/>
                <w:webHidden/>
              </w:rPr>
              <w:fldChar w:fldCharType="end"/>
            </w:r>
          </w:hyperlink>
        </w:p>
        <w:p w14:paraId="40880EF8" w14:textId="2C2FCA47" w:rsidR="005858CD" w:rsidRDefault="005858CD">
          <w:pPr>
            <w:pStyle w:val="TOC2"/>
            <w:tabs>
              <w:tab w:val="right" w:leader="dot" w:pos="9016"/>
            </w:tabs>
            <w:rPr>
              <w:rFonts w:asciiTheme="minorHAnsi" w:hAnsiTheme="minorHAnsi"/>
              <w:noProof/>
            </w:rPr>
          </w:pPr>
          <w:hyperlink w:anchor="_Toc227885131" w:history="1">
            <w:r w:rsidRPr="00890B67">
              <w:rPr>
                <w:rStyle w:val="Hyperlink"/>
                <w:noProof/>
              </w:rPr>
              <w:t>1.6 Overall Financial Diagnosis</w:t>
            </w:r>
            <w:r>
              <w:rPr>
                <w:noProof/>
                <w:webHidden/>
              </w:rPr>
              <w:tab/>
            </w:r>
            <w:r>
              <w:rPr>
                <w:noProof/>
                <w:webHidden/>
              </w:rPr>
              <w:fldChar w:fldCharType="begin"/>
            </w:r>
            <w:r>
              <w:rPr>
                <w:noProof/>
                <w:webHidden/>
              </w:rPr>
              <w:instrText xml:space="preserve"> PAGEREF _Toc227885131 \h </w:instrText>
            </w:r>
            <w:r>
              <w:rPr>
                <w:noProof/>
                <w:webHidden/>
              </w:rPr>
            </w:r>
            <w:r>
              <w:rPr>
                <w:noProof/>
                <w:webHidden/>
              </w:rPr>
              <w:fldChar w:fldCharType="separate"/>
            </w:r>
            <w:r>
              <w:rPr>
                <w:noProof/>
                <w:webHidden/>
              </w:rPr>
              <w:t>14</w:t>
            </w:r>
            <w:r>
              <w:rPr>
                <w:noProof/>
                <w:webHidden/>
              </w:rPr>
              <w:fldChar w:fldCharType="end"/>
            </w:r>
          </w:hyperlink>
        </w:p>
        <w:p w14:paraId="3EB327F2" w14:textId="19F2546E" w:rsidR="005858CD" w:rsidRDefault="005858CD">
          <w:pPr>
            <w:pStyle w:val="TOC1"/>
            <w:tabs>
              <w:tab w:val="right" w:leader="dot" w:pos="9016"/>
            </w:tabs>
            <w:rPr>
              <w:rFonts w:asciiTheme="minorHAnsi" w:hAnsiTheme="minorHAnsi"/>
              <w:noProof/>
            </w:rPr>
          </w:pPr>
          <w:hyperlink w:anchor="_Toc227885132" w:history="1">
            <w:r w:rsidRPr="00890B67">
              <w:rPr>
                <w:rStyle w:val="Hyperlink"/>
                <w:noProof/>
              </w:rPr>
              <w:t>2. Working Capital Management Analysis</w:t>
            </w:r>
            <w:r>
              <w:rPr>
                <w:noProof/>
                <w:webHidden/>
              </w:rPr>
              <w:tab/>
            </w:r>
            <w:r>
              <w:rPr>
                <w:noProof/>
                <w:webHidden/>
              </w:rPr>
              <w:fldChar w:fldCharType="begin"/>
            </w:r>
            <w:r>
              <w:rPr>
                <w:noProof/>
                <w:webHidden/>
              </w:rPr>
              <w:instrText xml:space="preserve"> PAGEREF _Toc227885132 \h </w:instrText>
            </w:r>
            <w:r>
              <w:rPr>
                <w:noProof/>
                <w:webHidden/>
              </w:rPr>
            </w:r>
            <w:r>
              <w:rPr>
                <w:noProof/>
                <w:webHidden/>
              </w:rPr>
              <w:fldChar w:fldCharType="separate"/>
            </w:r>
            <w:r>
              <w:rPr>
                <w:noProof/>
                <w:webHidden/>
              </w:rPr>
              <w:t>15</w:t>
            </w:r>
            <w:r>
              <w:rPr>
                <w:noProof/>
                <w:webHidden/>
              </w:rPr>
              <w:fldChar w:fldCharType="end"/>
            </w:r>
          </w:hyperlink>
        </w:p>
        <w:p w14:paraId="7A103F4F" w14:textId="3E6F508C" w:rsidR="005858CD" w:rsidRDefault="005858CD">
          <w:pPr>
            <w:pStyle w:val="TOC2"/>
            <w:tabs>
              <w:tab w:val="right" w:leader="dot" w:pos="9016"/>
            </w:tabs>
            <w:rPr>
              <w:rFonts w:asciiTheme="minorHAnsi" w:hAnsiTheme="minorHAnsi"/>
              <w:noProof/>
            </w:rPr>
          </w:pPr>
          <w:hyperlink w:anchor="_Toc227885133" w:history="1">
            <w:r w:rsidRPr="00890B67">
              <w:rPr>
                <w:rStyle w:val="Hyperlink"/>
                <w:noProof/>
              </w:rPr>
              <w:t>2.1 Cash Operating Cycle Assessment</w:t>
            </w:r>
            <w:r>
              <w:rPr>
                <w:noProof/>
                <w:webHidden/>
              </w:rPr>
              <w:tab/>
            </w:r>
            <w:r>
              <w:rPr>
                <w:noProof/>
                <w:webHidden/>
              </w:rPr>
              <w:fldChar w:fldCharType="begin"/>
            </w:r>
            <w:r>
              <w:rPr>
                <w:noProof/>
                <w:webHidden/>
              </w:rPr>
              <w:instrText xml:space="preserve"> PAGEREF _Toc227885133 \h </w:instrText>
            </w:r>
            <w:r>
              <w:rPr>
                <w:noProof/>
                <w:webHidden/>
              </w:rPr>
            </w:r>
            <w:r>
              <w:rPr>
                <w:noProof/>
                <w:webHidden/>
              </w:rPr>
              <w:fldChar w:fldCharType="separate"/>
            </w:r>
            <w:r>
              <w:rPr>
                <w:noProof/>
                <w:webHidden/>
              </w:rPr>
              <w:t>15</w:t>
            </w:r>
            <w:r>
              <w:rPr>
                <w:noProof/>
                <w:webHidden/>
              </w:rPr>
              <w:fldChar w:fldCharType="end"/>
            </w:r>
          </w:hyperlink>
        </w:p>
        <w:p w14:paraId="5C59B614" w14:textId="5F82029C" w:rsidR="005858CD" w:rsidRDefault="005858CD">
          <w:pPr>
            <w:pStyle w:val="TOC2"/>
            <w:tabs>
              <w:tab w:val="right" w:leader="dot" w:pos="9016"/>
            </w:tabs>
            <w:rPr>
              <w:rFonts w:asciiTheme="minorHAnsi" w:hAnsiTheme="minorHAnsi"/>
              <w:noProof/>
            </w:rPr>
          </w:pPr>
          <w:hyperlink w:anchor="_Toc227885134" w:history="1">
            <w:r w:rsidRPr="00890B67">
              <w:rPr>
                <w:rStyle w:val="Hyperlink"/>
                <w:noProof/>
              </w:rPr>
              <w:t>2.2 Strategies to Improve Liquidity through Working Capital Reforms</w:t>
            </w:r>
            <w:r>
              <w:rPr>
                <w:noProof/>
                <w:webHidden/>
              </w:rPr>
              <w:tab/>
            </w:r>
            <w:r>
              <w:rPr>
                <w:noProof/>
                <w:webHidden/>
              </w:rPr>
              <w:fldChar w:fldCharType="begin"/>
            </w:r>
            <w:r>
              <w:rPr>
                <w:noProof/>
                <w:webHidden/>
              </w:rPr>
              <w:instrText xml:space="preserve"> PAGEREF _Toc227885134 \h </w:instrText>
            </w:r>
            <w:r>
              <w:rPr>
                <w:noProof/>
                <w:webHidden/>
              </w:rPr>
            </w:r>
            <w:r>
              <w:rPr>
                <w:noProof/>
                <w:webHidden/>
              </w:rPr>
              <w:fldChar w:fldCharType="separate"/>
            </w:r>
            <w:r>
              <w:rPr>
                <w:noProof/>
                <w:webHidden/>
              </w:rPr>
              <w:t>16</w:t>
            </w:r>
            <w:r>
              <w:rPr>
                <w:noProof/>
                <w:webHidden/>
              </w:rPr>
              <w:fldChar w:fldCharType="end"/>
            </w:r>
          </w:hyperlink>
        </w:p>
        <w:p w14:paraId="78AB0B2F" w14:textId="514496CD" w:rsidR="005858CD" w:rsidRDefault="005858CD">
          <w:pPr>
            <w:pStyle w:val="TOC3"/>
            <w:tabs>
              <w:tab w:val="right" w:leader="dot" w:pos="9016"/>
            </w:tabs>
            <w:rPr>
              <w:rFonts w:asciiTheme="minorHAnsi" w:hAnsiTheme="minorHAnsi"/>
              <w:noProof/>
            </w:rPr>
          </w:pPr>
          <w:hyperlink w:anchor="_Toc227885135" w:history="1">
            <w:r w:rsidRPr="00890B67">
              <w:rPr>
                <w:rStyle w:val="Hyperlink"/>
                <w:noProof/>
              </w:rPr>
              <w:t>2.2.1 Inventory Management Improvement</w:t>
            </w:r>
            <w:r>
              <w:rPr>
                <w:noProof/>
                <w:webHidden/>
              </w:rPr>
              <w:tab/>
            </w:r>
            <w:r>
              <w:rPr>
                <w:noProof/>
                <w:webHidden/>
              </w:rPr>
              <w:fldChar w:fldCharType="begin"/>
            </w:r>
            <w:r>
              <w:rPr>
                <w:noProof/>
                <w:webHidden/>
              </w:rPr>
              <w:instrText xml:space="preserve"> PAGEREF _Toc227885135 \h </w:instrText>
            </w:r>
            <w:r>
              <w:rPr>
                <w:noProof/>
                <w:webHidden/>
              </w:rPr>
            </w:r>
            <w:r>
              <w:rPr>
                <w:noProof/>
                <w:webHidden/>
              </w:rPr>
              <w:fldChar w:fldCharType="separate"/>
            </w:r>
            <w:r>
              <w:rPr>
                <w:noProof/>
                <w:webHidden/>
              </w:rPr>
              <w:t>17</w:t>
            </w:r>
            <w:r>
              <w:rPr>
                <w:noProof/>
                <w:webHidden/>
              </w:rPr>
              <w:fldChar w:fldCharType="end"/>
            </w:r>
          </w:hyperlink>
        </w:p>
        <w:p w14:paraId="54D8F5D2" w14:textId="4D55FD0D" w:rsidR="005858CD" w:rsidRDefault="005858CD">
          <w:pPr>
            <w:pStyle w:val="TOC3"/>
            <w:tabs>
              <w:tab w:val="right" w:leader="dot" w:pos="9016"/>
            </w:tabs>
            <w:rPr>
              <w:rFonts w:asciiTheme="minorHAnsi" w:hAnsiTheme="minorHAnsi"/>
              <w:noProof/>
            </w:rPr>
          </w:pPr>
          <w:hyperlink w:anchor="_Toc227885136" w:history="1">
            <w:r w:rsidRPr="00890B67">
              <w:rPr>
                <w:rStyle w:val="Hyperlink"/>
                <w:noProof/>
              </w:rPr>
              <w:t>2.2.2 Receivables Management Enhancement</w:t>
            </w:r>
            <w:r>
              <w:rPr>
                <w:noProof/>
                <w:webHidden/>
              </w:rPr>
              <w:tab/>
            </w:r>
            <w:r>
              <w:rPr>
                <w:noProof/>
                <w:webHidden/>
              </w:rPr>
              <w:fldChar w:fldCharType="begin"/>
            </w:r>
            <w:r>
              <w:rPr>
                <w:noProof/>
                <w:webHidden/>
              </w:rPr>
              <w:instrText xml:space="preserve"> PAGEREF _Toc227885136 \h </w:instrText>
            </w:r>
            <w:r>
              <w:rPr>
                <w:noProof/>
                <w:webHidden/>
              </w:rPr>
            </w:r>
            <w:r>
              <w:rPr>
                <w:noProof/>
                <w:webHidden/>
              </w:rPr>
              <w:fldChar w:fldCharType="separate"/>
            </w:r>
            <w:r>
              <w:rPr>
                <w:noProof/>
                <w:webHidden/>
              </w:rPr>
              <w:t>17</w:t>
            </w:r>
            <w:r>
              <w:rPr>
                <w:noProof/>
                <w:webHidden/>
              </w:rPr>
              <w:fldChar w:fldCharType="end"/>
            </w:r>
          </w:hyperlink>
        </w:p>
        <w:p w14:paraId="225B5AEC" w14:textId="1C7E1FCD" w:rsidR="005858CD" w:rsidRDefault="005858CD">
          <w:pPr>
            <w:pStyle w:val="TOC3"/>
            <w:tabs>
              <w:tab w:val="right" w:leader="dot" w:pos="9016"/>
            </w:tabs>
            <w:rPr>
              <w:rFonts w:asciiTheme="minorHAnsi" w:hAnsiTheme="minorHAnsi"/>
              <w:noProof/>
            </w:rPr>
          </w:pPr>
          <w:hyperlink w:anchor="_Toc227885137" w:history="1">
            <w:r w:rsidRPr="00890B67">
              <w:rPr>
                <w:rStyle w:val="Hyperlink"/>
                <w:noProof/>
              </w:rPr>
              <w:t>2.2.3 Payables Optimisation</w:t>
            </w:r>
            <w:r>
              <w:rPr>
                <w:noProof/>
                <w:webHidden/>
              </w:rPr>
              <w:tab/>
            </w:r>
            <w:r>
              <w:rPr>
                <w:noProof/>
                <w:webHidden/>
              </w:rPr>
              <w:fldChar w:fldCharType="begin"/>
            </w:r>
            <w:r>
              <w:rPr>
                <w:noProof/>
                <w:webHidden/>
              </w:rPr>
              <w:instrText xml:space="preserve"> PAGEREF _Toc227885137 \h </w:instrText>
            </w:r>
            <w:r>
              <w:rPr>
                <w:noProof/>
                <w:webHidden/>
              </w:rPr>
            </w:r>
            <w:r>
              <w:rPr>
                <w:noProof/>
                <w:webHidden/>
              </w:rPr>
              <w:fldChar w:fldCharType="separate"/>
            </w:r>
            <w:r>
              <w:rPr>
                <w:noProof/>
                <w:webHidden/>
              </w:rPr>
              <w:t>17</w:t>
            </w:r>
            <w:r>
              <w:rPr>
                <w:noProof/>
                <w:webHidden/>
              </w:rPr>
              <w:fldChar w:fldCharType="end"/>
            </w:r>
          </w:hyperlink>
        </w:p>
        <w:p w14:paraId="25BBDD36" w14:textId="0B4C14BA" w:rsidR="005858CD" w:rsidRDefault="005858CD">
          <w:pPr>
            <w:pStyle w:val="TOC2"/>
            <w:tabs>
              <w:tab w:val="right" w:leader="dot" w:pos="9016"/>
            </w:tabs>
            <w:rPr>
              <w:rFonts w:asciiTheme="minorHAnsi" w:hAnsiTheme="minorHAnsi"/>
              <w:noProof/>
            </w:rPr>
          </w:pPr>
          <w:hyperlink w:anchor="_Toc227885138" w:history="1">
            <w:r w:rsidRPr="00890B67">
              <w:rPr>
                <w:rStyle w:val="Hyperlink"/>
                <w:noProof/>
              </w:rPr>
              <w:t>2.3 Comparison of Short-Term and Long-Term Financing Options</w:t>
            </w:r>
            <w:r>
              <w:rPr>
                <w:noProof/>
                <w:webHidden/>
              </w:rPr>
              <w:tab/>
            </w:r>
            <w:r>
              <w:rPr>
                <w:noProof/>
                <w:webHidden/>
              </w:rPr>
              <w:fldChar w:fldCharType="begin"/>
            </w:r>
            <w:r>
              <w:rPr>
                <w:noProof/>
                <w:webHidden/>
              </w:rPr>
              <w:instrText xml:space="preserve"> PAGEREF _Toc227885138 \h </w:instrText>
            </w:r>
            <w:r>
              <w:rPr>
                <w:noProof/>
                <w:webHidden/>
              </w:rPr>
            </w:r>
            <w:r>
              <w:rPr>
                <w:noProof/>
                <w:webHidden/>
              </w:rPr>
              <w:fldChar w:fldCharType="separate"/>
            </w:r>
            <w:r>
              <w:rPr>
                <w:noProof/>
                <w:webHidden/>
              </w:rPr>
              <w:t>17</w:t>
            </w:r>
            <w:r>
              <w:rPr>
                <w:noProof/>
                <w:webHidden/>
              </w:rPr>
              <w:fldChar w:fldCharType="end"/>
            </w:r>
          </w:hyperlink>
        </w:p>
        <w:p w14:paraId="3322336A" w14:textId="72744C2B" w:rsidR="005858CD" w:rsidRDefault="005858CD">
          <w:pPr>
            <w:pStyle w:val="TOC3"/>
            <w:tabs>
              <w:tab w:val="right" w:leader="dot" w:pos="9016"/>
            </w:tabs>
            <w:rPr>
              <w:rFonts w:asciiTheme="minorHAnsi" w:hAnsiTheme="minorHAnsi"/>
              <w:noProof/>
            </w:rPr>
          </w:pPr>
          <w:hyperlink w:anchor="_Toc227885139" w:history="1">
            <w:r w:rsidRPr="00890B67">
              <w:rPr>
                <w:rStyle w:val="Hyperlink"/>
                <w:noProof/>
              </w:rPr>
              <w:t>2.3.1 Short-Term Financing</w:t>
            </w:r>
            <w:r>
              <w:rPr>
                <w:noProof/>
                <w:webHidden/>
              </w:rPr>
              <w:tab/>
            </w:r>
            <w:r>
              <w:rPr>
                <w:noProof/>
                <w:webHidden/>
              </w:rPr>
              <w:fldChar w:fldCharType="begin"/>
            </w:r>
            <w:r>
              <w:rPr>
                <w:noProof/>
                <w:webHidden/>
              </w:rPr>
              <w:instrText xml:space="preserve"> PAGEREF _Toc227885139 \h </w:instrText>
            </w:r>
            <w:r>
              <w:rPr>
                <w:noProof/>
                <w:webHidden/>
              </w:rPr>
            </w:r>
            <w:r>
              <w:rPr>
                <w:noProof/>
                <w:webHidden/>
              </w:rPr>
              <w:fldChar w:fldCharType="separate"/>
            </w:r>
            <w:r>
              <w:rPr>
                <w:noProof/>
                <w:webHidden/>
              </w:rPr>
              <w:t>17</w:t>
            </w:r>
            <w:r>
              <w:rPr>
                <w:noProof/>
                <w:webHidden/>
              </w:rPr>
              <w:fldChar w:fldCharType="end"/>
            </w:r>
          </w:hyperlink>
        </w:p>
        <w:p w14:paraId="421B3855" w14:textId="40C77C70" w:rsidR="005858CD" w:rsidRDefault="005858CD">
          <w:pPr>
            <w:pStyle w:val="TOC3"/>
            <w:tabs>
              <w:tab w:val="right" w:leader="dot" w:pos="9016"/>
            </w:tabs>
            <w:rPr>
              <w:rFonts w:asciiTheme="minorHAnsi" w:hAnsiTheme="minorHAnsi"/>
              <w:noProof/>
            </w:rPr>
          </w:pPr>
          <w:hyperlink w:anchor="_Toc227885140" w:history="1">
            <w:r w:rsidRPr="00890B67">
              <w:rPr>
                <w:rStyle w:val="Hyperlink"/>
                <w:noProof/>
              </w:rPr>
              <w:t>2.3.2 Long-Term Financing</w:t>
            </w:r>
            <w:r>
              <w:rPr>
                <w:noProof/>
                <w:webHidden/>
              </w:rPr>
              <w:tab/>
            </w:r>
            <w:r>
              <w:rPr>
                <w:noProof/>
                <w:webHidden/>
              </w:rPr>
              <w:fldChar w:fldCharType="begin"/>
            </w:r>
            <w:r>
              <w:rPr>
                <w:noProof/>
                <w:webHidden/>
              </w:rPr>
              <w:instrText xml:space="preserve"> PAGEREF _Toc227885140 \h </w:instrText>
            </w:r>
            <w:r>
              <w:rPr>
                <w:noProof/>
                <w:webHidden/>
              </w:rPr>
            </w:r>
            <w:r>
              <w:rPr>
                <w:noProof/>
                <w:webHidden/>
              </w:rPr>
              <w:fldChar w:fldCharType="separate"/>
            </w:r>
            <w:r>
              <w:rPr>
                <w:noProof/>
                <w:webHidden/>
              </w:rPr>
              <w:t>18</w:t>
            </w:r>
            <w:r>
              <w:rPr>
                <w:noProof/>
                <w:webHidden/>
              </w:rPr>
              <w:fldChar w:fldCharType="end"/>
            </w:r>
          </w:hyperlink>
        </w:p>
        <w:p w14:paraId="294CF204" w14:textId="044529E3" w:rsidR="005858CD" w:rsidRDefault="005858CD">
          <w:pPr>
            <w:pStyle w:val="TOC3"/>
            <w:tabs>
              <w:tab w:val="right" w:leader="dot" w:pos="9016"/>
            </w:tabs>
            <w:rPr>
              <w:rFonts w:asciiTheme="minorHAnsi" w:hAnsiTheme="minorHAnsi"/>
              <w:noProof/>
            </w:rPr>
          </w:pPr>
          <w:hyperlink w:anchor="_Toc227885141" w:history="1">
            <w:r w:rsidRPr="00890B67">
              <w:rPr>
                <w:rStyle w:val="Hyperlink"/>
                <w:noProof/>
              </w:rPr>
              <w:t>2.3.3 Financing Strategy</w:t>
            </w:r>
            <w:r>
              <w:rPr>
                <w:noProof/>
                <w:webHidden/>
              </w:rPr>
              <w:tab/>
            </w:r>
            <w:r>
              <w:rPr>
                <w:noProof/>
                <w:webHidden/>
              </w:rPr>
              <w:fldChar w:fldCharType="begin"/>
            </w:r>
            <w:r>
              <w:rPr>
                <w:noProof/>
                <w:webHidden/>
              </w:rPr>
              <w:instrText xml:space="preserve"> PAGEREF _Toc227885141 \h </w:instrText>
            </w:r>
            <w:r>
              <w:rPr>
                <w:noProof/>
                <w:webHidden/>
              </w:rPr>
            </w:r>
            <w:r>
              <w:rPr>
                <w:noProof/>
                <w:webHidden/>
              </w:rPr>
              <w:fldChar w:fldCharType="separate"/>
            </w:r>
            <w:r>
              <w:rPr>
                <w:noProof/>
                <w:webHidden/>
              </w:rPr>
              <w:t>18</w:t>
            </w:r>
            <w:r>
              <w:rPr>
                <w:noProof/>
                <w:webHidden/>
              </w:rPr>
              <w:fldChar w:fldCharType="end"/>
            </w:r>
          </w:hyperlink>
        </w:p>
        <w:p w14:paraId="07ED54D4" w14:textId="6CFC432A" w:rsidR="005858CD" w:rsidRDefault="005858CD">
          <w:pPr>
            <w:pStyle w:val="TOC2"/>
            <w:tabs>
              <w:tab w:val="right" w:leader="dot" w:pos="9016"/>
            </w:tabs>
            <w:rPr>
              <w:rFonts w:asciiTheme="minorHAnsi" w:hAnsiTheme="minorHAnsi"/>
              <w:noProof/>
            </w:rPr>
          </w:pPr>
          <w:hyperlink w:anchor="_Toc227885142" w:history="1">
            <w:r w:rsidRPr="00890B67">
              <w:rPr>
                <w:rStyle w:val="Hyperlink"/>
                <w:noProof/>
              </w:rPr>
              <w:t>2.4 Conclusion of Working Capital Analysis</w:t>
            </w:r>
            <w:r>
              <w:rPr>
                <w:noProof/>
                <w:webHidden/>
              </w:rPr>
              <w:tab/>
            </w:r>
            <w:r>
              <w:rPr>
                <w:noProof/>
                <w:webHidden/>
              </w:rPr>
              <w:fldChar w:fldCharType="begin"/>
            </w:r>
            <w:r>
              <w:rPr>
                <w:noProof/>
                <w:webHidden/>
              </w:rPr>
              <w:instrText xml:space="preserve"> PAGEREF _Toc227885142 \h </w:instrText>
            </w:r>
            <w:r>
              <w:rPr>
                <w:noProof/>
                <w:webHidden/>
              </w:rPr>
            </w:r>
            <w:r>
              <w:rPr>
                <w:noProof/>
                <w:webHidden/>
              </w:rPr>
              <w:fldChar w:fldCharType="separate"/>
            </w:r>
            <w:r>
              <w:rPr>
                <w:noProof/>
                <w:webHidden/>
              </w:rPr>
              <w:t>18</w:t>
            </w:r>
            <w:r>
              <w:rPr>
                <w:noProof/>
                <w:webHidden/>
              </w:rPr>
              <w:fldChar w:fldCharType="end"/>
            </w:r>
          </w:hyperlink>
        </w:p>
        <w:p w14:paraId="36DC0688" w14:textId="1AD5DA19" w:rsidR="005858CD" w:rsidRDefault="005858CD">
          <w:pPr>
            <w:pStyle w:val="TOC1"/>
            <w:tabs>
              <w:tab w:val="right" w:leader="dot" w:pos="9016"/>
            </w:tabs>
            <w:rPr>
              <w:rFonts w:asciiTheme="minorHAnsi" w:hAnsiTheme="minorHAnsi"/>
              <w:noProof/>
            </w:rPr>
          </w:pPr>
          <w:hyperlink w:anchor="_Toc227885143" w:history="1">
            <w:r w:rsidRPr="00890B67">
              <w:rPr>
                <w:rStyle w:val="Hyperlink"/>
                <w:noProof/>
              </w:rPr>
              <w:t>3. Strategic Financial Restructuring Plan</w:t>
            </w:r>
            <w:r>
              <w:rPr>
                <w:noProof/>
                <w:webHidden/>
              </w:rPr>
              <w:tab/>
            </w:r>
            <w:r>
              <w:rPr>
                <w:noProof/>
                <w:webHidden/>
              </w:rPr>
              <w:fldChar w:fldCharType="begin"/>
            </w:r>
            <w:r>
              <w:rPr>
                <w:noProof/>
                <w:webHidden/>
              </w:rPr>
              <w:instrText xml:space="preserve"> PAGEREF _Toc227885143 \h </w:instrText>
            </w:r>
            <w:r>
              <w:rPr>
                <w:noProof/>
                <w:webHidden/>
              </w:rPr>
            </w:r>
            <w:r>
              <w:rPr>
                <w:noProof/>
                <w:webHidden/>
              </w:rPr>
              <w:fldChar w:fldCharType="separate"/>
            </w:r>
            <w:r>
              <w:rPr>
                <w:noProof/>
                <w:webHidden/>
              </w:rPr>
              <w:t>20</w:t>
            </w:r>
            <w:r>
              <w:rPr>
                <w:noProof/>
                <w:webHidden/>
              </w:rPr>
              <w:fldChar w:fldCharType="end"/>
            </w:r>
          </w:hyperlink>
        </w:p>
        <w:p w14:paraId="31F36E1E" w14:textId="7F23429A" w:rsidR="005858CD" w:rsidRDefault="005858CD">
          <w:pPr>
            <w:pStyle w:val="TOC2"/>
            <w:tabs>
              <w:tab w:val="right" w:leader="dot" w:pos="9016"/>
            </w:tabs>
            <w:rPr>
              <w:rFonts w:asciiTheme="minorHAnsi" w:hAnsiTheme="minorHAnsi"/>
              <w:noProof/>
            </w:rPr>
          </w:pPr>
          <w:hyperlink w:anchor="_Toc227885144" w:history="1">
            <w:r w:rsidRPr="00890B67">
              <w:rPr>
                <w:rStyle w:val="Hyperlink"/>
                <w:noProof/>
              </w:rPr>
              <w:t>3.1 Financial Restructuring Options for Toyota Industries Corporation</w:t>
            </w:r>
            <w:r>
              <w:rPr>
                <w:noProof/>
                <w:webHidden/>
              </w:rPr>
              <w:tab/>
            </w:r>
            <w:r>
              <w:rPr>
                <w:noProof/>
                <w:webHidden/>
              </w:rPr>
              <w:fldChar w:fldCharType="begin"/>
            </w:r>
            <w:r>
              <w:rPr>
                <w:noProof/>
                <w:webHidden/>
              </w:rPr>
              <w:instrText xml:space="preserve"> PAGEREF _Toc227885144 \h </w:instrText>
            </w:r>
            <w:r>
              <w:rPr>
                <w:noProof/>
                <w:webHidden/>
              </w:rPr>
            </w:r>
            <w:r>
              <w:rPr>
                <w:noProof/>
                <w:webHidden/>
              </w:rPr>
              <w:fldChar w:fldCharType="separate"/>
            </w:r>
            <w:r>
              <w:rPr>
                <w:noProof/>
                <w:webHidden/>
              </w:rPr>
              <w:t>20</w:t>
            </w:r>
            <w:r>
              <w:rPr>
                <w:noProof/>
                <w:webHidden/>
              </w:rPr>
              <w:fldChar w:fldCharType="end"/>
            </w:r>
          </w:hyperlink>
        </w:p>
        <w:p w14:paraId="62D43F27" w14:textId="6C23E73D" w:rsidR="005858CD" w:rsidRDefault="005858CD">
          <w:pPr>
            <w:pStyle w:val="TOC3"/>
            <w:tabs>
              <w:tab w:val="right" w:leader="dot" w:pos="9016"/>
            </w:tabs>
            <w:rPr>
              <w:rFonts w:asciiTheme="minorHAnsi" w:hAnsiTheme="minorHAnsi"/>
              <w:noProof/>
            </w:rPr>
          </w:pPr>
          <w:hyperlink w:anchor="_Toc227885145" w:history="1">
            <w:r w:rsidRPr="00890B67">
              <w:rPr>
                <w:rStyle w:val="Hyperlink"/>
                <w:noProof/>
              </w:rPr>
              <w:t>3.1.1 Equity Financing and Capital Injection</w:t>
            </w:r>
            <w:r>
              <w:rPr>
                <w:noProof/>
                <w:webHidden/>
              </w:rPr>
              <w:tab/>
            </w:r>
            <w:r>
              <w:rPr>
                <w:noProof/>
                <w:webHidden/>
              </w:rPr>
              <w:fldChar w:fldCharType="begin"/>
            </w:r>
            <w:r>
              <w:rPr>
                <w:noProof/>
                <w:webHidden/>
              </w:rPr>
              <w:instrText xml:space="preserve"> PAGEREF _Toc227885145 \h </w:instrText>
            </w:r>
            <w:r>
              <w:rPr>
                <w:noProof/>
                <w:webHidden/>
              </w:rPr>
            </w:r>
            <w:r>
              <w:rPr>
                <w:noProof/>
                <w:webHidden/>
              </w:rPr>
              <w:fldChar w:fldCharType="separate"/>
            </w:r>
            <w:r>
              <w:rPr>
                <w:noProof/>
                <w:webHidden/>
              </w:rPr>
              <w:t>20</w:t>
            </w:r>
            <w:r>
              <w:rPr>
                <w:noProof/>
                <w:webHidden/>
              </w:rPr>
              <w:fldChar w:fldCharType="end"/>
            </w:r>
          </w:hyperlink>
        </w:p>
        <w:p w14:paraId="0387953C" w14:textId="7D505F14" w:rsidR="005858CD" w:rsidRDefault="005858CD">
          <w:pPr>
            <w:pStyle w:val="TOC3"/>
            <w:tabs>
              <w:tab w:val="right" w:leader="dot" w:pos="9016"/>
            </w:tabs>
            <w:rPr>
              <w:rFonts w:asciiTheme="minorHAnsi" w:hAnsiTheme="minorHAnsi"/>
              <w:noProof/>
            </w:rPr>
          </w:pPr>
          <w:hyperlink w:anchor="_Toc227885146" w:history="1">
            <w:r w:rsidRPr="00890B67">
              <w:rPr>
                <w:rStyle w:val="Hyperlink"/>
                <w:noProof/>
              </w:rPr>
              <w:t>3.1.2 Debt Restructuring and Capital Structure Optimisation</w:t>
            </w:r>
            <w:r>
              <w:rPr>
                <w:noProof/>
                <w:webHidden/>
              </w:rPr>
              <w:tab/>
            </w:r>
            <w:r>
              <w:rPr>
                <w:noProof/>
                <w:webHidden/>
              </w:rPr>
              <w:fldChar w:fldCharType="begin"/>
            </w:r>
            <w:r>
              <w:rPr>
                <w:noProof/>
                <w:webHidden/>
              </w:rPr>
              <w:instrText xml:space="preserve"> PAGEREF _Toc227885146 \h </w:instrText>
            </w:r>
            <w:r>
              <w:rPr>
                <w:noProof/>
                <w:webHidden/>
              </w:rPr>
            </w:r>
            <w:r>
              <w:rPr>
                <w:noProof/>
                <w:webHidden/>
              </w:rPr>
              <w:fldChar w:fldCharType="separate"/>
            </w:r>
            <w:r>
              <w:rPr>
                <w:noProof/>
                <w:webHidden/>
              </w:rPr>
              <w:t>20</w:t>
            </w:r>
            <w:r>
              <w:rPr>
                <w:noProof/>
                <w:webHidden/>
              </w:rPr>
              <w:fldChar w:fldCharType="end"/>
            </w:r>
          </w:hyperlink>
        </w:p>
        <w:p w14:paraId="0374DF04" w14:textId="6B53A3EC" w:rsidR="005858CD" w:rsidRDefault="005858CD">
          <w:pPr>
            <w:pStyle w:val="TOC3"/>
            <w:tabs>
              <w:tab w:val="right" w:leader="dot" w:pos="9016"/>
            </w:tabs>
            <w:rPr>
              <w:rFonts w:asciiTheme="minorHAnsi" w:hAnsiTheme="minorHAnsi"/>
              <w:noProof/>
            </w:rPr>
          </w:pPr>
          <w:hyperlink w:anchor="_Toc227885147" w:history="1">
            <w:r w:rsidRPr="00890B67">
              <w:rPr>
                <w:rStyle w:val="Hyperlink"/>
                <w:noProof/>
              </w:rPr>
              <w:t>3.1.3 Divestiture and Strategic Partnerships</w:t>
            </w:r>
            <w:r>
              <w:rPr>
                <w:noProof/>
                <w:webHidden/>
              </w:rPr>
              <w:tab/>
            </w:r>
            <w:r>
              <w:rPr>
                <w:noProof/>
                <w:webHidden/>
              </w:rPr>
              <w:fldChar w:fldCharType="begin"/>
            </w:r>
            <w:r>
              <w:rPr>
                <w:noProof/>
                <w:webHidden/>
              </w:rPr>
              <w:instrText xml:space="preserve"> PAGEREF _Toc227885147 \h </w:instrText>
            </w:r>
            <w:r>
              <w:rPr>
                <w:noProof/>
                <w:webHidden/>
              </w:rPr>
            </w:r>
            <w:r>
              <w:rPr>
                <w:noProof/>
                <w:webHidden/>
              </w:rPr>
              <w:fldChar w:fldCharType="separate"/>
            </w:r>
            <w:r>
              <w:rPr>
                <w:noProof/>
                <w:webHidden/>
              </w:rPr>
              <w:t>21</w:t>
            </w:r>
            <w:r>
              <w:rPr>
                <w:noProof/>
                <w:webHidden/>
              </w:rPr>
              <w:fldChar w:fldCharType="end"/>
            </w:r>
          </w:hyperlink>
        </w:p>
        <w:p w14:paraId="359C431E" w14:textId="476AD15A" w:rsidR="005858CD" w:rsidRDefault="005858CD">
          <w:pPr>
            <w:pStyle w:val="TOC2"/>
            <w:tabs>
              <w:tab w:val="right" w:leader="dot" w:pos="9016"/>
            </w:tabs>
            <w:rPr>
              <w:rFonts w:asciiTheme="minorHAnsi" w:hAnsiTheme="minorHAnsi"/>
              <w:noProof/>
            </w:rPr>
          </w:pPr>
          <w:hyperlink w:anchor="_Toc227885148" w:history="1">
            <w:r w:rsidRPr="00890B67">
              <w:rPr>
                <w:rStyle w:val="Hyperlink"/>
                <w:noProof/>
              </w:rPr>
              <w:t>3.2 Impact on Shareholder Value, Debt Structure, and Operational Flexibility</w:t>
            </w:r>
            <w:r>
              <w:rPr>
                <w:noProof/>
                <w:webHidden/>
              </w:rPr>
              <w:tab/>
            </w:r>
            <w:r>
              <w:rPr>
                <w:noProof/>
                <w:webHidden/>
              </w:rPr>
              <w:fldChar w:fldCharType="begin"/>
            </w:r>
            <w:r>
              <w:rPr>
                <w:noProof/>
                <w:webHidden/>
              </w:rPr>
              <w:instrText xml:space="preserve"> PAGEREF _Toc227885148 \h </w:instrText>
            </w:r>
            <w:r>
              <w:rPr>
                <w:noProof/>
                <w:webHidden/>
              </w:rPr>
            </w:r>
            <w:r>
              <w:rPr>
                <w:noProof/>
                <w:webHidden/>
              </w:rPr>
              <w:fldChar w:fldCharType="separate"/>
            </w:r>
            <w:r>
              <w:rPr>
                <w:noProof/>
                <w:webHidden/>
              </w:rPr>
              <w:t>21</w:t>
            </w:r>
            <w:r>
              <w:rPr>
                <w:noProof/>
                <w:webHidden/>
              </w:rPr>
              <w:fldChar w:fldCharType="end"/>
            </w:r>
          </w:hyperlink>
        </w:p>
        <w:p w14:paraId="46C7A53F" w14:textId="37F88618" w:rsidR="005858CD" w:rsidRDefault="005858CD">
          <w:pPr>
            <w:pStyle w:val="TOC3"/>
            <w:tabs>
              <w:tab w:val="right" w:leader="dot" w:pos="9016"/>
            </w:tabs>
            <w:rPr>
              <w:rFonts w:asciiTheme="minorHAnsi" w:hAnsiTheme="minorHAnsi"/>
              <w:noProof/>
            </w:rPr>
          </w:pPr>
          <w:hyperlink w:anchor="_Toc227885149" w:history="1">
            <w:r w:rsidRPr="00890B67">
              <w:rPr>
                <w:rStyle w:val="Hyperlink"/>
                <w:noProof/>
              </w:rPr>
              <w:t>3.2.1 Impact on Shareholder Value</w:t>
            </w:r>
            <w:r>
              <w:rPr>
                <w:noProof/>
                <w:webHidden/>
              </w:rPr>
              <w:tab/>
            </w:r>
            <w:r>
              <w:rPr>
                <w:noProof/>
                <w:webHidden/>
              </w:rPr>
              <w:fldChar w:fldCharType="begin"/>
            </w:r>
            <w:r>
              <w:rPr>
                <w:noProof/>
                <w:webHidden/>
              </w:rPr>
              <w:instrText xml:space="preserve"> PAGEREF _Toc227885149 \h </w:instrText>
            </w:r>
            <w:r>
              <w:rPr>
                <w:noProof/>
                <w:webHidden/>
              </w:rPr>
            </w:r>
            <w:r>
              <w:rPr>
                <w:noProof/>
                <w:webHidden/>
              </w:rPr>
              <w:fldChar w:fldCharType="separate"/>
            </w:r>
            <w:r>
              <w:rPr>
                <w:noProof/>
                <w:webHidden/>
              </w:rPr>
              <w:t>21</w:t>
            </w:r>
            <w:r>
              <w:rPr>
                <w:noProof/>
                <w:webHidden/>
              </w:rPr>
              <w:fldChar w:fldCharType="end"/>
            </w:r>
          </w:hyperlink>
        </w:p>
        <w:p w14:paraId="741B496F" w14:textId="494D51A7" w:rsidR="005858CD" w:rsidRDefault="005858CD">
          <w:pPr>
            <w:pStyle w:val="TOC3"/>
            <w:tabs>
              <w:tab w:val="right" w:leader="dot" w:pos="9016"/>
            </w:tabs>
            <w:rPr>
              <w:rFonts w:asciiTheme="minorHAnsi" w:hAnsiTheme="minorHAnsi"/>
              <w:noProof/>
            </w:rPr>
          </w:pPr>
          <w:hyperlink w:anchor="_Toc227885150" w:history="1">
            <w:r w:rsidRPr="00890B67">
              <w:rPr>
                <w:rStyle w:val="Hyperlink"/>
                <w:noProof/>
              </w:rPr>
              <w:t>3.2.2 Impact on Debt Structure and Financial Risk</w:t>
            </w:r>
            <w:r>
              <w:rPr>
                <w:noProof/>
                <w:webHidden/>
              </w:rPr>
              <w:tab/>
            </w:r>
            <w:r>
              <w:rPr>
                <w:noProof/>
                <w:webHidden/>
              </w:rPr>
              <w:fldChar w:fldCharType="begin"/>
            </w:r>
            <w:r>
              <w:rPr>
                <w:noProof/>
                <w:webHidden/>
              </w:rPr>
              <w:instrText xml:space="preserve"> PAGEREF _Toc227885150 \h </w:instrText>
            </w:r>
            <w:r>
              <w:rPr>
                <w:noProof/>
                <w:webHidden/>
              </w:rPr>
            </w:r>
            <w:r>
              <w:rPr>
                <w:noProof/>
                <w:webHidden/>
              </w:rPr>
              <w:fldChar w:fldCharType="separate"/>
            </w:r>
            <w:r>
              <w:rPr>
                <w:noProof/>
                <w:webHidden/>
              </w:rPr>
              <w:t>22</w:t>
            </w:r>
            <w:r>
              <w:rPr>
                <w:noProof/>
                <w:webHidden/>
              </w:rPr>
              <w:fldChar w:fldCharType="end"/>
            </w:r>
          </w:hyperlink>
        </w:p>
        <w:p w14:paraId="55DD2893" w14:textId="2ADD6C4B" w:rsidR="005858CD" w:rsidRDefault="005858CD">
          <w:pPr>
            <w:pStyle w:val="TOC3"/>
            <w:tabs>
              <w:tab w:val="right" w:leader="dot" w:pos="9016"/>
            </w:tabs>
            <w:rPr>
              <w:rFonts w:asciiTheme="minorHAnsi" w:hAnsiTheme="minorHAnsi"/>
              <w:noProof/>
            </w:rPr>
          </w:pPr>
          <w:hyperlink w:anchor="_Toc227885151" w:history="1">
            <w:r w:rsidRPr="00890B67">
              <w:rPr>
                <w:rStyle w:val="Hyperlink"/>
                <w:noProof/>
              </w:rPr>
              <w:t>3.2.3 Impact on Operational Flexibility</w:t>
            </w:r>
            <w:r>
              <w:rPr>
                <w:noProof/>
                <w:webHidden/>
              </w:rPr>
              <w:tab/>
            </w:r>
            <w:r>
              <w:rPr>
                <w:noProof/>
                <w:webHidden/>
              </w:rPr>
              <w:fldChar w:fldCharType="begin"/>
            </w:r>
            <w:r>
              <w:rPr>
                <w:noProof/>
                <w:webHidden/>
              </w:rPr>
              <w:instrText xml:space="preserve"> PAGEREF _Toc227885151 \h </w:instrText>
            </w:r>
            <w:r>
              <w:rPr>
                <w:noProof/>
                <w:webHidden/>
              </w:rPr>
            </w:r>
            <w:r>
              <w:rPr>
                <w:noProof/>
                <w:webHidden/>
              </w:rPr>
              <w:fldChar w:fldCharType="separate"/>
            </w:r>
            <w:r>
              <w:rPr>
                <w:noProof/>
                <w:webHidden/>
              </w:rPr>
              <w:t>22</w:t>
            </w:r>
            <w:r>
              <w:rPr>
                <w:noProof/>
                <w:webHidden/>
              </w:rPr>
              <w:fldChar w:fldCharType="end"/>
            </w:r>
          </w:hyperlink>
        </w:p>
        <w:p w14:paraId="206A75FB" w14:textId="3932574A" w:rsidR="005858CD" w:rsidRDefault="005858CD">
          <w:pPr>
            <w:pStyle w:val="TOC2"/>
            <w:tabs>
              <w:tab w:val="right" w:leader="dot" w:pos="9016"/>
            </w:tabs>
            <w:rPr>
              <w:rFonts w:asciiTheme="minorHAnsi" w:hAnsiTheme="minorHAnsi"/>
              <w:noProof/>
            </w:rPr>
          </w:pPr>
          <w:hyperlink w:anchor="_Toc227885152" w:history="1">
            <w:r w:rsidRPr="00890B67">
              <w:rPr>
                <w:rStyle w:val="Hyperlink"/>
                <w:noProof/>
              </w:rPr>
              <w:t>3.3 International and Ethical Considerations</w:t>
            </w:r>
            <w:r>
              <w:rPr>
                <w:noProof/>
                <w:webHidden/>
              </w:rPr>
              <w:tab/>
            </w:r>
            <w:r>
              <w:rPr>
                <w:noProof/>
                <w:webHidden/>
              </w:rPr>
              <w:fldChar w:fldCharType="begin"/>
            </w:r>
            <w:r>
              <w:rPr>
                <w:noProof/>
                <w:webHidden/>
              </w:rPr>
              <w:instrText xml:space="preserve"> PAGEREF _Toc227885152 \h </w:instrText>
            </w:r>
            <w:r>
              <w:rPr>
                <w:noProof/>
                <w:webHidden/>
              </w:rPr>
            </w:r>
            <w:r>
              <w:rPr>
                <w:noProof/>
                <w:webHidden/>
              </w:rPr>
              <w:fldChar w:fldCharType="separate"/>
            </w:r>
            <w:r>
              <w:rPr>
                <w:noProof/>
                <w:webHidden/>
              </w:rPr>
              <w:t>22</w:t>
            </w:r>
            <w:r>
              <w:rPr>
                <w:noProof/>
                <w:webHidden/>
              </w:rPr>
              <w:fldChar w:fldCharType="end"/>
            </w:r>
          </w:hyperlink>
        </w:p>
        <w:p w14:paraId="2F3CEB36" w14:textId="791CEDD4" w:rsidR="005858CD" w:rsidRDefault="005858CD">
          <w:pPr>
            <w:pStyle w:val="TOC3"/>
            <w:tabs>
              <w:tab w:val="right" w:leader="dot" w:pos="9016"/>
            </w:tabs>
            <w:rPr>
              <w:rFonts w:asciiTheme="minorHAnsi" w:hAnsiTheme="minorHAnsi"/>
              <w:noProof/>
            </w:rPr>
          </w:pPr>
          <w:hyperlink w:anchor="_Toc227885153" w:history="1">
            <w:r w:rsidRPr="00890B67">
              <w:rPr>
                <w:rStyle w:val="Hyperlink"/>
                <w:noProof/>
              </w:rPr>
              <w:t>3.3.1 Currency Risk and Global Operations</w:t>
            </w:r>
            <w:r>
              <w:rPr>
                <w:noProof/>
                <w:webHidden/>
              </w:rPr>
              <w:tab/>
            </w:r>
            <w:r>
              <w:rPr>
                <w:noProof/>
                <w:webHidden/>
              </w:rPr>
              <w:fldChar w:fldCharType="begin"/>
            </w:r>
            <w:r>
              <w:rPr>
                <w:noProof/>
                <w:webHidden/>
              </w:rPr>
              <w:instrText xml:space="preserve"> PAGEREF _Toc227885153 \h </w:instrText>
            </w:r>
            <w:r>
              <w:rPr>
                <w:noProof/>
                <w:webHidden/>
              </w:rPr>
            </w:r>
            <w:r>
              <w:rPr>
                <w:noProof/>
                <w:webHidden/>
              </w:rPr>
              <w:fldChar w:fldCharType="separate"/>
            </w:r>
            <w:r>
              <w:rPr>
                <w:noProof/>
                <w:webHidden/>
              </w:rPr>
              <w:t>22</w:t>
            </w:r>
            <w:r>
              <w:rPr>
                <w:noProof/>
                <w:webHidden/>
              </w:rPr>
              <w:fldChar w:fldCharType="end"/>
            </w:r>
          </w:hyperlink>
        </w:p>
        <w:p w14:paraId="4F1845F7" w14:textId="646B65EB" w:rsidR="005858CD" w:rsidRDefault="005858CD">
          <w:pPr>
            <w:pStyle w:val="TOC3"/>
            <w:tabs>
              <w:tab w:val="right" w:leader="dot" w:pos="9016"/>
            </w:tabs>
            <w:rPr>
              <w:rFonts w:asciiTheme="minorHAnsi" w:hAnsiTheme="minorHAnsi"/>
              <w:noProof/>
            </w:rPr>
          </w:pPr>
          <w:hyperlink w:anchor="_Toc227885154" w:history="1">
            <w:r w:rsidRPr="00890B67">
              <w:rPr>
                <w:rStyle w:val="Hyperlink"/>
                <w:noProof/>
              </w:rPr>
              <w:t>3.3.2 Inflation and Cost Management</w:t>
            </w:r>
            <w:r>
              <w:rPr>
                <w:noProof/>
                <w:webHidden/>
              </w:rPr>
              <w:tab/>
            </w:r>
            <w:r>
              <w:rPr>
                <w:noProof/>
                <w:webHidden/>
              </w:rPr>
              <w:fldChar w:fldCharType="begin"/>
            </w:r>
            <w:r>
              <w:rPr>
                <w:noProof/>
                <w:webHidden/>
              </w:rPr>
              <w:instrText xml:space="preserve"> PAGEREF _Toc227885154 \h </w:instrText>
            </w:r>
            <w:r>
              <w:rPr>
                <w:noProof/>
                <w:webHidden/>
              </w:rPr>
            </w:r>
            <w:r>
              <w:rPr>
                <w:noProof/>
                <w:webHidden/>
              </w:rPr>
              <w:fldChar w:fldCharType="separate"/>
            </w:r>
            <w:r>
              <w:rPr>
                <w:noProof/>
                <w:webHidden/>
              </w:rPr>
              <w:t>22</w:t>
            </w:r>
            <w:r>
              <w:rPr>
                <w:noProof/>
                <w:webHidden/>
              </w:rPr>
              <w:fldChar w:fldCharType="end"/>
            </w:r>
          </w:hyperlink>
        </w:p>
        <w:p w14:paraId="7140FC47" w14:textId="1CDFED2D" w:rsidR="005858CD" w:rsidRDefault="005858CD">
          <w:pPr>
            <w:pStyle w:val="TOC3"/>
            <w:tabs>
              <w:tab w:val="right" w:leader="dot" w:pos="9016"/>
            </w:tabs>
            <w:rPr>
              <w:rFonts w:asciiTheme="minorHAnsi" w:hAnsiTheme="minorHAnsi"/>
              <w:noProof/>
            </w:rPr>
          </w:pPr>
          <w:hyperlink w:anchor="_Toc227885155" w:history="1">
            <w:r w:rsidRPr="00890B67">
              <w:rPr>
                <w:rStyle w:val="Hyperlink"/>
                <w:noProof/>
              </w:rPr>
              <w:t>3.3.3 Taxation and Regulatory Compliance</w:t>
            </w:r>
            <w:r>
              <w:rPr>
                <w:noProof/>
                <w:webHidden/>
              </w:rPr>
              <w:tab/>
            </w:r>
            <w:r>
              <w:rPr>
                <w:noProof/>
                <w:webHidden/>
              </w:rPr>
              <w:fldChar w:fldCharType="begin"/>
            </w:r>
            <w:r>
              <w:rPr>
                <w:noProof/>
                <w:webHidden/>
              </w:rPr>
              <w:instrText xml:space="preserve"> PAGEREF _Toc227885155 \h </w:instrText>
            </w:r>
            <w:r>
              <w:rPr>
                <w:noProof/>
                <w:webHidden/>
              </w:rPr>
            </w:r>
            <w:r>
              <w:rPr>
                <w:noProof/>
                <w:webHidden/>
              </w:rPr>
              <w:fldChar w:fldCharType="separate"/>
            </w:r>
            <w:r>
              <w:rPr>
                <w:noProof/>
                <w:webHidden/>
              </w:rPr>
              <w:t>23</w:t>
            </w:r>
            <w:r>
              <w:rPr>
                <w:noProof/>
                <w:webHidden/>
              </w:rPr>
              <w:fldChar w:fldCharType="end"/>
            </w:r>
          </w:hyperlink>
        </w:p>
        <w:p w14:paraId="651B310B" w14:textId="285BC954" w:rsidR="005858CD" w:rsidRDefault="005858CD">
          <w:pPr>
            <w:pStyle w:val="TOC3"/>
            <w:tabs>
              <w:tab w:val="right" w:leader="dot" w:pos="9016"/>
            </w:tabs>
            <w:rPr>
              <w:rFonts w:asciiTheme="minorHAnsi" w:hAnsiTheme="minorHAnsi"/>
              <w:noProof/>
            </w:rPr>
          </w:pPr>
          <w:hyperlink w:anchor="_Toc227885156" w:history="1">
            <w:r w:rsidRPr="00890B67">
              <w:rPr>
                <w:rStyle w:val="Hyperlink"/>
                <w:noProof/>
              </w:rPr>
              <w:t>3.3.4 Corporate Social Responsibility (CSR) and Sustainability</w:t>
            </w:r>
            <w:r>
              <w:rPr>
                <w:noProof/>
                <w:webHidden/>
              </w:rPr>
              <w:tab/>
            </w:r>
            <w:r>
              <w:rPr>
                <w:noProof/>
                <w:webHidden/>
              </w:rPr>
              <w:fldChar w:fldCharType="begin"/>
            </w:r>
            <w:r>
              <w:rPr>
                <w:noProof/>
                <w:webHidden/>
              </w:rPr>
              <w:instrText xml:space="preserve"> PAGEREF _Toc227885156 \h </w:instrText>
            </w:r>
            <w:r>
              <w:rPr>
                <w:noProof/>
                <w:webHidden/>
              </w:rPr>
            </w:r>
            <w:r>
              <w:rPr>
                <w:noProof/>
                <w:webHidden/>
              </w:rPr>
              <w:fldChar w:fldCharType="separate"/>
            </w:r>
            <w:r>
              <w:rPr>
                <w:noProof/>
                <w:webHidden/>
              </w:rPr>
              <w:t>23</w:t>
            </w:r>
            <w:r>
              <w:rPr>
                <w:noProof/>
                <w:webHidden/>
              </w:rPr>
              <w:fldChar w:fldCharType="end"/>
            </w:r>
          </w:hyperlink>
        </w:p>
        <w:p w14:paraId="5F355992" w14:textId="240F1A00" w:rsidR="005858CD" w:rsidRDefault="005858CD">
          <w:pPr>
            <w:pStyle w:val="TOC2"/>
            <w:tabs>
              <w:tab w:val="right" w:leader="dot" w:pos="9016"/>
            </w:tabs>
            <w:rPr>
              <w:rFonts w:asciiTheme="minorHAnsi" w:hAnsiTheme="minorHAnsi"/>
              <w:noProof/>
            </w:rPr>
          </w:pPr>
          <w:hyperlink w:anchor="_Toc227885157" w:history="1">
            <w:r w:rsidRPr="00890B67">
              <w:rPr>
                <w:rStyle w:val="Hyperlink"/>
                <w:noProof/>
              </w:rPr>
              <w:t>3.4 Conclusion of Strategic Financial Restructuring Plan</w:t>
            </w:r>
            <w:r>
              <w:rPr>
                <w:noProof/>
                <w:webHidden/>
              </w:rPr>
              <w:tab/>
            </w:r>
            <w:r>
              <w:rPr>
                <w:noProof/>
                <w:webHidden/>
              </w:rPr>
              <w:fldChar w:fldCharType="begin"/>
            </w:r>
            <w:r>
              <w:rPr>
                <w:noProof/>
                <w:webHidden/>
              </w:rPr>
              <w:instrText xml:space="preserve"> PAGEREF _Toc227885157 \h </w:instrText>
            </w:r>
            <w:r>
              <w:rPr>
                <w:noProof/>
                <w:webHidden/>
              </w:rPr>
            </w:r>
            <w:r>
              <w:rPr>
                <w:noProof/>
                <w:webHidden/>
              </w:rPr>
              <w:fldChar w:fldCharType="separate"/>
            </w:r>
            <w:r>
              <w:rPr>
                <w:noProof/>
                <w:webHidden/>
              </w:rPr>
              <w:t>23</w:t>
            </w:r>
            <w:r>
              <w:rPr>
                <w:noProof/>
                <w:webHidden/>
              </w:rPr>
              <w:fldChar w:fldCharType="end"/>
            </w:r>
          </w:hyperlink>
        </w:p>
        <w:p w14:paraId="1CBA296E" w14:textId="306C47B0" w:rsidR="005858CD" w:rsidRDefault="005858CD">
          <w:pPr>
            <w:pStyle w:val="TOC1"/>
            <w:tabs>
              <w:tab w:val="right" w:leader="dot" w:pos="9016"/>
            </w:tabs>
            <w:rPr>
              <w:rFonts w:asciiTheme="minorHAnsi" w:hAnsiTheme="minorHAnsi"/>
              <w:noProof/>
            </w:rPr>
          </w:pPr>
          <w:hyperlink w:anchor="_Toc227885158" w:history="1">
            <w:r w:rsidRPr="00890B67">
              <w:rPr>
                <w:rStyle w:val="Hyperlink"/>
                <w:noProof/>
              </w:rPr>
              <w:t>4. Investment Appraisal and Capital Budgeting</w:t>
            </w:r>
            <w:r>
              <w:rPr>
                <w:noProof/>
                <w:webHidden/>
              </w:rPr>
              <w:tab/>
            </w:r>
            <w:r>
              <w:rPr>
                <w:noProof/>
                <w:webHidden/>
              </w:rPr>
              <w:fldChar w:fldCharType="begin"/>
            </w:r>
            <w:r>
              <w:rPr>
                <w:noProof/>
                <w:webHidden/>
              </w:rPr>
              <w:instrText xml:space="preserve"> PAGEREF _Toc227885158 \h </w:instrText>
            </w:r>
            <w:r>
              <w:rPr>
                <w:noProof/>
                <w:webHidden/>
              </w:rPr>
            </w:r>
            <w:r>
              <w:rPr>
                <w:noProof/>
                <w:webHidden/>
              </w:rPr>
              <w:fldChar w:fldCharType="separate"/>
            </w:r>
            <w:r>
              <w:rPr>
                <w:noProof/>
                <w:webHidden/>
              </w:rPr>
              <w:t>24</w:t>
            </w:r>
            <w:r>
              <w:rPr>
                <w:noProof/>
                <w:webHidden/>
              </w:rPr>
              <w:fldChar w:fldCharType="end"/>
            </w:r>
          </w:hyperlink>
        </w:p>
        <w:p w14:paraId="2CD43050" w14:textId="3760AE36" w:rsidR="005858CD" w:rsidRDefault="005858CD">
          <w:pPr>
            <w:pStyle w:val="TOC2"/>
            <w:tabs>
              <w:tab w:val="right" w:leader="dot" w:pos="9016"/>
            </w:tabs>
            <w:rPr>
              <w:rFonts w:asciiTheme="minorHAnsi" w:hAnsiTheme="minorHAnsi"/>
              <w:noProof/>
            </w:rPr>
          </w:pPr>
          <w:hyperlink w:anchor="_Toc227885159" w:history="1">
            <w:r w:rsidRPr="00890B67">
              <w:rPr>
                <w:rStyle w:val="Hyperlink"/>
                <w:noProof/>
              </w:rPr>
              <w:t>4.1 Project Cash Flow Analysis</w:t>
            </w:r>
            <w:r>
              <w:rPr>
                <w:noProof/>
                <w:webHidden/>
              </w:rPr>
              <w:tab/>
            </w:r>
            <w:r>
              <w:rPr>
                <w:noProof/>
                <w:webHidden/>
              </w:rPr>
              <w:fldChar w:fldCharType="begin"/>
            </w:r>
            <w:r>
              <w:rPr>
                <w:noProof/>
                <w:webHidden/>
              </w:rPr>
              <w:instrText xml:space="preserve"> PAGEREF _Toc227885159 \h </w:instrText>
            </w:r>
            <w:r>
              <w:rPr>
                <w:noProof/>
                <w:webHidden/>
              </w:rPr>
            </w:r>
            <w:r>
              <w:rPr>
                <w:noProof/>
                <w:webHidden/>
              </w:rPr>
              <w:fldChar w:fldCharType="separate"/>
            </w:r>
            <w:r>
              <w:rPr>
                <w:noProof/>
                <w:webHidden/>
              </w:rPr>
              <w:t>24</w:t>
            </w:r>
            <w:r>
              <w:rPr>
                <w:noProof/>
                <w:webHidden/>
              </w:rPr>
              <w:fldChar w:fldCharType="end"/>
            </w:r>
          </w:hyperlink>
        </w:p>
        <w:p w14:paraId="634E2E40" w14:textId="37CAE89D" w:rsidR="005858CD" w:rsidRDefault="005858CD">
          <w:pPr>
            <w:pStyle w:val="TOC2"/>
            <w:tabs>
              <w:tab w:val="right" w:leader="dot" w:pos="9016"/>
            </w:tabs>
            <w:rPr>
              <w:rFonts w:asciiTheme="minorHAnsi" w:hAnsiTheme="minorHAnsi"/>
              <w:noProof/>
            </w:rPr>
          </w:pPr>
          <w:hyperlink w:anchor="_Toc227885160" w:history="1">
            <w:r w:rsidRPr="00890B67">
              <w:rPr>
                <w:rStyle w:val="Hyperlink"/>
                <w:noProof/>
              </w:rPr>
              <w:t>4.2 Payback Period (PBP)</w:t>
            </w:r>
            <w:r>
              <w:rPr>
                <w:noProof/>
                <w:webHidden/>
              </w:rPr>
              <w:tab/>
            </w:r>
            <w:r>
              <w:rPr>
                <w:noProof/>
                <w:webHidden/>
              </w:rPr>
              <w:fldChar w:fldCharType="begin"/>
            </w:r>
            <w:r>
              <w:rPr>
                <w:noProof/>
                <w:webHidden/>
              </w:rPr>
              <w:instrText xml:space="preserve"> PAGEREF _Toc227885160 \h </w:instrText>
            </w:r>
            <w:r>
              <w:rPr>
                <w:noProof/>
                <w:webHidden/>
              </w:rPr>
            </w:r>
            <w:r>
              <w:rPr>
                <w:noProof/>
                <w:webHidden/>
              </w:rPr>
              <w:fldChar w:fldCharType="separate"/>
            </w:r>
            <w:r>
              <w:rPr>
                <w:noProof/>
                <w:webHidden/>
              </w:rPr>
              <w:t>25</w:t>
            </w:r>
            <w:r>
              <w:rPr>
                <w:noProof/>
                <w:webHidden/>
              </w:rPr>
              <w:fldChar w:fldCharType="end"/>
            </w:r>
          </w:hyperlink>
        </w:p>
        <w:p w14:paraId="49512823" w14:textId="0DEA9155" w:rsidR="005858CD" w:rsidRDefault="005858CD">
          <w:pPr>
            <w:pStyle w:val="TOC2"/>
            <w:tabs>
              <w:tab w:val="right" w:leader="dot" w:pos="9016"/>
            </w:tabs>
            <w:rPr>
              <w:rFonts w:asciiTheme="minorHAnsi" w:hAnsiTheme="minorHAnsi"/>
              <w:noProof/>
            </w:rPr>
          </w:pPr>
          <w:hyperlink w:anchor="_Toc227885161" w:history="1">
            <w:r w:rsidRPr="00890B67">
              <w:rPr>
                <w:rStyle w:val="Hyperlink"/>
                <w:noProof/>
              </w:rPr>
              <w:t>4.3 Accounting Rate of Return (ARR)</w:t>
            </w:r>
            <w:r>
              <w:rPr>
                <w:noProof/>
                <w:webHidden/>
              </w:rPr>
              <w:tab/>
            </w:r>
            <w:r>
              <w:rPr>
                <w:noProof/>
                <w:webHidden/>
              </w:rPr>
              <w:fldChar w:fldCharType="begin"/>
            </w:r>
            <w:r>
              <w:rPr>
                <w:noProof/>
                <w:webHidden/>
              </w:rPr>
              <w:instrText xml:space="preserve"> PAGEREF _Toc227885161 \h </w:instrText>
            </w:r>
            <w:r>
              <w:rPr>
                <w:noProof/>
                <w:webHidden/>
              </w:rPr>
            </w:r>
            <w:r>
              <w:rPr>
                <w:noProof/>
                <w:webHidden/>
              </w:rPr>
              <w:fldChar w:fldCharType="separate"/>
            </w:r>
            <w:r>
              <w:rPr>
                <w:noProof/>
                <w:webHidden/>
              </w:rPr>
              <w:t>26</w:t>
            </w:r>
            <w:r>
              <w:rPr>
                <w:noProof/>
                <w:webHidden/>
              </w:rPr>
              <w:fldChar w:fldCharType="end"/>
            </w:r>
          </w:hyperlink>
        </w:p>
        <w:p w14:paraId="497DAD37" w14:textId="01FA8BB4" w:rsidR="005858CD" w:rsidRDefault="005858CD">
          <w:pPr>
            <w:pStyle w:val="TOC2"/>
            <w:tabs>
              <w:tab w:val="right" w:leader="dot" w:pos="9016"/>
            </w:tabs>
            <w:rPr>
              <w:rFonts w:asciiTheme="minorHAnsi" w:hAnsiTheme="minorHAnsi"/>
              <w:noProof/>
            </w:rPr>
          </w:pPr>
          <w:hyperlink w:anchor="_Toc227885162" w:history="1">
            <w:r w:rsidRPr="00890B67">
              <w:rPr>
                <w:rStyle w:val="Hyperlink"/>
                <w:noProof/>
              </w:rPr>
              <w:t>4.4 Net Present Value (NPV)</w:t>
            </w:r>
            <w:r>
              <w:rPr>
                <w:noProof/>
                <w:webHidden/>
              </w:rPr>
              <w:tab/>
            </w:r>
            <w:r>
              <w:rPr>
                <w:noProof/>
                <w:webHidden/>
              </w:rPr>
              <w:fldChar w:fldCharType="begin"/>
            </w:r>
            <w:r>
              <w:rPr>
                <w:noProof/>
                <w:webHidden/>
              </w:rPr>
              <w:instrText xml:space="preserve"> PAGEREF _Toc227885162 \h </w:instrText>
            </w:r>
            <w:r>
              <w:rPr>
                <w:noProof/>
                <w:webHidden/>
              </w:rPr>
            </w:r>
            <w:r>
              <w:rPr>
                <w:noProof/>
                <w:webHidden/>
              </w:rPr>
              <w:fldChar w:fldCharType="separate"/>
            </w:r>
            <w:r>
              <w:rPr>
                <w:noProof/>
                <w:webHidden/>
              </w:rPr>
              <w:t>27</w:t>
            </w:r>
            <w:r>
              <w:rPr>
                <w:noProof/>
                <w:webHidden/>
              </w:rPr>
              <w:fldChar w:fldCharType="end"/>
            </w:r>
          </w:hyperlink>
        </w:p>
        <w:p w14:paraId="756B0366" w14:textId="151FD03A" w:rsidR="005858CD" w:rsidRDefault="005858CD">
          <w:pPr>
            <w:pStyle w:val="TOC2"/>
            <w:tabs>
              <w:tab w:val="right" w:leader="dot" w:pos="9016"/>
            </w:tabs>
            <w:rPr>
              <w:rFonts w:asciiTheme="minorHAnsi" w:hAnsiTheme="minorHAnsi"/>
              <w:noProof/>
            </w:rPr>
          </w:pPr>
          <w:hyperlink w:anchor="_Toc227885163" w:history="1">
            <w:r w:rsidRPr="00890B67">
              <w:rPr>
                <w:rStyle w:val="Hyperlink"/>
                <w:noProof/>
              </w:rPr>
              <w:t>4.5 Profitability Index (PI)</w:t>
            </w:r>
            <w:r>
              <w:rPr>
                <w:noProof/>
                <w:webHidden/>
              </w:rPr>
              <w:tab/>
            </w:r>
            <w:r>
              <w:rPr>
                <w:noProof/>
                <w:webHidden/>
              </w:rPr>
              <w:fldChar w:fldCharType="begin"/>
            </w:r>
            <w:r>
              <w:rPr>
                <w:noProof/>
                <w:webHidden/>
              </w:rPr>
              <w:instrText xml:space="preserve"> PAGEREF _Toc227885163 \h </w:instrText>
            </w:r>
            <w:r>
              <w:rPr>
                <w:noProof/>
                <w:webHidden/>
              </w:rPr>
            </w:r>
            <w:r>
              <w:rPr>
                <w:noProof/>
                <w:webHidden/>
              </w:rPr>
              <w:fldChar w:fldCharType="separate"/>
            </w:r>
            <w:r>
              <w:rPr>
                <w:noProof/>
                <w:webHidden/>
              </w:rPr>
              <w:t>27</w:t>
            </w:r>
            <w:r>
              <w:rPr>
                <w:noProof/>
                <w:webHidden/>
              </w:rPr>
              <w:fldChar w:fldCharType="end"/>
            </w:r>
          </w:hyperlink>
        </w:p>
        <w:p w14:paraId="256E59E4" w14:textId="60E47915" w:rsidR="005858CD" w:rsidRDefault="005858CD">
          <w:pPr>
            <w:pStyle w:val="TOC2"/>
            <w:tabs>
              <w:tab w:val="right" w:leader="dot" w:pos="9016"/>
            </w:tabs>
            <w:rPr>
              <w:rFonts w:asciiTheme="minorHAnsi" w:hAnsiTheme="minorHAnsi"/>
              <w:noProof/>
            </w:rPr>
          </w:pPr>
          <w:hyperlink w:anchor="_Toc227885164" w:history="1">
            <w:r w:rsidRPr="00890B67">
              <w:rPr>
                <w:rStyle w:val="Hyperlink"/>
                <w:noProof/>
              </w:rPr>
              <w:t>4.6 Internal Rate of Return (IRR)</w:t>
            </w:r>
            <w:r>
              <w:rPr>
                <w:noProof/>
                <w:webHidden/>
              </w:rPr>
              <w:tab/>
            </w:r>
            <w:r>
              <w:rPr>
                <w:noProof/>
                <w:webHidden/>
              </w:rPr>
              <w:fldChar w:fldCharType="begin"/>
            </w:r>
            <w:r>
              <w:rPr>
                <w:noProof/>
                <w:webHidden/>
              </w:rPr>
              <w:instrText xml:space="preserve"> PAGEREF _Toc227885164 \h </w:instrText>
            </w:r>
            <w:r>
              <w:rPr>
                <w:noProof/>
                <w:webHidden/>
              </w:rPr>
            </w:r>
            <w:r>
              <w:rPr>
                <w:noProof/>
                <w:webHidden/>
              </w:rPr>
              <w:fldChar w:fldCharType="separate"/>
            </w:r>
            <w:r>
              <w:rPr>
                <w:noProof/>
                <w:webHidden/>
              </w:rPr>
              <w:t>28</w:t>
            </w:r>
            <w:r>
              <w:rPr>
                <w:noProof/>
                <w:webHidden/>
              </w:rPr>
              <w:fldChar w:fldCharType="end"/>
            </w:r>
          </w:hyperlink>
        </w:p>
        <w:p w14:paraId="157B40CB" w14:textId="5922B9F3" w:rsidR="005858CD" w:rsidRDefault="005858CD">
          <w:pPr>
            <w:pStyle w:val="TOC2"/>
            <w:tabs>
              <w:tab w:val="right" w:leader="dot" w:pos="9016"/>
            </w:tabs>
            <w:rPr>
              <w:rFonts w:asciiTheme="minorHAnsi" w:hAnsiTheme="minorHAnsi"/>
              <w:noProof/>
            </w:rPr>
          </w:pPr>
          <w:hyperlink w:anchor="_Toc227885165" w:history="1">
            <w:r w:rsidRPr="00890B67">
              <w:rPr>
                <w:rStyle w:val="Hyperlink"/>
                <w:noProof/>
              </w:rPr>
              <w:t>4.7 Overall Comparison</w:t>
            </w:r>
            <w:r>
              <w:rPr>
                <w:noProof/>
                <w:webHidden/>
              </w:rPr>
              <w:tab/>
            </w:r>
            <w:r>
              <w:rPr>
                <w:noProof/>
                <w:webHidden/>
              </w:rPr>
              <w:fldChar w:fldCharType="begin"/>
            </w:r>
            <w:r>
              <w:rPr>
                <w:noProof/>
                <w:webHidden/>
              </w:rPr>
              <w:instrText xml:space="preserve"> PAGEREF _Toc227885165 \h </w:instrText>
            </w:r>
            <w:r>
              <w:rPr>
                <w:noProof/>
                <w:webHidden/>
              </w:rPr>
            </w:r>
            <w:r>
              <w:rPr>
                <w:noProof/>
                <w:webHidden/>
              </w:rPr>
              <w:fldChar w:fldCharType="separate"/>
            </w:r>
            <w:r>
              <w:rPr>
                <w:noProof/>
                <w:webHidden/>
              </w:rPr>
              <w:t>28</w:t>
            </w:r>
            <w:r>
              <w:rPr>
                <w:noProof/>
                <w:webHidden/>
              </w:rPr>
              <w:fldChar w:fldCharType="end"/>
            </w:r>
          </w:hyperlink>
        </w:p>
        <w:p w14:paraId="347171BB" w14:textId="7348D5A9" w:rsidR="005858CD" w:rsidRDefault="005858CD">
          <w:pPr>
            <w:pStyle w:val="TOC2"/>
            <w:tabs>
              <w:tab w:val="right" w:leader="dot" w:pos="9016"/>
            </w:tabs>
            <w:rPr>
              <w:rFonts w:asciiTheme="minorHAnsi" w:hAnsiTheme="minorHAnsi"/>
              <w:noProof/>
            </w:rPr>
          </w:pPr>
          <w:hyperlink w:anchor="_Toc227885166" w:history="1">
            <w:r w:rsidRPr="00890B67">
              <w:rPr>
                <w:rStyle w:val="Hyperlink"/>
                <w:noProof/>
              </w:rPr>
              <w:t>4.8 Capital Rationing Decision</w:t>
            </w:r>
            <w:r>
              <w:rPr>
                <w:noProof/>
                <w:webHidden/>
              </w:rPr>
              <w:tab/>
            </w:r>
            <w:r>
              <w:rPr>
                <w:noProof/>
                <w:webHidden/>
              </w:rPr>
              <w:fldChar w:fldCharType="begin"/>
            </w:r>
            <w:r>
              <w:rPr>
                <w:noProof/>
                <w:webHidden/>
              </w:rPr>
              <w:instrText xml:space="preserve"> PAGEREF _Toc227885166 \h </w:instrText>
            </w:r>
            <w:r>
              <w:rPr>
                <w:noProof/>
                <w:webHidden/>
              </w:rPr>
            </w:r>
            <w:r>
              <w:rPr>
                <w:noProof/>
                <w:webHidden/>
              </w:rPr>
              <w:fldChar w:fldCharType="separate"/>
            </w:r>
            <w:r>
              <w:rPr>
                <w:noProof/>
                <w:webHidden/>
              </w:rPr>
              <w:t>29</w:t>
            </w:r>
            <w:r>
              <w:rPr>
                <w:noProof/>
                <w:webHidden/>
              </w:rPr>
              <w:fldChar w:fldCharType="end"/>
            </w:r>
          </w:hyperlink>
        </w:p>
        <w:p w14:paraId="7F24DF6F" w14:textId="5B879220" w:rsidR="005858CD" w:rsidRDefault="005858CD">
          <w:pPr>
            <w:pStyle w:val="TOC2"/>
            <w:tabs>
              <w:tab w:val="right" w:leader="dot" w:pos="9016"/>
            </w:tabs>
            <w:rPr>
              <w:rFonts w:asciiTheme="minorHAnsi" w:hAnsiTheme="minorHAnsi"/>
              <w:noProof/>
            </w:rPr>
          </w:pPr>
          <w:hyperlink w:anchor="_Toc227885167" w:history="1">
            <w:r w:rsidRPr="00890B67">
              <w:rPr>
                <w:rStyle w:val="Hyperlink"/>
                <w:noProof/>
              </w:rPr>
              <w:t>4.9 Final Recommendation</w:t>
            </w:r>
            <w:r>
              <w:rPr>
                <w:noProof/>
                <w:webHidden/>
              </w:rPr>
              <w:tab/>
            </w:r>
            <w:r>
              <w:rPr>
                <w:noProof/>
                <w:webHidden/>
              </w:rPr>
              <w:fldChar w:fldCharType="begin"/>
            </w:r>
            <w:r>
              <w:rPr>
                <w:noProof/>
                <w:webHidden/>
              </w:rPr>
              <w:instrText xml:space="preserve"> PAGEREF _Toc227885167 \h </w:instrText>
            </w:r>
            <w:r>
              <w:rPr>
                <w:noProof/>
                <w:webHidden/>
              </w:rPr>
            </w:r>
            <w:r>
              <w:rPr>
                <w:noProof/>
                <w:webHidden/>
              </w:rPr>
              <w:fldChar w:fldCharType="separate"/>
            </w:r>
            <w:r>
              <w:rPr>
                <w:noProof/>
                <w:webHidden/>
              </w:rPr>
              <w:t>29</w:t>
            </w:r>
            <w:r>
              <w:rPr>
                <w:noProof/>
                <w:webHidden/>
              </w:rPr>
              <w:fldChar w:fldCharType="end"/>
            </w:r>
          </w:hyperlink>
        </w:p>
        <w:p w14:paraId="449C909F" w14:textId="73384344" w:rsidR="005858CD" w:rsidRDefault="005858CD">
          <w:pPr>
            <w:pStyle w:val="TOC1"/>
            <w:tabs>
              <w:tab w:val="right" w:leader="dot" w:pos="9016"/>
            </w:tabs>
            <w:rPr>
              <w:rFonts w:asciiTheme="minorHAnsi" w:hAnsiTheme="minorHAnsi"/>
              <w:noProof/>
            </w:rPr>
          </w:pPr>
          <w:hyperlink w:anchor="_Toc227885168" w:history="1">
            <w:r w:rsidRPr="00890B67">
              <w:rPr>
                <w:rStyle w:val="Hyperlink"/>
                <w:noProof/>
              </w:rPr>
              <w:t>Conclusion</w:t>
            </w:r>
            <w:r>
              <w:rPr>
                <w:noProof/>
                <w:webHidden/>
              </w:rPr>
              <w:tab/>
            </w:r>
            <w:r>
              <w:rPr>
                <w:noProof/>
                <w:webHidden/>
              </w:rPr>
              <w:fldChar w:fldCharType="begin"/>
            </w:r>
            <w:r>
              <w:rPr>
                <w:noProof/>
                <w:webHidden/>
              </w:rPr>
              <w:instrText xml:space="preserve"> PAGEREF _Toc227885168 \h </w:instrText>
            </w:r>
            <w:r>
              <w:rPr>
                <w:noProof/>
                <w:webHidden/>
              </w:rPr>
            </w:r>
            <w:r>
              <w:rPr>
                <w:noProof/>
                <w:webHidden/>
              </w:rPr>
              <w:fldChar w:fldCharType="separate"/>
            </w:r>
            <w:r>
              <w:rPr>
                <w:noProof/>
                <w:webHidden/>
              </w:rPr>
              <w:t>31</w:t>
            </w:r>
            <w:r>
              <w:rPr>
                <w:noProof/>
                <w:webHidden/>
              </w:rPr>
              <w:fldChar w:fldCharType="end"/>
            </w:r>
          </w:hyperlink>
        </w:p>
        <w:p w14:paraId="456501CC" w14:textId="6279545A" w:rsidR="005858CD" w:rsidRDefault="005858CD">
          <w:pPr>
            <w:pStyle w:val="TOC1"/>
            <w:tabs>
              <w:tab w:val="right" w:leader="dot" w:pos="9016"/>
            </w:tabs>
            <w:rPr>
              <w:rFonts w:asciiTheme="minorHAnsi" w:hAnsiTheme="minorHAnsi"/>
              <w:noProof/>
            </w:rPr>
          </w:pPr>
          <w:hyperlink w:anchor="_Toc227885169" w:history="1">
            <w:r w:rsidRPr="00890B67">
              <w:rPr>
                <w:rStyle w:val="Hyperlink"/>
                <w:noProof/>
              </w:rPr>
              <w:t>Reference List</w:t>
            </w:r>
            <w:r>
              <w:rPr>
                <w:noProof/>
                <w:webHidden/>
              </w:rPr>
              <w:tab/>
            </w:r>
            <w:r>
              <w:rPr>
                <w:noProof/>
                <w:webHidden/>
              </w:rPr>
              <w:fldChar w:fldCharType="begin"/>
            </w:r>
            <w:r>
              <w:rPr>
                <w:noProof/>
                <w:webHidden/>
              </w:rPr>
              <w:instrText xml:space="preserve"> PAGEREF _Toc227885169 \h </w:instrText>
            </w:r>
            <w:r>
              <w:rPr>
                <w:noProof/>
                <w:webHidden/>
              </w:rPr>
            </w:r>
            <w:r>
              <w:rPr>
                <w:noProof/>
                <w:webHidden/>
              </w:rPr>
              <w:fldChar w:fldCharType="separate"/>
            </w:r>
            <w:r>
              <w:rPr>
                <w:noProof/>
                <w:webHidden/>
              </w:rPr>
              <w:t>32</w:t>
            </w:r>
            <w:r>
              <w:rPr>
                <w:noProof/>
                <w:webHidden/>
              </w:rPr>
              <w:fldChar w:fldCharType="end"/>
            </w:r>
          </w:hyperlink>
        </w:p>
        <w:p w14:paraId="4F02C760" w14:textId="706F40E4" w:rsidR="005858CD" w:rsidRDefault="005858CD">
          <w:pPr>
            <w:pStyle w:val="TOC1"/>
            <w:tabs>
              <w:tab w:val="right" w:leader="dot" w:pos="9016"/>
            </w:tabs>
            <w:rPr>
              <w:rFonts w:asciiTheme="minorHAnsi" w:hAnsiTheme="minorHAnsi"/>
              <w:noProof/>
            </w:rPr>
          </w:pPr>
          <w:hyperlink w:anchor="_Toc227885170" w:history="1">
            <w:r w:rsidRPr="00890B67">
              <w:rPr>
                <w:rStyle w:val="Hyperlink"/>
                <w:noProof/>
              </w:rPr>
              <w:t>Appendices</w:t>
            </w:r>
            <w:r>
              <w:rPr>
                <w:noProof/>
                <w:webHidden/>
              </w:rPr>
              <w:tab/>
            </w:r>
            <w:r>
              <w:rPr>
                <w:noProof/>
                <w:webHidden/>
              </w:rPr>
              <w:fldChar w:fldCharType="begin"/>
            </w:r>
            <w:r>
              <w:rPr>
                <w:noProof/>
                <w:webHidden/>
              </w:rPr>
              <w:instrText xml:space="preserve"> PAGEREF _Toc227885170 \h </w:instrText>
            </w:r>
            <w:r>
              <w:rPr>
                <w:noProof/>
                <w:webHidden/>
              </w:rPr>
            </w:r>
            <w:r>
              <w:rPr>
                <w:noProof/>
                <w:webHidden/>
              </w:rPr>
              <w:fldChar w:fldCharType="separate"/>
            </w:r>
            <w:r>
              <w:rPr>
                <w:noProof/>
                <w:webHidden/>
              </w:rPr>
              <w:t>37</w:t>
            </w:r>
            <w:r>
              <w:rPr>
                <w:noProof/>
                <w:webHidden/>
              </w:rPr>
              <w:fldChar w:fldCharType="end"/>
            </w:r>
          </w:hyperlink>
        </w:p>
        <w:p w14:paraId="3849C8C8" w14:textId="38A786AA" w:rsidR="00E511AB" w:rsidRDefault="00E511AB">
          <w:r>
            <w:rPr>
              <w:b/>
              <w:bCs/>
              <w:noProof/>
            </w:rPr>
            <w:fldChar w:fldCharType="end"/>
          </w:r>
        </w:p>
      </w:sdtContent>
    </w:sdt>
    <w:p w14:paraId="465DD71C" w14:textId="77777777" w:rsidR="002B3F11" w:rsidRDefault="002B3F11" w:rsidP="00E511AB">
      <w:r>
        <w:br w:type="page"/>
      </w:r>
    </w:p>
    <w:p w14:paraId="4EDED378" w14:textId="79A53A34" w:rsidR="002B3F11" w:rsidRPr="002B3F11" w:rsidRDefault="002B3F11" w:rsidP="00E511AB">
      <w:pPr>
        <w:pStyle w:val="Heading1"/>
      </w:pPr>
      <w:bookmarkStart w:id="0" w:name="_Toc227885120"/>
      <w:r w:rsidRPr="002B3F11">
        <w:lastRenderedPageBreak/>
        <w:t>Introduction</w:t>
      </w:r>
      <w:bookmarkEnd w:id="0"/>
    </w:p>
    <w:p w14:paraId="492268E7" w14:textId="076CA775" w:rsidR="00E532FF" w:rsidRDefault="002F2E6D" w:rsidP="002B3F11">
      <w:r w:rsidRPr="002F2E6D">
        <w:t>This report will examine financial performance and strategic decision-making of the Toyota Industries Corporation based on the data of annual reports of the period between 2021 and 2025. The analysis will concentrate on such major areas as the financial health, working capital management, strategic financial restructuring, and investment appraisal. By financial ratios and capital budgeting methods, the report will seek to evaluate the efficiency, profitability, and risk of the company. The results offer suggestions on how to enhance liquidity, capital structure optimisation, and sustainable growth that would help the Toyota Industries Corporation to enrich its long-term financial health and shareholder value.</w:t>
      </w:r>
    </w:p>
    <w:p w14:paraId="5D031D73" w14:textId="78434E5E" w:rsidR="00450AE8" w:rsidRPr="002B3F11" w:rsidRDefault="00450AE8" w:rsidP="002B3F11">
      <w:r>
        <w:br w:type="page"/>
      </w:r>
    </w:p>
    <w:p w14:paraId="3330D49E" w14:textId="77777777" w:rsidR="00367051" w:rsidRPr="00367051" w:rsidRDefault="00367051" w:rsidP="007C041A">
      <w:pPr>
        <w:pStyle w:val="Heading1"/>
      </w:pPr>
      <w:bookmarkStart w:id="1" w:name="_Toc227885121"/>
      <w:r w:rsidRPr="00367051">
        <w:lastRenderedPageBreak/>
        <w:t>1. Financial Health Check</w:t>
      </w:r>
      <w:bookmarkEnd w:id="1"/>
    </w:p>
    <w:p w14:paraId="73598C22" w14:textId="7FC72969" w:rsidR="00367051" w:rsidRPr="00367051" w:rsidRDefault="00367051" w:rsidP="00367051">
      <w:r w:rsidRPr="00367051">
        <w:t xml:space="preserve">This revised </w:t>
      </w:r>
      <w:r w:rsidR="00B51867" w:rsidRPr="00B51867">
        <w:t xml:space="preserve">financial health check incorporates the five-year annual report results of FY2021 to FY2025 and adds more detailed calculations and explanations to each table. The analysis is conducted using the published financial statements of Toyota Industries Corporation, in particular, consolidated statements of profit or loss, financial position and cash flows of the period 20212025. </w:t>
      </w:r>
      <w:r w:rsidRPr="00367051">
        <w:t xml:space="preserve"> </w:t>
      </w:r>
    </w:p>
    <w:p w14:paraId="4D61F348" w14:textId="77777777" w:rsidR="00367051" w:rsidRPr="00367051" w:rsidRDefault="00367051" w:rsidP="007C041A">
      <w:pPr>
        <w:pStyle w:val="Heading2"/>
      </w:pPr>
      <w:bookmarkStart w:id="2" w:name="_Toc227885122"/>
      <w:r w:rsidRPr="00367051">
        <w:t>1.1 Profitability Ratios</w:t>
      </w:r>
      <w:bookmarkEnd w:id="2"/>
    </w:p>
    <w:p w14:paraId="41BEDF9B" w14:textId="7264D08F" w:rsidR="00367051" w:rsidRPr="00367051" w:rsidRDefault="009632F2" w:rsidP="00367051">
      <w:r w:rsidRPr="009632F2">
        <w:t>Profitability ratios indicate whether Toyota Industries have been able to generate profit through sales during the five-year period. The findings indicate that the company has had a high revenue growth, but the margins fluctuated within a small range, i.e. cost pressure has been a significant concern despite an increase in scale (Liu, 2023). Compared to FY2021, net sales were ¥2,118,302 million, whereas in FY2025, the net sales were ¥4,084,984 million, with the operating profit growing by 118,159 million to 221,695 million.</w:t>
      </w:r>
      <w:r w:rsidR="00367051" w:rsidRPr="00367051">
        <w:t xml:space="preserve"> </w:t>
      </w:r>
    </w:p>
    <w:p w14:paraId="52951DF7" w14:textId="77777777" w:rsidR="00367051" w:rsidRPr="00367051" w:rsidRDefault="00367051" w:rsidP="007C041A">
      <w:pPr>
        <w:pStyle w:val="Heading3"/>
      </w:pPr>
      <w:bookmarkStart w:id="3" w:name="_Toc227885123"/>
      <w:r w:rsidRPr="00367051">
        <w:t>1.1.1 Gross Profit Margin</w:t>
      </w:r>
      <w:bookmarkEnd w:id="3"/>
    </w:p>
    <w:p w14:paraId="3DAB72B5" w14:textId="033934F7" w:rsidR="00367051" w:rsidRPr="00367051" w:rsidRDefault="00367051" w:rsidP="00367051">
      <m:oMathPara>
        <m:oMath>
          <m:r>
            <m:rPr>
              <m:nor/>
            </m:rPr>
            <m:t>Gross Profit Margin</m:t>
          </m:r>
          <m:r>
            <w:rPr>
              <w:rFonts w:ascii="Cambria Math" w:hAnsi="Cambria Math"/>
            </w:rPr>
            <m:t>=</m:t>
          </m:r>
          <m:f>
            <m:fPr>
              <m:ctrlPr>
                <w:rPr>
                  <w:rFonts w:ascii="Cambria Math" w:hAnsi="Cambria Math"/>
                </w:rPr>
              </m:ctrlPr>
            </m:fPr>
            <m:num>
              <m:r>
                <m:rPr>
                  <m:nor/>
                </m:rPr>
                <m:t>Gross Profit</m:t>
              </m:r>
            </m:num>
            <m:den>
              <m:r>
                <m:rPr>
                  <m:nor/>
                </m:rPr>
                <m:t>Net Sales</m:t>
              </m:r>
            </m:den>
          </m:f>
          <m:r>
            <w:rPr>
              <w:rFonts w:ascii="Cambria Math" w:hAnsi="Cambria Math"/>
            </w:rPr>
            <m:t>×100</m:t>
          </m:r>
          <m:r>
            <m:rPr>
              <m:sty m:val="p"/>
            </m:rPr>
            <w:br/>
          </m:r>
        </m:oMath>
      </m:oMathPara>
    </w:p>
    <w:p w14:paraId="755C6BC2" w14:textId="77777777" w:rsidR="00367051" w:rsidRPr="00367051" w:rsidRDefault="00367051" w:rsidP="00367051">
      <w:pPr>
        <w:rPr>
          <w:b/>
          <w:bCs/>
        </w:rPr>
      </w:pPr>
      <w:r w:rsidRPr="00367051">
        <w:rPr>
          <w:b/>
          <w:bCs/>
        </w:rPr>
        <w:t>Table 1. Gross Profit Margin Calculation, FY2021–FY2025</w:t>
      </w:r>
    </w:p>
    <w:tbl>
      <w:tblPr>
        <w:tblStyle w:val="TableGrid"/>
        <w:tblW w:w="0" w:type="auto"/>
        <w:tblLook w:val="04A0" w:firstRow="1" w:lastRow="0" w:firstColumn="1" w:lastColumn="0" w:noHBand="0" w:noVBand="1"/>
      </w:tblPr>
      <w:tblGrid>
        <w:gridCol w:w="750"/>
        <w:gridCol w:w="2340"/>
        <w:gridCol w:w="2132"/>
        <w:gridCol w:w="1791"/>
        <w:gridCol w:w="2003"/>
      </w:tblGrid>
      <w:tr w:rsidR="00367051" w:rsidRPr="00367051" w14:paraId="70C88441" w14:textId="77777777" w:rsidTr="007C041A">
        <w:tc>
          <w:tcPr>
            <w:tcW w:w="0" w:type="auto"/>
            <w:hideMark/>
          </w:tcPr>
          <w:p w14:paraId="759EE1CB" w14:textId="77777777" w:rsidR="00367051" w:rsidRPr="00367051" w:rsidRDefault="00367051" w:rsidP="00367051">
            <w:pPr>
              <w:rPr>
                <w:b/>
                <w:bCs/>
              </w:rPr>
            </w:pPr>
            <w:r w:rsidRPr="00367051">
              <w:rPr>
                <w:b/>
                <w:bCs/>
              </w:rPr>
              <w:t>Year</w:t>
            </w:r>
          </w:p>
        </w:tc>
        <w:tc>
          <w:tcPr>
            <w:tcW w:w="0" w:type="auto"/>
            <w:hideMark/>
          </w:tcPr>
          <w:p w14:paraId="6B490D5F" w14:textId="77777777" w:rsidR="00367051" w:rsidRPr="00367051" w:rsidRDefault="00367051" w:rsidP="00367051">
            <w:pPr>
              <w:rPr>
                <w:b/>
                <w:bCs/>
              </w:rPr>
            </w:pPr>
            <w:r w:rsidRPr="00367051">
              <w:rPr>
                <w:b/>
                <w:bCs/>
              </w:rPr>
              <w:t>Gross Profit (¥ million)</w:t>
            </w:r>
          </w:p>
        </w:tc>
        <w:tc>
          <w:tcPr>
            <w:tcW w:w="0" w:type="auto"/>
            <w:hideMark/>
          </w:tcPr>
          <w:p w14:paraId="6C92F39D" w14:textId="77777777" w:rsidR="00367051" w:rsidRPr="00367051" w:rsidRDefault="00367051" w:rsidP="00367051">
            <w:pPr>
              <w:rPr>
                <w:b/>
                <w:bCs/>
              </w:rPr>
            </w:pPr>
            <w:r w:rsidRPr="00367051">
              <w:rPr>
                <w:b/>
                <w:bCs/>
              </w:rPr>
              <w:t>Net Sales (¥ million)</w:t>
            </w:r>
          </w:p>
        </w:tc>
        <w:tc>
          <w:tcPr>
            <w:tcW w:w="0" w:type="auto"/>
            <w:hideMark/>
          </w:tcPr>
          <w:p w14:paraId="5C98C2D9" w14:textId="6017EE0D" w:rsidR="00367051" w:rsidRPr="00367051" w:rsidRDefault="00367051" w:rsidP="00367051">
            <w:pPr>
              <w:rPr>
                <w:b/>
                <w:bCs/>
              </w:rPr>
            </w:pPr>
            <w:r w:rsidRPr="00367051">
              <w:rPr>
                <w:b/>
                <w:bCs/>
              </w:rPr>
              <w:t>Calculation</w:t>
            </w:r>
          </w:p>
        </w:tc>
        <w:tc>
          <w:tcPr>
            <w:tcW w:w="0" w:type="auto"/>
            <w:hideMark/>
          </w:tcPr>
          <w:p w14:paraId="6B77DF90" w14:textId="77777777" w:rsidR="00367051" w:rsidRPr="00367051" w:rsidRDefault="00367051" w:rsidP="00367051">
            <w:pPr>
              <w:rPr>
                <w:b/>
                <w:bCs/>
              </w:rPr>
            </w:pPr>
            <w:r w:rsidRPr="00367051">
              <w:rPr>
                <w:b/>
                <w:bCs/>
              </w:rPr>
              <w:t>Gross Profit Margin</w:t>
            </w:r>
          </w:p>
        </w:tc>
      </w:tr>
      <w:tr w:rsidR="00367051" w:rsidRPr="00367051" w14:paraId="19B189A0" w14:textId="77777777" w:rsidTr="007C041A">
        <w:tc>
          <w:tcPr>
            <w:tcW w:w="0" w:type="auto"/>
            <w:hideMark/>
          </w:tcPr>
          <w:p w14:paraId="5786B603" w14:textId="77777777" w:rsidR="00367051" w:rsidRPr="00367051" w:rsidRDefault="00367051" w:rsidP="00367051">
            <w:r w:rsidRPr="00367051">
              <w:t>2021</w:t>
            </w:r>
          </w:p>
        </w:tc>
        <w:tc>
          <w:tcPr>
            <w:tcW w:w="0" w:type="auto"/>
            <w:hideMark/>
          </w:tcPr>
          <w:p w14:paraId="6601696E" w14:textId="77777777" w:rsidR="00367051" w:rsidRPr="00367051" w:rsidRDefault="00367051" w:rsidP="00367051">
            <w:r w:rsidRPr="00367051">
              <w:t>490,407</w:t>
            </w:r>
          </w:p>
        </w:tc>
        <w:tc>
          <w:tcPr>
            <w:tcW w:w="0" w:type="auto"/>
            <w:hideMark/>
          </w:tcPr>
          <w:p w14:paraId="5F3680B8" w14:textId="77777777" w:rsidR="00367051" w:rsidRPr="00367051" w:rsidRDefault="00367051" w:rsidP="00367051">
            <w:r w:rsidRPr="00367051">
              <w:t>2,118,302</w:t>
            </w:r>
          </w:p>
        </w:tc>
        <w:tc>
          <w:tcPr>
            <w:tcW w:w="0" w:type="auto"/>
            <w:hideMark/>
          </w:tcPr>
          <w:p w14:paraId="48F4F1ED" w14:textId="20778F77" w:rsidR="00367051" w:rsidRPr="00367051" w:rsidRDefault="0052203F" w:rsidP="00367051">
            <m:oMathPara>
              <m:oMath>
                <m:f>
                  <m:fPr>
                    <m:ctrlPr>
                      <w:rPr>
                        <w:rFonts w:ascii="Cambria Math" w:hAnsi="Cambria Math"/>
                      </w:rPr>
                    </m:ctrlPr>
                  </m:fPr>
                  <m:num>
                    <m:r>
                      <w:rPr>
                        <w:rFonts w:ascii="Cambria Math" w:hAnsi="Cambria Math"/>
                      </w:rPr>
                      <m:t>490,407</m:t>
                    </m:r>
                  </m:num>
                  <m:den>
                    <m:r>
                      <w:rPr>
                        <w:rFonts w:ascii="Cambria Math" w:hAnsi="Cambria Math"/>
                      </w:rPr>
                      <m:t>2,118,302</m:t>
                    </m:r>
                  </m:den>
                </m:f>
                <m:r>
                  <w:rPr>
                    <w:rFonts w:ascii="Cambria Math" w:hAnsi="Cambria Math"/>
                  </w:rPr>
                  <m:t>×100</m:t>
                </m:r>
              </m:oMath>
            </m:oMathPara>
          </w:p>
        </w:tc>
        <w:tc>
          <w:tcPr>
            <w:tcW w:w="0" w:type="auto"/>
            <w:hideMark/>
          </w:tcPr>
          <w:p w14:paraId="77F1FE31" w14:textId="77777777" w:rsidR="00367051" w:rsidRPr="00367051" w:rsidRDefault="00367051" w:rsidP="00367051">
            <w:r w:rsidRPr="00367051">
              <w:t>23.15%</w:t>
            </w:r>
          </w:p>
        </w:tc>
      </w:tr>
      <w:tr w:rsidR="00367051" w:rsidRPr="00367051" w14:paraId="636B5F3C" w14:textId="77777777" w:rsidTr="007C041A">
        <w:tc>
          <w:tcPr>
            <w:tcW w:w="0" w:type="auto"/>
            <w:hideMark/>
          </w:tcPr>
          <w:p w14:paraId="4AF98149" w14:textId="77777777" w:rsidR="00367051" w:rsidRPr="00367051" w:rsidRDefault="00367051" w:rsidP="00367051">
            <w:r w:rsidRPr="00367051">
              <w:t>2022</w:t>
            </w:r>
          </w:p>
        </w:tc>
        <w:tc>
          <w:tcPr>
            <w:tcW w:w="0" w:type="auto"/>
            <w:hideMark/>
          </w:tcPr>
          <w:p w14:paraId="60E1B645" w14:textId="77777777" w:rsidR="00367051" w:rsidRPr="00367051" w:rsidRDefault="00367051" w:rsidP="00367051">
            <w:r w:rsidRPr="00367051">
              <w:t>607,682</w:t>
            </w:r>
          </w:p>
        </w:tc>
        <w:tc>
          <w:tcPr>
            <w:tcW w:w="0" w:type="auto"/>
            <w:hideMark/>
          </w:tcPr>
          <w:p w14:paraId="4E1A4C5B" w14:textId="77777777" w:rsidR="00367051" w:rsidRPr="00367051" w:rsidRDefault="00367051" w:rsidP="00367051">
            <w:r w:rsidRPr="00367051">
              <w:t>2,705,183</w:t>
            </w:r>
          </w:p>
        </w:tc>
        <w:tc>
          <w:tcPr>
            <w:tcW w:w="0" w:type="auto"/>
            <w:hideMark/>
          </w:tcPr>
          <w:p w14:paraId="61F03059" w14:textId="02B1760D" w:rsidR="00367051" w:rsidRPr="00367051" w:rsidRDefault="0052203F" w:rsidP="00367051">
            <m:oMathPara>
              <m:oMath>
                <m:f>
                  <m:fPr>
                    <m:ctrlPr>
                      <w:rPr>
                        <w:rFonts w:ascii="Cambria Math" w:hAnsi="Cambria Math"/>
                      </w:rPr>
                    </m:ctrlPr>
                  </m:fPr>
                  <m:num>
                    <m:r>
                      <w:rPr>
                        <w:rFonts w:ascii="Cambria Math" w:hAnsi="Cambria Math"/>
                      </w:rPr>
                      <m:t>607,682</m:t>
                    </m:r>
                  </m:num>
                  <m:den>
                    <m:r>
                      <w:rPr>
                        <w:rFonts w:ascii="Cambria Math" w:hAnsi="Cambria Math"/>
                      </w:rPr>
                      <m:t>2,705,183</m:t>
                    </m:r>
                  </m:den>
                </m:f>
                <m:r>
                  <w:rPr>
                    <w:rFonts w:ascii="Cambria Math" w:hAnsi="Cambria Math"/>
                  </w:rPr>
                  <m:t>×100</m:t>
                </m:r>
              </m:oMath>
            </m:oMathPara>
          </w:p>
        </w:tc>
        <w:tc>
          <w:tcPr>
            <w:tcW w:w="0" w:type="auto"/>
            <w:hideMark/>
          </w:tcPr>
          <w:p w14:paraId="567BB8BF" w14:textId="77777777" w:rsidR="00367051" w:rsidRPr="00367051" w:rsidRDefault="00367051" w:rsidP="00367051">
            <w:r w:rsidRPr="00367051">
              <w:t>22.46%</w:t>
            </w:r>
          </w:p>
        </w:tc>
      </w:tr>
      <w:tr w:rsidR="00367051" w:rsidRPr="00367051" w14:paraId="669773CB" w14:textId="77777777" w:rsidTr="007C041A">
        <w:tc>
          <w:tcPr>
            <w:tcW w:w="0" w:type="auto"/>
            <w:hideMark/>
          </w:tcPr>
          <w:p w14:paraId="2931778F" w14:textId="77777777" w:rsidR="00367051" w:rsidRPr="00367051" w:rsidRDefault="00367051" w:rsidP="00367051">
            <w:r w:rsidRPr="00367051">
              <w:t>2023</w:t>
            </w:r>
          </w:p>
        </w:tc>
        <w:tc>
          <w:tcPr>
            <w:tcW w:w="0" w:type="auto"/>
            <w:hideMark/>
          </w:tcPr>
          <w:p w14:paraId="69C47EF7" w14:textId="77777777" w:rsidR="00367051" w:rsidRPr="00367051" w:rsidRDefault="00367051" w:rsidP="00367051">
            <w:r w:rsidRPr="00367051">
              <w:t>756,183</w:t>
            </w:r>
          </w:p>
        </w:tc>
        <w:tc>
          <w:tcPr>
            <w:tcW w:w="0" w:type="auto"/>
            <w:hideMark/>
          </w:tcPr>
          <w:p w14:paraId="3247B7A7" w14:textId="77777777" w:rsidR="00367051" w:rsidRPr="00367051" w:rsidRDefault="00367051" w:rsidP="00367051">
            <w:r w:rsidRPr="00367051">
              <w:t>3,379,891</w:t>
            </w:r>
          </w:p>
        </w:tc>
        <w:tc>
          <w:tcPr>
            <w:tcW w:w="0" w:type="auto"/>
            <w:hideMark/>
          </w:tcPr>
          <w:p w14:paraId="045D470E" w14:textId="2D7F5554" w:rsidR="00367051" w:rsidRPr="00367051" w:rsidRDefault="0052203F" w:rsidP="00367051">
            <m:oMathPara>
              <m:oMath>
                <m:f>
                  <m:fPr>
                    <m:ctrlPr>
                      <w:rPr>
                        <w:rFonts w:ascii="Cambria Math" w:hAnsi="Cambria Math"/>
                      </w:rPr>
                    </m:ctrlPr>
                  </m:fPr>
                  <m:num>
                    <m:r>
                      <w:rPr>
                        <w:rFonts w:ascii="Cambria Math" w:hAnsi="Cambria Math"/>
                      </w:rPr>
                      <m:t>756,183</m:t>
                    </m:r>
                  </m:num>
                  <m:den>
                    <m:r>
                      <w:rPr>
                        <w:rFonts w:ascii="Cambria Math" w:hAnsi="Cambria Math"/>
                      </w:rPr>
                      <m:t>3,379,891</m:t>
                    </m:r>
                  </m:den>
                </m:f>
                <m:r>
                  <w:rPr>
                    <w:rFonts w:ascii="Cambria Math" w:hAnsi="Cambria Math"/>
                  </w:rPr>
                  <m:t>×100</m:t>
                </m:r>
              </m:oMath>
            </m:oMathPara>
          </w:p>
        </w:tc>
        <w:tc>
          <w:tcPr>
            <w:tcW w:w="0" w:type="auto"/>
            <w:hideMark/>
          </w:tcPr>
          <w:p w14:paraId="097B9F35" w14:textId="77777777" w:rsidR="00367051" w:rsidRPr="00367051" w:rsidRDefault="00367051" w:rsidP="00367051">
            <w:r w:rsidRPr="00367051">
              <w:t>22.37%</w:t>
            </w:r>
          </w:p>
        </w:tc>
      </w:tr>
      <w:tr w:rsidR="00367051" w:rsidRPr="00367051" w14:paraId="0517F261" w14:textId="77777777" w:rsidTr="007C041A">
        <w:tc>
          <w:tcPr>
            <w:tcW w:w="0" w:type="auto"/>
            <w:hideMark/>
          </w:tcPr>
          <w:p w14:paraId="5B420DC8" w14:textId="77777777" w:rsidR="00367051" w:rsidRPr="00367051" w:rsidRDefault="00367051" w:rsidP="00367051">
            <w:r w:rsidRPr="00367051">
              <w:lastRenderedPageBreak/>
              <w:t>2024</w:t>
            </w:r>
          </w:p>
        </w:tc>
        <w:tc>
          <w:tcPr>
            <w:tcW w:w="0" w:type="auto"/>
            <w:hideMark/>
          </w:tcPr>
          <w:p w14:paraId="1017A619" w14:textId="77777777" w:rsidR="00367051" w:rsidRPr="00367051" w:rsidRDefault="00367051" w:rsidP="00367051">
            <w:r w:rsidRPr="00367051">
              <w:t>901,147</w:t>
            </w:r>
          </w:p>
        </w:tc>
        <w:tc>
          <w:tcPr>
            <w:tcW w:w="0" w:type="auto"/>
            <w:hideMark/>
          </w:tcPr>
          <w:p w14:paraId="764BCAE5" w14:textId="77777777" w:rsidR="00367051" w:rsidRPr="00367051" w:rsidRDefault="00367051" w:rsidP="00367051">
            <w:r w:rsidRPr="00367051">
              <w:t>3,833,205</w:t>
            </w:r>
          </w:p>
        </w:tc>
        <w:tc>
          <w:tcPr>
            <w:tcW w:w="0" w:type="auto"/>
            <w:hideMark/>
          </w:tcPr>
          <w:p w14:paraId="54B3ADC6" w14:textId="2FB18395" w:rsidR="00367051" w:rsidRPr="00367051" w:rsidRDefault="0052203F" w:rsidP="00367051">
            <m:oMathPara>
              <m:oMath>
                <m:f>
                  <m:fPr>
                    <m:ctrlPr>
                      <w:rPr>
                        <w:rFonts w:ascii="Cambria Math" w:hAnsi="Cambria Math"/>
                      </w:rPr>
                    </m:ctrlPr>
                  </m:fPr>
                  <m:num>
                    <m:r>
                      <w:rPr>
                        <w:rFonts w:ascii="Cambria Math" w:hAnsi="Cambria Math"/>
                      </w:rPr>
                      <m:t>901,147</m:t>
                    </m:r>
                  </m:num>
                  <m:den>
                    <m:r>
                      <w:rPr>
                        <w:rFonts w:ascii="Cambria Math" w:hAnsi="Cambria Math"/>
                      </w:rPr>
                      <m:t>3,833,205</m:t>
                    </m:r>
                  </m:den>
                </m:f>
                <m:r>
                  <w:rPr>
                    <w:rFonts w:ascii="Cambria Math" w:hAnsi="Cambria Math"/>
                  </w:rPr>
                  <m:t>×100</m:t>
                </m:r>
              </m:oMath>
            </m:oMathPara>
          </w:p>
        </w:tc>
        <w:tc>
          <w:tcPr>
            <w:tcW w:w="0" w:type="auto"/>
            <w:hideMark/>
          </w:tcPr>
          <w:p w14:paraId="0C1E6511" w14:textId="77777777" w:rsidR="00367051" w:rsidRPr="00367051" w:rsidRDefault="00367051" w:rsidP="00367051">
            <w:r w:rsidRPr="00367051">
              <w:t>23.51%</w:t>
            </w:r>
          </w:p>
        </w:tc>
      </w:tr>
      <w:tr w:rsidR="00367051" w:rsidRPr="00367051" w14:paraId="06C2788B" w14:textId="77777777" w:rsidTr="007C041A">
        <w:tc>
          <w:tcPr>
            <w:tcW w:w="0" w:type="auto"/>
            <w:hideMark/>
          </w:tcPr>
          <w:p w14:paraId="02BA255F" w14:textId="77777777" w:rsidR="00367051" w:rsidRPr="00367051" w:rsidRDefault="00367051" w:rsidP="00367051">
            <w:r w:rsidRPr="00367051">
              <w:t>2025</w:t>
            </w:r>
          </w:p>
        </w:tc>
        <w:tc>
          <w:tcPr>
            <w:tcW w:w="0" w:type="auto"/>
            <w:hideMark/>
          </w:tcPr>
          <w:p w14:paraId="3A384E7B" w14:textId="77777777" w:rsidR="00367051" w:rsidRPr="00367051" w:rsidRDefault="00367051" w:rsidP="00367051">
            <w:r w:rsidRPr="00367051">
              <w:t>951,573</w:t>
            </w:r>
          </w:p>
        </w:tc>
        <w:tc>
          <w:tcPr>
            <w:tcW w:w="0" w:type="auto"/>
            <w:hideMark/>
          </w:tcPr>
          <w:p w14:paraId="1D279B88" w14:textId="77777777" w:rsidR="00367051" w:rsidRPr="00367051" w:rsidRDefault="00367051" w:rsidP="00367051">
            <w:r w:rsidRPr="00367051">
              <w:t>4,084,984</w:t>
            </w:r>
          </w:p>
        </w:tc>
        <w:tc>
          <w:tcPr>
            <w:tcW w:w="0" w:type="auto"/>
            <w:hideMark/>
          </w:tcPr>
          <w:p w14:paraId="13866888" w14:textId="43AEA435" w:rsidR="00367051" w:rsidRPr="00367051" w:rsidRDefault="0052203F" w:rsidP="00367051">
            <m:oMathPara>
              <m:oMath>
                <m:f>
                  <m:fPr>
                    <m:ctrlPr>
                      <w:rPr>
                        <w:rFonts w:ascii="Cambria Math" w:hAnsi="Cambria Math"/>
                      </w:rPr>
                    </m:ctrlPr>
                  </m:fPr>
                  <m:num>
                    <m:r>
                      <w:rPr>
                        <w:rFonts w:ascii="Cambria Math" w:hAnsi="Cambria Math"/>
                      </w:rPr>
                      <m:t>951,573</m:t>
                    </m:r>
                  </m:num>
                  <m:den>
                    <m:r>
                      <w:rPr>
                        <w:rFonts w:ascii="Cambria Math" w:hAnsi="Cambria Math"/>
                      </w:rPr>
                      <m:t>4,084,984</m:t>
                    </m:r>
                  </m:den>
                </m:f>
                <m:r>
                  <w:rPr>
                    <w:rFonts w:ascii="Cambria Math" w:hAnsi="Cambria Math"/>
                  </w:rPr>
                  <m:t>×100</m:t>
                </m:r>
              </m:oMath>
            </m:oMathPara>
          </w:p>
        </w:tc>
        <w:tc>
          <w:tcPr>
            <w:tcW w:w="0" w:type="auto"/>
            <w:hideMark/>
          </w:tcPr>
          <w:p w14:paraId="2664DEC2" w14:textId="77777777" w:rsidR="00367051" w:rsidRPr="00367051" w:rsidRDefault="00367051" w:rsidP="00367051">
            <w:r w:rsidRPr="00367051">
              <w:t>23.29%</w:t>
            </w:r>
          </w:p>
        </w:tc>
      </w:tr>
    </w:tbl>
    <w:p w14:paraId="181C9115" w14:textId="77777777" w:rsidR="004C5B86" w:rsidRDefault="004C5B86" w:rsidP="00367051"/>
    <w:p w14:paraId="78089EFC" w14:textId="77777777" w:rsidR="00305679" w:rsidRDefault="000842FB" w:rsidP="00305679">
      <w:pPr>
        <w:keepNext/>
        <w:jc w:val="center"/>
      </w:pPr>
      <w:r>
        <w:rPr>
          <w:noProof/>
        </w:rPr>
        <w:drawing>
          <wp:inline distT="0" distB="0" distL="0" distR="0" wp14:anchorId="332C7752" wp14:editId="7B49882F">
            <wp:extent cx="5818505" cy="2897579"/>
            <wp:effectExtent l="0" t="0" r="10795" b="17145"/>
            <wp:docPr id="25584705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9A428C8" w14:textId="7C1A7A67" w:rsidR="004C5B86" w:rsidRDefault="00305679" w:rsidP="00305679">
      <w:pPr>
        <w:pStyle w:val="Caption"/>
        <w:jc w:val="center"/>
      </w:pPr>
      <w:r>
        <w:t xml:space="preserve">Figure </w:t>
      </w:r>
      <w:fldSimple w:instr=" SEQ Figure \* ARABIC ">
        <w:r>
          <w:rPr>
            <w:noProof/>
          </w:rPr>
          <w:t>1</w:t>
        </w:r>
      </w:fldSimple>
      <w:r>
        <w:t xml:space="preserve">: </w:t>
      </w:r>
      <w:r w:rsidRPr="00321DB8">
        <w:t>Gross Profit Margin Calculation</w:t>
      </w:r>
    </w:p>
    <w:p w14:paraId="5B6FF115" w14:textId="574CD744" w:rsidR="00367051" w:rsidRPr="00367051" w:rsidRDefault="0061510D" w:rsidP="00367051">
      <w:r w:rsidRPr="0061510D">
        <w:t>Data for FY2021–2022 comes from the 2022 report, FY2023–2024 from the 2024 report, and FY2025 from the 2025 report. Gross profit margin was maintained at 22.37 to 23.51 and it was a sign of good cost management. FY2022 to FY2023 slight declines are indicative of cost pressure, and FY2024 to FY2025 recovery currents the strong pricing and production effectiveness (Abbes, 2025).</w:t>
      </w:r>
      <w:r w:rsidR="00367051" w:rsidRPr="00367051">
        <w:t xml:space="preserve"> </w:t>
      </w:r>
    </w:p>
    <w:p w14:paraId="70809981" w14:textId="77777777" w:rsidR="00367051" w:rsidRPr="00367051" w:rsidRDefault="00367051" w:rsidP="00891388">
      <w:pPr>
        <w:pStyle w:val="Heading3"/>
      </w:pPr>
      <w:bookmarkStart w:id="4" w:name="_Toc227885124"/>
      <w:r w:rsidRPr="00367051">
        <w:t>1.1.2 Operating Profit Margin</w:t>
      </w:r>
      <w:bookmarkEnd w:id="4"/>
    </w:p>
    <w:p w14:paraId="108DD2C4" w14:textId="010FF507" w:rsidR="00367051" w:rsidRPr="00367051" w:rsidRDefault="00367051" w:rsidP="00367051">
      <m:oMathPara>
        <m:oMath>
          <m:r>
            <m:rPr>
              <m:nor/>
            </m:rPr>
            <m:t>Operating Profit Margin</m:t>
          </m:r>
          <m:r>
            <w:rPr>
              <w:rFonts w:ascii="Cambria Math" w:hAnsi="Cambria Math"/>
            </w:rPr>
            <m:t>=</m:t>
          </m:r>
          <m:f>
            <m:fPr>
              <m:ctrlPr>
                <w:rPr>
                  <w:rFonts w:ascii="Cambria Math" w:hAnsi="Cambria Math"/>
                </w:rPr>
              </m:ctrlPr>
            </m:fPr>
            <m:num>
              <m:r>
                <m:rPr>
                  <m:nor/>
                </m:rPr>
                <m:t>Operating Profit</m:t>
              </m:r>
            </m:num>
            <m:den>
              <m:r>
                <m:rPr>
                  <m:nor/>
                </m:rPr>
                <m:t>Net Sales</m:t>
              </m:r>
            </m:den>
          </m:f>
          <m:r>
            <w:rPr>
              <w:rFonts w:ascii="Cambria Math" w:hAnsi="Cambria Math"/>
            </w:rPr>
            <m:t>×100</m:t>
          </m:r>
          <m:r>
            <m:rPr>
              <m:sty m:val="p"/>
            </m:rPr>
            <w:br/>
          </m:r>
        </m:oMath>
      </m:oMathPara>
    </w:p>
    <w:p w14:paraId="2BDB6812" w14:textId="77777777" w:rsidR="00367051" w:rsidRPr="00367051" w:rsidRDefault="00367051" w:rsidP="00367051">
      <w:pPr>
        <w:rPr>
          <w:b/>
          <w:bCs/>
        </w:rPr>
      </w:pPr>
      <w:r w:rsidRPr="00367051">
        <w:rPr>
          <w:b/>
          <w:bCs/>
        </w:rPr>
        <w:t>Table 2. Operating Profit Margin Calculation, FY2021–FY2025</w:t>
      </w:r>
    </w:p>
    <w:tbl>
      <w:tblPr>
        <w:tblStyle w:val="TableGrid"/>
        <w:tblW w:w="0" w:type="auto"/>
        <w:tblLook w:val="04A0" w:firstRow="1" w:lastRow="0" w:firstColumn="1" w:lastColumn="0" w:noHBand="0" w:noVBand="1"/>
      </w:tblPr>
      <w:tblGrid>
        <w:gridCol w:w="750"/>
        <w:gridCol w:w="2375"/>
        <w:gridCol w:w="1971"/>
        <w:gridCol w:w="1733"/>
        <w:gridCol w:w="2187"/>
      </w:tblGrid>
      <w:tr w:rsidR="00367051" w:rsidRPr="00367051" w14:paraId="12448CB8" w14:textId="77777777" w:rsidTr="007C041A">
        <w:tc>
          <w:tcPr>
            <w:tcW w:w="0" w:type="auto"/>
            <w:hideMark/>
          </w:tcPr>
          <w:p w14:paraId="1B343D3A" w14:textId="77777777" w:rsidR="00367051" w:rsidRPr="00367051" w:rsidRDefault="00367051" w:rsidP="00367051">
            <w:pPr>
              <w:rPr>
                <w:b/>
                <w:bCs/>
              </w:rPr>
            </w:pPr>
            <w:r w:rsidRPr="00367051">
              <w:rPr>
                <w:b/>
                <w:bCs/>
              </w:rPr>
              <w:t>Year</w:t>
            </w:r>
          </w:p>
        </w:tc>
        <w:tc>
          <w:tcPr>
            <w:tcW w:w="0" w:type="auto"/>
            <w:hideMark/>
          </w:tcPr>
          <w:p w14:paraId="3E1DA6DF" w14:textId="77777777" w:rsidR="00367051" w:rsidRPr="00367051" w:rsidRDefault="00367051" w:rsidP="00367051">
            <w:pPr>
              <w:rPr>
                <w:b/>
                <w:bCs/>
              </w:rPr>
            </w:pPr>
            <w:r w:rsidRPr="00367051">
              <w:rPr>
                <w:b/>
                <w:bCs/>
              </w:rPr>
              <w:t>Operating Profit (¥ million)</w:t>
            </w:r>
          </w:p>
        </w:tc>
        <w:tc>
          <w:tcPr>
            <w:tcW w:w="0" w:type="auto"/>
            <w:hideMark/>
          </w:tcPr>
          <w:p w14:paraId="129799D2" w14:textId="77777777" w:rsidR="00367051" w:rsidRPr="00367051" w:rsidRDefault="00367051" w:rsidP="00367051">
            <w:pPr>
              <w:rPr>
                <w:b/>
                <w:bCs/>
              </w:rPr>
            </w:pPr>
            <w:r w:rsidRPr="00367051">
              <w:rPr>
                <w:b/>
                <w:bCs/>
              </w:rPr>
              <w:t>Net Sales (¥ million)</w:t>
            </w:r>
          </w:p>
        </w:tc>
        <w:tc>
          <w:tcPr>
            <w:tcW w:w="0" w:type="auto"/>
            <w:hideMark/>
          </w:tcPr>
          <w:p w14:paraId="5CF4DAD7" w14:textId="42093FBE" w:rsidR="00367051" w:rsidRPr="00367051" w:rsidRDefault="00367051" w:rsidP="00367051">
            <w:pPr>
              <w:rPr>
                <w:b/>
                <w:bCs/>
              </w:rPr>
            </w:pPr>
            <w:r w:rsidRPr="00367051">
              <w:rPr>
                <w:b/>
                <w:bCs/>
              </w:rPr>
              <w:t>Calculation</w:t>
            </w:r>
          </w:p>
        </w:tc>
        <w:tc>
          <w:tcPr>
            <w:tcW w:w="0" w:type="auto"/>
            <w:hideMark/>
          </w:tcPr>
          <w:p w14:paraId="387C43DF" w14:textId="77777777" w:rsidR="00367051" w:rsidRPr="00367051" w:rsidRDefault="00367051" w:rsidP="00367051">
            <w:pPr>
              <w:rPr>
                <w:b/>
                <w:bCs/>
              </w:rPr>
            </w:pPr>
            <w:r w:rsidRPr="00367051">
              <w:rPr>
                <w:b/>
                <w:bCs/>
              </w:rPr>
              <w:t>Operating Profit Margin</w:t>
            </w:r>
          </w:p>
        </w:tc>
      </w:tr>
      <w:tr w:rsidR="00367051" w:rsidRPr="00367051" w14:paraId="48561189" w14:textId="77777777" w:rsidTr="007C041A">
        <w:tc>
          <w:tcPr>
            <w:tcW w:w="0" w:type="auto"/>
            <w:hideMark/>
          </w:tcPr>
          <w:p w14:paraId="6AD725FD" w14:textId="77777777" w:rsidR="00367051" w:rsidRPr="00367051" w:rsidRDefault="00367051" w:rsidP="00367051">
            <w:r w:rsidRPr="00367051">
              <w:lastRenderedPageBreak/>
              <w:t>2021</w:t>
            </w:r>
          </w:p>
        </w:tc>
        <w:tc>
          <w:tcPr>
            <w:tcW w:w="0" w:type="auto"/>
            <w:hideMark/>
          </w:tcPr>
          <w:p w14:paraId="5AD94F1F" w14:textId="77777777" w:rsidR="00367051" w:rsidRPr="00367051" w:rsidRDefault="00367051" w:rsidP="00367051">
            <w:r w:rsidRPr="00367051">
              <w:t>118,159</w:t>
            </w:r>
          </w:p>
        </w:tc>
        <w:tc>
          <w:tcPr>
            <w:tcW w:w="0" w:type="auto"/>
            <w:hideMark/>
          </w:tcPr>
          <w:p w14:paraId="5DBD4DF9" w14:textId="77777777" w:rsidR="00367051" w:rsidRPr="00367051" w:rsidRDefault="00367051" w:rsidP="00367051">
            <w:r w:rsidRPr="00367051">
              <w:t>2,118,302</w:t>
            </w:r>
          </w:p>
        </w:tc>
        <w:tc>
          <w:tcPr>
            <w:tcW w:w="0" w:type="auto"/>
            <w:hideMark/>
          </w:tcPr>
          <w:p w14:paraId="42653102" w14:textId="0D62E793" w:rsidR="00367051" w:rsidRPr="00367051" w:rsidRDefault="0052203F" w:rsidP="00367051">
            <m:oMathPara>
              <m:oMath>
                <m:f>
                  <m:fPr>
                    <m:ctrlPr>
                      <w:rPr>
                        <w:rFonts w:ascii="Cambria Math" w:hAnsi="Cambria Math"/>
                      </w:rPr>
                    </m:ctrlPr>
                  </m:fPr>
                  <m:num>
                    <m:r>
                      <w:rPr>
                        <w:rFonts w:ascii="Cambria Math" w:hAnsi="Cambria Math"/>
                      </w:rPr>
                      <m:t>118,159</m:t>
                    </m:r>
                  </m:num>
                  <m:den>
                    <m:r>
                      <w:rPr>
                        <w:rFonts w:ascii="Cambria Math" w:hAnsi="Cambria Math"/>
                      </w:rPr>
                      <m:t>2,118,302</m:t>
                    </m:r>
                  </m:den>
                </m:f>
                <m:r>
                  <w:rPr>
                    <w:rFonts w:ascii="Cambria Math" w:hAnsi="Cambria Math"/>
                  </w:rPr>
                  <m:t>×100</m:t>
                </m:r>
              </m:oMath>
            </m:oMathPara>
          </w:p>
        </w:tc>
        <w:tc>
          <w:tcPr>
            <w:tcW w:w="0" w:type="auto"/>
            <w:hideMark/>
          </w:tcPr>
          <w:p w14:paraId="3F15F49D" w14:textId="77777777" w:rsidR="00367051" w:rsidRPr="00367051" w:rsidRDefault="00367051" w:rsidP="00367051">
            <w:r w:rsidRPr="00367051">
              <w:t>5.58%</w:t>
            </w:r>
          </w:p>
        </w:tc>
      </w:tr>
      <w:tr w:rsidR="00367051" w:rsidRPr="00367051" w14:paraId="5788C61D" w14:textId="77777777" w:rsidTr="007C041A">
        <w:tc>
          <w:tcPr>
            <w:tcW w:w="0" w:type="auto"/>
            <w:hideMark/>
          </w:tcPr>
          <w:p w14:paraId="28EBA131" w14:textId="77777777" w:rsidR="00367051" w:rsidRPr="00367051" w:rsidRDefault="00367051" w:rsidP="00367051">
            <w:r w:rsidRPr="00367051">
              <w:t>2022</w:t>
            </w:r>
          </w:p>
        </w:tc>
        <w:tc>
          <w:tcPr>
            <w:tcW w:w="0" w:type="auto"/>
            <w:hideMark/>
          </w:tcPr>
          <w:p w14:paraId="7293A845" w14:textId="77777777" w:rsidR="00367051" w:rsidRPr="00367051" w:rsidRDefault="00367051" w:rsidP="00367051">
            <w:r w:rsidRPr="00367051">
              <w:t>159,066</w:t>
            </w:r>
          </w:p>
        </w:tc>
        <w:tc>
          <w:tcPr>
            <w:tcW w:w="0" w:type="auto"/>
            <w:hideMark/>
          </w:tcPr>
          <w:p w14:paraId="25AB463F" w14:textId="77777777" w:rsidR="00367051" w:rsidRPr="00367051" w:rsidRDefault="00367051" w:rsidP="00367051">
            <w:r w:rsidRPr="00367051">
              <w:t>2,705,183</w:t>
            </w:r>
          </w:p>
        </w:tc>
        <w:tc>
          <w:tcPr>
            <w:tcW w:w="0" w:type="auto"/>
            <w:hideMark/>
          </w:tcPr>
          <w:p w14:paraId="36B29702" w14:textId="08A07F67" w:rsidR="00367051" w:rsidRPr="00367051" w:rsidRDefault="0052203F" w:rsidP="00367051">
            <m:oMathPara>
              <m:oMath>
                <m:f>
                  <m:fPr>
                    <m:ctrlPr>
                      <w:rPr>
                        <w:rFonts w:ascii="Cambria Math" w:hAnsi="Cambria Math"/>
                      </w:rPr>
                    </m:ctrlPr>
                  </m:fPr>
                  <m:num>
                    <m:r>
                      <w:rPr>
                        <w:rFonts w:ascii="Cambria Math" w:hAnsi="Cambria Math"/>
                      </w:rPr>
                      <m:t>159,066</m:t>
                    </m:r>
                  </m:num>
                  <m:den>
                    <m:r>
                      <w:rPr>
                        <w:rFonts w:ascii="Cambria Math" w:hAnsi="Cambria Math"/>
                      </w:rPr>
                      <m:t>2,705,183</m:t>
                    </m:r>
                  </m:den>
                </m:f>
                <m:r>
                  <w:rPr>
                    <w:rFonts w:ascii="Cambria Math" w:hAnsi="Cambria Math"/>
                  </w:rPr>
                  <m:t>×100</m:t>
                </m:r>
              </m:oMath>
            </m:oMathPara>
          </w:p>
        </w:tc>
        <w:tc>
          <w:tcPr>
            <w:tcW w:w="0" w:type="auto"/>
            <w:hideMark/>
          </w:tcPr>
          <w:p w14:paraId="7C58036F" w14:textId="77777777" w:rsidR="00367051" w:rsidRPr="00367051" w:rsidRDefault="00367051" w:rsidP="00367051">
            <w:r w:rsidRPr="00367051">
              <w:t>5.88%</w:t>
            </w:r>
          </w:p>
        </w:tc>
      </w:tr>
      <w:tr w:rsidR="00367051" w:rsidRPr="00367051" w14:paraId="42589D2D" w14:textId="77777777" w:rsidTr="007C041A">
        <w:tc>
          <w:tcPr>
            <w:tcW w:w="0" w:type="auto"/>
            <w:hideMark/>
          </w:tcPr>
          <w:p w14:paraId="35252C10" w14:textId="77777777" w:rsidR="00367051" w:rsidRPr="00367051" w:rsidRDefault="00367051" w:rsidP="00367051">
            <w:r w:rsidRPr="00367051">
              <w:t>2023</w:t>
            </w:r>
          </w:p>
        </w:tc>
        <w:tc>
          <w:tcPr>
            <w:tcW w:w="0" w:type="auto"/>
            <w:hideMark/>
          </w:tcPr>
          <w:p w14:paraId="6E18405F" w14:textId="77777777" w:rsidR="00367051" w:rsidRPr="00367051" w:rsidRDefault="00367051" w:rsidP="00367051">
            <w:r w:rsidRPr="00367051">
              <w:t>169,904</w:t>
            </w:r>
          </w:p>
        </w:tc>
        <w:tc>
          <w:tcPr>
            <w:tcW w:w="0" w:type="auto"/>
            <w:hideMark/>
          </w:tcPr>
          <w:p w14:paraId="336A5F32" w14:textId="77777777" w:rsidR="00367051" w:rsidRPr="00367051" w:rsidRDefault="00367051" w:rsidP="00367051">
            <w:r w:rsidRPr="00367051">
              <w:t>3,379,891</w:t>
            </w:r>
          </w:p>
        </w:tc>
        <w:tc>
          <w:tcPr>
            <w:tcW w:w="0" w:type="auto"/>
            <w:hideMark/>
          </w:tcPr>
          <w:p w14:paraId="12D2BD2F" w14:textId="3A1ADE8E" w:rsidR="00367051" w:rsidRPr="00367051" w:rsidRDefault="0052203F" w:rsidP="00367051">
            <m:oMathPara>
              <m:oMath>
                <m:f>
                  <m:fPr>
                    <m:ctrlPr>
                      <w:rPr>
                        <w:rFonts w:ascii="Cambria Math" w:hAnsi="Cambria Math"/>
                      </w:rPr>
                    </m:ctrlPr>
                  </m:fPr>
                  <m:num>
                    <m:r>
                      <w:rPr>
                        <w:rFonts w:ascii="Cambria Math" w:hAnsi="Cambria Math"/>
                      </w:rPr>
                      <m:t>169,904</m:t>
                    </m:r>
                  </m:num>
                  <m:den>
                    <m:r>
                      <w:rPr>
                        <w:rFonts w:ascii="Cambria Math" w:hAnsi="Cambria Math"/>
                      </w:rPr>
                      <m:t>3,379,891</m:t>
                    </m:r>
                  </m:den>
                </m:f>
                <m:r>
                  <w:rPr>
                    <w:rFonts w:ascii="Cambria Math" w:hAnsi="Cambria Math"/>
                  </w:rPr>
                  <m:t>×100</m:t>
                </m:r>
              </m:oMath>
            </m:oMathPara>
          </w:p>
        </w:tc>
        <w:tc>
          <w:tcPr>
            <w:tcW w:w="0" w:type="auto"/>
            <w:hideMark/>
          </w:tcPr>
          <w:p w14:paraId="39B07A82" w14:textId="77777777" w:rsidR="00367051" w:rsidRPr="00367051" w:rsidRDefault="00367051" w:rsidP="00367051">
            <w:r w:rsidRPr="00367051">
              <w:t>5.03%</w:t>
            </w:r>
          </w:p>
        </w:tc>
      </w:tr>
      <w:tr w:rsidR="00367051" w:rsidRPr="00367051" w14:paraId="0F5B1485" w14:textId="77777777" w:rsidTr="007C041A">
        <w:tc>
          <w:tcPr>
            <w:tcW w:w="0" w:type="auto"/>
            <w:hideMark/>
          </w:tcPr>
          <w:p w14:paraId="5C9299EB" w14:textId="77777777" w:rsidR="00367051" w:rsidRPr="00367051" w:rsidRDefault="00367051" w:rsidP="00367051">
            <w:r w:rsidRPr="00367051">
              <w:t>2024</w:t>
            </w:r>
          </w:p>
        </w:tc>
        <w:tc>
          <w:tcPr>
            <w:tcW w:w="0" w:type="auto"/>
            <w:hideMark/>
          </w:tcPr>
          <w:p w14:paraId="7F27ACA7" w14:textId="77777777" w:rsidR="00367051" w:rsidRPr="00367051" w:rsidRDefault="00367051" w:rsidP="00367051">
            <w:r w:rsidRPr="00367051">
              <w:t>200,404</w:t>
            </w:r>
          </w:p>
        </w:tc>
        <w:tc>
          <w:tcPr>
            <w:tcW w:w="0" w:type="auto"/>
            <w:hideMark/>
          </w:tcPr>
          <w:p w14:paraId="30176C2B" w14:textId="77777777" w:rsidR="00367051" w:rsidRPr="00367051" w:rsidRDefault="00367051" w:rsidP="00367051">
            <w:r w:rsidRPr="00367051">
              <w:t>3,833,205</w:t>
            </w:r>
          </w:p>
        </w:tc>
        <w:tc>
          <w:tcPr>
            <w:tcW w:w="0" w:type="auto"/>
            <w:hideMark/>
          </w:tcPr>
          <w:p w14:paraId="0D9D7DDF" w14:textId="051CC758" w:rsidR="00367051" w:rsidRPr="00367051" w:rsidRDefault="0052203F" w:rsidP="00367051">
            <m:oMathPara>
              <m:oMath>
                <m:f>
                  <m:fPr>
                    <m:ctrlPr>
                      <w:rPr>
                        <w:rFonts w:ascii="Cambria Math" w:hAnsi="Cambria Math"/>
                      </w:rPr>
                    </m:ctrlPr>
                  </m:fPr>
                  <m:num>
                    <m:r>
                      <w:rPr>
                        <w:rFonts w:ascii="Cambria Math" w:hAnsi="Cambria Math"/>
                      </w:rPr>
                      <m:t>200,404</m:t>
                    </m:r>
                  </m:num>
                  <m:den>
                    <m:r>
                      <w:rPr>
                        <w:rFonts w:ascii="Cambria Math" w:hAnsi="Cambria Math"/>
                      </w:rPr>
                      <m:t>3,833,205</m:t>
                    </m:r>
                  </m:den>
                </m:f>
                <m:r>
                  <w:rPr>
                    <w:rFonts w:ascii="Cambria Math" w:hAnsi="Cambria Math"/>
                  </w:rPr>
                  <m:t>×100</m:t>
                </m:r>
              </m:oMath>
            </m:oMathPara>
          </w:p>
        </w:tc>
        <w:tc>
          <w:tcPr>
            <w:tcW w:w="0" w:type="auto"/>
            <w:hideMark/>
          </w:tcPr>
          <w:p w14:paraId="6DF29C17" w14:textId="77777777" w:rsidR="00367051" w:rsidRPr="00367051" w:rsidRDefault="00367051" w:rsidP="00367051">
            <w:r w:rsidRPr="00367051">
              <w:t>5.23%</w:t>
            </w:r>
          </w:p>
        </w:tc>
      </w:tr>
      <w:tr w:rsidR="00367051" w:rsidRPr="00367051" w14:paraId="6467A229" w14:textId="77777777" w:rsidTr="007C041A">
        <w:tc>
          <w:tcPr>
            <w:tcW w:w="0" w:type="auto"/>
            <w:hideMark/>
          </w:tcPr>
          <w:p w14:paraId="342EF707" w14:textId="77777777" w:rsidR="00367051" w:rsidRPr="00367051" w:rsidRDefault="00367051" w:rsidP="00367051">
            <w:r w:rsidRPr="00367051">
              <w:t>2025</w:t>
            </w:r>
          </w:p>
        </w:tc>
        <w:tc>
          <w:tcPr>
            <w:tcW w:w="0" w:type="auto"/>
            <w:hideMark/>
          </w:tcPr>
          <w:p w14:paraId="08C790AD" w14:textId="77777777" w:rsidR="00367051" w:rsidRPr="00367051" w:rsidRDefault="00367051" w:rsidP="00367051">
            <w:r w:rsidRPr="00367051">
              <w:t>221,695</w:t>
            </w:r>
          </w:p>
        </w:tc>
        <w:tc>
          <w:tcPr>
            <w:tcW w:w="0" w:type="auto"/>
            <w:hideMark/>
          </w:tcPr>
          <w:p w14:paraId="6B05FB1C" w14:textId="77777777" w:rsidR="00367051" w:rsidRPr="00367051" w:rsidRDefault="00367051" w:rsidP="00367051">
            <w:r w:rsidRPr="00367051">
              <w:t>4,084,984</w:t>
            </w:r>
          </w:p>
        </w:tc>
        <w:tc>
          <w:tcPr>
            <w:tcW w:w="0" w:type="auto"/>
            <w:hideMark/>
          </w:tcPr>
          <w:p w14:paraId="5F7F5F33" w14:textId="0DBCEF74" w:rsidR="00367051" w:rsidRPr="00367051" w:rsidRDefault="0052203F" w:rsidP="00367051">
            <m:oMathPara>
              <m:oMath>
                <m:f>
                  <m:fPr>
                    <m:ctrlPr>
                      <w:rPr>
                        <w:rFonts w:ascii="Cambria Math" w:hAnsi="Cambria Math"/>
                      </w:rPr>
                    </m:ctrlPr>
                  </m:fPr>
                  <m:num>
                    <m:r>
                      <w:rPr>
                        <w:rFonts w:ascii="Cambria Math" w:hAnsi="Cambria Math"/>
                      </w:rPr>
                      <m:t>221,695</m:t>
                    </m:r>
                  </m:num>
                  <m:den>
                    <m:r>
                      <w:rPr>
                        <w:rFonts w:ascii="Cambria Math" w:hAnsi="Cambria Math"/>
                      </w:rPr>
                      <m:t>4,084,984</m:t>
                    </m:r>
                  </m:den>
                </m:f>
                <m:r>
                  <w:rPr>
                    <w:rFonts w:ascii="Cambria Math" w:hAnsi="Cambria Math"/>
                  </w:rPr>
                  <m:t>×100</m:t>
                </m:r>
              </m:oMath>
            </m:oMathPara>
          </w:p>
        </w:tc>
        <w:tc>
          <w:tcPr>
            <w:tcW w:w="0" w:type="auto"/>
            <w:hideMark/>
          </w:tcPr>
          <w:p w14:paraId="34741573" w14:textId="77777777" w:rsidR="00367051" w:rsidRPr="00367051" w:rsidRDefault="00367051" w:rsidP="00367051">
            <w:r w:rsidRPr="00367051">
              <w:t>5.43%</w:t>
            </w:r>
          </w:p>
        </w:tc>
      </w:tr>
    </w:tbl>
    <w:p w14:paraId="69A42629" w14:textId="77777777" w:rsidR="00305679" w:rsidRDefault="00022C31" w:rsidP="00305679">
      <w:pPr>
        <w:keepNext/>
        <w:jc w:val="center"/>
      </w:pPr>
      <w:r>
        <w:rPr>
          <w:noProof/>
        </w:rPr>
        <w:drawing>
          <wp:inline distT="0" distB="0" distL="0" distR="0" wp14:anchorId="5E2BE625" wp14:editId="015282EE">
            <wp:extent cx="5723906" cy="2743200"/>
            <wp:effectExtent l="0" t="0" r="10160" b="0"/>
            <wp:docPr id="186835909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D3D8DD" w14:textId="3021DE43" w:rsidR="00022C31" w:rsidRDefault="00305679" w:rsidP="00305679">
      <w:pPr>
        <w:pStyle w:val="Caption"/>
        <w:jc w:val="center"/>
      </w:pPr>
      <w:r>
        <w:t xml:space="preserve">Figure </w:t>
      </w:r>
      <w:fldSimple w:instr=" SEQ Figure \* ARABIC ">
        <w:r>
          <w:rPr>
            <w:noProof/>
          </w:rPr>
          <w:t>2</w:t>
        </w:r>
      </w:fldSimple>
      <w:r>
        <w:t xml:space="preserve">: </w:t>
      </w:r>
      <w:r w:rsidRPr="003C7A94">
        <w:t>Operating Profit Margin Calculation</w:t>
      </w:r>
    </w:p>
    <w:p w14:paraId="76C4E060" w14:textId="58F599E4" w:rsidR="00367051" w:rsidRPr="00367051" w:rsidRDefault="00DD3523" w:rsidP="00367051">
      <w:r w:rsidRPr="00DD3523">
        <w:t xml:space="preserve">The operating margin was also steady, albeit lower than the gross margin due to high selling, general and administrative costs. These rose from ¥374,648 million in FY2021 to ¥723,853 million in FY2025. FY2023 had the lowest at 5.03% and indicated that the company was under pressure due to certification-related losses and other cost escalations, and FY2024 and FY2025 were recovering. This implies that Toyota industries </w:t>
      </w:r>
      <w:r w:rsidR="0089061F" w:rsidRPr="00DD3523">
        <w:t>were</w:t>
      </w:r>
      <w:r w:rsidRPr="00DD3523">
        <w:t xml:space="preserve"> still operationally profitable during the period, yet the business was still </w:t>
      </w:r>
      <w:r w:rsidRPr="00DD3523">
        <w:lastRenderedPageBreak/>
        <w:t>struggling with excessive overheads and costs associated with compliance (Cecil, 2024).</w:t>
      </w:r>
      <w:r w:rsidR="00367051" w:rsidRPr="00367051">
        <w:t xml:space="preserve"> </w:t>
      </w:r>
    </w:p>
    <w:p w14:paraId="79E0A8C6" w14:textId="77777777" w:rsidR="00367051" w:rsidRPr="00367051" w:rsidRDefault="00367051" w:rsidP="00891388">
      <w:pPr>
        <w:pStyle w:val="Heading3"/>
      </w:pPr>
      <w:bookmarkStart w:id="5" w:name="_Toc227885125"/>
      <w:r w:rsidRPr="00367051">
        <w:t>1.1.3 Net Profit Margin</w:t>
      </w:r>
      <w:bookmarkEnd w:id="5"/>
    </w:p>
    <w:p w14:paraId="3AB7B555" w14:textId="3BC27ED1" w:rsidR="00367051" w:rsidRPr="00367051" w:rsidRDefault="00367051" w:rsidP="00367051">
      <m:oMathPara>
        <m:oMath>
          <m:r>
            <m:rPr>
              <m:nor/>
            </m:rPr>
            <m:t>Net Profit Margin</m:t>
          </m:r>
          <m:r>
            <w:rPr>
              <w:rFonts w:ascii="Cambria Math" w:hAnsi="Cambria Math"/>
            </w:rPr>
            <m:t>=</m:t>
          </m:r>
          <m:f>
            <m:fPr>
              <m:ctrlPr>
                <w:rPr>
                  <w:rFonts w:ascii="Cambria Math" w:hAnsi="Cambria Math"/>
                </w:rPr>
              </m:ctrlPr>
            </m:fPr>
            <m:num>
              <m:r>
                <m:rPr>
                  <m:nor/>
                </m:rPr>
                <m:t>Profit Attributable to Owners of the Parent</m:t>
              </m:r>
            </m:num>
            <m:den>
              <m:r>
                <m:rPr>
                  <m:nor/>
                </m:rPr>
                <m:t>Net Sales</m:t>
              </m:r>
            </m:den>
          </m:f>
          <m:r>
            <w:rPr>
              <w:rFonts w:ascii="Cambria Math" w:hAnsi="Cambria Math"/>
            </w:rPr>
            <m:t>×100</m:t>
          </m:r>
          <m:r>
            <m:rPr>
              <m:sty m:val="p"/>
            </m:rPr>
            <w:br/>
          </m:r>
        </m:oMath>
      </m:oMathPara>
    </w:p>
    <w:p w14:paraId="34B44C08" w14:textId="77777777" w:rsidR="00367051" w:rsidRPr="00367051" w:rsidRDefault="00367051" w:rsidP="00367051">
      <w:pPr>
        <w:rPr>
          <w:b/>
          <w:bCs/>
        </w:rPr>
      </w:pPr>
      <w:r w:rsidRPr="00367051">
        <w:rPr>
          <w:b/>
          <w:bCs/>
        </w:rPr>
        <w:t>Table 3. Net Profit Margin Calculation, FY2021–FY2025</w:t>
      </w:r>
    </w:p>
    <w:tbl>
      <w:tblPr>
        <w:tblStyle w:val="TableGrid"/>
        <w:tblW w:w="0" w:type="auto"/>
        <w:tblLook w:val="04A0" w:firstRow="1" w:lastRow="0" w:firstColumn="1" w:lastColumn="0" w:noHBand="0" w:noVBand="1"/>
      </w:tblPr>
      <w:tblGrid>
        <w:gridCol w:w="750"/>
        <w:gridCol w:w="3084"/>
        <w:gridCol w:w="1909"/>
        <w:gridCol w:w="1711"/>
        <w:gridCol w:w="1562"/>
      </w:tblGrid>
      <w:tr w:rsidR="00367051" w:rsidRPr="00367051" w14:paraId="0AA8011F" w14:textId="77777777" w:rsidTr="007C041A">
        <w:tc>
          <w:tcPr>
            <w:tcW w:w="0" w:type="auto"/>
            <w:hideMark/>
          </w:tcPr>
          <w:p w14:paraId="03D593B2" w14:textId="77777777" w:rsidR="00367051" w:rsidRPr="00367051" w:rsidRDefault="00367051" w:rsidP="00367051">
            <w:pPr>
              <w:rPr>
                <w:b/>
                <w:bCs/>
              </w:rPr>
            </w:pPr>
            <w:r w:rsidRPr="00367051">
              <w:rPr>
                <w:b/>
                <w:bCs/>
              </w:rPr>
              <w:t>Year</w:t>
            </w:r>
          </w:p>
        </w:tc>
        <w:tc>
          <w:tcPr>
            <w:tcW w:w="0" w:type="auto"/>
            <w:hideMark/>
          </w:tcPr>
          <w:p w14:paraId="338FBD66" w14:textId="77777777" w:rsidR="00367051" w:rsidRPr="00367051" w:rsidRDefault="00367051" w:rsidP="00367051">
            <w:pPr>
              <w:rPr>
                <w:b/>
                <w:bCs/>
              </w:rPr>
            </w:pPr>
            <w:r w:rsidRPr="00367051">
              <w:rPr>
                <w:b/>
                <w:bCs/>
              </w:rPr>
              <w:t>Profit Attributable to Owners (¥ million)</w:t>
            </w:r>
          </w:p>
        </w:tc>
        <w:tc>
          <w:tcPr>
            <w:tcW w:w="0" w:type="auto"/>
            <w:hideMark/>
          </w:tcPr>
          <w:p w14:paraId="2C61D290" w14:textId="77777777" w:rsidR="00367051" w:rsidRPr="00367051" w:rsidRDefault="00367051" w:rsidP="00367051">
            <w:pPr>
              <w:rPr>
                <w:b/>
                <w:bCs/>
              </w:rPr>
            </w:pPr>
            <w:r w:rsidRPr="00367051">
              <w:rPr>
                <w:b/>
                <w:bCs/>
              </w:rPr>
              <w:t>Net Sales (¥ million)</w:t>
            </w:r>
          </w:p>
        </w:tc>
        <w:tc>
          <w:tcPr>
            <w:tcW w:w="0" w:type="auto"/>
            <w:hideMark/>
          </w:tcPr>
          <w:p w14:paraId="3FD7B65B" w14:textId="77DF45F8" w:rsidR="00367051" w:rsidRPr="00367051" w:rsidRDefault="00367051" w:rsidP="00367051">
            <w:pPr>
              <w:rPr>
                <w:b/>
                <w:bCs/>
              </w:rPr>
            </w:pPr>
            <w:r w:rsidRPr="00367051">
              <w:rPr>
                <w:b/>
                <w:bCs/>
              </w:rPr>
              <w:t>Calculation</w:t>
            </w:r>
          </w:p>
        </w:tc>
        <w:tc>
          <w:tcPr>
            <w:tcW w:w="0" w:type="auto"/>
            <w:hideMark/>
          </w:tcPr>
          <w:p w14:paraId="517B84F1" w14:textId="77777777" w:rsidR="00367051" w:rsidRPr="00367051" w:rsidRDefault="00367051" w:rsidP="00367051">
            <w:pPr>
              <w:rPr>
                <w:b/>
                <w:bCs/>
              </w:rPr>
            </w:pPr>
            <w:r w:rsidRPr="00367051">
              <w:rPr>
                <w:b/>
                <w:bCs/>
              </w:rPr>
              <w:t>Net Profit Margin</w:t>
            </w:r>
          </w:p>
        </w:tc>
      </w:tr>
      <w:tr w:rsidR="00367051" w:rsidRPr="00367051" w14:paraId="0DEFF1CF" w14:textId="77777777" w:rsidTr="007C041A">
        <w:tc>
          <w:tcPr>
            <w:tcW w:w="0" w:type="auto"/>
            <w:hideMark/>
          </w:tcPr>
          <w:p w14:paraId="6A3FC77E" w14:textId="77777777" w:rsidR="00367051" w:rsidRPr="00367051" w:rsidRDefault="00367051" w:rsidP="00367051">
            <w:r w:rsidRPr="00367051">
              <w:t>2021</w:t>
            </w:r>
          </w:p>
        </w:tc>
        <w:tc>
          <w:tcPr>
            <w:tcW w:w="0" w:type="auto"/>
            <w:hideMark/>
          </w:tcPr>
          <w:p w14:paraId="2BD526AF" w14:textId="77777777" w:rsidR="00367051" w:rsidRPr="00367051" w:rsidRDefault="00367051" w:rsidP="00367051">
            <w:r w:rsidRPr="00367051">
              <w:t>136,700</w:t>
            </w:r>
          </w:p>
        </w:tc>
        <w:tc>
          <w:tcPr>
            <w:tcW w:w="0" w:type="auto"/>
            <w:hideMark/>
          </w:tcPr>
          <w:p w14:paraId="2B39CF5B" w14:textId="77777777" w:rsidR="00367051" w:rsidRPr="00367051" w:rsidRDefault="00367051" w:rsidP="00367051">
            <w:r w:rsidRPr="00367051">
              <w:t>2,118,302</w:t>
            </w:r>
          </w:p>
        </w:tc>
        <w:tc>
          <w:tcPr>
            <w:tcW w:w="0" w:type="auto"/>
            <w:hideMark/>
          </w:tcPr>
          <w:p w14:paraId="63D4B058" w14:textId="2775C667" w:rsidR="00367051" w:rsidRPr="00367051" w:rsidRDefault="0052203F" w:rsidP="00367051">
            <m:oMathPara>
              <m:oMath>
                <m:f>
                  <m:fPr>
                    <m:ctrlPr>
                      <w:rPr>
                        <w:rFonts w:ascii="Cambria Math" w:hAnsi="Cambria Math"/>
                      </w:rPr>
                    </m:ctrlPr>
                  </m:fPr>
                  <m:num>
                    <m:r>
                      <w:rPr>
                        <w:rFonts w:ascii="Cambria Math" w:hAnsi="Cambria Math"/>
                      </w:rPr>
                      <m:t>136,700</m:t>
                    </m:r>
                  </m:num>
                  <m:den>
                    <m:r>
                      <w:rPr>
                        <w:rFonts w:ascii="Cambria Math" w:hAnsi="Cambria Math"/>
                      </w:rPr>
                      <m:t>2,118,302</m:t>
                    </m:r>
                  </m:den>
                </m:f>
                <m:r>
                  <w:rPr>
                    <w:rFonts w:ascii="Cambria Math" w:hAnsi="Cambria Math"/>
                  </w:rPr>
                  <m:t>×100</m:t>
                </m:r>
              </m:oMath>
            </m:oMathPara>
          </w:p>
        </w:tc>
        <w:tc>
          <w:tcPr>
            <w:tcW w:w="0" w:type="auto"/>
            <w:hideMark/>
          </w:tcPr>
          <w:p w14:paraId="717E1B73" w14:textId="77777777" w:rsidR="00367051" w:rsidRPr="00367051" w:rsidRDefault="00367051" w:rsidP="00367051">
            <w:r w:rsidRPr="00367051">
              <w:t>6.45%</w:t>
            </w:r>
          </w:p>
        </w:tc>
      </w:tr>
      <w:tr w:rsidR="00367051" w:rsidRPr="00367051" w14:paraId="06C119C5" w14:textId="77777777" w:rsidTr="007C041A">
        <w:tc>
          <w:tcPr>
            <w:tcW w:w="0" w:type="auto"/>
            <w:hideMark/>
          </w:tcPr>
          <w:p w14:paraId="491C3C62" w14:textId="77777777" w:rsidR="00367051" w:rsidRPr="00367051" w:rsidRDefault="00367051" w:rsidP="00367051">
            <w:r w:rsidRPr="00367051">
              <w:t>2022</w:t>
            </w:r>
          </w:p>
        </w:tc>
        <w:tc>
          <w:tcPr>
            <w:tcW w:w="0" w:type="auto"/>
            <w:hideMark/>
          </w:tcPr>
          <w:p w14:paraId="5B455F8E" w14:textId="77777777" w:rsidR="00367051" w:rsidRPr="00367051" w:rsidRDefault="00367051" w:rsidP="00367051">
            <w:r w:rsidRPr="00367051">
              <w:t>180,306</w:t>
            </w:r>
          </w:p>
        </w:tc>
        <w:tc>
          <w:tcPr>
            <w:tcW w:w="0" w:type="auto"/>
            <w:hideMark/>
          </w:tcPr>
          <w:p w14:paraId="0F6FB044" w14:textId="77777777" w:rsidR="00367051" w:rsidRPr="00367051" w:rsidRDefault="00367051" w:rsidP="00367051">
            <w:r w:rsidRPr="00367051">
              <w:t>2,705,183</w:t>
            </w:r>
          </w:p>
        </w:tc>
        <w:tc>
          <w:tcPr>
            <w:tcW w:w="0" w:type="auto"/>
            <w:hideMark/>
          </w:tcPr>
          <w:p w14:paraId="4AC9E6D6" w14:textId="74835916" w:rsidR="00367051" w:rsidRPr="00367051" w:rsidRDefault="0052203F" w:rsidP="00367051">
            <m:oMathPara>
              <m:oMath>
                <m:f>
                  <m:fPr>
                    <m:ctrlPr>
                      <w:rPr>
                        <w:rFonts w:ascii="Cambria Math" w:hAnsi="Cambria Math"/>
                      </w:rPr>
                    </m:ctrlPr>
                  </m:fPr>
                  <m:num>
                    <m:r>
                      <w:rPr>
                        <w:rFonts w:ascii="Cambria Math" w:hAnsi="Cambria Math"/>
                      </w:rPr>
                      <m:t>180,306</m:t>
                    </m:r>
                  </m:num>
                  <m:den>
                    <m:r>
                      <w:rPr>
                        <w:rFonts w:ascii="Cambria Math" w:hAnsi="Cambria Math"/>
                      </w:rPr>
                      <m:t>2,705,183</m:t>
                    </m:r>
                  </m:den>
                </m:f>
                <m:r>
                  <w:rPr>
                    <w:rFonts w:ascii="Cambria Math" w:hAnsi="Cambria Math"/>
                  </w:rPr>
                  <m:t>×100</m:t>
                </m:r>
              </m:oMath>
            </m:oMathPara>
          </w:p>
        </w:tc>
        <w:tc>
          <w:tcPr>
            <w:tcW w:w="0" w:type="auto"/>
            <w:hideMark/>
          </w:tcPr>
          <w:p w14:paraId="3EA97A2E" w14:textId="77777777" w:rsidR="00367051" w:rsidRPr="00367051" w:rsidRDefault="00367051" w:rsidP="00367051">
            <w:r w:rsidRPr="00367051">
              <w:t>6.66%</w:t>
            </w:r>
          </w:p>
        </w:tc>
      </w:tr>
      <w:tr w:rsidR="00367051" w:rsidRPr="00367051" w14:paraId="4A598903" w14:textId="77777777" w:rsidTr="007C041A">
        <w:tc>
          <w:tcPr>
            <w:tcW w:w="0" w:type="auto"/>
            <w:hideMark/>
          </w:tcPr>
          <w:p w14:paraId="390652FD" w14:textId="77777777" w:rsidR="00367051" w:rsidRPr="00367051" w:rsidRDefault="00367051" w:rsidP="00367051">
            <w:r w:rsidRPr="00367051">
              <w:t>2023</w:t>
            </w:r>
          </w:p>
        </w:tc>
        <w:tc>
          <w:tcPr>
            <w:tcW w:w="0" w:type="auto"/>
            <w:hideMark/>
          </w:tcPr>
          <w:p w14:paraId="42AA8522" w14:textId="77777777" w:rsidR="00367051" w:rsidRPr="00367051" w:rsidRDefault="00367051" w:rsidP="00367051">
            <w:r w:rsidRPr="00367051">
              <w:t>192,861</w:t>
            </w:r>
          </w:p>
        </w:tc>
        <w:tc>
          <w:tcPr>
            <w:tcW w:w="0" w:type="auto"/>
            <w:hideMark/>
          </w:tcPr>
          <w:p w14:paraId="22C23F4C" w14:textId="77777777" w:rsidR="00367051" w:rsidRPr="00367051" w:rsidRDefault="00367051" w:rsidP="00367051">
            <w:r w:rsidRPr="00367051">
              <w:t>3,379,891</w:t>
            </w:r>
          </w:p>
        </w:tc>
        <w:tc>
          <w:tcPr>
            <w:tcW w:w="0" w:type="auto"/>
            <w:hideMark/>
          </w:tcPr>
          <w:p w14:paraId="11030733" w14:textId="21290A34" w:rsidR="00367051" w:rsidRPr="00367051" w:rsidRDefault="0052203F" w:rsidP="00367051">
            <m:oMathPara>
              <m:oMath>
                <m:f>
                  <m:fPr>
                    <m:ctrlPr>
                      <w:rPr>
                        <w:rFonts w:ascii="Cambria Math" w:hAnsi="Cambria Math"/>
                      </w:rPr>
                    </m:ctrlPr>
                  </m:fPr>
                  <m:num>
                    <m:r>
                      <w:rPr>
                        <w:rFonts w:ascii="Cambria Math" w:hAnsi="Cambria Math"/>
                      </w:rPr>
                      <m:t>192,861</m:t>
                    </m:r>
                  </m:num>
                  <m:den>
                    <m:r>
                      <w:rPr>
                        <w:rFonts w:ascii="Cambria Math" w:hAnsi="Cambria Math"/>
                      </w:rPr>
                      <m:t>3,379,891</m:t>
                    </m:r>
                  </m:den>
                </m:f>
                <m:r>
                  <w:rPr>
                    <w:rFonts w:ascii="Cambria Math" w:hAnsi="Cambria Math"/>
                  </w:rPr>
                  <m:t>×100</m:t>
                </m:r>
              </m:oMath>
            </m:oMathPara>
          </w:p>
        </w:tc>
        <w:tc>
          <w:tcPr>
            <w:tcW w:w="0" w:type="auto"/>
            <w:hideMark/>
          </w:tcPr>
          <w:p w14:paraId="3C37F908" w14:textId="77777777" w:rsidR="00367051" w:rsidRPr="00367051" w:rsidRDefault="00367051" w:rsidP="00367051">
            <w:r w:rsidRPr="00367051">
              <w:t>5.71%</w:t>
            </w:r>
          </w:p>
        </w:tc>
      </w:tr>
      <w:tr w:rsidR="00367051" w:rsidRPr="00367051" w14:paraId="6713B2E1" w14:textId="77777777" w:rsidTr="007C041A">
        <w:tc>
          <w:tcPr>
            <w:tcW w:w="0" w:type="auto"/>
            <w:hideMark/>
          </w:tcPr>
          <w:p w14:paraId="67EA2183" w14:textId="77777777" w:rsidR="00367051" w:rsidRPr="00367051" w:rsidRDefault="00367051" w:rsidP="00367051">
            <w:r w:rsidRPr="00367051">
              <w:t>2024</w:t>
            </w:r>
          </w:p>
        </w:tc>
        <w:tc>
          <w:tcPr>
            <w:tcW w:w="0" w:type="auto"/>
            <w:hideMark/>
          </w:tcPr>
          <w:p w14:paraId="1C148E3C" w14:textId="77777777" w:rsidR="00367051" w:rsidRPr="00367051" w:rsidRDefault="00367051" w:rsidP="00367051">
            <w:r w:rsidRPr="00367051">
              <w:t>228,778</w:t>
            </w:r>
          </w:p>
        </w:tc>
        <w:tc>
          <w:tcPr>
            <w:tcW w:w="0" w:type="auto"/>
            <w:hideMark/>
          </w:tcPr>
          <w:p w14:paraId="5BA15FFF" w14:textId="77777777" w:rsidR="00367051" w:rsidRPr="00367051" w:rsidRDefault="00367051" w:rsidP="00367051">
            <w:r w:rsidRPr="00367051">
              <w:t>3,833,205</w:t>
            </w:r>
          </w:p>
        </w:tc>
        <w:tc>
          <w:tcPr>
            <w:tcW w:w="0" w:type="auto"/>
            <w:hideMark/>
          </w:tcPr>
          <w:p w14:paraId="58ECAF6C" w14:textId="28F4A76A" w:rsidR="00367051" w:rsidRPr="00367051" w:rsidRDefault="0052203F" w:rsidP="00367051">
            <m:oMathPara>
              <m:oMath>
                <m:f>
                  <m:fPr>
                    <m:ctrlPr>
                      <w:rPr>
                        <w:rFonts w:ascii="Cambria Math" w:hAnsi="Cambria Math"/>
                      </w:rPr>
                    </m:ctrlPr>
                  </m:fPr>
                  <m:num>
                    <m:r>
                      <w:rPr>
                        <w:rFonts w:ascii="Cambria Math" w:hAnsi="Cambria Math"/>
                      </w:rPr>
                      <m:t>228,778</m:t>
                    </m:r>
                  </m:num>
                  <m:den>
                    <m:r>
                      <w:rPr>
                        <w:rFonts w:ascii="Cambria Math" w:hAnsi="Cambria Math"/>
                      </w:rPr>
                      <m:t>3,833,205</m:t>
                    </m:r>
                  </m:den>
                </m:f>
                <m:r>
                  <w:rPr>
                    <w:rFonts w:ascii="Cambria Math" w:hAnsi="Cambria Math"/>
                  </w:rPr>
                  <m:t>×100</m:t>
                </m:r>
              </m:oMath>
            </m:oMathPara>
          </w:p>
        </w:tc>
        <w:tc>
          <w:tcPr>
            <w:tcW w:w="0" w:type="auto"/>
            <w:hideMark/>
          </w:tcPr>
          <w:p w14:paraId="0B12B0C2" w14:textId="77777777" w:rsidR="00367051" w:rsidRPr="00367051" w:rsidRDefault="00367051" w:rsidP="00367051">
            <w:r w:rsidRPr="00367051">
              <w:t>5.97%</w:t>
            </w:r>
          </w:p>
        </w:tc>
      </w:tr>
      <w:tr w:rsidR="00367051" w:rsidRPr="00367051" w14:paraId="020746BF" w14:textId="77777777" w:rsidTr="007C041A">
        <w:tc>
          <w:tcPr>
            <w:tcW w:w="0" w:type="auto"/>
            <w:hideMark/>
          </w:tcPr>
          <w:p w14:paraId="79C2489D" w14:textId="77777777" w:rsidR="00367051" w:rsidRPr="00367051" w:rsidRDefault="00367051" w:rsidP="00367051">
            <w:r w:rsidRPr="00367051">
              <w:t>2025</w:t>
            </w:r>
          </w:p>
        </w:tc>
        <w:tc>
          <w:tcPr>
            <w:tcW w:w="0" w:type="auto"/>
            <w:hideMark/>
          </w:tcPr>
          <w:p w14:paraId="2D6897F0" w14:textId="77777777" w:rsidR="00367051" w:rsidRPr="00367051" w:rsidRDefault="00367051" w:rsidP="00367051">
            <w:r w:rsidRPr="00367051">
              <w:t>262,312</w:t>
            </w:r>
          </w:p>
        </w:tc>
        <w:tc>
          <w:tcPr>
            <w:tcW w:w="0" w:type="auto"/>
            <w:hideMark/>
          </w:tcPr>
          <w:p w14:paraId="2099910E" w14:textId="77777777" w:rsidR="00367051" w:rsidRPr="00367051" w:rsidRDefault="00367051" w:rsidP="00367051">
            <w:r w:rsidRPr="00367051">
              <w:t>4,084,984</w:t>
            </w:r>
          </w:p>
        </w:tc>
        <w:tc>
          <w:tcPr>
            <w:tcW w:w="0" w:type="auto"/>
            <w:hideMark/>
          </w:tcPr>
          <w:p w14:paraId="3E5E88C6" w14:textId="1FF5A254" w:rsidR="00367051" w:rsidRPr="00367051" w:rsidRDefault="0052203F" w:rsidP="00367051">
            <m:oMathPara>
              <m:oMath>
                <m:f>
                  <m:fPr>
                    <m:ctrlPr>
                      <w:rPr>
                        <w:rFonts w:ascii="Cambria Math" w:hAnsi="Cambria Math"/>
                      </w:rPr>
                    </m:ctrlPr>
                  </m:fPr>
                  <m:num>
                    <m:r>
                      <w:rPr>
                        <w:rFonts w:ascii="Cambria Math" w:hAnsi="Cambria Math"/>
                      </w:rPr>
                      <m:t>262,312</m:t>
                    </m:r>
                  </m:num>
                  <m:den>
                    <m:r>
                      <w:rPr>
                        <w:rFonts w:ascii="Cambria Math" w:hAnsi="Cambria Math"/>
                      </w:rPr>
                      <m:t>4,084,984</m:t>
                    </m:r>
                  </m:den>
                </m:f>
                <m:r>
                  <w:rPr>
                    <w:rFonts w:ascii="Cambria Math" w:hAnsi="Cambria Math"/>
                  </w:rPr>
                  <m:t>×100</m:t>
                </m:r>
              </m:oMath>
            </m:oMathPara>
          </w:p>
        </w:tc>
        <w:tc>
          <w:tcPr>
            <w:tcW w:w="0" w:type="auto"/>
            <w:hideMark/>
          </w:tcPr>
          <w:p w14:paraId="4BB1E0BB" w14:textId="77777777" w:rsidR="00367051" w:rsidRPr="00367051" w:rsidRDefault="00367051" w:rsidP="00367051">
            <w:r w:rsidRPr="00367051">
              <w:t>6.42%</w:t>
            </w:r>
          </w:p>
        </w:tc>
      </w:tr>
    </w:tbl>
    <w:p w14:paraId="07D7E319" w14:textId="77777777" w:rsidR="00305679" w:rsidRDefault="002922EC" w:rsidP="00305679">
      <w:pPr>
        <w:keepNext/>
        <w:jc w:val="center"/>
      </w:pPr>
      <w:r>
        <w:rPr>
          <w:noProof/>
        </w:rPr>
        <w:lastRenderedPageBreak/>
        <w:drawing>
          <wp:inline distT="0" distB="0" distL="0" distR="0" wp14:anchorId="28F7D1EB" wp14:editId="781E2E76">
            <wp:extent cx="5747657" cy="2814452"/>
            <wp:effectExtent l="0" t="0" r="5715" b="5080"/>
            <wp:docPr id="517298059"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123DE3" w14:textId="0701D586" w:rsidR="002922EC" w:rsidRDefault="00305679" w:rsidP="00305679">
      <w:pPr>
        <w:pStyle w:val="Caption"/>
        <w:jc w:val="center"/>
      </w:pPr>
      <w:r>
        <w:t xml:space="preserve">Figure </w:t>
      </w:r>
      <w:fldSimple w:instr=" SEQ Figure \* ARABIC ">
        <w:r>
          <w:rPr>
            <w:noProof/>
          </w:rPr>
          <w:t>3</w:t>
        </w:r>
      </w:fldSimple>
      <w:r>
        <w:t xml:space="preserve">: </w:t>
      </w:r>
      <w:r w:rsidRPr="00C03C6F">
        <w:t>Net Profit Margin Calculation</w:t>
      </w:r>
    </w:p>
    <w:p w14:paraId="6C31B492" w14:textId="75B247EA" w:rsidR="00367051" w:rsidRPr="00367051" w:rsidRDefault="00DD3523" w:rsidP="00367051">
      <w:r w:rsidRPr="00DD3523">
        <w:t>The net profit margin was approximately 6% during most of the time. FY2022 is the highest followed by a decline in FY2023 and the recovery in FY2024 and FY2025. This trend aligns with the increase in other costs that were reported by the company in the past such as the certification related losses in FY2023 and FY2024. The margin has nearly bounced back to the level of FY20212022 by FY2025, which indicates that Toyota Industries regained some of its earnings efficiency.</w:t>
      </w:r>
      <w:r w:rsidR="00367051" w:rsidRPr="00367051">
        <w:t xml:space="preserve"> </w:t>
      </w:r>
    </w:p>
    <w:p w14:paraId="49E9452B" w14:textId="77777777" w:rsidR="00367051" w:rsidRPr="00367051" w:rsidRDefault="00367051" w:rsidP="00891388">
      <w:pPr>
        <w:pStyle w:val="Heading3"/>
      </w:pPr>
      <w:bookmarkStart w:id="6" w:name="_Toc227885126"/>
      <w:r w:rsidRPr="00367051">
        <w:t>1.1.4 Return on Equity</w:t>
      </w:r>
      <w:bookmarkEnd w:id="6"/>
    </w:p>
    <w:p w14:paraId="150F6468" w14:textId="0BB8EC94" w:rsidR="00367051" w:rsidRPr="00367051" w:rsidRDefault="00367051" w:rsidP="00367051">
      <m:oMathPara>
        <m:oMath>
          <m:r>
            <m:rPr>
              <m:nor/>
            </m:rPr>
            <m:t>ROE</m:t>
          </m:r>
          <m:r>
            <w:rPr>
              <w:rFonts w:ascii="Cambria Math" w:hAnsi="Cambria Math"/>
            </w:rPr>
            <m:t>=</m:t>
          </m:r>
          <m:f>
            <m:fPr>
              <m:ctrlPr>
                <w:rPr>
                  <w:rFonts w:ascii="Cambria Math" w:hAnsi="Cambria Math"/>
                </w:rPr>
              </m:ctrlPr>
            </m:fPr>
            <m:num>
              <m:r>
                <m:rPr>
                  <m:nor/>
                </m:rPr>
                <m:t>Profit Attributable to Owners</m:t>
              </m:r>
            </m:num>
            <m:den>
              <m:r>
                <m:rPr>
                  <m:nor/>
                </m:rPr>
                <m:t>Share of Equity Attributable to Owners</m:t>
              </m:r>
            </m:den>
          </m:f>
          <m:r>
            <w:rPr>
              <w:rFonts w:ascii="Cambria Math" w:hAnsi="Cambria Math"/>
            </w:rPr>
            <m:t>×100</m:t>
          </m:r>
          <m:r>
            <m:rPr>
              <m:sty m:val="p"/>
            </m:rPr>
            <w:br/>
          </m:r>
        </m:oMath>
      </m:oMathPara>
    </w:p>
    <w:p w14:paraId="0A8B9ED6" w14:textId="77777777" w:rsidR="00367051" w:rsidRPr="00367051" w:rsidRDefault="00367051" w:rsidP="00367051">
      <w:pPr>
        <w:rPr>
          <w:b/>
          <w:bCs/>
        </w:rPr>
      </w:pPr>
      <w:r w:rsidRPr="00367051">
        <w:rPr>
          <w:b/>
          <w:bCs/>
        </w:rPr>
        <w:t>Table 4. Return on Equity, FY2021–FY2025</w:t>
      </w:r>
    </w:p>
    <w:tbl>
      <w:tblPr>
        <w:tblStyle w:val="TableGrid"/>
        <w:tblW w:w="0" w:type="auto"/>
        <w:tblLook w:val="04A0" w:firstRow="1" w:lastRow="0" w:firstColumn="1" w:lastColumn="0" w:noHBand="0" w:noVBand="1"/>
      </w:tblPr>
      <w:tblGrid>
        <w:gridCol w:w="750"/>
        <w:gridCol w:w="3878"/>
        <w:gridCol w:w="2683"/>
        <w:gridCol w:w="1705"/>
      </w:tblGrid>
      <w:tr w:rsidR="00367051" w:rsidRPr="00367051" w14:paraId="3D588024" w14:textId="77777777" w:rsidTr="007C041A">
        <w:tc>
          <w:tcPr>
            <w:tcW w:w="0" w:type="auto"/>
            <w:hideMark/>
          </w:tcPr>
          <w:p w14:paraId="29591BEF" w14:textId="77777777" w:rsidR="00367051" w:rsidRPr="00367051" w:rsidRDefault="00367051" w:rsidP="00367051">
            <w:pPr>
              <w:rPr>
                <w:b/>
                <w:bCs/>
              </w:rPr>
            </w:pPr>
            <w:r w:rsidRPr="00367051">
              <w:rPr>
                <w:b/>
                <w:bCs/>
              </w:rPr>
              <w:t>Year</w:t>
            </w:r>
          </w:p>
        </w:tc>
        <w:tc>
          <w:tcPr>
            <w:tcW w:w="0" w:type="auto"/>
            <w:hideMark/>
          </w:tcPr>
          <w:p w14:paraId="5A916F66" w14:textId="77777777" w:rsidR="00367051" w:rsidRPr="00367051" w:rsidRDefault="00367051" w:rsidP="00367051">
            <w:pPr>
              <w:rPr>
                <w:b/>
                <w:bCs/>
              </w:rPr>
            </w:pPr>
            <w:r w:rsidRPr="00367051">
              <w:rPr>
                <w:b/>
                <w:bCs/>
              </w:rPr>
              <w:t>Profit Attributable to Owners (¥ million)</w:t>
            </w:r>
          </w:p>
        </w:tc>
        <w:tc>
          <w:tcPr>
            <w:tcW w:w="0" w:type="auto"/>
            <w:hideMark/>
          </w:tcPr>
          <w:p w14:paraId="186B7226" w14:textId="77777777" w:rsidR="00367051" w:rsidRPr="00367051" w:rsidRDefault="00367051" w:rsidP="00367051">
            <w:pPr>
              <w:rPr>
                <w:b/>
                <w:bCs/>
              </w:rPr>
            </w:pPr>
            <w:r w:rsidRPr="00367051">
              <w:rPr>
                <w:b/>
                <w:bCs/>
              </w:rPr>
              <w:t>Owners’ Equity (¥ million)</w:t>
            </w:r>
          </w:p>
        </w:tc>
        <w:tc>
          <w:tcPr>
            <w:tcW w:w="0" w:type="auto"/>
            <w:hideMark/>
          </w:tcPr>
          <w:p w14:paraId="6D06EA54" w14:textId="77777777" w:rsidR="00367051" w:rsidRPr="00367051" w:rsidRDefault="00367051" w:rsidP="00367051">
            <w:pPr>
              <w:rPr>
                <w:b/>
                <w:bCs/>
              </w:rPr>
            </w:pPr>
            <w:r w:rsidRPr="00367051">
              <w:rPr>
                <w:b/>
                <w:bCs/>
              </w:rPr>
              <w:t>Reported ROE</w:t>
            </w:r>
          </w:p>
        </w:tc>
      </w:tr>
      <w:tr w:rsidR="00367051" w:rsidRPr="00367051" w14:paraId="01339569" w14:textId="77777777" w:rsidTr="007C041A">
        <w:tc>
          <w:tcPr>
            <w:tcW w:w="0" w:type="auto"/>
            <w:hideMark/>
          </w:tcPr>
          <w:p w14:paraId="0738C703" w14:textId="77777777" w:rsidR="00367051" w:rsidRPr="00367051" w:rsidRDefault="00367051" w:rsidP="00367051">
            <w:r w:rsidRPr="00367051">
              <w:t>2021</w:t>
            </w:r>
          </w:p>
        </w:tc>
        <w:tc>
          <w:tcPr>
            <w:tcW w:w="0" w:type="auto"/>
            <w:hideMark/>
          </w:tcPr>
          <w:p w14:paraId="28378114" w14:textId="77777777" w:rsidR="00367051" w:rsidRPr="00367051" w:rsidRDefault="00367051" w:rsidP="00367051">
            <w:r w:rsidRPr="00367051">
              <w:t>136,700</w:t>
            </w:r>
          </w:p>
        </w:tc>
        <w:tc>
          <w:tcPr>
            <w:tcW w:w="0" w:type="auto"/>
            <w:hideMark/>
          </w:tcPr>
          <w:p w14:paraId="745F9E93" w14:textId="77777777" w:rsidR="00367051" w:rsidRPr="00367051" w:rsidRDefault="00367051" w:rsidP="00367051">
            <w:r w:rsidRPr="00367051">
              <w:t>3,236,038</w:t>
            </w:r>
          </w:p>
        </w:tc>
        <w:tc>
          <w:tcPr>
            <w:tcW w:w="0" w:type="auto"/>
            <w:hideMark/>
          </w:tcPr>
          <w:p w14:paraId="13536418" w14:textId="77777777" w:rsidR="00367051" w:rsidRPr="00367051" w:rsidRDefault="00367051" w:rsidP="00367051">
            <w:r w:rsidRPr="00367051">
              <w:t>4.82%</w:t>
            </w:r>
          </w:p>
        </w:tc>
      </w:tr>
      <w:tr w:rsidR="00367051" w:rsidRPr="00367051" w14:paraId="5D79670C" w14:textId="77777777" w:rsidTr="007C041A">
        <w:tc>
          <w:tcPr>
            <w:tcW w:w="0" w:type="auto"/>
            <w:hideMark/>
          </w:tcPr>
          <w:p w14:paraId="32F78276" w14:textId="77777777" w:rsidR="00367051" w:rsidRPr="00367051" w:rsidRDefault="00367051" w:rsidP="00367051">
            <w:r w:rsidRPr="00367051">
              <w:t>2022</w:t>
            </w:r>
          </w:p>
        </w:tc>
        <w:tc>
          <w:tcPr>
            <w:tcW w:w="0" w:type="auto"/>
            <w:hideMark/>
          </w:tcPr>
          <w:p w14:paraId="5C54ADE0" w14:textId="77777777" w:rsidR="00367051" w:rsidRPr="00367051" w:rsidRDefault="00367051" w:rsidP="00367051">
            <w:r w:rsidRPr="00367051">
              <w:t>180,306</w:t>
            </w:r>
          </w:p>
        </w:tc>
        <w:tc>
          <w:tcPr>
            <w:tcW w:w="0" w:type="auto"/>
            <w:hideMark/>
          </w:tcPr>
          <w:p w14:paraId="379F5AE1" w14:textId="77777777" w:rsidR="00367051" w:rsidRPr="00367051" w:rsidRDefault="00367051" w:rsidP="00367051">
            <w:r w:rsidRPr="00367051">
              <w:t>3,928,513</w:t>
            </w:r>
          </w:p>
        </w:tc>
        <w:tc>
          <w:tcPr>
            <w:tcW w:w="0" w:type="auto"/>
            <w:hideMark/>
          </w:tcPr>
          <w:p w14:paraId="776E4C7E" w14:textId="77777777" w:rsidR="00367051" w:rsidRPr="00367051" w:rsidRDefault="00367051" w:rsidP="00367051">
            <w:r w:rsidRPr="00367051">
              <w:t>5.03%</w:t>
            </w:r>
          </w:p>
        </w:tc>
      </w:tr>
      <w:tr w:rsidR="00367051" w:rsidRPr="00367051" w14:paraId="35ACEB52" w14:textId="77777777" w:rsidTr="007C041A">
        <w:tc>
          <w:tcPr>
            <w:tcW w:w="0" w:type="auto"/>
            <w:hideMark/>
          </w:tcPr>
          <w:p w14:paraId="15731925" w14:textId="77777777" w:rsidR="00367051" w:rsidRPr="00367051" w:rsidRDefault="00367051" w:rsidP="00367051">
            <w:r w:rsidRPr="00367051">
              <w:t>2023</w:t>
            </w:r>
          </w:p>
        </w:tc>
        <w:tc>
          <w:tcPr>
            <w:tcW w:w="0" w:type="auto"/>
            <w:hideMark/>
          </w:tcPr>
          <w:p w14:paraId="7B98557D" w14:textId="77777777" w:rsidR="00367051" w:rsidRPr="00367051" w:rsidRDefault="00367051" w:rsidP="00367051">
            <w:r w:rsidRPr="00367051">
              <w:t>192,861</w:t>
            </w:r>
          </w:p>
        </w:tc>
        <w:tc>
          <w:tcPr>
            <w:tcW w:w="0" w:type="auto"/>
            <w:hideMark/>
          </w:tcPr>
          <w:p w14:paraId="1E148D54" w14:textId="77777777" w:rsidR="00367051" w:rsidRPr="00367051" w:rsidRDefault="00367051" w:rsidP="00367051">
            <w:r w:rsidRPr="00367051">
              <w:t>3,837,416</w:t>
            </w:r>
          </w:p>
        </w:tc>
        <w:tc>
          <w:tcPr>
            <w:tcW w:w="0" w:type="auto"/>
            <w:hideMark/>
          </w:tcPr>
          <w:p w14:paraId="157E9F2B" w14:textId="77777777" w:rsidR="00367051" w:rsidRPr="00367051" w:rsidRDefault="00367051" w:rsidP="00367051">
            <w:r w:rsidRPr="00367051">
              <w:t>4.97%</w:t>
            </w:r>
          </w:p>
        </w:tc>
      </w:tr>
      <w:tr w:rsidR="00367051" w:rsidRPr="00367051" w14:paraId="4C0C6D47" w14:textId="77777777" w:rsidTr="007C041A">
        <w:tc>
          <w:tcPr>
            <w:tcW w:w="0" w:type="auto"/>
            <w:hideMark/>
          </w:tcPr>
          <w:p w14:paraId="45CC7331" w14:textId="77777777" w:rsidR="00367051" w:rsidRPr="00367051" w:rsidRDefault="00367051" w:rsidP="00367051">
            <w:r w:rsidRPr="00367051">
              <w:t>2024</w:t>
            </w:r>
          </w:p>
        </w:tc>
        <w:tc>
          <w:tcPr>
            <w:tcW w:w="0" w:type="auto"/>
            <w:hideMark/>
          </w:tcPr>
          <w:p w14:paraId="4F6C06CD" w14:textId="77777777" w:rsidR="00367051" w:rsidRPr="00367051" w:rsidRDefault="00367051" w:rsidP="00367051">
            <w:r w:rsidRPr="00367051">
              <w:t>228,778</w:t>
            </w:r>
          </w:p>
        </w:tc>
        <w:tc>
          <w:tcPr>
            <w:tcW w:w="0" w:type="auto"/>
            <w:hideMark/>
          </w:tcPr>
          <w:p w14:paraId="7E4DC4CE" w14:textId="77777777" w:rsidR="00367051" w:rsidRPr="00367051" w:rsidRDefault="00367051" w:rsidP="00367051">
            <w:r w:rsidRPr="00367051">
              <w:t>6,045,759</w:t>
            </w:r>
          </w:p>
        </w:tc>
        <w:tc>
          <w:tcPr>
            <w:tcW w:w="0" w:type="auto"/>
            <w:hideMark/>
          </w:tcPr>
          <w:p w14:paraId="088406FA" w14:textId="77777777" w:rsidR="00367051" w:rsidRPr="00367051" w:rsidRDefault="00367051" w:rsidP="00367051">
            <w:r w:rsidRPr="00367051">
              <w:t>4.63%</w:t>
            </w:r>
          </w:p>
        </w:tc>
      </w:tr>
      <w:tr w:rsidR="00367051" w:rsidRPr="00367051" w14:paraId="5522B12B" w14:textId="77777777" w:rsidTr="007C041A">
        <w:tc>
          <w:tcPr>
            <w:tcW w:w="0" w:type="auto"/>
            <w:hideMark/>
          </w:tcPr>
          <w:p w14:paraId="13C90913" w14:textId="77777777" w:rsidR="00367051" w:rsidRPr="00367051" w:rsidRDefault="00367051" w:rsidP="00367051">
            <w:r w:rsidRPr="00367051">
              <w:t>2025</w:t>
            </w:r>
          </w:p>
        </w:tc>
        <w:tc>
          <w:tcPr>
            <w:tcW w:w="0" w:type="auto"/>
            <w:hideMark/>
          </w:tcPr>
          <w:p w14:paraId="226DCDEF" w14:textId="77777777" w:rsidR="00367051" w:rsidRPr="00367051" w:rsidRDefault="00367051" w:rsidP="00367051">
            <w:r w:rsidRPr="00367051">
              <w:t>262,312</w:t>
            </w:r>
          </w:p>
        </w:tc>
        <w:tc>
          <w:tcPr>
            <w:tcW w:w="0" w:type="auto"/>
            <w:hideMark/>
          </w:tcPr>
          <w:p w14:paraId="69820DDB" w14:textId="77777777" w:rsidR="00367051" w:rsidRPr="00367051" w:rsidRDefault="00367051" w:rsidP="00367051">
            <w:r w:rsidRPr="00367051">
              <w:t>4,904,686</w:t>
            </w:r>
          </w:p>
        </w:tc>
        <w:tc>
          <w:tcPr>
            <w:tcW w:w="0" w:type="auto"/>
            <w:hideMark/>
          </w:tcPr>
          <w:p w14:paraId="3D5A8810" w14:textId="77777777" w:rsidR="00367051" w:rsidRPr="00367051" w:rsidRDefault="00367051" w:rsidP="00367051">
            <w:r w:rsidRPr="00367051">
              <w:t>4.79%</w:t>
            </w:r>
          </w:p>
        </w:tc>
      </w:tr>
    </w:tbl>
    <w:p w14:paraId="5EBEC09B" w14:textId="77777777" w:rsidR="00305679" w:rsidRDefault="00A51204" w:rsidP="00305679">
      <w:pPr>
        <w:keepNext/>
        <w:jc w:val="center"/>
      </w:pPr>
      <w:r>
        <w:rPr>
          <w:noProof/>
        </w:rPr>
        <w:lastRenderedPageBreak/>
        <w:drawing>
          <wp:inline distT="0" distB="0" distL="0" distR="0" wp14:anchorId="3B0AF11C" wp14:editId="4B47D410">
            <wp:extent cx="5747657" cy="2968831"/>
            <wp:effectExtent l="0" t="0" r="5715" b="3175"/>
            <wp:docPr id="140261301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3A7627" w14:textId="3DF4F5BB" w:rsidR="002E6E0B" w:rsidRDefault="00305679" w:rsidP="00305679">
      <w:pPr>
        <w:pStyle w:val="Caption"/>
        <w:jc w:val="center"/>
      </w:pPr>
      <w:r>
        <w:t xml:space="preserve">Figure </w:t>
      </w:r>
      <w:fldSimple w:instr=" SEQ Figure \* ARABIC ">
        <w:r>
          <w:rPr>
            <w:noProof/>
          </w:rPr>
          <w:t>4</w:t>
        </w:r>
      </w:fldSimple>
      <w:r>
        <w:t xml:space="preserve">: </w:t>
      </w:r>
      <w:r w:rsidRPr="00046B95">
        <w:t>Return on Equity</w:t>
      </w:r>
    </w:p>
    <w:p w14:paraId="5158021C" w14:textId="67B48D67" w:rsidR="00367051" w:rsidRPr="00367051" w:rsidRDefault="00BB2AA3" w:rsidP="00367051">
      <w:r w:rsidRPr="00BB2AA3">
        <w:t>ROE to owners is obtained directly out of annual reports. It was low and steady with a range of 4.63 to 5.03 per cent which showed low returns on the money invested by the shareholders. The FY2024 depreciation was caused by a substantial increase in equity ¥6,045,759 million, primarily due to other comprehensive income. This is an indicator of financial stability but low effectiveness in shareholder payoffs (Du and Whittington, 2024).</w:t>
      </w:r>
      <w:r w:rsidR="00367051" w:rsidRPr="00367051">
        <w:t xml:space="preserve"> </w:t>
      </w:r>
    </w:p>
    <w:p w14:paraId="3855C39D" w14:textId="77777777" w:rsidR="00367051" w:rsidRPr="00367051" w:rsidRDefault="00367051" w:rsidP="00891388">
      <w:pPr>
        <w:pStyle w:val="Heading2"/>
      </w:pPr>
      <w:bookmarkStart w:id="7" w:name="_Toc227885127"/>
      <w:r w:rsidRPr="00367051">
        <w:t>1.2 Liquidity Ratios</w:t>
      </w:r>
      <w:bookmarkEnd w:id="7"/>
    </w:p>
    <w:p w14:paraId="4D3E36E6" w14:textId="4F82415D" w:rsidR="00367051" w:rsidRPr="00367051" w:rsidRDefault="000C12BD" w:rsidP="00367051">
      <w:r w:rsidRPr="000C12BD">
        <w:t>Liquidity ratios help to evaluate how the firm can pay the immediate obligations. Toyota Industries demonstrated an overall improving liquidity position throughout the period, with an increase in current assets and high cash holdings in FY2024, but the volatility of the cash flow was an issue.</w:t>
      </w:r>
    </w:p>
    <w:p w14:paraId="66CCFFBA" w14:textId="740AD461" w:rsidR="00367051" w:rsidRPr="00367051" w:rsidRDefault="00367051" w:rsidP="00367051">
      <m:oMathPara>
        <m:oMath>
          <m:r>
            <m:rPr>
              <m:nor/>
            </m:rPr>
            <m:t>Current Ratio</m:t>
          </m:r>
          <m:r>
            <w:rPr>
              <w:rFonts w:ascii="Cambria Math" w:hAnsi="Cambria Math"/>
            </w:rPr>
            <m:t>=</m:t>
          </m:r>
          <m:f>
            <m:fPr>
              <m:ctrlPr>
                <w:rPr>
                  <w:rFonts w:ascii="Cambria Math" w:hAnsi="Cambria Math"/>
                </w:rPr>
              </m:ctrlPr>
            </m:fPr>
            <m:num>
              <m:r>
                <m:rPr>
                  <m:nor/>
                </m:rPr>
                <m:t>Current Assets</m:t>
              </m:r>
            </m:num>
            <m:den>
              <m:r>
                <m:rPr>
                  <m:nor/>
                </m:rPr>
                <m:t>Current Liabilities</m:t>
              </m:r>
            </m:den>
          </m:f>
          <m:r>
            <m:rPr>
              <m:sty m:val="p"/>
            </m:rPr>
            <w:br/>
          </m:r>
        </m:oMath>
      </m:oMathPara>
    </w:p>
    <w:p w14:paraId="617B6B2B" w14:textId="77777777" w:rsidR="00367051" w:rsidRPr="00367051" w:rsidRDefault="00367051" w:rsidP="00367051">
      <w:pPr>
        <w:rPr>
          <w:b/>
          <w:bCs/>
        </w:rPr>
      </w:pPr>
      <w:r w:rsidRPr="00367051">
        <w:rPr>
          <w:b/>
          <w:bCs/>
        </w:rPr>
        <w:t>Table 5. Current Ratio Calculation, FY2021–FY2025</w:t>
      </w:r>
    </w:p>
    <w:tbl>
      <w:tblPr>
        <w:tblStyle w:val="TableGrid"/>
        <w:tblW w:w="0" w:type="auto"/>
        <w:tblLook w:val="04A0" w:firstRow="1" w:lastRow="0" w:firstColumn="1" w:lastColumn="0" w:noHBand="0" w:noVBand="1"/>
      </w:tblPr>
      <w:tblGrid>
        <w:gridCol w:w="750"/>
        <w:gridCol w:w="2511"/>
        <w:gridCol w:w="2726"/>
        <w:gridCol w:w="1510"/>
        <w:gridCol w:w="1519"/>
      </w:tblGrid>
      <w:tr w:rsidR="00367051" w:rsidRPr="00367051" w14:paraId="51793CED" w14:textId="77777777" w:rsidTr="007C041A">
        <w:tc>
          <w:tcPr>
            <w:tcW w:w="0" w:type="auto"/>
            <w:hideMark/>
          </w:tcPr>
          <w:p w14:paraId="56CB4057" w14:textId="77777777" w:rsidR="00367051" w:rsidRPr="00367051" w:rsidRDefault="00367051" w:rsidP="00367051">
            <w:pPr>
              <w:rPr>
                <w:b/>
                <w:bCs/>
              </w:rPr>
            </w:pPr>
            <w:r w:rsidRPr="00367051">
              <w:rPr>
                <w:b/>
                <w:bCs/>
              </w:rPr>
              <w:t>Year</w:t>
            </w:r>
          </w:p>
        </w:tc>
        <w:tc>
          <w:tcPr>
            <w:tcW w:w="0" w:type="auto"/>
            <w:hideMark/>
          </w:tcPr>
          <w:p w14:paraId="4E701CC6" w14:textId="77777777" w:rsidR="00367051" w:rsidRPr="00367051" w:rsidRDefault="00367051" w:rsidP="00367051">
            <w:pPr>
              <w:rPr>
                <w:b/>
                <w:bCs/>
              </w:rPr>
            </w:pPr>
            <w:r w:rsidRPr="00367051">
              <w:rPr>
                <w:b/>
                <w:bCs/>
              </w:rPr>
              <w:t>Current Assets (¥ million)</w:t>
            </w:r>
          </w:p>
        </w:tc>
        <w:tc>
          <w:tcPr>
            <w:tcW w:w="0" w:type="auto"/>
            <w:hideMark/>
          </w:tcPr>
          <w:p w14:paraId="3E0CC999" w14:textId="77777777" w:rsidR="00367051" w:rsidRPr="00367051" w:rsidRDefault="00367051" w:rsidP="00367051">
            <w:pPr>
              <w:rPr>
                <w:b/>
                <w:bCs/>
              </w:rPr>
            </w:pPr>
            <w:r w:rsidRPr="00367051">
              <w:rPr>
                <w:b/>
                <w:bCs/>
              </w:rPr>
              <w:t>Current Liabilities (¥ million)</w:t>
            </w:r>
          </w:p>
        </w:tc>
        <w:tc>
          <w:tcPr>
            <w:tcW w:w="0" w:type="auto"/>
            <w:hideMark/>
          </w:tcPr>
          <w:p w14:paraId="0B9EBB1E" w14:textId="4B8C3527" w:rsidR="00367051" w:rsidRPr="00367051" w:rsidRDefault="00367051" w:rsidP="00367051">
            <w:pPr>
              <w:rPr>
                <w:b/>
                <w:bCs/>
              </w:rPr>
            </w:pPr>
            <w:r w:rsidRPr="00367051">
              <w:rPr>
                <w:b/>
                <w:bCs/>
              </w:rPr>
              <w:t>Calculation</w:t>
            </w:r>
          </w:p>
        </w:tc>
        <w:tc>
          <w:tcPr>
            <w:tcW w:w="0" w:type="auto"/>
            <w:hideMark/>
          </w:tcPr>
          <w:p w14:paraId="637D1AC7" w14:textId="77777777" w:rsidR="00367051" w:rsidRPr="00367051" w:rsidRDefault="00367051" w:rsidP="00367051">
            <w:pPr>
              <w:rPr>
                <w:b/>
                <w:bCs/>
              </w:rPr>
            </w:pPr>
            <w:r w:rsidRPr="00367051">
              <w:rPr>
                <w:b/>
                <w:bCs/>
              </w:rPr>
              <w:t>Current Ratio</w:t>
            </w:r>
          </w:p>
        </w:tc>
      </w:tr>
      <w:tr w:rsidR="00367051" w:rsidRPr="00367051" w14:paraId="631D190C" w14:textId="77777777" w:rsidTr="007C041A">
        <w:tc>
          <w:tcPr>
            <w:tcW w:w="0" w:type="auto"/>
            <w:hideMark/>
          </w:tcPr>
          <w:p w14:paraId="33233ADF" w14:textId="77777777" w:rsidR="00367051" w:rsidRPr="00367051" w:rsidRDefault="00367051" w:rsidP="00367051">
            <w:r w:rsidRPr="00367051">
              <w:t>2021</w:t>
            </w:r>
          </w:p>
        </w:tc>
        <w:tc>
          <w:tcPr>
            <w:tcW w:w="0" w:type="auto"/>
            <w:hideMark/>
          </w:tcPr>
          <w:p w14:paraId="699650A1" w14:textId="77777777" w:rsidR="00367051" w:rsidRPr="00367051" w:rsidRDefault="00367051" w:rsidP="00367051">
            <w:r w:rsidRPr="00367051">
              <w:t>1,948,081</w:t>
            </w:r>
          </w:p>
        </w:tc>
        <w:tc>
          <w:tcPr>
            <w:tcW w:w="0" w:type="auto"/>
            <w:hideMark/>
          </w:tcPr>
          <w:p w14:paraId="46A0259A" w14:textId="77777777" w:rsidR="00367051" w:rsidRPr="00367051" w:rsidRDefault="00367051" w:rsidP="00367051">
            <w:r w:rsidRPr="00367051">
              <w:t>1,188,239</w:t>
            </w:r>
          </w:p>
        </w:tc>
        <w:tc>
          <w:tcPr>
            <w:tcW w:w="0" w:type="auto"/>
            <w:hideMark/>
          </w:tcPr>
          <w:p w14:paraId="08CF5B1E" w14:textId="23377322" w:rsidR="00367051" w:rsidRPr="00367051" w:rsidRDefault="0052203F" w:rsidP="00367051">
            <m:oMathPara>
              <m:oMath>
                <m:f>
                  <m:fPr>
                    <m:ctrlPr>
                      <w:rPr>
                        <w:rFonts w:ascii="Cambria Math" w:hAnsi="Cambria Math"/>
                      </w:rPr>
                    </m:ctrlPr>
                  </m:fPr>
                  <m:num>
                    <m:r>
                      <w:rPr>
                        <w:rFonts w:ascii="Cambria Math" w:hAnsi="Cambria Math"/>
                      </w:rPr>
                      <m:t>1,948,081</m:t>
                    </m:r>
                  </m:num>
                  <m:den>
                    <m:r>
                      <w:rPr>
                        <w:rFonts w:ascii="Cambria Math" w:hAnsi="Cambria Math"/>
                      </w:rPr>
                      <m:t>1,188,239</m:t>
                    </m:r>
                  </m:den>
                </m:f>
              </m:oMath>
            </m:oMathPara>
          </w:p>
        </w:tc>
        <w:tc>
          <w:tcPr>
            <w:tcW w:w="0" w:type="auto"/>
            <w:hideMark/>
          </w:tcPr>
          <w:p w14:paraId="15E73D08" w14:textId="77777777" w:rsidR="00367051" w:rsidRPr="00367051" w:rsidRDefault="00367051" w:rsidP="00367051">
            <w:r w:rsidRPr="00367051">
              <w:t>1.64</w:t>
            </w:r>
          </w:p>
        </w:tc>
      </w:tr>
      <w:tr w:rsidR="00367051" w:rsidRPr="00367051" w14:paraId="18209D26" w14:textId="77777777" w:rsidTr="007C041A">
        <w:tc>
          <w:tcPr>
            <w:tcW w:w="0" w:type="auto"/>
            <w:hideMark/>
          </w:tcPr>
          <w:p w14:paraId="6E56C396" w14:textId="77777777" w:rsidR="00367051" w:rsidRPr="00367051" w:rsidRDefault="00367051" w:rsidP="00367051">
            <w:r w:rsidRPr="00367051">
              <w:lastRenderedPageBreak/>
              <w:t>2022</w:t>
            </w:r>
          </w:p>
        </w:tc>
        <w:tc>
          <w:tcPr>
            <w:tcW w:w="0" w:type="auto"/>
            <w:hideMark/>
          </w:tcPr>
          <w:p w14:paraId="119A56B8" w14:textId="77777777" w:rsidR="00367051" w:rsidRPr="00367051" w:rsidRDefault="00367051" w:rsidP="00367051">
            <w:r w:rsidRPr="00367051">
              <w:t>2,255,827</w:t>
            </w:r>
          </w:p>
        </w:tc>
        <w:tc>
          <w:tcPr>
            <w:tcW w:w="0" w:type="auto"/>
            <w:hideMark/>
          </w:tcPr>
          <w:p w14:paraId="68FD82D2" w14:textId="77777777" w:rsidR="00367051" w:rsidRPr="00367051" w:rsidRDefault="00367051" w:rsidP="00367051">
            <w:r w:rsidRPr="00367051">
              <w:t>1,372,721</w:t>
            </w:r>
          </w:p>
        </w:tc>
        <w:tc>
          <w:tcPr>
            <w:tcW w:w="0" w:type="auto"/>
            <w:hideMark/>
          </w:tcPr>
          <w:p w14:paraId="6090920C" w14:textId="359C820F" w:rsidR="00367051" w:rsidRPr="00367051" w:rsidRDefault="0052203F" w:rsidP="00367051">
            <m:oMathPara>
              <m:oMath>
                <m:f>
                  <m:fPr>
                    <m:ctrlPr>
                      <w:rPr>
                        <w:rFonts w:ascii="Cambria Math" w:hAnsi="Cambria Math"/>
                      </w:rPr>
                    </m:ctrlPr>
                  </m:fPr>
                  <m:num>
                    <m:r>
                      <w:rPr>
                        <w:rFonts w:ascii="Cambria Math" w:hAnsi="Cambria Math"/>
                      </w:rPr>
                      <m:t>2,255,827</m:t>
                    </m:r>
                  </m:num>
                  <m:den>
                    <m:r>
                      <w:rPr>
                        <w:rFonts w:ascii="Cambria Math" w:hAnsi="Cambria Math"/>
                      </w:rPr>
                      <m:t>1,372,721</m:t>
                    </m:r>
                  </m:den>
                </m:f>
              </m:oMath>
            </m:oMathPara>
          </w:p>
        </w:tc>
        <w:tc>
          <w:tcPr>
            <w:tcW w:w="0" w:type="auto"/>
            <w:hideMark/>
          </w:tcPr>
          <w:p w14:paraId="253FB572" w14:textId="77777777" w:rsidR="00367051" w:rsidRPr="00367051" w:rsidRDefault="00367051" w:rsidP="00367051">
            <w:r w:rsidRPr="00367051">
              <w:t>1.64</w:t>
            </w:r>
          </w:p>
        </w:tc>
      </w:tr>
      <w:tr w:rsidR="00367051" w:rsidRPr="00367051" w14:paraId="5A52A735" w14:textId="77777777" w:rsidTr="007C041A">
        <w:tc>
          <w:tcPr>
            <w:tcW w:w="0" w:type="auto"/>
            <w:hideMark/>
          </w:tcPr>
          <w:p w14:paraId="36398044" w14:textId="77777777" w:rsidR="00367051" w:rsidRPr="00367051" w:rsidRDefault="00367051" w:rsidP="00367051">
            <w:r w:rsidRPr="00367051">
              <w:t>2023</w:t>
            </w:r>
          </w:p>
        </w:tc>
        <w:tc>
          <w:tcPr>
            <w:tcW w:w="0" w:type="auto"/>
            <w:hideMark/>
          </w:tcPr>
          <w:p w14:paraId="56FA72CA" w14:textId="77777777" w:rsidR="00367051" w:rsidRPr="00367051" w:rsidRDefault="00367051" w:rsidP="00367051">
            <w:r w:rsidRPr="00367051">
              <w:t>2,677,024</w:t>
            </w:r>
          </w:p>
        </w:tc>
        <w:tc>
          <w:tcPr>
            <w:tcW w:w="0" w:type="auto"/>
            <w:hideMark/>
          </w:tcPr>
          <w:p w14:paraId="6112912A" w14:textId="77777777" w:rsidR="00367051" w:rsidRPr="00367051" w:rsidRDefault="00367051" w:rsidP="00367051">
            <w:r w:rsidRPr="00367051">
              <w:t>1,517,112</w:t>
            </w:r>
          </w:p>
        </w:tc>
        <w:tc>
          <w:tcPr>
            <w:tcW w:w="0" w:type="auto"/>
            <w:hideMark/>
          </w:tcPr>
          <w:p w14:paraId="2057D3AC" w14:textId="1D6B6F3D" w:rsidR="00367051" w:rsidRPr="00367051" w:rsidRDefault="0052203F" w:rsidP="00367051">
            <m:oMathPara>
              <m:oMath>
                <m:f>
                  <m:fPr>
                    <m:ctrlPr>
                      <w:rPr>
                        <w:rFonts w:ascii="Cambria Math" w:hAnsi="Cambria Math"/>
                      </w:rPr>
                    </m:ctrlPr>
                  </m:fPr>
                  <m:num>
                    <m:r>
                      <w:rPr>
                        <w:rFonts w:ascii="Cambria Math" w:hAnsi="Cambria Math"/>
                      </w:rPr>
                      <m:t>2,677,024</m:t>
                    </m:r>
                  </m:num>
                  <m:den>
                    <m:r>
                      <w:rPr>
                        <w:rFonts w:ascii="Cambria Math" w:hAnsi="Cambria Math"/>
                      </w:rPr>
                      <m:t>1,517,112</m:t>
                    </m:r>
                  </m:den>
                </m:f>
              </m:oMath>
            </m:oMathPara>
          </w:p>
        </w:tc>
        <w:tc>
          <w:tcPr>
            <w:tcW w:w="0" w:type="auto"/>
            <w:hideMark/>
          </w:tcPr>
          <w:p w14:paraId="64603809" w14:textId="77777777" w:rsidR="00367051" w:rsidRPr="00367051" w:rsidRDefault="00367051" w:rsidP="00367051">
            <w:r w:rsidRPr="00367051">
              <w:t>1.76</w:t>
            </w:r>
          </w:p>
        </w:tc>
      </w:tr>
      <w:tr w:rsidR="00367051" w:rsidRPr="00367051" w14:paraId="6FDAD7E6" w14:textId="77777777" w:rsidTr="007C041A">
        <w:tc>
          <w:tcPr>
            <w:tcW w:w="0" w:type="auto"/>
            <w:hideMark/>
          </w:tcPr>
          <w:p w14:paraId="2FE57259" w14:textId="77777777" w:rsidR="00367051" w:rsidRPr="00367051" w:rsidRDefault="00367051" w:rsidP="00367051">
            <w:r w:rsidRPr="00367051">
              <w:t>2024</w:t>
            </w:r>
          </w:p>
        </w:tc>
        <w:tc>
          <w:tcPr>
            <w:tcW w:w="0" w:type="auto"/>
            <w:hideMark/>
          </w:tcPr>
          <w:p w14:paraId="10608EDC" w14:textId="77777777" w:rsidR="00367051" w:rsidRPr="00367051" w:rsidRDefault="00367051" w:rsidP="00367051">
            <w:r w:rsidRPr="00367051">
              <w:t>3,129,531</w:t>
            </w:r>
          </w:p>
        </w:tc>
        <w:tc>
          <w:tcPr>
            <w:tcW w:w="0" w:type="auto"/>
            <w:hideMark/>
          </w:tcPr>
          <w:p w14:paraId="63554F2F" w14:textId="77777777" w:rsidR="00367051" w:rsidRPr="00367051" w:rsidRDefault="00367051" w:rsidP="00367051">
            <w:r w:rsidRPr="00367051">
              <w:t>1,639,197</w:t>
            </w:r>
          </w:p>
        </w:tc>
        <w:tc>
          <w:tcPr>
            <w:tcW w:w="0" w:type="auto"/>
            <w:hideMark/>
          </w:tcPr>
          <w:p w14:paraId="5ACB9FEE" w14:textId="64909078" w:rsidR="00367051" w:rsidRPr="00367051" w:rsidRDefault="0052203F" w:rsidP="00367051">
            <m:oMathPara>
              <m:oMath>
                <m:f>
                  <m:fPr>
                    <m:ctrlPr>
                      <w:rPr>
                        <w:rFonts w:ascii="Cambria Math" w:hAnsi="Cambria Math"/>
                      </w:rPr>
                    </m:ctrlPr>
                  </m:fPr>
                  <m:num>
                    <m:r>
                      <w:rPr>
                        <w:rFonts w:ascii="Cambria Math" w:hAnsi="Cambria Math"/>
                      </w:rPr>
                      <m:t>3,129,531</m:t>
                    </m:r>
                  </m:num>
                  <m:den>
                    <m:r>
                      <w:rPr>
                        <w:rFonts w:ascii="Cambria Math" w:hAnsi="Cambria Math"/>
                      </w:rPr>
                      <m:t>1,639,197</m:t>
                    </m:r>
                  </m:den>
                </m:f>
              </m:oMath>
            </m:oMathPara>
          </w:p>
        </w:tc>
        <w:tc>
          <w:tcPr>
            <w:tcW w:w="0" w:type="auto"/>
            <w:hideMark/>
          </w:tcPr>
          <w:p w14:paraId="50C34FD7" w14:textId="77777777" w:rsidR="00367051" w:rsidRPr="00367051" w:rsidRDefault="00367051" w:rsidP="00367051">
            <w:r w:rsidRPr="00367051">
              <w:t>1.91</w:t>
            </w:r>
          </w:p>
        </w:tc>
      </w:tr>
      <w:tr w:rsidR="00367051" w:rsidRPr="00367051" w14:paraId="2C11A254" w14:textId="77777777" w:rsidTr="007C041A">
        <w:tc>
          <w:tcPr>
            <w:tcW w:w="0" w:type="auto"/>
            <w:hideMark/>
          </w:tcPr>
          <w:p w14:paraId="399988DE" w14:textId="77777777" w:rsidR="00367051" w:rsidRPr="00367051" w:rsidRDefault="00367051" w:rsidP="00367051">
            <w:r w:rsidRPr="00367051">
              <w:t>2025</w:t>
            </w:r>
          </w:p>
        </w:tc>
        <w:tc>
          <w:tcPr>
            <w:tcW w:w="0" w:type="auto"/>
            <w:hideMark/>
          </w:tcPr>
          <w:p w14:paraId="52247F4B" w14:textId="77777777" w:rsidR="00367051" w:rsidRPr="00367051" w:rsidRDefault="00367051" w:rsidP="00367051">
            <w:r w:rsidRPr="00367051">
              <w:t>N/A</w:t>
            </w:r>
          </w:p>
        </w:tc>
        <w:tc>
          <w:tcPr>
            <w:tcW w:w="0" w:type="auto"/>
            <w:hideMark/>
          </w:tcPr>
          <w:p w14:paraId="5D34477F" w14:textId="77777777" w:rsidR="00367051" w:rsidRPr="00367051" w:rsidRDefault="00367051" w:rsidP="00367051">
            <w:r w:rsidRPr="00367051">
              <w:t>1,622,284</w:t>
            </w:r>
          </w:p>
        </w:tc>
        <w:tc>
          <w:tcPr>
            <w:tcW w:w="0" w:type="auto"/>
            <w:hideMark/>
          </w:tcPr>
          <w:p w14:paraId="39A7B884" w14:textId="77777777" w:rsidR="00367051" w:rsidRPr="00367051" w:rsidRDefault="00367051" w:rsidP="00367051">
            <w:r w:rsidRPr="00367051">
              <w:t>N/A</w:t>
            </w:r>
          </w:p>
        </w:tc>
        <w:tc>
          <w:tcPr>
            <w:tcW w:w="0" w:type="auto"/>
            <w:hideMark/>
          </w:tcPr>
          <w:p w14:paraId="725E7093" w14:textId="77777777" w:rsidR="00367051" w:rsidRPr="00367051" w:rsidRDefault="00367051" w:rsidP="00367051">
            <w:r w:rsidRPr="00367051">
              <w:t>N/A</w:t>
            </w:r>
          </w:p>
        </w:tc>
      </w:tr>
    </w:tbl>
    <w:p w14:paraId="12767CE9" w14:textId="77777777" w:rsidR="00305679" w:rsidRDefault="00D47A8A" w:rsidP="00305679">
      <w:pPr>
        <w:keepNext/>
        <w:jc w:val="center"/>
      </w:pPr>
      <w:r>
        <w:rPr>
          <w:noProof/>
        </w:rPr>
        <w:drawing>
          <wp:inline distT="0" distB="0" distL="0" distR="0" wp14:anchorId="1D84FCD2" wp14:editId="29560FAF">
            <wp:extent cx="5747657" cy="2731325"/>
            <wp:effectExtent l="0" t="0" r="5715" b="12065"/>
            <wp:docPr id="122399002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5D9474F" w14:textId="40890695" w:rsidR="00B325EF" w:rsidRDefault="00305679" w:rsidP="00305679">
      <w:pPr>
        <w:pStyle w:val="Caption"/>
        <w:jc w:val="center"/>
      </w:pPr>
      <w:r>
        <w:t xml:space="preserve">Figure </w:t>
      </w:r>
      <w:fldSimple w:instr=" SEQ Figure \* ARABIC ">
        <w:r>
          <w:rPr>
            <w:noProof/>
          </w:rPr>
          <w:t>5</w:t>
        </w:r>
      </w:fldSimple>
      <w:r>
        <w:t xml:space="preserve">: </w:t>
      </w:r>
      <w:r w:rsidRPr="00063225">
        <w:t>Current Ratio Calculation</w:t>
      </w:r>
    </w:p>
    <w:p w14:paraId="0407F4CA" w14:textId="4EAE45D8" w:rsidR="00AF63A5" w:rsidRPr="00AF63A5" w:rsidRDefault="00BE1979" w:rsidP="00AF63A5">
      <w:r w:rsidRPr="00BE1979">
        <w:t>The current assets in FY2025 were not available in full, and therefore the ratio is N/A. Current ratio has increased to 1.91 in FY2024 than 1.64 in FY20212022, with better short-term liquidity being demonstrated. This growth was propelled by an increment in the receivables, inventories, and cash (Abbas, 2025).</w:t>
      </w:r>
    </w:p>
    <w:p w14:paraId="685559EE" w14:textId="77777777" w:rsidR="00367051" w:rsidRPr="00367051" w:rsidRDefault="00367051" w:rsidP="00891388">
      <w:pPr>
        <w:pStyle w:val="Heading2"/>
      </w:pPr>
      <w:bookmarkStart w:id="8" w:name="_Toc227885128"/>
      <w:r w:rsidRPr="00367051">
        <w:t>1.3 Gearing Ratios</w:t>
      </w:r>
      <w:bookmarkEnd w:id="8"/>
    </w:p>
    <w:p w14:paraId="2D67F4A6" w14:textId="0906655C" w:rsidR="00367051" w:rsidRPr="00367051" w:rsidRDefault="00BE1979" w:rsidP="00367051">
      <w:r w:rsidRPr="00BE1979">
        <w:t xml:space="preserve">Gearing is used to determine the level of financial risk associated with debt financing. Toyota Industries was seen to be underfunded, as in most years, debt was lower than half the assets. This conservative structure minimizes the insolvency </w:t>
      </w:r>
      <w:proofErr w:type="gramStart"/>
      <w:r w:rsidRPr="00BE1979">
        <w:t>risk, and</w:t>
      </w:r>
      <w:proofErr w:type="gramEnd"/>
      <w:r w:rsidRPr="00BE1979">
        <w:t xml:space="preserve"> is also partly the reason behind the low ROE performance.</w:t>
      </w:r>
      <w:r w:rsidR="00367051" w:rsidRPr="00367051">
        <w:t xml:space="preserve"> </w:t>
      </w:r>
    </w:p>
    <w:p w14:paraId="08216172" w14:textId="747C47ED" w:rsidR="00367051" w:rsidRPr="00367051" w:rsidRDefault="00367051" w:rsidP="00367051">
      <m:oMathPara>
        <m:oMath>
          <m:r>
            <m:rPr>
              <m:nor/>
            </m:rPr>
            <m:t>Debt Ratio</m:t>
          </m:r>
          <m:r>
            <w:rPr>
              <w:rFonts w:ascii="Cambria Math" w:hAnsi="Cambria Math"/>
            </w:rPr>
            <m:t>=</m:t>
          </m:r>
          <m:f>
            <m:fPr>
              <m:ctrlPr>
                <w:rPr>
                  <w:rFonts w:ascii="Cambria Math" w:hAnsi="Cambria Math"/>
                </w:rPr>
              </m:ctrlPr>
            </m:fPr>
            <m:num>
              <m:r>
                <m:rPr>
                  <m:nor/>
                </m:rPr>
                <m:t>Total Liabilities</m:t>
              </m:r>
            </m:num>
            <m:den>
              <m:r>
                <m:rPr>
                  <m:nor/>
                </m:rPr>
                <m:t>Total Assets</m:t>
              </m:r>
            </m:den>
          </m:f>
          <m:r>
            <w:rPr>
              <w:rFonts w:ascii="Cambria Math" w:hAnsi="Cambria Math"/>
            </w:rPr>
            <m:t>×100</m:t>
          </m:r>
          <m:r>
            <m:rPr>
              <m:sty m:val="p"/>
            </m:rPr>
            <w:br/>
          </m:r>
        </m:oMath>
      </m:oMathPara>
    </w:p>
    <w:p w14:paraId="03A3FD6D" w14:textId="77777777" w:rsidR="00367051" w:rsidRPr="00367051" w:rsidRDefault="00367051" w:rsidP="00367051">
      <w:pPr>
        <w:rPr>
          <w:b/>
          <w:bCs/>
        </w:rPr>
      </w:pPr>
      <w:r w:rsidRPr="00367051">
        <w:rPr>
          <w:b/>
          <w:bCs/>
        </w:rPr>
        <w:t>Table 6. Debt Ratio Calculation, FY2021–FY2025</w:t>
      </w:r>
    </w:p>
    <w:tbl>
      <w:tblPr>
        <w:tblStyle w:val="TableGrid"/>
        <w:tblW w:w="8979" w:type="dxa"/>
        <w:tblLook w:val="04A0" w:firstRow="1" w:lastRow="0" w:firstColumn="1" w:lastColumn="0" w:noHBand="0" w:noVBand="1"/>
      </w:tblPr>
      <w:tblGrid>
        <w:gridCol w:w="1081"/>
        <w:gridCol w:w="2960"/>
        <w:gridCol w:w="2266"/>
        <w:gridCol w:w="2672"/>
      </w:tblGrid>
      <w:tr w:rsidR="00367051" w:rsidRPr="00367051" w14:paraId="20603087" w14:textId="77777777" w:rsidTr="007C041A">
        <w:trPr>
          <w:trHeight w:val="445"/>
        </w:trPr>
        <w:tc>
          <w:tcPr>
            <w:tcW w:w="0" w:type="auto"/>
            <w:hideMark/>
          </w:tcPr>
          <w:p w14:paraId="453DFC1D" w14:textId="77777777" w:rsidR="00367051" w:rsidRPr="00367051" w:rsidRDefault="00367051" w:rsidP="00367051">
            <w:pPr>
              <w:rPr>
                <w:b/>
                <w:bCs/>
              </w:rPr>
            </w:pPr>
            <w:r w:rsidRPr="00367051">
              <w:rPr>
                <w:b/>
                <w:bCs/>
              </w:rPr>
              <w:lastRenderedPageBreak/>
              <w:t>Year</w:t>
            </w:r>
          </w:p>
        </w:tc>
        <w:tc>
          <w:tcPr>
            <w:tcW w:w="0" w:type="auto"/>
            <w:hideMark/>
          </w:tcPr>
          <w:p w14:paraId="75FDC33E" w14:textId="77777777" w:rsidR="00367051" w:rsidRPr="00367051" w:rsidRDefault="00367051" w:rsidP="00367051">
            <w:pPr>
              <w:rPr>
                <w:b/>
                <w:bCs/>
              </w:rPr>
            </w:pPr>
            <w:r w:rsidRPr="00367051">
              <w:rPr>
                <w:b/>
                <w:bCs/>
              </w:rPr>
              <w:t>Equity Ratio (%)</w:t>
            </w:r>
          </w:p>
        </w:tc>
        <w:tc>
          <w:tcPr>
            <w:tcW w:w="0" w:type="auto"/>
            <w:hideMark/>
          </w:tcPr>
          <w:p w14:paraId="23381225" w14:textId="5CDFEEF6" w:rsidR="00367051" w:rsidRPr="00367051" w:rsidRDefault="00367051" w:rsidP="00367051">
            <w:pPr>
              <w:rPr>
                <w:b/>
                <w:bCs/>
              </w:rPr>
            </w:pPr>
            <w:r w:rsidRPr="00367051">
              <w:rPr>
                <w:b/>
                <w:bCs/>
              </w:rPr>
              <w:t>Calculation</w:t>
            </w:r>
          </w:p>
        </w:tc>
        <w:tc>
          <w:tcPr>
            <w:tcW w:w="0" w:type="auto"/>
            <w:hideMark/>
          </w:tcPr>
          <w:p w14:paraId="391CC938" w14:textId="77777777" w:rsidR="00367051" w:rsidRPr="00367051" w:rsidRDefault="00367051" w:rsidP="00367051">
            <w:pPr>
              <w:rPr>
                <w:b/>
                <w:bCs/>
              </w:rPr>
            </w:pPr>
            <w:r w:rsidRPr="00367051">
              <w:rPr>
                <w:b/>
                <w:bCs/>
              </w:rPr>
              <w:t>Debt Ratio (%)</w:t>
            </w:r>
          </w:p>
        </w:tc>
      </w:tr>
      <w:tr w:rsidR="00367051" w:rsidRPr="00367051" w14:paraId="354B97D0" w14:textId="77777777" w:rsidTr="007C041A">
        <w:trPr>
          <w:trHeight w:val="459"/>
        </w:trPr>
        <w:tc>
          <w:tcPr>
            <w:tcW w:w="0" w:type="auto"/>
            <w:hideMark/>
          </w:tcPr>
          <w:p w14:paraId="253273F3" w14:textId="77777777" w:rsidR="00367051" w:rsidRPr="00367051" w:rsidRDefault="00367051" w:rsidP="00367051">
            <w:r w:rsidRPr="00367051">
              <w:t>2021</w:t>
            </w:r>
          </w:p>
        </w:tc>
        <w:tc>
          <w:tcPr>
            <w:tcW w:w="0" w:type="auto"/>
            <w:hideMark/>
          </w:tcPr>
          <w:p w14:paraId="1B970101" w14:textId="77777777" w:rsidR="00367051" w:rsidRPr="00367051" w:rsidRDefault="00367051" w:rsidP="00367051">
            <w:r w:rsidRPr="00367051">
              <w:t>49.75</w:t>
            </w:r>
          </w:p>
        </w:tc>
        <w:tc>
          <w:tcPr>
            <w:tcW w:w="0" w:type="auto"/>
            <w:hideMark/>
          </w:tcPr>
          <w:p w14:paraId="0B0E4108" w14:textId="403A73AF" w:rsidR="00367051" w:rsidRPr="00367051" w:rsidRDefault="0052203F" w:rsidP="00367051">
            <m:oMathPara>
              <m:oMath>
                <m:d>
                  <m:dPr>
                    <m:sepChr m:val="−"/>
                    <m:ctrlPr>
                      <w:rPr>
                        <w:rFonts w:ascii="Cambria Math" w:hAnsi="Cambria Math"/>
                      </w:rPr>
                    </m:ctrlPr>
                  </m:dPr>
                  <m:e>
                    <m:r>
                      <w:rPr>
                        <w:rFonts w:ascii="Cambria Math" w:hAnsi="Cambria Math"/>
                      </w:rPr>
                      <m:t>100</m:t>
                    </m:r>
                  </m:e>
                  <m:e>
                    <m:r>
                      <w:rPr>
                        <w:rFonts w:ascii="Cambria Math" w:hAnsi="Cambria Math"/>
                      </w:rPr>
                      <m:t>49.75</m:t>
                    </m:r>
                  </m:e>
                </m:d>
              </m:oMath>
            </m:oMathPara>
          </w:p>
        </w:tc>
        <w:tc>
          <w:tcPr>
            <w:tcW w:w="0" w:type="auto"/>
            <w:hideMark/>
          </w:tcPr>
          <w:p w14:paraId="3CE19631" w14:textId="77777777" w:rsidR="00367051" w:rsidRPr="00367051" w:rsidRDefault="00367051" w:rsidP="00367051">
            <w:r w:rsidRPr="00367051">
              <w:t>50.25%</w:t>
            </w:r>
          </w:p>
        </w:tc>
      </w:tr>
      <w:tr w:rsidR="00367051" w:rsidRPr="00367051" w14:paraId="5FDAE395" w14:textId="77777777" w:rsidTr="007C041A">
        <w:trPr>
          <w:trHeight w:val="459"/>
        </w:trPr>
        <w:tc>
          <w:tcPr>
            <w:tcW w:w="0" w:type="auto"/>
            <w:hideMark/>
          </w:tcPr>
          <w:p w14:paraId="300BE160" w14:textId="77777777" w:rsidR="00367051" w:rsidRPr="00367051" w:rsidRDefault="00367051" w:rsidP="00367051">
            <w:r w:rsidRPr="00367051">
              <w:t>2022</w:t>
            </w:r>
          </w:p>
        </w:tc>
        <w:tc>
          <w:tcPr>
            <w:tcW w:w="0" w:type="auto"/>
            <w:hideMark/>
          </w:tcPr>
          <w:p w14:paraId="52D1FF68" w14:textId="77777777" w:rsidR="00367051" w:rsidRPr="00367051" w:rsidRDefault="00367051" w:rsidP="00367051">
            <w:r w:rsidRPr="00367051">
              <w:t>51.51</w:t>
            </w:r>
          </w:p>
        </w:tc>
        <w:tc>
          <w:tcPr>
            <w:tcW w:w="0" w:type="auto"/>
            <w:hideMark/>
          </w:tcPr>
          <w:p w14:paraId="5D402952" w14:textId="0169451D" w:rsidR="00367051" w:rsidRPr="00367051" w:rsidRDefault="0052203F" w:rsidP="00367051">
            <m:oMathPara>
              <m:oMath>
                <m:d>
                  <m:dPr>
                    <m:sepChr m:val="−"/>
                    <m:ctrlPr>
                      <w:rPr>
                        <w:rFonts w:ascii="Cambria Math" w:hAnsi="Cambria Math"/>
                      </w:rPr>
                    </m:ctrlPr>
                  </m:dPr>
                  <m:e>
                    <m:r>
                      <w:rPr>
                        <w:rFonts w:ascii="Cambria Math" w:hAnsi="Cambria Math"/>
                      </w:rPr>
                      <m:t>100</m:t>
                    </m:r>
                  </m:e>
                  <m:e>
                    <m:r>
                      <w:rPr>
                        <w:rFonts w:ascii="Cambria Math" w:hAnsi="Cambria Math"/>
                      </w:rPr>
                      <m:t>51.51</m:t>
                    </m:r>
                  </m:e>
                </m:d>
              </m:oMath>
            </m:oMathPara>
          </w:p>
        </w:tc>
        <w:tc>
          <w:tcPr>
            <w:tcW w:w="0" w:type="auto"/>
            <w:hideMark/>
          </w:tcPr>
          <w:p w14:paraId="017E2841" w14:textId="77777777" w:rsidR="00367051" w:rsidRPr="00367051" w:rsidRDefault="00367051" w:rsidP="00367051">
            <w:r w:rsidRPr="00367051">
              <w:t>48.49%</w:t>
            </w:r>
          </w:p>
        </w:tc>
      </w:tr>
      <w:tr w:rsidR="00367051" w:rsidRPr="00367051" w14:paraId="4AE3AA02" w14:textId="77777777" w:rsidTr="007C041A">
        <w:trPr>
          <w:trHeight w:val="459"/>
        </w:trPr>
        <w:tc>
          <w:tcPr>
            <w:tcW w:w="0" w:type="auto"/>
            <w:hideMark/>
          </w:tcPr>
          <w:p w14:paraId="6B59BE25" w14:textId="77777777" w:rsidR="00367051" w:rsidRPr="00367051" w:rsidRDefault="00367051" w:rsidP="00367051">
            <w:r w:rsidRPr="00367051">
              <w:t>2023</w:t>
            </w:r>
          </w:p>
        </w:tc>
        <w:tc>
          <w:tcPr>
            <w:tcW w:w="0" w:type="auto"/>
            <w:hideMark/>
          </w:tcPr>
          <w:p w14:paraId="6CE06FC6" w14:textId="77777777" w:rsidR="00367051" w:rsidRPr="00367051" w:rsidRDefault="00367051" w:rsidP="00367051">
            <w:r w:rsidRPr="00367051">
              <w:t>49.06</w:t>
            </w:r>
          </w:p>
        </w:tc>
        <w:tc>
          <w:tcPr>
            <w:tcW w:w="0" w:type="auto"/>
            <w:hideMark/>
          </w:tcPr>
          <w:p w14:paraId="792CF324" w14:textId="1B9F1D64" w:rsidR="00367051" w:rsidRPr="00367051" w:rsidRDefault="0052203F" w:rsidP="00367051">
            <m:oMathPara>
              <m:oMath>
                <m:d>
                  <m:dPr>
                    <m:sepChr m:val="−"/>
                    <m:ctrlPr>
                      <w:rPr>
                        <w:rFonts w:ascii="Cambria Math" w:hAnsi="Cambria Math"/>
                      </w:rPr>
                    </m:ctrlPr>
                  </m:dPr>
                  <m:e>
                    <m:r>
                      <w:rPr>
                        <w:rFonts w:ascii="Cambria Math" w:hAnsi="Cambria Math"/>
                      </w:rPr>
                      <m:t>100</m:t>
                    </m:r>
                  </m:e>
                  <m:e>
                    <m:r>
                      <w:rPr>
                        <w:rFonts w:ascii="Cambria Math" w:hAnsi="Cambria Math"/>
                      </w:rPr>
                      <m:t>49.06</m:t>
                    </m:r>
                  </m:e>
                </m:d>
              </m:oMath>
            </m:oMathPara>
          </w:p>
        </w:tc>
        <w:tc>
          <w:tcPr>
            <w:tcW w:w="0" w:type="auto"/>
            <w:hideMark/>
          </w:tcPr>
          <w:p w14:paraId="4C78A1CA" w14:textId="77777777" w:rsidR="00367051" w:rsidRPr="00367051" w:rsidRDefault="00367051" w:rsidP="00367051">
            <w:r w:rsidRPr="00367051">
              <w:t>50.94%</w:t>
            </w:r>
          </w:p>
        </w:tc>
      </w:tr>
      <w:tr w:rsidR="00367051" w:rsidRPr="00367051" w14:paraId="0A0B88A3" w14:textId="77777777" w:rsidTr="007C041A">
        <w:trPr>
          <w:trHeight w:val="459"/>
        </w:trPr>
        <w:tc>
          <w:tcPr>
            <w:tcW w:w="0" w:type="auto"/>
            <w:hideMark/>
          </w:tcPr>
          <w:p w14:paraId="1AFDF096" w14:textId="77777777" w:rsidR="00367051" w:rsidRPr="00367051" w:rsidRDefault="00367051" w:rsidP="00367051">
            <w:r w:rsidRPr="00367051">
              <w:t>2024</w:t>
            </w:r>
          </w:p>
        </w:tc>
        <w:tc>
          <w:tcPr>
            <w:tcW w:w="0" w:type="auto"/>
            <w:hideMark/>
          </w:tcPr>
          <w:p w14:paraId="1B036683" w14:textId="77777777" w:rsidR="00367051" w:rsidRPr="00367051" w:rsidRDefault="00367051" w:rsidP="00367051">
            <w:r w:rsidRPr="00367051">
              <w:t>54.57</w:t>
            </w:r>
          </w:p>
        </w:tc>
        <w:tc>
          <w:tcPr>
            <w:tcW w:w="0" w:type="auto"/>
            <w:hideMark/>
          </w:tcPr>
          <w:p w14:paraId="6C807605" w14:textId="7FF6E332" w:rsidR="00367051" w:rsidRPr="00367051" w:rsidRDefault="0052203F" w:rsidP="00367051">
            <m:oMathPara>
              <m:oMath>
                <m:d>
                  <m:dPr>
                    <m:sepChr m:val="−"/>
                    <m:ctrlPr>
                      <w:rPr>
                        <w:rFonts w:ascii="Cambria Math" w:hAnsi="Cambria Math"/>
                      </w:rPr>
                    </m:ctrlPr>
                  </m:dPr>
                  <m:e>
                    <m:r>
                      <w:rPr>
                        <w:rFonts w:ascii="Cambria Math" w:hAnsi="Cambria Math"/>
                      </w:rPr>
                      <m:t>100</m:t>
                    </m:r>
                  </m:e>
                  <m:e>
                    <m:r>
                      <w:rPr>
                        <w:rFonts w:ascii="Cambria Math" w:hAnsi="Cambria Math"/>
                      </w:rPr>
                      <m:t>54.57</m:t>
                    </m:r>
                  </m:e>
                </m:d>
              </m:oMath>
            </m:oMathPara>
          </w:p>
        </w:tc>
        <w:tc>
          <w:tcPr>
            <w:tcW w:w="0" w:type="auto"/>
            <w:hideMark/>
          </w:tcPr>
          <w:p w14:paraId="173C9422" w14:textId="77777777" w:rsidR="00367051" w:rsidRPr="00367051" w:rsidRDefault="00367051" w:rsidP="00367051">
            <w:r w:rsidRPr="00367051">
              <w:t>45.43%</w:t>
            </w:r>
          </w:p>
        </w:tc>
      </w:tr>
      <w:tr w:rsidR="00367051" w:rsidRPr="00367051" w14:paraId="05B51F26" w14:textId="77777777" w:rsidTr="007C041A">
        <w:trPr>
          <w:trHeight w:val="459"/>
        </w:trPr>
        <w:tc>
          <w:tcPr>
            <w:tcW w:w="0" w:type="auto"/>
            <w:hideMark/>
          </w:tcPr>
          <w:p w14:paraId="7785961A" w14:textId="77777777" w:rsidR="00367051" w:rsidRPr="00367051" w:rsidRDefault="00367051" w:rsidP="00367051">
            <w:r w:rsidRPr="00367051">
              <w:t>2025</w:t>
            </w:r>
          </w:p>
        </w:tc>
        <w:tc>
          <w:tcPr>
            <w:tcW w:w="0" w:type="auto"/>
            <w:hideMark/>
          </w:tcPr>
          <w:p w14:paraId="5ADC48D2" w14:textId="77777777" w:rsidR="00367051" w:rsidRPr="00367051" w:rsidRDefault="00367051" w:rsidP="00367051">
            <w:r w:rsidRPr="00367051">
              <w:t>52.16</w:t>
            </w:r>
          </w:p>
        </w:tc>
        <w:tc>
          <w:tcPr>
            <w:tcW w:w="0" w:type="auto"/>
            <w:hideMark/>
          </w:tcPr>
          <w:p w14:paraId="4FE29759" w14:textId="0699AFBE" w:rsidR="00367051" w:rsidRPr="00367051" w:rsidRDefault="0052203F" w:rsidP="00367051">
            <m:oMathPara>
              <m:oMath>
                <m:d>
                  <m:dPr>
                    <m:sepChr m:val="−"/>
                    <m:ctrlPr>
                      <w:rPr>
                        <w:rFonts w:ascii="Cambria Math" w:hAnsi="Cambria Math"/>
                      </w:rPr>
                    </m:ctrlPr>
                  </m:dPr>
                  <m:e>
                    <m:r>
                      <w:rPr>
                        <w:rFonts w:ascii="Cambria Math" w:hAnsi="Cambria Math"/>
                      </w:rPr>
                      <m:t>100</m:t>
                    </m:r>
                  </m:e>
                  <m:e>
                    <m:r>
                      <w:rPr>
                        <w:rFonts w:ascii="Cambria Math" w:hAnsi="Cambria Math"/>
                      </w:rPr>
                      <m:t>52.16</m:t>
                    </m:r>
                  </m:e>
                </m:d>
              </m:oMath>
            </m:oMathPara>
          </w:p>
        </w:tc>
        <w:tc>
          <w:tcPr>
            <w:tcW w:w="0" w:type="auto"/>
            <w:hideMark/>
          </w:tcPr>
          <w:p w14:paraId="42D52339" w14:textId="77777777" w:rsidR="00367051" w:rsidRPr="00367051" w:rsidRDefault="00367051" w:rsidP="00367051">
            <w:r w:rsidRPr="00367051">
              <w:t>47.84%</w:t>
            </w:r>
          </w:p>
        </w:tc>
      </w:tr>
    </w:tbl>
    <w:p w14:paraId="2FC94DE3" w14:textId="77777777" w:rsidR="00305679" w:rsidRDefault="004454DC" w:rsidP="00305679">
      <w:pPr>
        <w:keepNext/>
        <w:jc w:val="center"/>
      </w:pPr>
      <w:r>
        <w:rPr>
          <w:noProof/>
        </w:rPr>
        <w:drawing>
          <wp:inline distT="0" distB="0" distL="0" distR="0" wp14:anchorId="42F80A9C" wp14:editId="14C59F38">
            <wp:extent cx="5723890" cy="2695699"/>
            <wp:effectExtent l="0" t="0" r="10160" b="9525"/>
            <wp:docPr id="122010837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5AF45A0" w14:textId="0A19B8F6" w:rsidR="004454DC" w:rsidRDefault="00305679" w:rsidP="00305679">
      <w:pPr>
        <w:pStyle w:val="Caption"/>
        <w:jc w:val="center"/>
      </w:pPr>
      <w:r>
        <w:t xml:space="preserve">Figure </w:t>
      </w:r>
      <w:fldSimple w:instr=" SEQ Figure \* ARABIC ">
        <w:r>
          <w:rPr>
            <w:noProof/>
          </w:rPr>
          <w:t>6</w:t>
        </w:r>
      </w:fldSimple>
      <w:r>
        <w:t xml:space="preserve">: </w:t>
      </w:r>
      <w:r w:rsidRPr="00CC5F73">
        <w:t>Debt Ratio Calculation</w:t>
      </w:r>
    </w:p>
    <w:p w14:paraId="7D05648B" w14:textId="324E7C7D" w:rsidR="00367051" w:rsidRPr="00367051" w:rsidRDefault="00BE1979" w:rsidP="00367051">
      <w:r w:rsidRPr="00BE1979">
        <w:t>The equity-to-assets ratio on the reports is calculated to determine the debt ratio. It remained moderate, between 45.43% and 50.94%. This was at its highest in FY2023, and it was followed by an increase in FY2024 because of increased equity. Though it increased a little in FY2025, it remained less than 50, which means a balanced structure and low financial risk.</w:t>
      </w:r>
    </w:p>
    <w:p w14:paraId="52EF2F11" w14:textId="77777777" w:rsidR="00367051" w:rsidRPr="00367051" w:rsidRDefault="00367051" w:rsidP="00891388">
      <w:pPr>
        <w:pStyle w:val="Heading2"/>
      </w:pPr>
      <w:bookmarkStart w:id="9" w:name="_Toc227885129"/>
      <w:r w:rsidRPr="00367051">
        <w:t>1.4 Efficiency and Cash Conversion</w:t>
      </w:r>
      <w:bookmarkEnd w:id="9"/>
    </w:p>
    <w:p w14:paraId="3CED81B5" w14:textId="0FBF4DA6" w:rsidR="00367051" w:rsidRPr="00367051" w:rsidRDefault="00BC712C" w:rsidP="00367051">
      <w:r w:rsidRPr="00BC712C">
        <w:t xml:space="preserve">The efficiency ratios indicate the effectiveness with which the working capital is utilized. The cash conversion cycle is also a useful indicator that approximates the duration of time the cash is held in operation before it can be collected (Stavropoulos and </w:t>
      </w:r>
      <w:proofErr w:type="spellStart"/>
      <w:r w:rsidRPr="00BC712C">
        <w:t>Zounta</w:t>
      </w:r>
      <w:proofErr w:type="spellEnd"/>
      <w:r w:rsidRPr="00BC712C">
        <w:t>, 2025). Since the entire FY2025 inventory line was not surfaced in the pages extracted, the entire CCC can be computed with confidence to FY2024 and FY2025 can be discussed incompletely.</w:t>
      </w:r>
      <w:r w:rsidR="00367051" w:rsidRPr="00367051">
        <w:t xml:space="preserve"> </w:t>
      </w:r>
    </w:p>
    <w:p w14:paraId="7E95D11F" w14:textId="4597AC66" w:rsidR="00367051" w:rsidRPr="00367051" w:rsidRDefault="00367051" w:rsidP="00367051">
      <m:oMathPara>
        <m:oMath>
          <m:r>
            <m:rPr>
              <m:nor/>
            </m:rPr>
            <w:lastRenderedPageBreak/>
            <m:t>Inventory Days</m:t>
          </m:r>
          <m:r>
            <w:rPr>
              <w:rFonts w:ascii="Cambria Math" w:hAnsi="Cambria Math"/>
            </w:rPr>
            <m:t>=</m:t>
          </m:r>
          <m:f>
            <m:fPr>
              <m:ctrlPr>
                <w:rPr>
                  <w:rFonts w:ascii="Cambria Math" w:hAnsi="Cambria Math"/>
                </w:rPr>
              </m:ctrlPr>
            </m:fPr>
            <m:num>
              <m:r>
                <m:rPr>
                  <m:nor/>
                </m:rPr>
                <m:t>Inventories</m:t>
              </m:r>
            </m:num>
            <m:den>
              <m:r>
                <m:rPr>
                  <m:nor/>
                </m:rPr>
                <m:t>Cost of Sales</m:t>
              </m:r>
            </m:den>
          </m:f>
          <m:r>
            <w:rPr>
              <w:rFonts w:ascii="Cambria Math" w:hAnsi="Cambria Math"/>
            </w:rPr>
            <m:t>×365</m:t>
          </m:r>
          <m:r>
            <m:rPr>
              <m:sty m:val="p"/>
            </m:rPr>
            <w:br/>
          </m:r>
        </m:oMath>
        <m:oMath>
          <m:r>
            <m:rPr>
              <m:nor/>
            </m:rPr>
            <m:t>Receivable Days</m:t>
          </m:r>
          <m:r>
            <w:rPr>
              <w:rFonts w:ascii="Cambria Math" w:hAnsi="Cambria Math"/>
            </w:rPr>
            <m:t>=</m:t>
          </m:r>
          <m:f>
            <m:fPr>
              <m:ctrlPr>
                <w:rPr>
                  <w:rFonts w:ascii="Cambria Math" w:hAnsi="Cambria Math"/>
                </w:rPr>
              </m:ctrlPr>
            </m:fPr>
            <m:num>
              <m:r>
                <m:rPr>
                  <m:nor/>
                </m:rPr>
                <m:t>Trade Receivables and Other Receivables</m:t>
              </m:r>
            </m:num>
            <m:den>
              <m:r>
                <m:rPr>
                  <m:nor/>
                </m:rPr>
                <m:t>Net Sales</m:t>
              </m:r>
            </m:den>
          </m:f>
          <m:r>
            <w:rPr>
              <w:rFonts w:ascii="Cambria Math" w:hAnsi="Cambria Math"/>
            </w:rPr>
            <m:t>×365</m:t>
          </m:r>
          <m:r>
            <m:rPr>
              <m:sty m:val="p"/>
            </m:rPr>
            <w:br/>
          </m:r>
        </m:oMath>
        <m:oMath>
          <m:r>
            <m:rPr>
              <m:nor/>
            </m:rPr>
            <m:t>Payable Days</m:t>
          </m:r>
          <m:r>
            <w:rPr>
              <w:rFonts w:ascii="Cambria Math" w:hAnsi="Cambria Math"/>
            </w:rPr>
            <m:t>=</m:t>
          </m:r>
          <m:f>
            <m:fPr>
              <m:ctrlPr>
                <w:rPr>
                  <w:rFonts w:ascii="Cambria Math" w:hAnsi="Cambria Math"/>
                </w:rPr>
              </m:ctrlPr>
            </m:fPr>
            <m:num>
              <m:r>
                <m:rPr>
                  <m:nor/>
                </m:rPr>
                <m:t>Trade Payables and Other Payables</m:t>
              </m:r>
            </m:num>
            <m:den>
              <m:r>
                <m:rPr>
                  <m:nor/>
                </m:rPr>
                <m:t>Cost of Sales</m:t>
              </m:r>
            </m:den>
          </m:f>
          <m:r>
            <w:rPr>
              <w:rFonts w:ascii="Cambria Math" w:hAnsi="Cambria Math"/>
            </w:rPr>
            <m:t>×365</m:t>
          </m:r>
          <m:r>
            <m:rPr>
              <m:sty m:val="p"/>
            </m:rPr>
            <w:br/>
          </m:r>
        </m:oMath>
        <m:oMath>
          <m:r>
            <m:rPr>
              <m:nor/>
            </m:rPr>
            <m:t>CCC</m:t>
          </m:r>
          <m:r>
            <w:rPr>
              <w:rFonts w:ascii="Cambria Math" w:hAnsi="Cambria Math"/>
            </w:rPr>
            <m:t>=</m:t>
          </m:r>
          <m:r>
            <m:rPr>
              <m:nor/>
            </m:rPr>
            <m:t>Inventory Days</m:t>
          </m:r>
          <m:r>
            <w:rPr>
              <w:rFonts w:ascii="Cambria Math" w:hAnsi="Cambria Math"/>
            </w:rPr>
            <m:t>+</m:t>
          </m:r>
          <m:r>
            <m:rPr>
              <m:nor/>
            </m:rPr>
            <m:t>Receivable Days</m:t>
          </m:r>
          <m:r>
            <w:rPr>
              <w:rFonts w:ascii="Cambria Math" w:hAnsi="Cambria Math"/>
            </w:rPr>
            <m:t>-</m:t>
          </m:r>
          <m:r>
            <m:rPr>
              <m:nor/>
            </m:rPr>
            <m:t>Payable Days</m:t>
          </m:r>
          <m:r>
            <m:rPr>
              <m:sty m:val="p"/>
            </m:rPr>
            <w:br/>
          </m:r>
        </m:oMath>
      </m:oMathPara>
    </w:p>
    <w:p w14:paraId="54848055" w14:textId="77777777" w:rsidR="00367051" w:rsidRPr="00367051" w:rsidRDefault="00367051" w:rsidP="00367051">
      <w:pPr>
        <w:rPr>
          <w:b/>
          <w:bCs/>
        </w:rPr>
      </w:pPr>
      <w:r w:rsidRPr="00367051">
        <w:rPr>
          <w:b/>
          <w:bCs/>
        </w:rPr>
        <w:t>Table 7. Cash Conversion Cycle Calculation, FY2021–FY2025</w:t>
      </w:r>
    </w:p>
    <w:tbl>
      <w:tblPr>
        <w:tblStyle w:val="TableGrid"/>
        <w:tblW w:w="9017" w:type="dxa"/>
        <w:tblLook w:val="04A0" w:firstRow="1" w:lastRow="0" w:firstColumn="1" w:lastColumn="0" w:noHBand="0" w:noVBand="1"/>
      </w:tblPr>
      <w:tblGrid>
        <w:gridCol w:w="900"/>
        <w:gridCol w:w="2325"/>
        <w:gridCol w:w="2534"/>
        <w:gridCol w:w="2117"/>
        <w:gridCol w:w="1141"/>
      </w:tblGrid>
      <w:tr w:rsidR="00367051" w:rsidRPr="00367051" w14:paraId="6CA80D48" w14:textId="77777777" w:rsidTr="007C041A">
        <w:trPr>
          <w:trHeight w:val="374"/>
        </w:trPr>
        <w:tc>
          <w:tcPr>
            <w:tcW w:w="0" w:type="auto"/>
            <w:hideMark/>
          </w:tcPr>
          <w:p w14:paraId="7A3C1045" w14:textId="77777777" w:rsidR="00367051" w:rsidRPr="00367051" w:rsidRDefault="00367051" w:rsidP="00367051">
            <w:pPr>
              <w:rPr>
                <w:b/>
                <w:bCs/>
              </w:rPr>
            </w:pPr>
            <w:r w:rsidRPr="00367051">
              <w:rPr>
                <w:b/>
                <w:bCs/>
              </w:rPr>
              <w:t>Year</w:t>
            </w:r>
          </w:p>
        </w:tc>
        <w:tc>
          <w:tcPr>
            <w:tcW w:w="0" w:type="auto"/>
            <w:hideMark/>
          </w:tcPr>
          <w:p w14:paraId="6D492DA3" w14:textId="77777777" w:rsidR="00367051" w:rsidRPr="00367051" w:rsidRDefault="00367051" w:rsidP="00367051">
            <w:pPr>
              <w:rPr>
                <w:b/>
                <w:bCs/>
              </w:rPr>
            </w:pPr>
            <w:r w:rsidRPr="00367051">
              <w:rPr>
                <w:b/>
                <w:bCs/>
              </w:rPr>
              <w:t>Inventory Days</w:t>
            </w:r>
          </w:p>
        </w:tc>
        <w:tc>
          <w:tcPr>
            <w:tcW w:w="0" w:type="auto"/>
            <w:hideMark/>
          </w:tcPr>
          <w:p w14:paraId="2B68A8BF" w14:textId="77777777" w:rsidR="00367051" w:rsidRPr="00367051" w:rsidRDefault="00367051" w:rsidP="00367051">
            <w:pPr>
              <w:rPr>
                <w:b/>
                <w:bCs/>
              </w:rPr>
            </w:pPr>
            <w:r w:rsidRPr="00367051">
              <w:rPr>
                <w:b/>
                <w:bCs/>
              </w:rPr>
              <w:t>Receivable Days</w:t>
            </w:r>
          </w:p>
        </w:tc>
        <w:tc>
          <w:tcPr>
            <w:tcW w:w="0" w:type="auto"/>
            <w:hideMark/>
          </w:tcPr>
          <w:p w14:paraId="691E7BD4" w14:textId="77777777" w:rsidR="00367051" w:rsidRPr="00367051" w:rsidRDefault="00367051" w:rsidP="00367051">
            <w:pPr>
              <w:rPr>
                <w:b/>
                <w:bCs/>
              </w:rPr>
            </w:pPr>
            <w:r w:rsidRPr="00367051">
              <w:rPr>
                <w:b/>
                <w:bCs/>
              </w:rPr>
              <w:t>Payable Days</w:t>
            </w:r>
          </w:p>
        </w:tc>
        <w:tc>
          <w:tcPr>
            <w:tcW w:w="0" w:type="auto"/>
            <w:hideMark/>
          </w:tcPr>
          <w:p w14:paraId="5181690E" w14:textId="77777777" w:rsidR="00367051" w:rsidRPr="00367051" w:rsidRDefault="00367051" w:rsidP="00367051">
            <w:pPr>
              <w:rPr>
                <w:b/>
                <w:bCs/>
              </w:rPr>
            </w:pPr>
            <w:r w:rsidRPr="00367051">
              <w:rPr>
                <w:b/>
                <w:bCs/>
              </w:rPr>
              <w:t>CCC</w:t>
            </w:r>
          </w:p>
        </w:tc>
      </w:tr>
      <w:tr w:rsidR="00367051" w:rsidRPr="00367051" w14:paraId="604C5875" w14:textId="77777777" w:rsidTr="007C041A">
        <w:trPr>
          <w:trHeight w:val="386"/>
        </w:trPr>
        <w:tc>
          <w:tcPr>
            <w:tcW w:w="0" w:type="auto"/>
            <w:hideMark/>
          </w:tcPr>
          <w:p w14:paraId="06128323" w14:textId="77777777" w:rsidR="00367051" w:rsidRPr="00367051" w:rsidRDefault="00367051" w:rsidP="00367051">
            <w:r w:rsidRPr="00367051">
              <w:t>2021</w:t>
            </w:r>
          </w:p>
        </w:tc>
        <w:tc>
          <w:tcPr>
            <w:tcW w:w="0" w:type="auto"/>
            <w:hideMark/>
          </w:tcPr>
          <w:p w14:paraId="0F3D927C" w14:textId="77777777" w:rsidR="00367051" w:rsidRPr="00367051" w:rsidRDefault="00367051" w:rsidP="00367051">
            <w:r w:rsidRPr="00367051">
              <w:t>65.60</w:t>
            </w:r>
          </w:p>
        </w:tc>
        <w:tc>
          <w:tcPr>
            <w:tcW w:w="0" w:type="auto"/>
            <w:hideMark/>
          </w:tcPr>
          <w:p w14:paraId="48295E70" w14:textId="77777777" w:rsidR="00367051" w:rsidRPr="00367051" w:rsidRDefault="00367051" w:rsidP="00367051">
            <w:r w:rsidRPr="00367051">
              <w:t>165.79</w:t>
            </w:r>
          </w:p>
        </w:tc>
        <w:tc>
          <w:tcPr>
            <w:tcW w:w="0" w:type="auto"/>
            <w:hideMark/>
          </w:tcPr>
          <w:p w14:paraId="7618BBC9" w14:textId="77777777" w:rsidR="00367051" w:rsidRPr="00367051" w:rsidRDefault="00367051" w:rsidP="00367051">
            <w:r w:rsidRPr="00367051">
              <w:t>137.61</w:t>
            </w:r>
          </w:p>
        </w:tc>
        <w:tc>
          <w:tcPr>
            <w:tcW w:w="0" w:type="auto"/>
            <w:hideMark/>
          </w:tcPr>
          <w:p w14:paraId="2DE90AB4" w14:textId="77777777" w:rsidR="00367051" w:rsidRPr="00367051" w:rsidRDefault="00367051" w:rsidP="00367051">
            <w:r w:rsidRPr="00367051">
              <w:t>93.78</w:t>
            </w:r>
          </w:p>
        </w:tc>
      </w:tr>
      <w:tr w:rsidR="00367051" w:rsidRPr="00367051" w14:paraId="025D7FE7" w14:textId="77777777" w:rsidTr="007C041A">
        <w:trPr>
          <w:trHeight w:val="374"/>
        </w:trPr>
        <w:tc>
          <w:tcPr>
            <w:tcW w:w="0" w:type="auto"/>
            <w:hideMark/>
          </w:tcPr>
          <w:p w14:paraId="6BEA5BC4" w14:textId="77777777" w:rsidR="00367051" w:rsidRPr="00367051" w:rsidRDefault="00367051" w:rsidP="00367051">
            <w:r w:rsidRPr="00367051">
              <w:t>2022</w:t>
            </w:r>
          </w:p>
        </w:tc>
        <w:tc>
          <w:tcPr>
            <w:tcW w:w="0" w:type="auto"/>
            <w:hideMark/>
          </w:tcPr>
          <w:p w14:paraId="18CF5130" w14:textId="77777777" w:rsidR="00367051" w:rsidRPr="00367051" w:rsidRDefault="00367051" w:rsidP="00367051">
            <w:r w:rsidRPr="00367051">
              <w:t>75.50</w:t>
            </w:r>
          </w:p>
        </w:tc>
        <w:tc>
          <w:tcPr>
            <w:tcW w:w="0" w:type="auto"/>
            <w:hideMark/>
          </w:tcPr>
          <w:p w14:paraId="646A4FF7" w14:textId="77777777" w:rsidR="00367051" w:rsidRPr="00367051" w:rsidRDefault="00367051" w:rsidP="00367051">
            <w:r w:rsidRPr="00367051">
              <w:t>151.30</w:t>
            </w:r>
          </w:p>
        </w:tc>
        <w:tc>
          <w:tcPr>
            <w:tcW w:w="0" w:type="auto"/>
            <w:hideMark/>
          </w:tcPr>
          <w:p w14:paraId="5D8A930A" w14:textId="77777777" w:rsidR="00367051" w:rsidRPr="00367051" w:rsidRDefault="00367051" w:rsidP="00367051">
            <w:r w:rsidRPr="00367051">
              <w:t>129.74</w:t>
            </w:r>
          </w:p>
        </w:tc>
        <w:tc>
          <w:tcPr>
            <w:tcW w:w="0" w:type="auto"/>
            <w:hideMark/>
          </w:tcPr>
          <w:p w14:paraId="2837DE72" w14:textId="77777777" w:rsidR="00367051" w:rsidRPr="00367051" w:rsidRDefault="00367051" w:rsidP="00367051">
            <w:r w:rsidRPr="00367051">
              <w:t>97.06</w:t>
            </w:r>
          </w:p>
        </w:tc>
      </w:tr>
      <w:tr w:rsidR="00367051" w:rsidRPr="00367051" w14:paraId="356AADD3" w14:textId="77777777" w:rsidTr="007C041A">
        <w:trPr>
          <w:trHeight w:val="386"/>
        </w:trPr>
        <w:tc>
          <w:tcPr>
            <w:tcW w:w="0" w:type="auto"/>
            <w:hideMark/>
          </w:tcPr>
          <w:p w14:paraId="58007524" w14:textId="77777777" w:rsidR="00367051" w:rsidRPr="00367051" w:rsidRDefault="00367051" w:rsidP="00367051">
            <w:r w:rsidRPr="00367051">
              <w:t>2023</w:t>
            </w:r>
          </w:p>
        </w:tc>
        <w:tc>
          <w:tcPr>
            <w:tcW w:w="0" w:type="auto"/>
            <w:hideMark/>
          </w:tcPr>
          <w:p w14:paraId="249AD713" w14:textId="77777777" w:rsidR="00367051" w:rsidRPr="00367051" w:rsidRDefault="00367051" w:rsidP="00367051">
            <w:r w:rsidRPr="00367051">
              <w:t>73.01</w:t>
            </w:r>
          </w:p>
        </w:tc>
        <w:tc>
          <w:tcPr>
            <w:tcW w:w="0" w:type="auto"/>
            <w:hideMark/>
          </w:tcPr>
          <w:p w14:paraId="6339BB15" w14:textId="77777777" w:rsidR="00367051" w:rsidRPr="00367051" w:rsidRDefault="00367051" w:rsidP="00367051">
            <w:r w:rsidRPr="00367051">
              <w:t>151.06</w:t>
            </w:r>
          </w:p>
        </w:tc>
        <w:tc>
          <w:tcPr>
            <w:tcW w:w="0" w:type="auto"/>
            <w:hideMark/>
          </w:tcPr>
          <w:p w14:paraId="38CB03E6" w14:textId="77777777" w:rsidR="00367051" w:rsidRPr="00367051" w:rsidRDefault="00367051" w:rsidP="00367051">
            <w:r w:rsidRPr="00367051">
              <w:t>112.37</w:t>
            </w:r>
          </w:p>
        </w:tc>
        <w:tc>
          <w:tcPr>
            <w:tcW w:w="0" w:type="auto"/>
            <w:hideMark/>
          </w:tcPr>
          <w:p w14:paraId="5F615E47" w14:textId="77777777" w:rsidR="00367051" w:rsidRPr="00367051" w:rsidRDefault="00367051" w:rsidP="00367051">
            <w:r w:rsidRPr="00367051">
              <w:t>111.70</w:t>
            </w:r>
          </w:p>
        </w:tc>
      </w:tr>
      <w:tr w:rsidR="00367051" w:rsidRPr="00367051" w14:paraId="0660B813" w14:textId="77777777" w:rsidTr="007C041A">
        <w:trPr>
          <w:trHeight w:val="374"/>
        </w:trPr>
        <w:tc>
          <w:tcPr>
            <w:tcW w:w="0" w:type="auto"/>
            <w:hideMark/>
          </w:tcPr>
          <w:p w14:paraId="589B3DEF" w14:textId="77777777" w:rsidR="00367051" w:rsidRPr="00367051" w:rsidRDefault="00367051" w:rsidP="00367051">
            <w:r w:rsidRPr="00367051">
              <w:t>2024</w:t>
            </w:r>
          </w:p>
        </w:tc>
        <w:tc>
          <w:tcPr>
            <w:tcW w:w="0" w:type="auto"/>
            <w:hideMark/>
          </w:tcPr>
          <w:p w14:paraId="56A3E233" w14:textId="77777777" w:rsidR="00367051" w:rsidRPr="00367051" w:rsidRDefault="00367051" w:rsidP="00367051">
            <w:r w:rsidRPr="00367051">
              <w:t>77.09</w:t>
            </w:r>
          </w:p>
        </w:tc>
        <w:tc>
          <w:tcPr>
            <w:tcW w:w="0" w:type="auto"/>
            <w:hideMark/>
          </w:tcPr>
          <w:p w14:paraId="68299957" w14:textId="77777777" w:rsidR="00367051" w:rsidRPr="00367051" w:rsidRDefault="00367051" w:rsidP="00367051">
            <w:r w:rsidRPr="00367051">
              <w:t>156.01</w:t>
            </w:r>
          </w:p>
        </w:tc>
        <w:tc>
          <w:tcPr>
            <w:tcW w:w="0" w:type="auto"/>
            <w:hideMark/>
          </w:tcPr>
          <w:p w14:paraId="1EEC7E24" w14:textId="77777777" w:rsidR="00367051" w:rsidRPr="00367051" w:rsidRDefault="00367051" w:rsidP="00367051">
            <w:r w:rsidRPr="00367051">
              <w:t>109.12</w:t>
            </w:r>
          </w:p>
        </w:tc>
        <w:tc>
          <w:tcPr>
            <w:tcW w:w="0" w:type="auto"/>
            <w:hideMark/>
          </w:tcPr>
          <w:p w14:paraId="71AFF541" w14:textId="77777777" w:rsidR="00367051" w:rsidRPr="00367051" w:rsidRDefault="00367051" w:rsidP="00367051">
            <w:r w:rsidRPr="00367051">
              <w:t>123.98</w:t>
            </w:r>
          </w:p>
        </w:tc>
      </w:tr>
      <w:tr w:rsidR="00367051" w:rsidRPr="00367051" w14:paraId="0645998E" w14:textId="77777777" w:rsidTr="007C041A">
        <w:trPr>
          <w:trHeight w:val="386"/>
        </w:trPr>
        <w:tc>
          <w:tcPr>
            <w:tcW w:w="0" w:type="auto"/>
            <w:hideMark/>
          </w:tcPr>
          <w:p w14:paraId="47827550" w14:textId="77777777" w:rsidR="00367051" w:rsidRPr="00367051" w:rsidRDefault="00367051" w:rsidP="00367051">
            <w:r w:rsidRPr="00367051">
              <w:t>2025</w:t>
            </w:r>
          </w:p>
        </w:tc>
        <w:tc>
          <w:tcPr>
            <w:tcW w:w="0" w:type="auto"/>
            <w:hideMark/>
          </w:tcPr>
          <w:p w14:paraId="72DB51AE" w14:textId="77777777" w:rsidR="00367051" w:rsidRPr="00367051" w:rsidRDefault="00367051" w:rsidP="00367051">
            <w:r w:rsidRPr="00367051">
              <w:t>N/A</w:t>
            </w:r>
          </w:p>
        </w:tc>
        <w:tc>
          <w:tcPr>
            <w:tcW w:w="0" w:type="auto"/>
            <w:hideMark/>
          </w:tcPr>
          <w:p w14:paraId="62D97552" w14:textId="77777777" w:rsidR="00367051" w:rsidRPr="00367051" w:rsidRDefault="00367051" w:rsidP="00367051">
            <w:r w:rsidRPr="00367051">
              <w:t>153.95</w:t>
            </w:r>
          </w:p>
        </w:tc>
        <w:tc>
          <w:tcPr>
            <w:tcW w:w="0" w:type="auto"/>
            <w:hideMark/>
          </w:tcPr>
          <w:p w14:paraId="4B76C765" w14:textId="77777777" w:rsidR="00367051" w:rsidRPr="00367051" w:rsidRDefault="00367051" w:rsidP="00367051">
            <w:r w:rsidRPr="00367051">
              <w:t>102.40</w:t>
            </w:r>
          </w:p>
        </w:tc>
        <w:tc>
          <w:tcPr>
            <w:tcW w:w="0" w:type="auto"/>
            <w:hideMark/>
          </w:tcPr>
          <w:p w14:paraId="26CC4A28" w14:textId="77777777" w:rsidR="00367051" w:rsidRPr="00367051" w:rsidRDefault="00367051" w:rsidP="00367051">
            <w:r w:rsidRPr="00367051">
              <w:t>N/A</w:t>
            </w:r>
          </w:p>
        </w:tc>
      </w:tr>
    </w:tbl>
    <w:p w14:paraId="52744560" w14:textId="77777777" w:rsidR="00305679" w:rsidRDefault="00C52A38" w:rsidP="00305679">
      <w:pPr>
        <w:keepNext/>
        <w:jc w:val="center"/>
      </w:pPr>
      <w:r>
        <w:rPr>
          <w:noProof/>
        </w:rPr>
        <w:drawing>
          <wp:inline distT="0" distB="0" distL="0" distR="0" wp14:anchorId="67C83429" wp14:editId="2FEA71FA">
            <wp:extent cx="5747385" cy="2755075"/>
            <wp:effectExtent l="0" t="0" r="5715" b="7620"/>
            <wp:docPr id="80444715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2D403A9" w14:textId="2A242F82" w:rsidR="00C52A38" w:rsidRDefault="00305679" w:rsidP="00305679">
      <w:pPr>
        <w:pStyle w:val="Caption"/>
        <w:jc w:val="center"/>
      </w:pPr>
      <w:r>
        <w:t xml:space="preserve">Figure </w:t>
      </w:r>
      <w:fldSimple w:instr=" SEQ Figure \* ARABIC ">
        <w:r>
          <w:rPr>
            <w:noProof/>
          </w:rPr>
          <w:t>7</w:t>
        </w:r>
      </w:fldSimple>
      <w:r>
        <w:t xml:space="preserve">: </w:t>
      </w:r>
      <w:r w:rsidRPr="00B251C0">
        <w:t>Cash Conversion Cycle Calculation</w:t>
      </w:r>
    </w:p>
    <w:p w14:paraId="7893D85A" w14:textId="6BB6FD93" w:rsidR="00367051" w:rsidRPr="00367051" w:rsidRDefault="008E1828" w:rsidP="00367051">
      <w:r w:rsidRPr="008E1828">
        <w:t xml:space="preserve">The data </w:t>
      </w:r>
      <w:r w:rsidR="00BC712C" w:rsidRPr="00BC712C">
        <w:t>is provided in financial statements such as receivables and profit or loss accounts. Although the FY2025 inventory data is not available, the trend is evident. CCC increased by 93.78 days in FY2021 to 123.98 days in FY2024, suggesting inefficient working capital. The increase in receivables and inventory tied up cash and the decrease in flexibility of payables also added to the volatile operating cash flows.</w:t>
      </w:r>
    </w:p>
    <w:p w14:paraId="5ADFDEA5" w14:textId="77777777" w:rsidR="00367051" w:rsidRPr="00367051" w:rsidRDefault="00367051" w:rsidP="00891388">
      <w:pPr>
        <w:pStyle w:val="Heading2"/>
      </w:pPr>
      <w:bookmarkStart w:id="10" w:name="_Toc227885130"/>
      <w:r w:rsidRPr="00367051">
        <w:lastRenderedPageBreak/>
        <w:t>1.5 Corporate Failure Risk</w:t>
      </w:r>
      <w:bookmarkEnd w:id="10"/>
    </w:p>
    <w:p w14:paraId="039609C8" w14:textId="77777777" w:rsidR="00A26ADF" w:rsidRDefault="00A26ADF" w:rsidP="00A26ADF">
      <w:r>
        <w:t>Toyota Industries Corporation is not under threat of corporate failure at the immediate. It was profitable and had a good current ratio of more than 1.0 and a moderate debt ratio. Another strength of the company was that it had strong equity and operating cash inflows, which reflects financial stability (Toyota, 2026).</w:t>
      </w:r>
    </w:p>
    <w:p w14:paraId="4D6889AC" w14:textId="2E01F57B" w:rsidR="00367051" w:rsidRPr="00367051" w:rsidRDefault="00A26ADF" w:rsidP="00A26ADF">
      <w:r>
        <w:t>Nonetheless, there are still certain risks. Customer concentration is also a risk to the company since a large percentage of its sales relies on Toyota Motor Corporation. It also has a foreign exchange risk in which fluctuations in currency could affect profits. Furthermore, losses associated with certification point to possible compliance risks that may influence the quality of earnings.</w:t>
      </w:r>
      <w:r w:rsidR="00367051" w:rsidRPr="00367051">
        <w:t xml:space="preserve"> </w:t>
      </w:r>
    </w:p>
    <w:p w14:paraId="3E767BA7" w14:textId="77777777" w:rsidR="00367051" w:rsidRPr="00367051" w:rsidRDefault="00367051" w:rsidP="00891388">
      <w:pPr>
        <w:pStyle w:val="Heading2"/>
      </w:pPr>
      <w:bookmarkStart w:id="11" w:name="_Toc227885131"/>
      <w:r w:rsidRPr="00367051">
        <w:t>1.6 Overall Financial Diagnosis</w:t>
      </w:r>
      <w:bookmarkEnd w:id="11"/>
    </w:p>
    <w:p w14:paraId="5F7CA575" w14:textId="542C4BD0" w:rsidR="00367051" w:rsidRPr="00367051" w:rsidRDefault="00A92650" w:rsidP="00367051">
      <w:r w:rsidRPr="00A92650">
        <w:t xml:space="preserve">Overall, </w:t>
      </w:r>
      <w:r w:rsidR="00BC2AD1" w:rsidRPr="00BC2AD1">
        <w:t>Toyota Industries Corporation was financially robust during FY2021 to FY2025, as its sales, margins, and moderate leverage increased. There was also an improvement in liquidity which means that there is a strong financial position. But there are also weaknesses, such as comparatively low ROE and falling working capital efficiency, manifested in the increasing cash conversion cycle. Moreover, high other expenses impacted the quality of earnings. Thus, the company is financially stable with a low risk, however, to maintain long-term performance, the company should enhance capital efficiency, improve working capital management, and decrease the cost effects of compliance.</w:t>
      </w:r>
    </w:p>
    <w:p w14:paraId="5EC0EE97" w14:textId="4795541D" w:rsidR="0026238B" w:rsidRDefault="0026238B" w:rsidP="00EF5EF6">
      <w:r>
        <w:br w:type="page"/>
      </w:r>
    </w:p>
    <w:p w14:paraId="3DE3AAC6" w14:textId="77777777" w:rsidR="0021671C" w:rsidRPr="0021671C" w:rsidRDefault="0021671C" w:rsidP="00891388">
      <w:pPr>
        <w:pStyle w:val="Heading1"/>
      </w:pPr>
      <w:bookmarkStart w:id="12" w:name="_Toc227885132"/>
      <w:r w:rsidRPr="0021671C">
        <w:lastRenderedPageBreak/>
        <w:t>2. Working Capital Management Analysis</w:t>
      </w:r>
      <w:bookmarkEnd w:id="12"/>
    </w:p>
    <w:p w14:paraId="621B3FC0" w14:textId="59595B58" w:rsidR="0021671C" w:rsidRPr="0021671C" w:rsidRDefault="00BC2AD1" w:rsidP="0021671C">
      <w:r w:rsidRPr="00BC2AD1">
        <w:t>The management of working capital plays a crucial role in ensuring that Toyota Industries Corporation can sustain its liquidity and efficiency. This part analyses its cash conversion cycle, finds areas of inefficiencies, and recommends ways to improve, and compares financing options to serve short-term operation requirements and financial stability.</w:t>
      </w:r>
    </w:p>
    <w:p w14:paraId="4EC91540" w14:textId="77777777" w:rsidR="0021671C" w:rsidRPr="0021671C" w:rsidRDefault="0021671C" w:rsidP="00891388">
      <w:pPr>
        <w:pStyle w:val="Heading2"/>
      </w:pPr>
      <w:bookmarkStart w:id="13" w:name="_Toc227885133"/>
      <w:r w:rsidRPr="0021671C">
        <w:t>2.1 Cash Operating Cycle Assessment</w:t>
      </w:r>
      <w:bookmarkEnd w:id="13"/>
    </w:p>
    <w:p w14:paraId="134104C1" w14:textId="5ADBEC98" w:rsidR="0021671C" w:rsidRPr="0021671C" w:rsidRDefault="00BC2AD1" w:rsidP="0021671C">
      <w:r w:rsidRPr="00BC2AD1">
        <w:t>The cash conversion cycle (CCC) is the measure of the efficiency of the Toyota Industries Corporation to convert its investment in inventory and receivables into sales related cash flows. It is computed as:</w:t>
      </w:r>
    </w:p>
    <w:p w14:paraId="4060250C" w14:textId="65B9BA87" w:rsidR="0021671C" w:rsidRPr="0021671C" w:rsidRDefault="0021671C" w:rsidP="0021671C">
      <m:oMathPara>
        <m:oMath>
          <m:r>
            <w:rPr>
              <w:rFonts w:ascii="Cambria Math" w:hAnsi="Cambria Math"/>
            </w:rPr>
            <m:t>CCC=</m:t>
          </m:r>
          <m:r>
            <m:rPr>
              <m:nor/>
            </m:rPr>
            <m:t>Inventory Days</m:t>
          </m:r>
          <m:r>
            <w:rPr>
              <w:rFonts w:ascii="Cambria Math" w:hAnsi="Cambria Math"/>
            </w:rPr>
            <m:t>+</m:t>
          </m:r>
          <m:r>
            <m:rPr>
              <m:nor/>
            </m:rPr>
            <m:t>Receivable Days</m:t>
          </m:r>
          <m:r>
            <w:rPr>
              <w:rFonts w:ascii="Cambria Math" w:hAnsi="Cambria Math"/>
            </w:rPr>
            <m:t>-</m:t>
          </m:r>
          <m:r>
            <m:rPr>
              <m:nor/>
            </m:rPr>
            <m:t>Payable Days</m:t>
          </m:r>
          <m:r>
            <m:rPr>
              <m:sty m:val="p"/>
            </m:rPr>
            <w:br/>
          </m:r>
        </m:oMath>
      </m:oMathPara>
    </w:p>
    <w:p w14:paraId="437A1B65" w14:textId="77777777" w:rsidR="0021671C" w:rsidRPr="0021671C" w:rsidRDefault="0021671C" w:rsidP="0021671C">
      <w:pPr>
        <w:rPr>
          <w:b/>
          <w:bCs/>
        </w:rPr>
      </w:pPr>
      <w:r w:rsidRPr="0021671C">
        <w:rPr>
          <w:b/>
          <w:bCs/>
        </w:rPr>
        <w:t>Table 8. Cash Conversion Cycle (FY2021–FY2025)</w:t>
      </w:r>
    </w:p>
    <w:tbl>
      <w:tblPr>
        <w:tblStyle w:val="TableGrid"/>
        <w:tblW w:w="9085" w:type="dxa"/>
        <w:tblLook w:val="04A0" w:firstRow="1" w:lastRow="0" w:firstColumn="1" w:lastColumn="0" w:noHBand="0" w:noVBand="1"/>
      </w:tblPr>
      <w:tblGrid>
        <w:gridCol w:w="841"/>
        <w:gridCol w:w="2173"/>
        <w:gridCol w:w="2368"/>
        <w:gridCol w:w="1979"/>
        <w:gridCol w:w="1724"/>
      </w:tblGrid>
      <w:tr w:rsidR="0021671C" w:rsidRPr="0021671C" w14:paraId="13A1C4E1" w14:textId="77777777" w:rsidTr="007C041A">
        <w:trPr>
          <w:trHeight w:val="476"/>
        </w:trPr>
        <w:tc>
          <w:tcPr>
            <w:tcW w:w="0" w:type="auto"/>
            <w:hideMark/>
          </w:tcPr>
          <w:p w14:paraId="3E79C9F5" w14:textId="77777777" w:rsidR="0021671C" w:rsidRPr="0021671C" w:rsidRDefault="0021671C" w:rsidP="0021671C">
            <w:pPr>
              <w:rPr>
                <w:b/>
                <w:bCs/>
              </w:rPr>
            </w:pPr>
            <w:r w:rsidRPr="0021671C">
              <w:rPr>
                <w:b/>
                <w:bCs/>
              </w:rPr>
              <w:t>Year</w:t>
            </w:r>
          </w:p>
        </w:tc>
        <w:tc>
          <w:tcPr>
            <w:tcW w:w="0" w:type="auto"/>
            <w:hideMark/>
          </w:tcPr>
          <w:p w14:paraId="614594CB" w14:textId="77777777" w:rsidR="0021671C" w:rsidRPr="0021671C" w:rsidRDefault="0021671C" w:rsidP="0021671C">
            <w:pPr>
              <w:rPr>
                <w:b/>
                <w:bCs/>
              </w:rPr>
            </w:pPr>
            <w:r w:rsidRPr="0021671C">
              <w:rPr>
                <w:b/>
                <w:bCs/>
              </w:rPr>
              <w:t>Inventory Days</w:t>
            </w:r>
          </w:p>
        </w:tc>
        <w:tc>
          <w:tcPr>
            <w:tcW w:w="0" w:type="auto"/>
            <w:hideMark/>
          </w:tcPr>
          <w:p w14:paraId="456A12F3" w14:textId="77777777" w:rsidR="0021671C" w:rsidRPr="0021671C" w:rsidRDefault="0021671C" w:rsidP="0021671C">
            <w:pPr>
              <w:rPr>
                <w:b/>
                <w:bCs/>
              </w:rPr>
            </w:pPr>
            <w:r w:rsidRPr="0021671C">
              <w:rPr>
                <w:b/>
                <w:bCs/>
              </w:rPr>
              <w:t>Receivable Days</w:t>
            </w:r>
          </w:p>
        </w:tc>
        <w:tc>
          <w:tcPr>
            <w:tcW w:w="0" w:type="auto"/>
            <w:hideMark/>
          </w:tcPr>
          <w:p w14:paraId="1165E100" w14:textId="77777777" w:rsidR="0021671C" w:rsidRPr="0021671C" w:rsidRDefault="0021671C" w:rsidP="0021671C">
            <w:pPr>
              <w:rPr>
                <w:b/>
                <w:bCs/>
              </w:rPr>
            </w:pPr>
            <w:r w:rsidRPr="0021671C">
              <w:rPr>
                <w:b/>
                <w:bCs/>
              </w:rPr>
              <w:t>Payable Days</w:t>
            </w:r>
          </w:p>
        </w:tc>
        <w:tc>
          <w:tcPr>
            <w:tcW w:w="0" w:type="auto"/>
            <w:hideMark/>
          </w:tcPr>
          <w:p w14:paraId="0C7585FC" w14:textId="77777777" w:rsidR="0021671C" w:rsidRPr="0021671C" w:rsidRDefault="0021671C" w:rsidP="0021671C">
            <w:pPr>
              <w:rPr>
                <w:b/>
                <w:bCs/>
              </w:rPr>
            </w:pPr>
            <w:r w:rsidRPr="0021671C">
              <w:rPr>
                <w:b/>
                <w:bCs/>
              </w:rPr>
              <w:t>CCC (Days)</w:t>
            </w:r>
          </w:p>
        </w:tc>
      </w:tr>
      <w:tr w:rsidR="0021671C" w:rsidRPr="0021671C" w14:paraId="6767BE20" w14:textId="77777777" w:rsidTr="007C041A">
        <w:trPr>
          <w:trHeight w:val="492"/>
        </w:trPr>
        <w:tc>
          <w:tcPr>
            <w:tcW w:w="0" w:type="auto"/>
            <w:hideMark/>
          </w:tcPr>
          <w:p w14:paraId="400AA549" w14:textId="77777777" w:rsidR="0021671C" w:rsidRPr="0021671C" w:rsidRDefault="0021671C" w:rsidP="0021671C">
            <w:r w:rsidRPr="0021671C">
              <w:t>2021</w:t>
            </w:r>
          </w:p>
        </w:tc>
        <w:tc>
          <w:tcPr>
            <w:tcW w:w="0" w:type="auto"/>
            <w:hideMark/>
          </w:tcPr>
          <w:p w14:paraId="7373A82D" w14:textId="77777777" w:rsidR="0021671C" w:rsidRPr="0021671C" w:rsidRDefault="0021671C" w:rsidP="0021671C">
            <w:r w:rsidRPr="0021671C">
              <w:t>65.60</w:t>
            </w:r>
          </w:p>
        </w:tc>
        <w:tc>
          <w:tcPr>
            <w:tcW w:w="0" w:type="auto"/>
            <w:hideMark/>
          </w:tcPr>
          <w:p w14:paraId="3707AB34" w14:textId="77777777" w:rsidR="0021671C" w:rsidRPr="0021671C" w:rsidRDefault="0021671C" w:rsidP="0021671C">
            <w:r w:rsidRPr="0021671C">
              <w:t>165.79</w:t>
            </w:r>
          </w:p>
        </w:tc>
        <w:tc>
          <w:tcPr>
            <w:tcW w:w="0" w:type="auto"/>
            <w:hideMark/>
          </w:tcPr>
          <w:p w14:paraId="3C3FB040" w14:textId="77777777" w:rsidR="0021671C" w:rsidRPr="0021671C" w:rsidRDefault="0021671C" w:rsidP="0021671C">
            <w:r w:rsidRPr="0021671C">
              <w:t>137.61</w:t>
            </w:r>
          </w:p>
        </w:tc>
        <w:tc>
          <w:tcPr>
            <w:tcW w:w="0" w:type="auto"/>
            <w:hideMark/>
          </w:tcPr>
          <w:p w14:paraId="7259503A" w14:textId="77777777" w:rsidR="0021671C" w:rsidRPr="0021671C" w:rsidRDefault="0021671C" w:rsidP="0021671C">
            <w:r w:rsidRPr="0021671C">
              <w:t>93.78</w:t>
            </w:r>
          </w:p>
        </w:tc>
      </w:tr>
      <w:tr w:rsidR="0021671C" w:rsidRPr="0021671C" w14:paraId="5A5A8480" w14:textId="77777777" w:rsidTr="007C041A">
        <w:trPr>
          <w:trHeight w:val="476"/>
        </w:trPr>
        <w:tc>
          <w:tcPr>
            <w:tcW w:w="0" w:type="auto"/>
            <w:hideMark/>
          </w:tcPr>
          <w:p w14:paraId="11F5B19C" w14:textId="77777777" w:rsidR="0021671C" w:rsidRPr="0021671C" w:rsidRDefault="0021671C" w:rsidP="0021671C">
            <w:r w:rsidRPr="0021671C">
              <w:t>2022</w:t>
            </w:r>
          </w:p>
        </w:tc>
        <w:tc>
          <w:tcPr>
            <w:tcW w:w="0" w:type="auto"/>
            <w:hideMark/>
          </w:tcPr>
          <w:p w14:paraId="19AB7B4D" w14:textId="77777777" w:rsidR="0021671C" w:rsidRPr="0021671C" w:rsidRDefault="0021671C" w:rsidP="0021671C">
            <w:r w:rsidRPr="0021671C">
              <w:t>75.50</w:t>
            </w:r>
          </w:p>
        </w:tc>
        <w:tc>
          <w:tcPr>
            <w:tcW w:w="0" w:type="auto"/>
            <w:hideMark/>
          </w:tcPr>
          <w:p w14:paraId="62A5F357" w14:textId="77777777" w:rsidR="0021671C" w:rsidRPr="0021671C" w:rsidRDefault="0021671C" w:rsidP="0021671C">
            <w:r w:rsidRPr="0021671C">
              <w:t>151.30</w:t>
            </w:r>
          </w:p>
        </w:tc>
        <w:tc>
          <w:tcPr>
            <w:tcW w:w="0" w:type="auto"/>
            <w:hideMark/>
          </w:tcPr>
          <w:p w14:paraId="13753D8E" w14:textId="77777777" w:rsidR="0021671C" w:rsidRPr="0021671C" w:rsidRDefault="0021671C" w:rsidP="0021671C">
            <w:r w:rsidRPr="0021671C">
              <w:t>129.74</w:t>
            </w:r>
          </w:p>
        </w:tc>
        <w:tc>
          <w:tcPr>
            <w:tcW w:w="0" w:type="auto"/>
            <w:hideMark/>
          </w:tcPr>
          <w:p w14:paraId="13C7281C" w14:textId="77777777" w:rsidR="0021671C" w:rsidRPr="0021671C" w:rsidRDefault="0021671C" w:rsidP="0021671C">
            <w:r w:rsidRPr="0021671C">
              <w:t>97.06</w:t>
            </w:r>
          </w:p>
        </w:tc>
      </w:tr>
      <w:tr w:rsidR="0021671C" w:rsidRPr="0021671C" w14:paraId="48FBF675" w14:textId="77777777" w:rsidTr="007C041A">
        <w:trPr>
          <w:trHeight w:val="492"/>
        </w:trPr>
        <w:tc>
          <w:tcPr>
            <w:tcW w:w="0" w:type="auto"/>
            <w:hideMark/>
          </w:tcPr>
          <w:p w14:paraId="5D9A0388" w14:textId="77777777" w:rsidR="0021671C" w:rsidRPr="0021671C" w:rsidRDefault="0021671C" w:rsidP="0021671C">
            <w:r w:rsidRPr="0021671C">
              <w:t>2023</w:t>
            </w:r>
          </w:p>
        </w:tc>
        <w:tc>
          <w:tcPr>
            <w:tcW w:w="0" w:type="auto"/>
            <w:hideMark/>
          </w:tcPr>
          <w:p w14:paraId="78865ADC" w14:textId="77777777" w:rsidR="0021671C" w:rsidRPr="0021671C" w:rsidRDefault="0021671C" w:rsidP="0021671C">
            <w:r w:rsidRPr="0021671C">
              <w:t>73.01</w:t>
            </w:r>
          </w:p>
        </w:tc>
        <w:tc>
          <w:tcPr>
            <w:tcW w:w="0" w:type="auto"/>
            <w:hideMark/>
          </w:tcPr>
          <w:p w14:paraId="55589DAF" w14:textId="77777777" w:rsidR="0021671C" w:rsidRPr="0021671C" w:rsidRDefault="0021671C" w:rsidP="0021671C">
            <w:r w:rsidRPr="0021671C">
              <w:t>151.06</w:t>
            </w:r>
          </w:p>
        </w:tc>
        <w:tc>
          <w:tcPr>
            <w:tcW w:w="0" w:type="auto"/>
            <w:hideMark/>
          </w:tcPr>
          <w:p w14:paraId="43A634D7" w14:textId="77777777" w:rsidR="0021671C" w:rsidRPr="0021671C" w:rsidRDefault="0021671C" w:rsidP="0021671C">
            <w:r w:rsidRPr="0021671C">
              <w:t>112.37</w:t>
            </w:r>
          </w:p>
        </w:tc>
        <w:tc>
          <w:tcPr>
            <w:tcW w:w="0" w:type="auto"/>
            <w:hideMark/>
          </w:tcPr>
          <w:p w14:paraId="5A45F605" w14:textId="77777777" w:rsidR="0021671C" w:rsidRPr="0021671C" w:rsidRDefault="0021671C" w:rsidP="0021671C">
            <w:r w:rsidRPr="0021671C">
              <w:t>111.70</w:t>
            </w:r>
          </w:p>
        </w:tc>
      </w:tr>
      <w:tr w:rsidR="0021671C" w:rsidRPr="0021671C" w14:paraId="5EA2B52E" w14:textId="77777777" w:rsidTr="007C041A">
        <w:trPr>
          <w:trHeight w:val="476"/>
        </w:trPr>
        <w:tc>
          <w:tcPr>
            <w:tcW w:w="0" w:type="auto"/>
            <w:hideMark/>
          </w:tcPr>
          <w:p w14:paraId="052ABBC7" w14:textId="77777777" w:rsidR="0021671C" w:rsidRPr="0021671C" w:rsidRDefault="0021671C" w:rsidP="0021671C">
            <w:r w:rsidRPr="0021671C">
              <w:t>2024</w:t>
            </w:r>
          </w:p>
        </w:tc>
        <w:tc>
          <w:tcPr>
            <w:tcW w:w="0" w:type="auto"/>
            <w:hideMark/>
          </w:tcPr>
          <w:p w14:paraId="53726987" w14:textId="77777777" w:rsidR="0021671C" w:rsidRPr="0021671C" w:rsidRDefault="0021671C" w:rsidP="0021671C">
            <w:r w:rsidRPr="0021671C">
              <w:t>77.09</w:t>
            </w:r>
          </w:p>
        </w:tc>
        <w:tc>
          <w:tcPr>
            <w:tcW w:w="0" w:type="auto"/>
            <w:hideMark/>
          </w:tcPr>
          <w:p w14:paraId="67474EA3" w14:textId="77777777" w:rsidR="0021671C" w:rsidRPr="0021671C" w:rsidRDefault="0021671C" w:rsidP="0021671C">
            <w:r w:rsidRPr="0021671C">
              <w:t>156.01</w:t>
            </w:r>
          </w:p>
        </w:tc>
        <w:tc>
          <w:tcPr>
            <w:tcW w:w="0" w:type="auto"/>
            <w:hideMark/>
          </w:tcPr>
          <w:p w14:paraId="35A0A0F3" w14:textId="77777777" w:rsidR="0021671C" w:rsidRPr="0021671C" w:rsidRDefault="0021671C" w:rsidP="0021671C">
            <w:r w:rsidRPr="0021671C">
              <w:t>109.12</w:t>
            </w:r>
          </w:p>
        </w:tc>
        <w:tc>
          <w:tcPr>
            <w:tcW w:w="0" w:type="auto"/>
            <w:hideMark/>
          </w:tcPr>
          <w:p w14:paraId="6E4B6D08" w14:textId="77777777" w:rsidR="0021671C" w:rsidRPr="0021671C" w:rsidRDefault="0021671C" w:rsidP="0021671C">
            <w:r w:rsidRPr="0021671C">
              <w:t>123.98</w:t>
            </w:r>
          </w:p>
        </w:tc>
      </w:tr>
      <w:tr w:rsidR="0021671C" w:rsidRPr="0021671C" w14:paraId="33B44AA0" w14:textId="77777777" w:rsidTr="007C041A">
        <w:trPr>
          <w:trHeight w:val="492"/>
        </w:trPr>
        <w:tc>
          <w:tcPr>
            <w:tcW w:w="0" w:type="auto"/>
            <w:hideMark/>
          </w:tcPr>
          <w:p w14:paraId="230D877F" w14:textId="77777777" w:rsidR="0021671C" w:rsidRPr="0021671C" w:rsidRDefault="0021671C" w:rsidP="0021671C">
            <w:r w:rsidRPr="0021671C">
              <w:t>2025</w:t>
            </w:r>
          </w:p>
        </w:tc>
        <w:tc>
          <w:tcPr>
            <w:tcW w:w="0" w:type="auto"/>
            <w:hideMark/>
          </w:tcPr>
          <w:p w14:paraId="5913C82F" w14:textId="77777777" w:rsidR="0021671C" w:rsidRPr="0021671C" w:rsidRDefault="0021671C" w:rsidP="0021671C">
            <w:r w:rsidRPr="0021671C">
              <w:t>N/A</w:t>
            </w:r>
          </w:p>
        </w:tc>
        <w:tc>
          <w:tcPr>
            <w:tcW w:w="0" w:type="auto"/>
            <w:hideMark/>
          </w:tcPr>
          <w:p w14:paraId="66F3A3FD" w14:textId="77777777" w:rsidR="0021671C" w:rsidRPr="0021671C" w:rsidRDefault="0021671C" w:rsidP="0021671C">
            <w:r w:rsidRPr="0021671C">
              <w:t>153.95</w:t>
            </w:r>
          </w:p>
        </w:tc>
        <w:tc>
          <w:tcPr>
            <w:tcW w:w="0" w:type="auto"/>
            <w:hideMark/>
          </w:tcPr>
          <w:p w14:paraId="2BE716D9" w14:textId="77777777" w:rsidR="0021671C" w:rsidRPr="0021671C" w:rsidRDefault="0021671C" w:rsidP="0021671C">
            <w:r w:rsidRPr="0021671C">
              <w:t>102.40</w:t>
            </w:r>
          </w:p>
        </w:tc>
        <w:tc>
          <w:tcPr>
            <w:tcW w:w="0" w:type="auto"/>
            <w:hideMark/>
          </w:tcPr>
          <w:p w14:paraId="5B6458EC" w14:textId="77777777" w:rsidR="0021671C" w:rsidRPr="0021671C" w:rsidRDefault="0021671C" w:rsidP="0021671C">
            <w:r w:rsidRPr="0021671C">
              <w:t>N/A</w:t>
            </w:r>
          </w:p>
        </w:tc>
      </w:tr>
    </w:tbl>
    <w:p w14:paraId="25CC5978" w14:textId="77777777" w:rsidR="00305679" w:rsidRDefault="0040417F" w:rsidP="00305679">
      <w:pPr>
        <w:keepNext/>
        <w:jc w:val="center"/>
      </w:pPr>
      <w:r>
        <w:rPr>
          <w:noProof/>
        </w:rPr>
        <w:lastRenderedPageBreak/>
        <w:drawing>
          <wp:inline distT="0" distB="0" distL="0" distR="0" wp14:anchorId="0B486897" wp14:editId="570210AB">
            <wp:extent cx="5783283" cy="2636322"/>
            <wp:effectExtent l="0" t="0" r="8255" b="12065"/>
            <wp:docPr id="105878557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86FBFBA" w14:textId="649DBD47" w:rsidR="007C041A" w:rsidRPr="0021671C" w:rsidRDefault="00305679" w:rsidP="00305679">
      <w:pPr>
        <w:pStyle w:val="Caption"/>
        <w:jc w:val="center"/>
      </w:pPr>
      <w:r>
        <w:t xml:space="preserve">Figure </w:t>
      </w:r>
      <w:fldSimple w:instr=" SEQ Figure \* ARABIC ">
        <w:r>
          <w:rPr>
            <w:noProof/>
          </w:rPr>
          <w:t>8</w:t>
        </w:r>
      </w:fldSimple>
      <w:r>
        <w:t xml:space="preserve">: </w:t>
      </w:r>
      <w:r w:rsidRPr="001771AA">
        <w:t>Cash Conversion Cycle</w:t>
      </w:r>
    </w:p>
    <w:p w14:paraId="4F8FDF8F" w14:textId="77777777" w:rsidR="00BC2AD1" w:rsidRDefault="00BC2AD1" w:rsidP="00BC2AD1">
      <w:r>
        <w:t xml:space="preserve">The findings reveal that CCC of Toyota Industries Corporation has grown tremendously within the five years. The CCC increased to 123.98 days in 2024 compared to 93.78 days in 2021, indicating that the Toyota Industries Corporation is taking an extended time to turn operating investments into cash. The complete CCC of 2025 is not possible to be calculated as there is no complete inventory data, but based on the trends, it is relatively long (Stavropoulos and </w:t>
      </w:r>
      <w:proofErr w:type="spellStart"/>
      <w:r>
        <w:t>Zounta</w:t>
      </w:r>
      <w:proofErr w:type="spellEnd"/>
      <w:r>
        <w:t>, 2025).</w:t>
      </w:r>
    </w:p>
    <w:p w14:paraId="5D804D42" w14:textId="50C98171" w:rsidR="00BC2AD1" w:rsidRDefault="00BC2AD1" w:rsidP="00BC2AD1">
      <w:r>
        <w:t xml:space="preserve">In the case of Toyota Industries Corporation, the growth in terms of the number of days in inventory shows an increment in the inventory, which could be </w:t>
      </w:r>
      <w:r w:rsidR="0089061F">
        <w:t>because of</w:t>
      </w:r>
      <w:r>
        <w:t xml:space="preserve"> growth in production or inefficiencies of inventory turnover. The days outstanding are consistently high, implying that Toyota Industries Corporation is slow in collecting its due payments. Meanwhile, the payable days have decreased, i.e. Toyota Industries Corporation pays its suppliers faster.</w:t>
      </w:r>
    </w:p>
    <w:p w14:paraId="3242FEEB" w14:textId="1E20D4CA" w:rsidR="0021671C" w:rsidRPr="0021671C" w:rsidRDefault="00BC2AD1" w:rsidP="00BC2AD1">
      <w:r>
        <w:t>This is not favourable to Toyota Industries Corporation. The longer the CCC, the higher the cash that is tied up in operation and therefore, less liquidity and more reliance on outside funding. This conclusion is further supported by the volatility of operating cash flows reported by the Toyota Industries Corporation especially the decrease in 2023 and 2025 (</w:t>
      </w:r>
      <w:proofErr w:type="spellStart"/>
      <w:r>
        <w:t>Bhattacheryay</w:t>
      </w:r>
      <w:proofErr w:type="spellEnd"/>
      <w:r>
        <w:t>, 2021).</w:t>
      </w:r>
      <w:r w:rsidR="0021671C" w:rsidRPr="0021671C">
        <w:t xml:space="preserve"> </w:t>
      </w:r>
    </w:p>
    <w:p w14:paraId="0AB5155D" w14:textId="77777777" w:rsidR="0021671C" w:rsidRPr="0021671C" w:rsidRDefault="0021671C" w:rsidP="00891388">
      <w:pPr>
        <w:pStyle w:val="Heading2"/>
      </w:pPr>
      <w:bookmarkStart w:id="14" w:name="_Toc227885134"/>
      <w:r w:rsidRPr="0021671C">
        <w:t>2.2 Strategies to Improve Liquidity through Working Capital Reforms</w:t>
      </w:r>
      <w:bookmarkEnd w:id="14"/>
    </w:p>
    <w:p w14:paraId="60014AB4" w14:textId="5A2148AE" w:rsidR="0021671C" w:rsidRPr="0021671C" w:rsidRDefault="00F65033" w:rsidP="0021671C">
      <w:r w:rsidRPr="00F65033">
        <w:t xml:space="preserve">Toyota Industries Corporation must adopt specific working capital improvement </w:t>
      </w:r>
      <w:r w:rsidR="0089061F" w:rsidRPr="00F65033">
        <w:t>to</w:t>
      </w:r>
      <w:r w:rsidRPr="00F65033">
        <w:t xml:space="preserve"> curb the problems identified.</w:t>
      </w:r>
    </w:p>
    <w:p w14:paraId="2C9BC4E4" w14:textId="77777777" w:rsidR="0021671C" w:rsidRPr="0021671C" w:rsidRDefault="0021671C" w:rsidP="00891388">
      <w:pPr>
        <w:pStyle w:val="Heading3"/>
      </w:pPr>
      <w:bookmarkStart w:id="15" w:name="_Toc227885135"/>
      <w:r w:rsidRPr="0021671C">
        <w:lastRenderedPageBreak/>
        <w:t>2.2.1 Inventory Management Improvement</w:t>
      </w:r>
      <w:bookmarkEnd w:id="15"/>
    </w:p>
    <w:p w14:paraId="6EDD2F13" w14:textId="60A30619" w:rsidR="0021671C" w:rsidRPr="00F65033" w:rsidRDefault="00F65033" w:rsidP="0021671C">
      <w:r w:rsidRPr="00F65033">
        <w:t>Toyota industries corporation needs to improve its inventory management by implementing other systems like Just-in-Time (JIT) and demand forecasting technology. Toyota Industries Corporation can minimize the number of inventory days by decreasing surplus stock and optimizing production according to the demand in the market (Batth, 2023). This will lower the holding costs and release cash locked up in inventory which will enhance liquidity.</w:t>
      </w:r>
    </w:p>
    <w:p w14:paraId="3663DA59" w14:textId="77777777" w:rsidR="0021671C" w:rsidRPr="0021671C" w:rsidRDefault="0021671C" w:rsidP="00891388">
      <w:pPr>
        <w:pStyle w:val="Heading3"/>
      </w:pPr>
      <w:bookmarkStart w:id="16" w:name="_Toc227885136"/>
      <w:r w:rsidRPr="0021671C">
        <w:t>2.2.2 Receivables Management Enhancement</w:t>
      </w:r>
      <w:bookmarkEnd w:id="16"/>
    </w:p>
    <w:p w14:paraId="2FBC5848" w14:textId="5AF4A0B1" w:rsidR="0021671C" w:rsidRPr="0021671C" w:rsidRDefault="00156237" w:rsidP="0021671C">
      <w:r w:rsidRPr="00156237">
        <w:t>Toyota Industry Corporation needs to improve on receivables collection. The company ought to tighten its credit policy, decreasing the payment period, and provide incentives on early payments. Also, the introduction of automated billing will assist Toyota Industries Corporation to speed up the cash inflows. The shortening of the CCC will be directly achieved by reducing the days in receivables and enhancing liquidity.</w:t>
      </w:r>
    </w:p>
    <w:p w14:paraId="679394BA" w14:textId="77777777" w:rsidR="0021671C" w:rsidRPr="0021671C" w:rsidRDefault="0021671C" w:rsidP="00891388">
      <w:pPr>
        <w:pStyle w:val="Heading3"/>
      </w:pPr>
      <w:bookmarkStart w:id="17" w:name="_Toc227885137"/>
      <w:r w:rsidRPr="0021671C">
        <w:t>2.2.3 Payables Optimisation</w:t>
      </w:r>
      <w:bookmarkEnd w:id="17"/>
    </w:p>
    <w:p w14:paraId="23BD83DB" w14:textId="1C6FBDAE" w:rsidR="0021671C" w:rsidRPr="00156237" w:rsidRDefault="00156237" w:rsidP="0021671C">
      <w:r w:rsidRPr="00156237">
        <w:t>Toyota industries Corporation ought to look at its supplier contracts and negotiate extended payment terms where feasible. The longer payable days will enable Toyota industries corporation to hold on to cash (Wetzel and Wagner, 2025). Although good supplier relations are also essential, maintaining a balanced relationship will help Toyota Industries Corporation to get its working capital position better without negatively affecting its supply chain.</w:t>
      </w:r>
    </w:p>
    <w:p w14:paraId="75311BE9" w14:textId="77777777" w:rsidR="0021671C" w:rsidRPr="0021671C" w:rsidRDefault="0021671C" w:rsidP="00891388">
      <w:pPr>
        <w:pStyle w:val="Heading2"/>
      </w:pPr>
      <w:bookmarkStart w:id="18" w:name="_Toc227885138"/>
      <w:r w:rsidRPr="0021671C">
        <w:t>2.3 Comparison of Short-Term and Long-Term Financing Options</w:t>
      </w:r>
      <w:bookmarkEnd w:id="18"/>
    </w:p>
    <w:p w14:paraId="7808A816" w14:textId="53AF8370" w:rsidR="0021671C" w:rsidRPr="0021671C" w:rsidRDefault="00156237" w:rsidP="0021671C">
      <w:r w:rsidRPr="00156237">
        <w:t>Toyota Industries Corporation is free to use both long-term and short-term finance to meet working capital requirement.</w:t>
      </w:r>
    </w:p>
    <w:p w14:paraId="7F254A4D" w14:textId="77777777" w:rsidR="0021671C" w:rsidRPr="0021671C" w:rsidRDefault="0021671C" w:rsidP="00891388">
      <w:pPr>
        <w:pStyle w:val="Heading3"/>
      </w:pPr>
      <w:bookmarkStart w:id="19" w:name="_Toc227885139"/>
      <w:r w:rsidRPr="0021671C">
        <w:t>2.3.1 Short-Term Financing</w:t>
      </w:r>
      <w:bookmarkEnd w:id="19"/>
    </w:p>
    <w:p w14:paraId="1E77E3CE" w14:textId="77777777" w:rsidR="00156237" w:rsidRDefault="00156237" w:rsidP="00156237">
      <w:r>
        <w:t>Bank overdrafts, trade credit, and short-term loans are some of the short-term financing options available to Toyota industries Corporation. These alternatives offer flexibility and are applicable to dealing with temporary cash crunches. The use of trade credit is especially beneficial to Toyota Industries Corporation, since it enables the company to postpone payments without having to pay direct interest.</w:t>
      </w:r>
    </w:p>
    <w:p w14:paraId="284ED883" w14:textId="786B0B08" w:rsidR="0021671C" w:rsidRPr="0021671C" w:rsidRDefault="00156237" w:rsidP="00156237">
      <w:r>
        <w:lastRenderedPageBreak/>
        <w:t>Nonetheless, the short-term financing leaves Toyota Industries Corporation vulnerable to the risks of refinancing and interest rates. Excess dependence on short-term funding may put pressure on liquidity during economic crises (Reyad et al., 2022).</w:t>
      </w:r>
    </w:p>
    <w:p w14:paraId="73D4DF92" w14:textId="77777777" w:rsidR="0021671C" w:rsidRPr="0021671C" w:rsidRDefault="0021671C" w:rsidP="00891388">
      <w:pPr>
        <w:pStyle w:val="Heading3"/>
      </w:pPr>
      <w:bookmarkStart w:id="20" w:name="_Toc227885140"/>
      <w:r w:rsidRPr="0021671C">
        <w:t>2.3.2 Long-Term Financing</w:t>
      </w:r>
      <w:bookmarkEnd w:id="20"/>
    </w:p>
    <w:p w14:paraId="65B0FA0F" w14:textId="77777777" w:rsidR="00DB5161" w:rsidRDefault="00DB5161" w:rsidP="00DB5161">
      <w:r>
        <w:t>Toyota Industries Corporation has long-term financing options such as bonds, long-term loans, and equity financing. Such sources ensure stability and lessen the chance of liquidity crunch. As an example, issuing bonds will enable Toyota Industries Corporation to raise funds at a predetermined interest rate.</w:t>
      </w:r>
    </w:p>
    <w:p w14:paraId="1DEE474B" w14:textId="3AB4F15A" w:rsidR="0021671C" w:rsidRPr="0021671C" w:rsidRDefault="00DB5161" w:rsidP="00DB5161">
      <w:r>
        <w:t xml:space="preserve">But </w:t>
      </w:r>
      <w:r w:rsidR="0089061F">
        <w:t>long-term</w:t>
      </w:r>
      <w:r>
        <w:t xml:space="preserve"> funding is not flexible. Equity financing can water down ownership, whereas long-term debt adds to financial commitments. Thus, Toyota Industries Corporation should pay attention to balancing between cost and risk in terms of the choice of financing sources.</w:t>
      </w:r>
    </w:p>
    <w:p w14:paraId="5931C6E3" w14:textId="77777777" w:rsidR="0021671C" w:rsidRPr="0021671C" w:rsidRDefault="0021671C" w:rsidP="00891388">
      <w:pPr>
        <w:pStyle w:val="Heading3"/>
      </w:pPr>
      <w:bookmarkStart w:id="21" w:name="_Toc227885141"/>
      <w:r w:rsidRPr="0021671C">
        <w:t>2.3.3 Financing Strategy</w:t>
      </w:r>
      <w:bookmarkEnd w:id="21"/>
    </w:p>
    <w:p w14:paraId="4E4E0881" w14:textId="77777777" w:rsidR="00DB5161" w:rsidRDefault="00DB5161" w:rsidP="00DB5161">
      <w:r>
        <w:t>Toyota Industries Corporation should be advised to use a balanced financing strategy. Daily operational requirements should be financed with short-term financing, whereas long-term financing should be used to make strategic investments and to ensure financial stability (Liu, 2023).</w:t>
      </w:r>
    </w:p>
    <w:p w14:paraId="707B27D5" w14:textId="22A91907" w:rsidR="0021671C" w:rsidRPr="0021671C" w:rsidRDefault="00DB5161" w:rsidP="00DB5161">
      <w:r>
        <w:t>Toyota industries Corporation being relatively low geared, then it can increase moderately debt financing. This would enable Toyota Industries Corporation to maximize returns without necessarily raising financial risk.</w:t>
      </w:r>
    </w:p>
    <w:p w14:paraId="7BB359C9" w14:textId="77777777" w:rsidR="0021671C" w:rsidRPr="0021671C" w:rsidRDefault="0021671C" w:rsidP="00891388">
      <w:pPr>
        <w:pStyle w:val="Heading2"/>
      </w:pPr>
      <w:bookmarkStart w:id="22" w:name="_Toc227885142"/>
      <w:r w:rsidRPr="0021671C">
        <w:t>2.4 Conclusion of Working Capital Analysis</w:t>
      </w:r>
      <w:bookmarkEnd w:id="22"/>
    </w:p>
    <w:p w14:paraId="76134161" w14:textId="77777777" w:rsidR="00DB5161" w:rsidRDefault="00DB5161" w:rsidP="00DB5161">
      <w:r>
        <w:t xml:space="preserve">Finally, Toyota Industries Corporation is in a good liquidity position, but experiences problems with working capital efficiency. The rising cash conversion cycle reflects that Toyota Industries Corporation is locking up a greater amount of cash in inventory and receivables, and the benefits of supplier financing are constrained by shorter payable days. </w:t>
      </w:r>
    </w:p>
    <w:p w14:paraId="5BC02A09" w14:textId="77777777" w:rsidR="00DB5161" w:rsidRDefault="00DB5161" w:rsidP="00DB5161">
      <w:r>
        <w:t xml:space="preserve">To enhance liquidity, Toyota Industries Corporation ought to concentrate on lowering inventory, improving receivables to be collected faster and improve the payables. Such reforms will reduce the CCC and enhance the stability of cash flows (Koroma et al., 2026). </w:t>
      </w:r>
    </w:p>
    <w:p w14:paraId="4EF36E7D" w14:textId="76198896" w:rsidR="00E35289" w:rsidRPr="00E35289" w:rsidRDefault="00DB5161" w:rsidP="00DB5161">
      <w:r>
        <w:lastRenderedPageBreak/>
        <w:t>Altogether, Toyota Industries Corporation can improve the financial performance and sustainable long-term development by improving the working capital management and choosing a balanced financing strategy.</w:t>
      </w:r>
    </w:p>
    <w:p w14:paraId="34DEA054" w14:textId="3357EB87" w:rsidR="0021671C" w:rsidRPr="0021671C" w:rsidRDefault="0021671C" w:rsidP="0021671C"/>
    <w:p w14:paraId="46C8ADAF" w14:textId="5D1126E7" w:rsidR="00FB7659" w:rsidRDefault="00FB7659" w:rsidP="000A04BF">
      <w:r>
        <w:br w:type="page"/>
      </w:r>
    </w:p>
    <w:p w14:paraId="13E43081" w14:textId="77777777" w:rsidR="00921D79" w:rsidRPr="00921D79" w:rsidRDefault="00921D79" w:rsidP="00891388">
      <w:pPr>
        <w:pStyle w:val="Heading1"/>
      </w:pPr>
      <w:bookmarkStart w:id="23" w:name="_Toc227885143"/>
      <w:r w:rsidRPr="00921D79">
        <w:lastRenderedPageBreak/>
        <w:t>3. Strategic Financial Restructuring Plan</w:t>
      </w:r>
      <w:bookmarkEnd w:id="23"/>
    </w:p>
    <w:p w14:paraId="34259137" w14:textId="6D76BF54" w:rsidR="00921D79" w:rsidRPr="00921D79" w:rsidRDefault="00D60230" w:rsidP="00921D79">
      <w:r w:rsidRPr="00D60230">
        <w:t xml:space="preserve">Toyota Industries Corporation requires strategic financial restructuring plan to increase its long-term financial performance and sustainability. </w:t>
      </w:r>
      <w:r w:rsidR="0089061F" w:rsidRPr="00D60230">
        <w:t>Even though</w:t>
      </w:r>
      <w:r w:rsidRPr="00D60230">
        <w:t xml:space="preserve"> Toyota Industries Corporation has been recording high growth in revenue and steady profitability in the quarter 20212025, financial analysis indicates that the company has some areas that need to be improved such as low returns on equity, rising cash conversion cycle, and fluctuating operating cash flows. To this end, this section suggests the right restructuring strategies, </w:t>
      </w:r>
      <w:r w:rsidR="0089061F" w:rsidRPr="00D60230">
        <w:t>analyses</w:t>
      </w:r>
      <w:r w:rsidRPr="00D60230">
        <w:t xml:space="preserve"> their financial impact, </w:t>
      </w:r>
      <w:r w:rsidR="0089061F" w:rsidRPr="00D60230">
        <w:t>and</w:t>
      </w:r>
      <w:r w:rsidRPr="00D60230">
        <w:t xml:space="preserve"> international and ethical considerations, which could affect the decision-making.</w:t>
      </w:r>
    </w:p>
    <w:p w14:paraId="705297E1" w14:textId="77777777" w:rsidR="00921D79" w:rsidRPr="00921D79" w:rsidRDefault="00921D79" w:rsidP="00891388">
      <w:pPr>
        <w:pStyle w:val="Heading2"/>
      </w:pPr>
      <w:bookmarkStart w:id="24" w:name="_Toc227885144"/>
      <w:r w:rsidRPr="00921D79">
        <w:t>3.1 Financial Restructuring Options for Toyota Industries Corporation</w:t>
      </w:r>
      <w:bookmarkEnd w:id="24"/>
    </w:p>
    <w:p w14:paraId="2B99909F" w14:textId="77777777" w:rsidR="00921D79" w:rsidRPr="00921D79" w:rsidRDefault="00921D79" w:rsidP="00891388">
      <w:pPr>
        <w:pStyle w:val="Heading3"/>
      </w:pPr>
      <w:bookmarkStart w:id="25" w:name="_Toc227885145"/>
      <w:r w:rsidRPr="00921D79">
        <w:t>3.1.1 Equity Financing and Capital Injection</w:t>
      </w:r>
      <w:bookmarkEnd w:id="25"/>
    </w:p>
    <w:p w14:paraId="3A33C7B0" w14:textId="77777777" w:rsidR="00D60230" w:rsidRDefault="00D60230" w:rsidP="00D60230">
      <w:r>
        <w:t>Equity financing; which involves the issue of new shares is one of the major restructuring alternatives that Toyota industries Corporation can apply. The plan would allow the company to access more capital without the need to increase its debt. In the case of Toyota Industries Corporation, this strategy may be especially useful when it comes to financing long-term investment in research and development, automation technologies, and expansion into the electrification markets (</w:t>
      </w:r>
      <w:proofErr w:type="spellStart"/>
      <w:r>
        <w:t>Madaram</w:t>
      </w:r>
      <w:proofErr w:type="spellEnd"/>
      <w:r>
        <w:t xml:space="preserve"> et al., 2024).</w:t>
      </w:r>
    </w:p>
    <w:p w14:paraId="6F2D067C" w14:textId="59C989B3" w:rsidR="00921D79" w:rsidRPr="00921D79" w:rsidRDefault="00D60230" w:rsidP="00D60230">
      <w:r>
        <w:t xml:space="preserve">Nevertheless, equity financing has a </w:t>
      </w:r>
      <w:r w:rsidR="0089061F">
        <w:t>drawback</w:t>
      </w:r>
      <w:r>
        <w:t xml:space="preserve"> of dilution of ownership. The current shareholders of Toyota Industries Corporation have a possibility of losing a portion of their ownership share and earning per share. However, when the money collected is put to good use, the positive future effects may be more than the short-term effects of the dilution. Toyota Industries Corporation should thus think of equity financing selectively especially when it comes to strategic growth.</w:t>
      </w:r>
    </w:p>
    <w:p w14:paraId="23FA2817" w14:textId="77777777" w:rsidR="00921D79" w:rsidRPr="00921D79" w:rsidRDefault="00921D79" w:rsidP="00641C04">
      <w:pPr>
        <w:pStyle w:val="Heading3"/>
      </w:pPr>
      <w:bookmarkStart w:id="26" w:name="_Toc227885146"/>
      <w:r w:rsidRPr="00921D79">
        <w:t>3.1.2 Debt Restructuring and Capital Structure Optimisation</w:t>
      </w:r>
      <w:bookmarkEnd w:id="26"/>
    </w:p>
    <w:p w14:paraId="6E2F2167" w14:textId="77777777" w:rsidR="00EB4C9F" w:rsidRDefault="00EB4C9F" w:rsidP="00EB4C9F">
      <w:r>
        <w:t>Optimisation of the capital structure by means of debt financing is another crucial restructuring strategy. The financial picture reveals that Toyota Industries Corporation has a relatively moderate debt ratio, which means that the company can afford to leverage the situation without majorly raising the financial risk (Ou, 2025).</w:t>
      </w:r>
    </w:p>
    <w:p w14:paraId="21214C2E" w14:textId="77777777" w:rsidR="00EB4C9F" w:rsidRDefault="00EB4C9F" w:rsidP="00EB4C9F">
      <w:r>
        <w:t xml:space="preserve">With the introduction of some extra debt in a controlled fashion, Toyota Industries Corporation has the advantage of a financial leverage, which could lead to a higher </w:t>
      </w:r>
      <w:r>
        <w:lastRenderedPageBreak/>
        <w:t>return on equity. Moreover, the tax-deductibility of interest on debt is an added benefit in terms of finances. Nonetheless, overdependence on debt may put Toyota Industries Corporation in an interest rate risk as well as debt repayment.</w:t>
      </w:r>
    </w:p>
    <w:p w14:paraId="4FC7F9C3" w14:textId="23E832BA" w:rsidR="00921D79" w:rsidRPr="00921D79" w:rsidRDefault="00EB4C9F" w:rsidP="00EB4C9F">
      <w:r>
        <w:t xml:space="preserve">Thus, the company ought to pursue a middle-ground by using both debt and equity financing. This will enable Toyota Industries Corporation to maximise its capital structure and </w:t>
      </w:r>
      <w:r w:rsidR="0089061F">
        <w:t>remain</w:t>
      </w:r>
      <w:r>
        <w:t xml:space="preserve"> financially stable.</w:t>
      </w:r>
    </w:p>
    <w:p w14:paraId="463DAC85" w14:textId="77777777" w:rsidR="00921D79" w:rsidRPr="00921D79" w:rsidRDefault="00921D79" w:rsidP="00641C04">
      <w:pPr>
        <w:pStyle w:val="Heading3"/>
      </w:pPr>
      <w:bookmarkStart w:id="27" w:name="_Toc227885147"/>
      <w:r w:rsidRPr="00921D79">
        <w:t>3.1.3 Divestiture and Strategic Partnerships</w:t>
      </w:r>
      <w:bookmarkEnd w:id="27"/>
    </w:p>
    <w:p w14:paraId="6F20D95F" w14:textId="77777777" w:rsidR="0085216B" w:rsidRDefault="0085216B" w:rsidP="0085216B">
      <w:r>
        <w:t>Divestiture is a sell-off process where non-core business units or those performing poorly are sold with the aim of enhancing efficiency. In the case of Toyota Industries Corporation, the divestiture will assist in concentrating resources to the most promising areas like automation systems and electric vehicle parts. By eliminating non-performing assets, the company will be able to increase profitability and ROI.</w:t>
      </w:r>
    </w:p>
    <w:p w14:paraId="5732F745" w14:textId="5D449A86" w:rsidR="00921D79" w:rsidRPr="00921D79" w:rsidRDefault="0085216B" w:rsidP="0085216B">
      <w:r>
        <w:t xml:space="preserve">Moreover, Toyota Industries Corporation has the opportunity of venturing into strategic partnerships or joint ventures. Cooperation with technology companies or industry leaders may give the opportunity to use advanced technologies, minimize expenses, and speed up the innovation process. Such alliances </w:t>
      </w:r>
      <w:r w:rsidR="0089061F">
        <w:t>could</w:t>
      </w:r>
      <w:r>
        <w:t xml:space="preserve"> improve the competitive edge of the company and reduce the financial risk (Wei, Fang and Yu, 2025).</w:t>
      </w:r>
    </w:p>
    <w:p w14:paraId="458524A8" w14:textId="77777777" w:rsidR="00921D79" w:rsidRPr="00921D79" w:rsidRDefault="00921D79" w:rsidP="00641C04">
      <w:pPr>
        <w:pStyle w:val="Heading2"/>
      </w:pPr>
      <w:bookmarkStart w:id="28" w:name="_Toc227885148"/>
      <w:r w:rsidRPr="00921D79">
        <w:t>3.2 Impact on Shareholder Value, Debt Structure, and Operational Flexibility</w:t>
      </w:r>
      <w:bookmarkEnd w:id="28"/>
    </w:p>
    <w:p w14:paraId="1FDC2C42" w14:textId="77777777" w:rsidR="00921D79" w:rsidRPr="00921D79" w:rsidRDefault="00921D79" w:rsidP="00641C04">
      <w:pPr>
        <w:pStyle w:val="Heading3"/>
      </w:pPr>
      <w:bookmarkStart w:id="29" w:name="_Toc227885149"/>
      <w:r w:rsidRPr="00921D79">
        <w:t>3.2.1 Impact on Shareholder Value</w:t>
      </w:r>
      <w:bookmarkEnd w:id="29"/>
    </w:p>
    <w:p w14:paraId="4181C787" w14:textId="6D162D2A" w:rsidR="0085216B" w:rsidRDefault="0085216B" w:rsidP="0085216B">
      <w:r>
        <w:t xml:space="preserve">The proposed restructuring strategies to the Toyota Industries Corporation have several implications on the shareholder value. Equity financing would lower the earnings per share initially </w:t>
      </w:r>
      <w:r w:rsidR="0089061F">
        <w:t>because of</w:t>
      </w:r>
      <w:r>
        <w:t xml:space="preserve"> dilution but in case the capital is invested in profitable ventures, the outcome would be increased returns in the long term.</w:t>
      </w:r>
    </w:p>
    <w:p w14:paraId="2AD0691A" w14:textId="77777777" w:rsidR="0085216B" w:rsidRDefault="0085216B" w:rsidP="0085216B">
      <w:r>
        <w:t>Debt financing, however, helps in leverage to enhance return on equity. In the case of Toyota Industries Corporation, the moderate level of debt usage will be able to improve shareholders value without drastically increasing risk (Ou, 2025). Divestiture is also a plus as it enhances profitability and concentrates on the areas that are performing well.</w:t>
      </w:r>
    </w:p>
    <w:p w14:paraId="016DA900" w14:textId="4EC30C8C" w:rsidR="00921D79" w:rsidRPr="00921D79" w:rsidRDefault="0085216B" w:rsidP="0085216B">
      <w:r w:rsidRPr="0085216B">
        <w:t>Comprehensively, a balanced restructuring plan would bring about sustainable shareholder value to Toyota Industry Corporation.</w:t>
      </w:r>
    </w:p>
    <w:p w14:paraId="7F1B3BBF" w14:textId="77777777" w:rsidR="00921D79" w:rsidRPr="00921D79" w:rsidRDefault="00921D79" w:rsidP="00641C04">
      <w:pPr>
        <w:pStyle w:val="Heading3"/>
      </w:pPr>
      <w:bookmarkStart w:id="30" w:name="_Toc227885150"/>
      <w:r w:rsidRPr="00921D79">
        <w:lastRenderedPageBreak/>
        <w:t>3.2.2 Impact on Debt Structure and Financial Risk</w:t>
      </w:r>
      <w:bookmarkEnd w:id="30"/>
    </w:p>
    <w:p w14:paraId="0E06A789" w14:textId="77777777" w:rsidR="0085216B" w:rsidRDefault="0085216B" w:rsidP="0085216B">
      <w:r>
        <w:t>Toyota Industries Corporation will also experience an impact in its debt structure because of the restructuring plan. A rise in the level of debt will enhance efficiency in capital but also heightens financial risk. Thus, Toyota industries Corporation should strive to ensure that there is an optimal level of leverage.</w:t>
      </w:r>
    </w:p>
    <w:p w14:paraId="11B5B53A" w14:textId="3055E5CC" w:rsidR="00921D79" w:rsidRPr="00921D79" w:rsidRDefault="0085216B" w:rsidP="0085216B">
      <w:r>
        <w:t>Risk can be managed by having a diversified debt portfolio comprising of both short-term and long-term instruments. Also, the credit ratings will serve as a means of keeping financing options at favourable terms since the Toyota Industries Corporation will maintain strong credit ratings (Chap and Liu, 2024).</w:t>
      </w:r>
    </w:p>
    <w:p w14:paraId="36BAECAA" w14:textId="0D458B1E" w:rsidR="00921D79" w:rsidRPr="00921D79" w:rsidRDefault="00921D79" w:rsidP="00641C04">
      <w:pPr>
        <w:pStyle w:val="Heading3"/>
      </w:pPr>
      <w:bookmarkStart w:id="31" w:name="_Toc227885151"/>
      <w:r w:rsidRPr="00921D79">
        <w:t>3.2.3 Impact on Operational Flexibility</w:t>
      </w:r>
      <w:bookmarkEnd w:id="31"/>
    </w:p>
    <w:p w14:paraId="350A7F1D" w14:textId="640AF576" w:rsidR="006320CF" w:rsidRDefault="006320CF" w:rsidP="006320CF">
      <w:r>
        <w:t xml:space="preserve">The flexibility in operations is essential in response to the changes in the market. The suggested restructuring plans make the company more flexible in </w:t>
      </w:r>
      <w:r w:rsidR="0089061F">
        <w:t>several</w:t>
      </w:r>
      <w:r>
        <w:t xml:space="preserve"> ways. Divestiture will enable the Toyota Industries Corporation to concentrate on the essential operations, whilst strategic alliances will provide an opportunity to enter new markets and technologies.</w:t>
      </w:r>
    </w:p>
    <w:p w14:paraId="32D4C69D" w14:textId="6EBB53F3" w:rsidR="00921D79" w:rsidRPr="00921D79" w:rsidRDefault="006320CF" w:rsidP="006320CF">
      <w:r>
        <w:t>Nonetheless, too much debt might diminish flexibility as repayment is fixed. As such, Toyota Industries Corporation will have to ensure that it balances between financial effectiveness and flexibility in its operations.</w:t>
      </w:r>
    </w:p>
    <w:p w14:paraId="17ABEFFF" w14:textId="77777777" w:rsidR="00921D79" w:rsidRPr="00921D79" w:rsidRDefault="00921D79" w:rsidP="00641C04">
      <w:pPr>
        <w:pStyle w:val="Heading2"/>
      </w:pPr>
      <w:bookmarkStart w:id="32" w:name="_Toc227885152"/>
      <w:r w:rsidRPr="00921D79">
        <w:t>3.3 International and Ethical Considerations</w:t>
      </w:r>
      <w:bookmarkEnd w:id="32"/>
    </w:p>
    <w:p w14:paraId="3A22CF19" w14:textId="77777777" w:rsidR="00921D79" w:rsidRPr="00921D79" w:rsidRDefault="00921D79" w:rsidP="00641C04">
      <w:pPr>
        <w:pStyle w:val="Heading3"/>
      </w:pPr>
      <w:bookmarkStart w:id="33" w:name="_Toc227885153"/>
      <w:r w:rsidRPr="00921D79">
        <w:t>3.3.1 Currency Risk and Global Operations</w:t>
      </w:r>
      <w:bookmarkEnd w:id="33"/>
    </w:p>
    <w:p w14:paraId="47BB67CB" w14:textId="77777777" w:rsidR="006320CF" w:rsidRDefault="006320CF" w:rsidP="006320CF">
      <w:r>
        <w:t>Toyota Industries Corporation being a global firm is vulnerable to foreign exchange risk. Currency changes can have serious consequences on the revenues and expenditures. An illustration is the fact that a stronger Japanese yen can decrease the competitiveness of the exports whereas a weaker one can raise the costs of imports.</w:t>
      </w:r>
    </w:p>
    <w:p w14:paraId="2C5FB767" w14:textId="6DB542F0" w:rsidR="00921D79" w:rsidRPr="00921D79" w:rsidRDefault="006320CF" w:rsidP="006320CF">
      <w:r>
        <w:t>To deal with this risk, Toyota Industries Corporation ought to adopt hedging in terms of forward contracts and currency swaps. Exposing the operations to various regions will also minimize exposure to currency changes (Yuan, 2025).</w:t>
      </w:r>
    </w:p>
    <w:p w14:paraId="31B146EF" w14:textId="77777777" w:rsidR="00921D79" w:rsidRPr="00921D79" w:rsidRDefault="00921D79" w:rsidP="00641C04">
      <w:pPr>
        <w:pStyle w:val="Heading3"/>
      </w:pPr>
      <w:bookmarkStart w:id="34" w:name="_Toc227885154"/>
      <w:r w:rsidRPr="00921D79">
        <w:t>3.3.2 Inflation and Cost Management</w:t>
      </w:r>
      <w:bookmarkEnd w:id="34"/>
    </w:p>
    <w:p w14:paraId="4CD163E7" w14:textId="04CE424B" w:rsidR="003E0785" w:rsidRDefault="003E0785" w:rsidP="003E0785">
      <w:r>
        <w:t xml:space="preserve">The other factor that has an impact on Toyota Industries Corporation is inflation. Increasing costs of raw materials, labour and logistics can lower the profit margins. To </w:t>
      </w:r>
      <w:r>
        <w:lastRenderedPageBreak/>
        <w:t>reduce this, the company ought to enhance cost efficiency, streamline supply chain, and implement flexible pricing.</w:t>
      </w:r>
    </w:p>
    <w:p w14:paraId="52671504" w14:textId="17F26D69" w:rsidR="00921D79" w:rsidRPr="00921D79" w:rsidRDefault="003E0785" w:rsidP="003E0785">
      <w:r>
        <w:t>Investment in automation and technology will also assist the Toyota industries corporation in cutting cost of production and enhancing efficiency in the long run.</w:t>
      </w:r>
    </w:p>
    <w:p w14:paraId="69F2AB15" w14:textId="77777777" w:rsidR="00921D79" w:rsidRPr="00921D79" w:rsidRDefault="00921D79" w:rsidP="00641C04">
      <w:pPr>
        <w:pStyle w:val="Heading3"/>
      </w:pPr>
      <w:bookmarkStart w:id="35" w:name="_Toc227885155"/>
      <w:r w:rsidRPr="00921D79">
        <w:t>3.3.3 Taxation and Regulatory Compliance</w:t>
      </w:r>
      <w:bookmarkEnd w:id="35"/>
    </w:p>
    <w:p w14:paraId="1F7D9735" w14:textId="77777777" w:rsidR="003E0785" w:rsidRDefault="003E0785" w:rsidP="003E0785">
      <w:r>
        <w:t xml:space="preserve">The Toyota Industries Corporation </w:t>
      </w:r>
      <w:proofErr w:type="gramStart"/>
      <w:r>
        <w:t>has to</w:t>
      </w:r>
      <w:proofErr w:type="gramEnd"/>
      <w:r>
        <w:t xml:space="preserve"> deal with different tax regimes and regulatory needs, given that it operates in different countries. It requires proper tax planning to reduce the costs and maximise profitability.</w:t>
      </w:r>
    </w:p>
    <w:p w14:paraId="41BFB784" w14:textId="301E9F5A" w:rsidR="00921D79" w:rsidRPr="00921D79" w:rsidRDefault="003E0785" w:rsidP="003E0785">
      <w:r>
        <w:t>The company ought to use tax efficient methods like ensuring that location of operations is optimised and transfer pricing is managed. Simultaneously, Toyota Industries Corporation needs to be completely ready to adhere to the global principles and regulations to prevent legal and reputation-related issues (</w:t>
      </w:r>
      <w:proofErr w:type="spellStart"/>
      <w:r>
        <w:t>Elumilade</w:t>
      </w:r>
      <w:proofErr w:type="spellEnd"/>
      <w:r>
        <w:t xml:space="preserve"> et al., 2022).</w:t>
      </w:r>
    </w:p>
    <w:p w14:paraId="029E51A0" w14:textId="77777777" w:rsidR="00921D79" w:rsidRPr="00921D79" w:rsidRDefault="00921D79" w:rsidP="00641C04">
      <w:pPr>
        <w:pStyle w:val="Heading3"/>
      </w:pPr>
      <w:bookmarkStart w:id="36" w:name="_Toc227885156"/>
      <w:r w:rsidRPr="00921D79">
        <w:t>3.3.4 Corporate Social Responsibility (CSR) and Sustainability</w:t>
      </w:r>
      <w:bookmarkEnd w:id="36"/>
    </w:p>
    <w:p w14:paraId="72213C09" w14:textId="77777777" w:rsidR="003E0785" w:rsidRDefault="003E0785" w:rsidP="003E0785">
      <w:r>
        <w:t>Social responsibility is becoming significant to international business houses. The Toyota Industries Corporation should make sure that its restructuring plans are in line with the environmental and social standards.</w:t>
      </w:r>
    </w:p>
    <w:p w14:paraId="498CC89E" w14:textId="000910F2" w:rsidR="00921D79" w:rsidRPr="00921D79" w:rsidRDefault="003E0785" w:rsidP="003E0785">
      <w:r>
        <w:t>This involves cutting down carbon emissions, switching to sustainable production methods, as well as ethical labour conditions. Incorporating CSR into its financial plan, Toyota Industries Corporation will be able to improve its image and establish trust with its stakeholders in the long term (Bakhouche, 2020).</w:t>
      </w:r>
    </w:p>
    <w:p w14:paraId="4B50E06D" w14:textId="77777777" w:rsidR="00921D79" w:rsidRPr="00921D79" w:rsidRDefault="00921D79" w:rsidP="00641C04">
      <w:pPr>
        <w:pStyle w:val="Heading2"/>
      </w:pPr>
      <w:bookmarkStart w:id="37" w:name="_Toc227885157"/>
      <w:r w:rsidRPr="00921D79">
        <w:t>3.4 Conclusion of Strategic Financial Restructuring Plan</w:t>
      </w:r>
      <w:bookmarkEnd w:id="37"/>
    </w:p>
    <w:p w14:paraId="33181798" w14:textId="77777777" w:rsidR="003E0785" w:rsidRDefault="003E0785" w:rsidP="003E0785">
      <w:r>
        <w:t>Finally, Toyota Industries Corporation can enhance its financial performance by an effective restructuring approach. Through equity financing, debt optimisation, divestiture and strategic partnership, the company will be able to optimise efficiency, improve the shareholder value and ensure financial stability.</w:t>
      </w:r>
    </w:p>
    <w:p w14:paraId="419A2CF9" w14:textId="244A519B" w:rsidR="00921D79" w:rsidRPr="00921D79" w:rsidRDefault="003E0785" w:rsidP="003E0785">
      <w:r>
        <w:t>Furthermore, the international risks and ethical considerations will be discussed, which will make the restructuring plan sustainable and consistent with the global standards. Toyota industries Corporation, through a well-planned implementation can grow in the long term, as well as retain its competitive edge in the international market.</w:t>
      </w:r>
    </w:p>
    <w:p w14:paraId="54C1A931" w14:textId="4896E5CA" w:rsidR="000C3633" w:rsidRDefault="000C3633">
      <w:pPr>
        <w:spacing w:after="160" w:line="278" w:lineRule="auto"/>
        <w:jc w:val="left"/>
      </w:pPr>
      <w:r>
        <w:br w:type="page"/>
      </w:r>
    </w:p>
    <w:p w14:paraId="00491401" w14:textId="77777777" w:rsidR="0035753E" w:rsidRPr="0035753E" w:rsidRDefault="0035753E" w:rsidP="00641C04">
      <w:pPr>
        <w:pStyle w:val="Heading1"/>
      </w:pPr>
      <w:bookmarkStart w:id="38" w:name="_Toc227885158"/>
      <w:r w:rsidRPr="0035753E">
        <w:lastRenderedPageBreak/>
        <w:t>4. Investment Appraisal and Capital Budgeting</w:t>
      </w:r>
      <w:bookmarkEnd w:id="38"/>
    </w:p>
    <w:p w14:paraId="0E910F4E" w14:textId="03334FD2" w:rsidR="0035753E" w:rsidRPr="0035753E" w:rsidRDefault="0038471D" w:rsidP="0035753E">
      <w:r w:rsidRPr="0038471D">
        <w:t>Investment appraisal is an important exercise in Toyota industries corporation especially following its financial situation as revealed above; consistent profitability with a growing working capital tension and average returns. Hence, liquidity, profitability, and risk should be carefully considered in the context of investment decisions. This section compares Projects A, B and C through some of the important techniques: Payback Period (PBP), Accounting rate of return (ARR), Net Present Value (NPV), profitability index (PI) and internal rate of return (IRR) at a discount rate of 10%.</w:t>
      </w:r>
    </w:p>
    <w:p w14:paraId="4DD98543" w14:textId="77777777" w:rsidR="0035753E" w:rsidRPr="0035753E" w:rsidRDefault="0035753E" w:rsidP="00641C04">
      <w:pPr>
        <w:pStyle w:val="Heading2"/>
      </w:pPr>
      <w:bookmarkStart w:id="39" w:name="_Toc227885159"/>
      <w:r w:rsidRPr="0035753E">
        <w:t>4.1 Project Cash Flow Analysis</w:t>
      </w:r>
      <w:bookmarkEnd w:id="39"/>
    </w:p>
    <w:p w14:paraId="2CDA30AF" w14:textId="77777777" w:rsidR="0035753E" w:rsidRPr="0035753E" w:rsidRDefault="0035753E" w:rsidP="0035753E">
      <w:pPr>
        <w:rPr>
          <w:b/>
          <w:bCs/>
        </w:rPr>
      </w:pPr>
      <w:r w:rsidRPr="0035753E">
        <w:rPr>
          <w:b/>
          <w:bCs/>
        </w:rPr>
        <w:t>Table 9. Project Cash Flows (£ million)</w:t>
      </w:r>
    </w:p>
    <w:tbl>
      <w:tblPr>
        <w:tblStyle w:val="TableGrid"/>
        <w:tblW w:w="9023" w:type="dxa"/>
        <w:tblLook w:val="04A0" w:firstRow="1" w:lastRow="0" w:firstColumn="1" w:lastColumn="0" w:noHBand="0" w:noVBand="1"/>
      </w:tblPr>
      <w:tblGrid>
        <w:gridCol w:w="2749"/>
        <w:gridCol w:w="2082"/>
        <w:gridCol w:w="2096"/>
        <w:gridCol w:w="2096"/>
      </w:tblGrid>
      <w:tr w:rsidR="0035753E" w:rsidRPr="0035753E" w14:paraId="7DB94A33" w14:textId="77777777" w:rsidTr="007C041A">
        <w:trPr>
          <w:trHeight w:val="456"/>
        </w:trPr>
        <w:tc>
          <w:tcPr>
            <w:tcW w:w="0" w:type="auto"/>
            <w:hideMark/>
          </w:tcPr>
          <w:p w14:paraId="498A7F24" w14:textId="77777777" w:rsidR="0035753E" w:rsidRPr="0035753E" w:rsidRDefault="0035753E" w:rsidP="0035753E">
            <w:pPr>
              <w:rPr>
                <w:b/>
                <w:bCs/>
              </w:rPr>
            </w:pPr>
            <w:r w:rsidRPr="0035753E">
              <w:rPr>
                <w:b/>
                <w:bCs/>
              </w:rPr>
              <w:t>Year</w:t>
            </w:r>
          </w:p>
        </w:tc>
        <w:tc>
          <w:tcPr>
            <w:tcW w:w="0" w:type="auto"/>
            <w:hideMark/>
          </w:tcPr>
          <w:p w14:paraId="613C728D" w14:textId="77777777" w:rsidR="0035753E" w:rsidRPr="0035753E" w:rsidRDefault="0035753E" w:rsidP="0035753E">
            <w:pPr>
              <w:rPr>
                <w:b/>
                <w:bCs/>
              </w:rPr>
            </w:pPr>
            <w:r w:rsidRPr="0035753E">
              <w:rPr>
                <w:b/>
                <w:bCs/>
              </w:rPr>
              <w:t>Project A</w:t>
            </w:r>
          </w:p>
        </w:tc>
        <w:tc>
          <w:tcPr>
            <w:tcW w:w="0" w:type="auto"/>
            <w:hideMark/>
          </w:tcPr>
          <w:p w14:paraId="67036955" w14:textId="77777777" w:rsidR="0035753E" w:rsidRPr="0035753E" w:rsidRDefault="0035753E" w:rsidP="0035753E">
            <w:pPr>
              <w:rPr>
                <w:b/>
                <w:bCs/>
              </w:rPr>
            </w:pPr>
            <w:r w:rsidRPr="0035753E">
              <w:rPr>
                <w:b/>
                <w:bCs/>
              </w:rPr>
              <w:t>Project B</w:t>
            </w:r>
          </w:p>
        </w:tc>
        <w:tc>
          <w:tcPr>
            <w:tcW w:w="0" w:type="auto"/>
            <w:hideMark/>
          </w:tcPr>
          <w:p w14:paraId="08ECC11E" w14:textId="77777777" w:rsidR="0035753E" w:rsidRPr="0035753E" w:rsidRDefault="0035753E" w:rsidP="0035753E">
            <w:pPr>
              <w:rPr>
                <w:b/>
                <w:bCs/>
              </w:rPr>
            </w:pPr>
            <w:r w:rsidRPr="0035753E">
              <w:rPr>
                <w:b/>
                <w:bCs/>
              </w:rPr>
              <w:t>Project C</w:t>
            </w:r>
          </w:p>
        </w:tc>
      </w:tr>
      <w:tr w:rsidR="0035753E" w:rsidRPr="0035753E" w14:paraId="2B31388A" w14:textId="77777777" w:rsidTr="007C041A">
        <w:trPr>
          <w:trHeight w:val="471"/>
        </w:trPr>
        <w:tc>
          <w:tcPr>
            <w:tcW w:w="0" w:type="auto"/>
            <w:hideMark/>
          </w:tcPr>
          <w:p w14:paraId="48609078" w14:textId="77777777" w:rsidR="0035753E" w:rsidRPr="0035753E" w:rsidRDefault="0035753E" w:rsidP="0035753E">
            <w:r w:rsidRPr="0035753E">
              <w:t>0</w:t>
            </w:r>
          </w:p>
        </w:tc>
        <w:tc>
          <w:tcPr>
            <w:tcW w:w="0" w:type="auto"/>
            <w:hideMark/>
          </w:tcPr>
          <w:p w14:paraId="3B9334DE" w14:textId="77777777" w:rsidR="0035753E" w:rsidRPr="0035753E" w:rsidRDefault="0035753E" w:rsidP="0035753E">
            <w:r w:rsidRPr="0035753E">
              <w:t>-50</w:t>
            </w:r>
          </w:p>
        </w:tc>
        <w:tc>
          <w:tcPr>
            <w:tcW w:w="0" w:type="auto"/>
            <w:hideMark/>
          </w:tcPr>
          <w:p w14:paraId="19600A5C" w14:textId="77777777" w:rsidR="0035753E" w:rsidRPr="0035753E" w:rsidRDefault="0035753E" w:rsidP="0035753E">
            <w:r w:rsidRPr="0035753E">
              <w:t>-50</w:t>
            </w:r>
          </w:p>
        </w:tc>
        <w:tc>
          <w:tcPr>
            <w:tcW w:w="0" w:type="auto"/>
            <w:hideMark/>
          </w:tcPr>
          <w:p w14:paraId="147A1981" w14:textId="77777777" w:rsidR="0035753E" w:rsidRPr="0035753E" w:rsidRDefault="0035753E" w:rsidP="0035753E">
            <w:r w:rsidRPr="0035753E">
              <w:t>-50</w:t>
            </w:r>
          </w:p>
        </w:tc>
      </w:tr>
      <w:tr w:rsidR="0035753E" w:rsidRPr="0035753E" w14:paraId="1C85C189" w14:textId="77777777" w:rsidTr="007C041A">
        <w:trPr>
          <w:trHeight w:val="456"/>
        </w:trPr>
        <w:tc>
          <w:tcPr>
            <w:tcW w:w="0" w:type="auto"/>
            <w:hideMark/>
          </w:tcPr>
          <w:p w14:paraId="1A52D556" w14:textId="77777777" w:rsidR="0035753E" w:rsidRPr="0035753E" w:rsidRDefault="0035753E" w:rsidP="0035753E">
            <w:r w:rsidRPr="0035753E">
              <w:t>1</w:t>
            </w:r>
          </w:p>
        </w:tc>
        <w:tc>
          <w:tcPr>
            <w:tcW w:w="0" w:type="auto"/>
            <w:hideMark/>
          </w:tcPr>
          <w:p w14:paraId="76CEF77D" w14:textId="77777777" w:rsidR="0035753E" w:rsidRPr="0035753E" w:rsidRDefault="0035753E" w:rsidP="0035753E">
            <w:r w:rsidRPr="0035753E">
              <w:t>10</w:t>
            </w:r>
          </w:p>
        </w:tc>
        <w:tc>
          <w:tcPr>
            <w:tcW w:w="0" w:type="auto"/>
            <w:hideMark/>
          </w:tcPr>
          <w:p w14:paraId="7CF97FE6" w14:textId="77777777" w:rsidR="0035753E" w:rsidRPr="0035753E" w:rsidRDefault="0035753E" w:rsidP="0035753E">
            <w:r w:rsidRPr="0035753E">
              <w:t>11</w:t>
            </w:r>
          </w:p>
        </w:tc>
        <w:tc>
          <w:tcPr>
            <w:tcW w:w="0" w:type="auto"/>
            <w:hideMark/>
          </w:tcPr>
          <w:p w14:paraId="0AACA6C0" w14:textId="77777777" w:rsidR="0035753E" w:rsidRPr="0035753E" w:rsidRDefault="0035753E" w:rsidP="0035753E">
            <w:r w:rsidRPr="0035753E">
              <w:t>5</w:t>
            </w:r>
          </w:p>
        </w:tc>
      </w:tr>
      <w:tr w:rsidR="0035753E" w:rsidRPr="0035753E" w14:paraId="289420D0" w14:textId="77777777" w:rsidTr="007C041A">
        <w:trPr>
          <w:trHeight w:val="471"/>
        </w:trPr>
        <w:tc>
          <w:tcPr>
            <w:tcW w:w="0" w:type="auto"/>
            <w:hideMark/>
          </w:tcPr>
          <w:p w14:paraId="525E5792" w14:textId="77777777" w:rsidR="0035753E" w:rsidRPr="0035753E" w:rsidRDefault="0035753E" w:rsidP="0035753E">
            <w:r w:rsidRPr="0035753E">
              <w:t>2</w:t>
            </w:r>
          </w:p>
        </w:tc>
        <w:tc>
          <w:tcPr>
            <w:tcW w:w="0" w:type="auto"/>
            <w:hideMark/>
          </w:tcPr>
          <w:p w14:paraId="08525BBA" w14:textId="77777777" w:rsidR="0035753E" w:rsidRPr="0035753E" w:rsidRDefault="0035753E" w:rsidP="0035753E">
            <w:r w:rsidRPr="0035753E">
              <w:t>12</w:t>
            </w:r>
          </w:p>
        </w:tc>
        <w:tc>
          <w:tcPr>
            <w:tcW w:w="0" w:type="auto"/>
            <w:hideMark/>
          </w:tcPr>
          <w:p w14:paraId="5A95A052" w14:textId="77777777" w:rsidR="0035753E" w:rsidRPr="0035753E" w:rsidRDefault="0035753E" w:rsidP="0035753E">
            <w:r w:rsidRPr="0035753E">
              <w:t>11</w:t>
            </w:r>
          </w:p>
        </w:tc>
        <w:tc>
          <w:tcPr>
            <w:tcW w:w="0" w:type="auto"/>
            <w:hideMark/>
          </w:tcPr>
          <w:p w14:paraId="39345B02" w14:textId="77777777" w:rsidR="0035753E" w:rsidRPr="0035753E" w:rsidRDefault="0035753E" w:rsidP="0035753E">
            <w:r w:rsidRPr="0035753E">
              <w:t>10</w:t>
            </w:r>
          </w:p>
        </w:tc>
      </w:tr>
      <w:tr w:rsidR="0035753E" w:rsidRPr="0035753E" w14:paraId="28CFA329" w14:textId="77777777" w:rsidTr="007C041A">
        <w:trPr>
          <w:trHeight w:val="456"/>
        </w:trPr>
        <w:tc>
          <w:tcPr>
            <w:tcW w:w="0" w:type="auto"/>
            <w:hideMark/>
          </w:tcPr>
          <w:p w14:paraId="55BB912B" w14:textId="77777777" w:rsidR="0035753E" w:rsidRPr="0035753E" w:rsidRDefault="0035753E" w:rsidP="0035753E">
            <w:r w:rsidRPr="0035753E">
              <w:t>3</w:t>
            </w:r>
          </w:p>
        </w:tc>
        <w:tc>
          <w:tcPr>
            <w:tcW w:w="0" w:type="auto"/>
            <w:hideMark/>
          </w:tcPr>
          <w:p w14:paraId="17BD1503" w14:textId="77777777" w:rsidR="0035753E" w:rsidRPr="0035753E" w:rsidRDefault="0035753E" w:rsidP="0035753E">
            <w:r w:rsidRPr="0035753E">
              <w:t>14</w:t>
            </w:r>
          </w:p>
        </w:tc>
        <w:tc>
          <w:tcPr>
            <w:tcW w:w="0" w:type="auto"/>
            <w:hideMark/>
          </w:tcPr>
          <w:p w14:paraId="4BDBC744" w14:textId="77777777" w:rsidR="0035753E" w:rsidRPr="0035753E" w:rsidRDefault="0035753E" w:rsidP="0035753E">
            <w:r w:rsidRPr="0035753E">
              <w:t>11</w:t>
            </w:r>
          </w:p>
        </w:tc>
        <w:tc>
          <w:tcPr>
            <w:tcW w:w="0" w:type="auto"/>
            <w:hideMark/>
          </w:tcPr>
          <w:p w14:paraId="497857DD" w14:textId="77777777" w:rsidR="0035753E" w:rsidRPr="0035753E" w:rsidRDefault="0035753E" w:rsidP="0035753E">
            <w:r w:rsidRPr="0035753E">
              <w:t>20</w:t>
            </w:r>
          </w:p>
        </w:tc>
      </w:tr>
      <w:tr w:rsidR="0035753E" w:rsidRPr="0035753E" w14:paraId="3ACE979C" w14:textId="77777777" w:rsidTr="007C041A">
        <w:trPr>
          <w:trHeight w:val="471"/>
        </w:trPr>
        <w:tc>
          <w:tcPr>
            <w:tcW w:w="0" w:type="auto"/>
            <w:hideMark/>
          </w:tcPr>
          <w:p w14:paraId="40B3289F" w14:textId="77777777" w:rsidR="0035753E" w:rsidRPr="0035753E" w:rsidRDefault="0035753E" w:rsidP="0035753E">
            <w:r w:rsidRPr="0035753E">
              <w:t>4</w:t>
            </w:r>
          </w:p>
        </w:tc>
        <w:tc>
          <w:tcPr>
            <w:tcW w:w="0" w:type="auto"/>
            <w:hideMark/>
          </w:tcPr>
          <w:p w14:paraId="342A359A" w14:textId="77777777" w:rsidR="0035753E" w:rsidRPr="0035753E" w:rsidRDefault="0035753E" w:rsidP="0035753E">
            <w:r w:rsidRPr="0035753E">
              <w:t>10</w:t>
            </w:r>
          </w:p>
        </w:tc>
        <w:tc>
          <w:tcPr>
            <w:tcW w:w="0" w:type="auto"/>
            <w:hideMark/>
          </w:tcPr>
          <w:p w14:paraId="5257269E" w14:textId="77777777" w:rsidR="0035753E" w:rsidRPr="0035753E" w:rsidRDefault="0035753E" w:rsidP="0035753E">
            <w:r w:rsidRPr="0035753E">
              <w:t>11</w:t>
            </w:r>
          </w:p>
        </w:tc>
        <w:tc>
          <w:tcPr>
            <w:tcW w:w="0" w:type="auto"/>
            <w:hideMark/>
          </w:tcPr>
          <w:p w14:paraId="747154C9" w14:textId="77777777" w:rsidR="0035753E" w:rsidRPr="0035753E" w:rsidRDefault="0035753E" w:rsidP="0035753E">
            <w:r w:rsidRPr="0035753E">
              <w:t>25</w:t>
            </w:r>
          </w:p>
        </w:tc>
      </w:tr>
      <w:tr w:rsidR="0035753E" w:rsidRPr="0035753E" w14:paraId="225A6A47" w14:textId="77777777" w:rsidTr="007C041A">
        <w:trPr>
          <w:trHeight w:val="456"/>
        </w:trPr>
        <w:tc>
          <w:tcPr>
            <w:tcW w:w="0" w:type="auto"/>
            <w:hideMark/>
          </w:tcPr>
          <w:p w14:paraId="229B076D" w14:textId="77777777" w:rsidR="0035753E" w:rsidRPr="0035753E" w:rsidRDefault="0035753E" w:rsidP="0035753E">
            <w:r w:rsidRPr="0035753E">
              <w:t>5</w:t>
            </w:r>
          </w:p>
        </w:tc>
        <w:tc>
          <w:tcPr>
            <w:tcW w:w="0" w:type="auto"/>
            <w:hideMark/>
          </w:tcPr>
          <w:p w14:paraId="3078AC94" w14:textId="77777777" w:rsidR="0035753E" w:rsidRPr="0035753E" w:rsidRDefault="0035753E" w:rsidP="0035753E">
            <w:r w:rsidRPr="0035753E">
              <w:t>8</w:t>
            </w:r>
          </w:p>
        </w:tc>
        <w:tc>
          <w:tcPr>
            <w:tcW w:w="0" w:type="auto"/>
            <w:hideMark/>
          </w:tcPr>
          <w:p w14:paraId="20816449" w14:textId="77777777" w:rsidR="0035753E" w:rsidRPr="0035753E" w:rsidRDefault="0035753E" w:rsidP="0035753E">
            <w:r w:rsidRPr="0035753E">
              <w:t>11</w:t>
            </w:r>
          </w:p>
        </w:tc>
        <w:tc>
          <w:tcPr>
            <w:tcW w:w="0" w:type="auto"/>
            <w:hideMark/>
          </w:tcPr>
          <w:p w14:paraId="1EF1190A" w14:textId="77777777" w:rsidR="0035753E" w:rsidRPr="0035753E" w:rsidRDefault="0035753E" w:rsidP="0035753E">
            <w:r w:rsidRPr="0035753E">
              <w:t>5</w:t>
            </w:r>
          </w:p>
        </w:tc>
      </w:tr>
      <w:tr w:rsidR="0035753E" w:rsidRPr="0035753E" w14:paraId="1086EC90" w14:textId="77777777" w:rsidTr="007C041A">
        <w:trPr>
          <w:trHeight w:val="456"/>
        </w:trPr>
        <w:tc>
          <w:tcPr>
            <w:tcW w:w="0" w:type="auto"/>
            <w:hideMark/>
          </w:tcPr>
          <w:p w14:paraId="01ABF0E0" w14:textId="77777777" w:rsidR="0035753E" w:rsidRPr="0035753E" w:rsidRDefault="0035753E" w:rsidP="0035753E">
            <w:r w:rsidRPr="0035753E">
              <w:rPr>
                <w:b/>
                <w:bCs/>
              </w:rPr>
              <w:t>Total Inflows</w:t>
            </w:r>
          </w:p>
        </w:tc>
        <w:tc>
          <w:tcPr>
            <w:tcW w:w="0" w:type="auto"/>
            <w:hideMark/>
          </w:tcPr>
          <w:p w14:paraId="3C447500" w14:textId="77777777" w:rsidR="0035753E" w:rsidRPr="0035753E" w:rsidRDefault="0035753E" w:rsidP="0035753E">
            <w:r w:rsidRPr="0035753E">
              <w:rPr>
                <w:b/>
                <w:bCs/>
              </w:rPr>
              <w:t>54</w:t>
            </w:r>
          </w:p>
        </w:tc>
        <w:tc>
          <w:tcPr>
            <w:tcW w:w="0" w:type="auto"/>
            <w:hideMark/>
          </w:tcPr>
          <w:p w14:paraId="2949609D" w14:textId="77777777" w:rsidR="0035753E" w:rsidRPr="0035753E" w:rsidRDefault="0035753E" w:rsidP="0035753E">
            <w:r w:rsidRPr="0035753E">
              <w:rPr>
                <w:b/>
                <w:bCs/>
              </w:rPr>
              <w:t>55</w:t>
            </w:r>
          </w:p>
        </w:tc>
        <w:tc>
          <w:tcPr>
            <w:tcW w:w="0" w:type="auto"/>
            <w:hideMark/>
          </w:tcPr>
          <w:p w14:paraId="7F0C28D2" w14:textId="77777777" w:rsidR="0035753E" w:rsidRPr="0035753E" w:rsidRDefault="0035753E" w:rsidP="0035753E">
            <w:r w:rsidRPr="0035753E">
              <w:rPr>
                <w:b/>
                <w:bCs/>
              </w:rPr>
              <w:t>65</w:t>
            </w:r>
          </w:p>
        </w:tc>
      </w:tr>
    </w:tbl>
    <w:p w14:paraId="5FFBC014" w14:textId="047BAD84" w:rsidR="0038471D" w:rsidRDefault="0035753E" w:rsidP="0038471D">
      <w:r w:rsidRPr="0035753E">
        <w:br/>
      </w:r>
      <w:r w:rsidR="0038471D">
        <w:t xml:space="preserve">This table shows the varying patterns of cash flow of the three projects. Project C is the one that will obviously yield the greatest inflow (£65m) which means that it has a good long-term earning potential. The cash flows are however not evenly </w:t>
      </w:r>
      <w:r w:rsidR="0089061F">
        <w:t>distributed,</w:t>
      </w:r>
      <w:r w:rsidR="0038471D">
        <w:t xml:space="preserve"> and the returns are more in later years.</w:t>
      </w:r>
    </w:p>
    <w:p w14:paraId="58049715" w14:textId="77777777" w:rsidR="0038471D" w:rsidRDefault="0038471D" w:rsidP="0038471D">
      <w:r>
        <w:t>Project B offers the annual flow of funds of a predictable and less risky amount of £11m. The inflows of project A are moderate and fluctuate, which indicates uncertainty in performance.</w:t>
      </w:r>
    </w:p>
    <w:p w14:paraId="7207C203" w14:textId="4324D5F9" w:rsidR="0035753E" w:rsidRPr="0035753E" w:rsidRDefault="0038471D" w:rsidP="0038471D">
      <w:r>
        <w:t xml:space="preserve">For Toyota Industries Corporation, which already faces a longer cash conversion cycle, the timing of cash flows is critical. The earlier inflow-generating projects are more </w:t>
      </w:r>
      <w:r>
        <w:lastRenderedPageBreak/>
        <w:t>liquidity-friendly (</w:t>
      </w:r>
      <w:proofErr w:type="spellStart"/>
      <w:r>
        <w:t>Bhattacheryay</w:t>
      </w:r>
      <w:proofErr w:type="spellEnd"/>
      <w:r>
        <w:t xml:space="preserve">, 2023). Thus, Project C has better total </w:t>
      </w:r>
      <w:proofErr w:type="gramStart"/>
      <w:r>
        <w:t>returns</w:t>
      </w:r>
      <w:proofErr w:type="gramEnd"/>
      <w:r>
        <w:t xml:space="preserve"> but its inflows are delayed thus posing greater risks than Project B.</w:t>
      </w:r>
    </w:p>
    <w:p w14:paraId="181F9DED" w14:textId="77777777" w:rsidR="001D3A23" w:rsidRPr="001D3A23" w:rsidRDefault="001D3A23" w:rsidP="00641C04">
      <w:pPr>
        <w:pStyle w:val="Heading2"/>
      </w:pPr>
      <w:bookmarkStart w:id="40" w:name="_Toc227885160"/>
      <w:r w:rsidRPr="001D3A23">
        <w:t>4.2 Payback Period (PBP)</w:t>
      </w:r>
      <w:bookmarkEnd w:id="40"/>
    </w:p>
    <w:p w14:paraId="0FFA3C88" w14:textId="19D2DDDF" w:rsidR="001D3A23" w:rsidRPr="001D3A23" w:rsidRDefault="001D3A23" w:rsidP="001D3A23">
      <m:oMathPara>
        <m:oMath>
          <m:r>
            <m:rPr>
              <m:nor/>
            </m:rPr>
            <m:t>Payback Period</m:t>
          </m:r>
          <m:r>
            <w:rPr>
              <w:rFonts w:ascii="Cambria Math" w:hAnsi="Cambria Math"/>
            </w:rPr>
            <m:t>=</m:t>
          </m:r>
          <m:r>
            <m:rPr>
              <m:nor/>
            </m:rPr>
            <m:t>Years before recovery</m:t>
          </m:r>
          <m:r>
            <w:rPr>
              <w:rFonts w:ascii="Cambria Math" w:hAnsi="Cambria Math"/>
            </w:rPr>
            <m:t>+</m:t>
          </m:r>
          <m:f>
            <m:fPr>
              <m:ctrlPr>
                <w:rPr>
                  <w:rFonts w:ascii="Cambria Math" w:hAnsi="Cambria Math"/>
                </w:rPr>
              </m:ctrlPr>
            </m:fPr>
            <m:num>
              <m:r>
                <m:rPr>
                  <m:nor/>
                </m:rPr>
                <m:t>Remaining amount</m:t>
              </m:r>
            </m:num>
            <m:den>
              <m:r>
                <m:rPr>
                  <m:nor/>
                </m:rPr>
                <m:t>Cash flow</m:t>
              </m:r>
            </m:den>
          </m:f>
          <m:r>
            <m:rPr>
              <m:sty m:val="p"/>
            </m:rPr>
            <w:br/>
          </m:r>
        </m:oMath>
      </m:oMathPara>
    </w:p>
    <w:p w14:paraId="10050CB1" w14:textId="30789D9C" w:rsidR="00AD6AB6" w:rsidRPr="0035753E" w:rsidRDefault="001D3A23" w:rsidP="0035753E">
      <w:pPr>
        <w:rPr>
          <w:b/>
          <w:bCs/>
        </w:rPr>
      </w:pPr>
      <w:r w:rsidRPr="001D3A23">
        <w:rPr>
          <w:b/>
          <w:bCs/>
        </w:rPr>
        <w:t>Table 10. Payback Period Calculation</w:t>
      </w:r>
    </w:p>
    <w:tbl>
      <w:tblPr>
        <w:tblStyle w:val="TableGrid"/>
        <w:tblW w:w="9113" w:type="dxa"/>
        <w:tblLook w:val="04A0" w:firstRow="1" w:lastRow="0" w:firstColumn="1" w:lastColumn="0" w:noHBand="0" w:noVBand="1"/>
      </w:tblPr>
      <w:tblGrid>
        <w:gridCol w:w="1228"/>
        <w:gridCol w:w="3631"/>
        <w:gridCol w:w="1800"/>
        <w:gridCol w:w="2454"/>
      </w:tblGrid>
      <w:tr w:rsidR="0035753E" w:rsidRPr="0035753E" w14:paraId="3000E939" w14:textId="77777777" w:rsidTr="007C041A">
        <w:trPr>
          <w:trHeight w:val="510"/>
        </w:trPr>
        <w:tc>
          <w:tcPr>
            <w:tcW w:w="0" w:type="auto"/>
            <w:hideMark/>
          </w:tcPr>
          <w:p w14:paraId="24820049" w14:textId="77777777" w:rsidR="0035753E" w:rsidRPr="0035753E" w:rsidRDefault="0035753E" w:rsidP="0035753E">
            <w:pPr>
              <w:rPr>
                <w:b/>
                <w:bCs/>
              </w:rPr>
            </w:pPr>
            <w:r w:rsidRPr="0035753E">
              <w:rPr>
                <w:b/>
                <w:bCs/>
              </w:rPr>
              <w:t>Project</w:t>
            </w:r>
          </w:p>
        </w:tc>
        <w:tc>
          <w:tcPr>
            <w:tcW w:w="0" w:type="auto"/>
            <w:hideMark/>
          </w:tcPr>
          <w:p w14:paraId="2A51AA84" w14:textId="77777777" w:rsidR="0035753E" w:rsidRPr="0035753E" w:rsidRDefault="0035753E" w:rsidP="0035753E">
            <w:pPr>
              <w:rPr>
                <w:b/>
                <w:bCs/>
              </w:rPr>
            </w:pPr>
            <w:r w:rsidRPr="0035753E">
              <w:rPr>
                <w:b/>
                <w:bCs/>
              </w:rPr>
              <w:t>Cumulative Cash Flow</w:t>
            </w:r>
          </w:p>
        </w:tc>
        <w:tc>
          <w:tcPr>
            <w:tcW w:w="0" w:type="auto"/>
            <w:hideMark/>
          </w:tcPr>
          <w:p w14:paraId="1A07540F" w14:textId="77777777" w:rsidR="0035753E" w:rsidRPr="0035753E" w:rsidRDefault="0035753E" w:rsidP="0035753E">
            <w:pPr>
              <w:rPr>
                <w:b/>
                <w:bCs/>
              </w:rPr>
            </w:pPr>
            <w:r w:rsidRPr="0035753E">
              <w:rPr>
                <w:b/>
                <w:bCs/>
              </w:rPr>
              <w:t>Calculation</w:t>
            </w:r>
          </w:p>
        </w:tc>
        <w:tc>
          <w:tcPr>
            <w:tcW w:w="0" w:type="auto"/>
            <w:hideMark/>
          </w:tcPr>
          <w:p w14:paraId="26308F94" w14:textId="77777777" w:rsidR="0035753E" w:rsidRPr="0035753E" w:rsidRDefault="0035753E" w:rsidP="0035753E">
            <w:pPr>
              <w:rPr>
                <w:b/>
                <w:bCs/>
              </w:rPr>
            </w:pPr>
            <w:r w:rsidRPr="0035753E">
              <w:rPr>
                <w:b/>
                <w:bCs/>
              </w:rPr>
              <w:t>Payback (Years)</w:t>
            </w:r>
          </w:p>
        </w:tc>
      </w:tr>
      <w:tr w:rsidR="0035753E" w:rsidRPr="0035753E" w14:paraId="19FB2836" w14:textId="77777777" w:rsidTr="007C041A">
        <w:trPr>
          <w:trHeight w:val="790"/>
        </w:trPr>
        <w:tc>
          <w:tcPr>
            <w:tcW w:w="0" w:type="auto"/>
            <w:hideMark/>
          </w:tcPr>
          <w:p w14:paraId="2DFFFBFC" w14:textId="77777777" w:rsidR="0035753E" w:rsidRPr="0035753E" w:rsidRDefault="0035753E" w:rsidP="0035753E">
            <w:r w:rsidRPr="0035753E">
              <w:t>A</w:t>
            </w:r>
          </w:p>
        </w:tc>
        <w:tc>
          <w:tcPr>
            <w:tcW w:w="0" w:type="auto"/>
            <w:hideMark/>
          </w:tcPr>
          <w:p w14:paraId="5072C8F0" w14:textId="77777777" w:rsidR="0035753E" w:rsidRPr="0035753E" w:rsidRDefault="0035753E" w:rsidP="0035753E">
            <w:r w:rsidRPr="0035753E">
              <w:t>10 → 22 → 36 → 46 → 54</w:t>
            </w:r>
          </w:p>
        </w:tc>
        <w:tc>
          <w:tcPr>
            <w:tcW w:w="0" w:type="auto"/>
            <w:hideMark/>
          </w:tcPr>
          <w:p w14:paraId="5E938996" w14:textId="5EEA1851" w:rsidR="0035753E" w:rsidRPr="0035753E" w:rsidRDefault="0035753E" w:rsidP="0035753E">
            <m:oMathPara>
              <m:oMath>
                <m:r>
                  <w:rPr>
                    <w:rFonts w:ascii="Cambria Math" w:hAnsi="Cambria Math"/>
                  </w:rPr>
                  <m:t>4+</m:t>
                </m:r>
                <m:f>
                  <m:fPr>
                    <m:ctrlPr>
                      <w:rPr>
                        <w:rFonts w:ascii="Cambria Math" w:hAnsi="Cambria Math"/>
                      </w:rPr>
                    </m:ctrlPr>
                  </m:fPr>
                  <m:num>
                    <m:r>
                      <w:rPr>
                        <w:rFonts w:ascii="Cambria Math" w:hAnsi="Cambria Math"/>
                      </w:rPr>
                      <m:t>4</m:t>
                    </m:r>
                  </m:num>
                  <m:den>
                    <m:r>
                      <w:rPr>
                        <w:rFonts w:ascii="Cambria Math" w:hAnsi="Cambria Math"/>
                      </w:rPr>
                      <m:t>8</m:t>
                    </m:r>
                  </m:den>
                </m:f>
              </m:oMath>
            </m:oMathPara>
          </w:p>
        </w:tc>
        <w:tc>
          <w:tcPr>
            <w:tcW w:w="0" w:type="auto"/>
            <w:hideMark/>
          </w:tcPr>
          <w:p w14:paraId="5D1216A2" w14:textId="77777777" w:rsidR="0035753E" w:rsidRPr="0035753E" w:rsidRDefault="0035753E" w:rsidP="0035753E">
            <w:r w:rsidRPr="0035753E">
              <w:rPr>
                <w:b/>
                <w:bCs/>
              </w:rPr>
              <w:t>4.5</w:t>
            </w:r>
          </w:p>
        </w:tc>
      </w:tr>
      <w:tr w:rsidR="0035753E" w:rsidRPr="0035753E" w14:paraId="0D6A8BFD" w14:textId="77777777" w:rsidTr="007C041A">
        <w:trPr>
          <w:trHeight w:val="773"/>
        </w:trPr>
        <w:tc>
          <w:tcPr>
            <w:tcW w:w="0" w:type="auto"/>
            <w:hideMark/>
          </w:tcPr>
          <w:p w14:paraId="53424D8C" w14:textId="77777777" w:rsidR="0035753E" w:rsidRPr="0035753E" w:rsidRDefault="0035753E" w:rsidP="0035753E">
            <w:r w:rsidRPr="0035753E">
              <w:t>B</w:t>
            </w:r>
          </w:p>
        </w:tc>
        <w:tc>
          <w:tcPr>
            <w:tcW w:w="0" w:type="auto"/>
            <w:hideMark/>
          </w:tcPr>
          <w:p w14:paraId="31A5DAF6" w14:textId="77777777" w:rsidR="0035753E" w:rsidRPr="0035753E" w:rsidRDefault="0035753E" w:rsidP="0035753E">
            <w:r w:rsidRPr="0035753E">
              <w:t>11 → 22 → 33 → 44 → 55</w:t>
            </w:r>
          </w:p>
        </w:tc>
        <w:tc>
          <w:tcPr>
            <w:tcW w:w="0" w:type="auto"/>
            <w:hideMark/>
          </w:tcPr>
          <w:p w14:paraId="42CDE6CF" w14:textId="66B198CD" w:rsidR="0035753E" w:rsidRPr="0035753E" w:rsidRDefault="0035753E" w:rsidP="0035753E">
            <m:oMathPara>
              <m:oMath>
                <m:r>
                  <w:rPr>
                    <w:rFonts w:ascii="Cambria Math" w:hAnsi="Cambria Math"/>
                  </w:rPr>
                  <m:t>4+</m:t>
                </m:r>
                <m:f>
                  <m:fPr>
                    <m:ctrlPr>
                      <w:rPr>
                        <w:rFonts w:ascii="Cambria Math" w:hAnsi="Cambria Math"/>
                      </w:rPr>
                    </m:ctrlPr>
                  </m:fPr>
                  <m:num>
                    <m:r>
                      <w:rPr>
                        <w:rFonts w:ascii="Cambria Math" w:hAnsi="Cambria Math"/>
                      </w:rPr>
                      <m:t>6</m:t>
                    </m:r>
                  </m:num>
                  <m:den>
                    <m:r>
                      <w:rPr>
                        <w:rFonts w:ascii="Cambria Math" w:hAnsi="Cambria Math"/>
                      </w:rPr>
                      <m:t>11</m:t>
                    </m:r>
                  </m:den>
                </m:f>
              </m:oMath>
            </m:oMathPara>
          </w:p>
        </w:tc>
        <w:tc>
          <w:tcPr>
            <w:tcW w:w="0" w:type="auto"/>
            <w:hideMark/>
          </w:tcPr>
          <w:p w14:paraId="701C6C10" w14:textId="77777777" w:rsidR="0035753E" w:rsidRPr="0035753E" w:rsidRDefault="0035753E" w:rsidP="0035753E">
            <w:r w:rsidRPr="0035753E">
              <w:rPr>
                <w:b/>
                <w:bCs/>
              </w:rPr>
              <w:t>4.55</w:t>
            </w:r>
          </w:p>
        </w:tc>
      </w:tr>
      <w:tr w:rsidR="0035753E" w:rsidRPr="0035753E" w14:paraId="1BF6E396" w14:textId="77777777" w:rsidTr="007C041A">
        <w:trPr>
          <w:trHeight w:val="790"/>
        </w:trPr>
        <w:tc>
          <w:tcPr>
            <w:tcW w:w="0" w:type="auto"/>
            <w:hideMark/>
          </w:tcPr>
          <w:p w14:paraId="4B892B39" w14:textId="77777777" w:rsidR="0035753E" w:rsidRPr="0035753E" w:rsidRDefault="0035753E" w:rsidP="0035753E">
            <w:r w:rsidRPr="0035753E">
              <w:t>C</w:t>
            </w:r>
          </w:p>
        </w:tc>
        <w:tc>
          <w:tcPr>
            <w:tcW w:w="0" w:type="auto"/>
            <w:hideMark/>
          </w:tcPr>
          <w:p w14:paraId="684BFA07" w14:textId="77777777" w:rsidR="0035753E" w:rsidRPr="0035753E" w:rsidRDefault="0035753E" w:rsidP="0035753E">
            <w:r w:rsidRPr="0035753E">
              <w:t>5 → 15 → 35 → 60</w:t>
            </w:r>
          </w:p>
        </w:tc>
        <w:tc>
          <w:tcPr>
            <w:tcW w:w="0" w:type="auto"/>
            <w:hideMark/>
          </w:tcPr>
          <w:p w14:paraId="45C3D3F5" w14:textId="69A78942" w:rsidR="0035753E" w:rsidRPr="0035753E" w:rsidRDefault="0035753E" w:rsidP="0035753E">
            <m:oMathPara>
              <m:oMath>
                <m:r>
                  <w:rPr>
                    <w:rFonts w:ascii="Cambria Math" w:hAnsi="Cambria Math"/>
                  </w:rPr>
                  <m:t>3+</m:t>
                </m:r>
                <m:f>
                  <m:fPr>
                    <m:ctrlPr>
                      <w:rPr>
                        <w:rFonts w:ascii="Cambria Math" w:hAnsi="Cambria Math"/>
                      </w:rPr>
                    </m:ctrlPr>
                  </m:fPr>
                  <m:num>
                    <m:r>
                      <w:rPr>
                        <w:rFonts w:ascii="Cambria Math" w:hAnsi="Cambria Math"/>
                      </w:rPr>
                      <m:t>15</m:t>
                    </m:r>
                  </m:num>
                  <m:den>
                    <m:r>
                      <w:rPr>
                        <w:rFonts w:ascii="Cambria Math" w:hAnsi="Cambria Math"/>
                      </w:rPr>
                      <m:t>25</m:t>
                    </m:r>
                  </m:den>
                </m:f>
              </m:oMath>
            </m:oMathPara>
          </w:p>
        </w:tc>
        <w:tc>
          <w:tcPr>
            <w:tcW w:w="0" w:type="auto"/>
            <w:hideMark/>
          </w:tcPr>
          <w:p w14:paraId="04A729AF" w14:textId="77777777" w:rsidR="0035753E" w:rsidRPr="0035753E" w:rsidRDefault="0035753E" w:rsidP="0035753E">
            <w:r w:rsidRPr="0035753E">
              <w:rPr>
                <w:b/>
                <w:bCs/>
              </w:rPr>
              <w:t>3.6</w:t>
            </w:r>
          </w:p>
        </w:tc>
      </w:tr>
    </w:tbl>
    <w:p w14:paraId="36C39D3E" w14:textId="77777777" w:rsidR="00305679" w:rsidRDefault="008B3A9A" w:rsidP="00305679">
      <w:pPr>
        <w:keepNext/>
        <w:jc w:val="center"/>
      </w:pPr>
      <w:r>
        <w:rPr>
          <w:noProof/>
        </w:rPr>
        <w:drawing>
          <wp:inline distT="0" distB="0" distL="0" distR="0" wp14:anchorId="2E95C7FB" wp14:editId="3265BB12">
            <wp:extent cx="5807034" cy="2802577"/>
            <wp:effectExtent l="0" t="0" r="3810" b="17145"/>
            <wp:docPr id="161769687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30797C" w14:textId="14D53C90" w:rsidR="008B3A9A" w:rsidRDefault="00305679" w:rsidP="00305679">
      <w:pPr>
        <w:pStyle w:val="Caption"/>
        <w:jc w:val="center"/>
        <w:rPr>
          <w:b/>
          <w:bCs/>
        </w:rPr>
      </w:pPr>
      <w:r>
        <w:t xml:space="preserve">Figure </w:t>
      </w:r>
      <w:fldSimple w:instr=" SEQ Figure \* ARABIC ">
        <w:r>
          <w:rPr>
            <w:noProof/>
          </w:rPr>
          <w:t>9</w:t>
        </w:r>
      </w:fldSimple>
      <w:r>
        <w:t xml:space="preserve">: </w:t>
      </w:r>
      <w:r w:rsidRPr="00046024">
        <w:t>Payback Period Comparison</w:t>
      </w:r>
    </w:p>
    <w:p w14:paraId="4E8D8F3A" w14:textId="77777777" w:rsidR="00F113ED" w:rsidRDefault="00F113ED" w:rsidP="00F113ED">
      <w:r>
        <w:t>The results of the Payback Period indicate that Project C manages to recover the initial investment much faster in comparison with other projects. This is one of the key benefits to the Toyota Industries Corporation since faster recovery enhances liquidity and lessens the exposure to uncertainty.</w:t>
      </w:r>
    </w:p>
    <w:p w14:paraId="27BC71B3" w14:textId="54A42373" w:rsidR="00F113ED" w:rsidRDefault="00F113ED" w:rsidP="00F113ED">
      <w:r>
        <w:t xml:space="preserve">Both Projects A and B are quite long in terms of recovering their investments, 4.5 years, which is a long time that adds financial risk. Conversely, Project C has a shorter </w:t>
      </w:r>
      <w:r>
        <w:lastRenderedPageBreak/>
        <w:t>payback period 3.6 years, and the company can release capital sooner than reinvestment.</w:t>
      </w:r>
    </w:p>
    <w:p w14:paraId="2C474C77" w14:textId="0362A5DD" w:rsidR="007C041A" w:rsidRPr="007C041A" w:rsidRDefault="00F113ED" w:rsidP="00F113ED">
      <w:r>
        <w:t xml:space="preserve">The weakness of this approach, however, is that it does not </w:t>
      </w:r>
      <w:proofErr w:type="gramStart"/>
      <w:r>
        <w:t>take into account</w:t>
      </w:r>
      <w:proofErr w:type="gramEnd"/>
      <w:r>
        <w:t xml:space="preserve"> cash flows outside of the payback period. In the case of Toyota Industries Corporation, using PBP can result in poor estimation of long-term profitability of projects (Baindu, Darwish and </w:t>
      </w:r>
      <w:proofErr w:type="spellStart"/>
      <w:r>
        <w:t>Stojceska</w:t>
      </w:r>
      <w:proofErr w:type="spellEnd"/>
      <w:r>
        <w:t>, 2023).</w:t>
      </w:r>
    </w:p>
    <w:p w14:paraId="0BCB8254" w14:textId="77777777" w:rsidR="001D3A23" w:rsidRPr="001D3A23" w:rsidRDefault="001D3A23" w:rsidP="00641C04">
      <w:pPr>
        <w:pStyle w:val="Heading2"/>
      </w:pPr>
      <w:bookmarkStart w:id="41" w:name="_Toc227885161"/>
      <w:r w:rsidRPr="001D3A23">
        <w:t>4.3 Accounting Rate of Return (ARR)</w:t>
      </w:r>
      <w:bookmarkEnd w:id="41"/>
    </w:p>
    <w:p w14:paraId="195386B1" w14:textId="74419470" w:rsidR="001D3A23" w:rsidRPr="001D3A23" w:rsidRDefault="001D3A23" w:rsidP="001D3A23">
      <m:oMathPara>
        <m:oMath>
          <m:r>
            <w:rPr>
              <w:rFonts w:ascii="Cambria Math" w:hAnsi="Cambria Math"/>
            </w:rPr>
            <m:t>ARR=</m:t>
          </m:r>
          <m:f>
            <m:fPr>
              <m:ctrlPr>
                <w:rPr>
                  <w:rFonts w:ascii="Cambria Math" w:hAnsi="Cambria Math"/>
                </w:rPr>
              </m:ctrlPr>
            </m:fPr>
            <m:num>
              <m:r>
                <m:rPr>
                  <m:nor/>
                </m:rPr>
                <m:t>Average Profit</m:t>
              </m:r>
            </m:num>
            <m:den>
              <m:r>
                <m:rPr>
                  <m:nor/>
                </m:rPr>
                <m:t>Initial Investment</m:t>
              </m:r>
            </m:den>
          </m:f>
          <m:r>
            <w:rPr>
              <w:rFonts w:ascii="Cambria Math" w:hAnsi="Cambria Math"/>
            </w:rPr>
            <m:t>×100</m:t>
          </m:r>
          <m:r>
            <m:rPr>
              <m:sty m:val="p"/>
            </m:rPr>
            <w:br/>
          </m:r>
        </m:oMath>
      </m:oMathPara>
    </w:p>
    <w:p w14:paraId="3462F44A" w14:textId="77777777" w:rsidR="001D3A23" w:rsidRPr="001D3A23" w:rsidRDefault="001D3A23" w:rsidP="001D3A23">
      <w:r w:rsidRPr="001D3A23">
        <w:t>Depreciation:</w:t>
      </w:r>
    </w:p>
    <w:p w14:paraId="5342995E" w14:textId="10860E1E" w:rsidR="001D3A23" w:rsidRPr="001D3A23" w:rsidRDefault="0052203F" w:rsidP="001D3A23">
      <m:oMathPara>
        <m:oMath>
          <m:f>
            <m:fPr>
              <m:ctrlPr>
                <w:rPr>
                  <w:rFonts w:ascii="Cambria Math" w:hAnsi="Cambria Math"/>
                </w:rPr>
              </m:ctrlPr>
            </m:fPr>
            <m:num>
              <m:r>
                <w:rPr>
                  <w:rFonts w:ascii="Cambria Math" w:hAnsi="Cambria Math"/>
                </w:rPr>
                <m:t>50</m:t>
              </m:r>
            </m:num>
            <m:den>
              <m:r>
                <w:rPr>
                  <w:rFonts w:ascii="Cambria Math" w:hAnsi="Cambria Math"/>
                </w:rPr>
                <m:t>5</m:t>
              </m:r>
            </m:den>
          </m:f>
          <m:r>
            <w:rPr>
              <w:rFonts w:ascii="Cambria Math" w:hAnsi="Cambria Math"/>
            </w:rPr>
            <m:t>=10</m:t>
          </m:r>
          <m:r>
            <m:rPr>
              <m:sty m:val="p"/>
            </m:rPr>
            <w:br/>
          </m:r>
        </m:oMath>
      </m:oMathPara>
    </w:p>
    <w:p w14:paraId="33DC931B" w14:textId="6EEDF1D1" w:rsidR="001D3A23" w:rsidRPr="0035753E" w:rsidRDefault="001D3A23" w:rsidP="0035753E">
      <w:pPr>
        <w:rPr>
          <w:b/>
          <w:bCs/>
        </w:rPr>
      </w:pPr>
      <w:r w:rsidRPr="001D3A23">
        <w:rPr>
          <w:b/>
          <w:bCs/>
        </w:rPr>
        <w:t>Table 11. ARR Calculation</w:t>
      </w:r>
    </w:p>
    <w:tbl>
      <w:tblPr>
        <w:tblStyle w:val="TableGrid"/>
        <w:tblW w:w="9156" w:type="dxa"/>
        <w:tblLook w:val="04A0" w:firstRow="1" w:lastRow="0" w:firstColumn="1" w:lastColumn="0" w:noHBand="0" w:noVBand="1"/>
      </w:tblPr>
      <w:tblGrid>
        <w:gridCol w:w="1313"/>
        <w:gridCol w:w="2122"/>
        <w:gridCol w:w="1867"/>
        <w:gridCol w:w="2355"/>
        <w:gridCol w:w="1499"/>
      </w:tblGrid>
      <w:tr w:rsidR="0035753E" w:rsidRPr="0035753E" w14:paraId="371CFBF7" w14:textId="77777777" w:rsidTr="007C041A">
        <w:trPr>
          <w:trHeight w:val="491"/>
        </w:trPr>
        <w:tc>
          <w:tcPr>
            <w:tcW w:w="0" w:type="auto"/>
            <w:hideMark/>
          </w:tcPr>
          <w:p w14:paraId="761BE55E" w14:textId="77777777" w:rsidR="0035753E" w:rsidRPr="0035753E" w:rsidRDefault="0035753E" w:rsidP="0035753E">
            <w:pPr>
              <w:rPr>
                <w:b/>
                <w:bCs/>
              </w:rPr>
            </w:pPr>
            <w:r w:rsidRPr="0035753E">
              <w:rPr>
                <w:b/>
                <w:bCs/>
              </w:rPr>
              <w:t>Project</w:t>
            </w:r>
          </w:p>
        </w:tc>
        <w:tc>
          <w:tcPr>
            <w:tcW w:w="0" w:type="auto"/>
            <w:hideMark/>
          </w:tcPr>
          <w:p w14:paraId="273B3392" w14:textId="77777777" w:rsidR="0035753E" w:rsidRPr="0035753E" w:rsidRDefault="0035753E" w:rsidP="0035753E">
            <w:pPr>
              <w:rPr>
                <w:b/>
                <w:bCs/>
              </w:rPr>
            </w:pPr>
            <w:r w:rsidRPr="0035753E">
              <w:rPr>
                <w:b/>
                <w:bCs/>
              </w:rPr>
              <w:t>Total Inflows</w:t>
            </w:r>
          </w:p>
        </w:tc>
        <w:tc>
          <w:tcPr>
            <w:tcW w:w="0" w:type="auto"/>
            <w:hideMark/>
          </w:tcPr>
          <w:p w14:paraId="25363B96" w14:textId="77777777" w:rsidR="0035753E" w:rsidRPr="0035753E" w:rsidRDefault="0035753E" w:rsidP="0035753E">
            <w:pPr>
              <w:rPr>
                <w:b/>
                <w:bCs/>
              </w:rPr>
            </w:pPr>
            <w:r w:rsidRPr="0035753E">
              <w:rPr>
                <w:b/>
                <w:bCs/>
              </w:rPr>
              <w:t>Total Profit</w:t>
            </w:r>
          </w:p>
        </w:tc>
        <w:tc>
          <w:tcPr>
            <w:tcW w:w="0" w:type="auto"/>
            <w:hideMark/>
          </w:tcPr>
          <w:p w14:paraId="2C98B146" w14:textId="77777777" w:rsidR="0035753E" w:rsidRPr="0035753E" w:rsidRDefault="0035753E" w:rsidP="0035753E">
            <w:pPr>
              <w:rPr>
                <w:b/>
                <w:bCs/>
              </w:rPr>
            </w:pPr>
            <w:r w:rsidRPr="0035753E">
              <w:rPr>
                <w:b/>
                <w:bCs/>
              </w:rPr>
              <w:t>Average Profit</w:t>
            </w:r>
          </w:p>
        </w:tc>
        <w:tc>
          <w:tcPr>
            <w:tcW w:w="0" w:type="auto"/>
            <w:hideMark/>
          </w:tcPr>
          <w:p w14:paraId="78D5A4B7" w14:textId="77777777" w:rsidR="0035753E" w:rsidRPr="0035753E" w:rsidRDefault="0035753E" w:rsidP="0035753E">
            <w:pPr>
              <w:rPr>
                <w:b/>
                <w:bCs/>
              </w:rPr>
            </w:pPr>
            <w:r w:rsidRPr="0035753E">
              <w:rPr>
                <w:b/>
                <w:bCs/>
              </w:rPr>
              <w:t>ARR (%)</w:t>
            </w:r>
          </w:p>
        </w:tc>
      </w:tr>
      <w:tr w:rsidR="0035753E" w:rsidRPr="0035753E" w14:paraId="299EA016" w14:textId="77777777" w:rsidTr="007C041A">
        <w:trPr>
          <w:trHeight w:val="507"/>
        </w:trPr>
        <w:tc>
          <w:tcPr>
            <w:tcW w:w="0" w:type="auto"/>
            <w:hideMark/>
          </w:tcPr>
          <w:p w14:paraId="6DFAF364" w14:textId="77777777" w:rsidR="0035753E" w:rsidRPr="0035753E" w:rsidRDefault="0035753E" w:rsidP="0035753E">
            <w:r w:rsidRPr="0035753E">
              <w:t>A</w:t>
            </w:r>
          </w:p>
        </w:tc>
        <w:tc>
          <w:tcPr>
            <w:tcW w:w="0" w:type="auto"/>
            <w:hideMark/>
          </w:tcPr>
          <w:p w14:paraId="4F583A2A" w14:textId="77777777" w:rsidR="0035753E" w:rsidRPr="0035753E" w:rsidRDefault="0035753E" w:rsidP="0035753E">
            <w:r w:rsidRPr="0035753E">
              <w:t>54</w:t>
            </w:r>
          </w:p>
        </w:tc>
        <w:tc>
          <w:tcPr>
            <w:tcW w:w="0" w:type="auto"/>
            <w:hideMark/>
          </w:tcPr>
          <w:p w14:paraId="06BC3A66" w14:textId="77777777" w:rsidR="0035753E" w:rsidRPr="0035753E" w:rsidRDefault="0035753E" w:rsidP="0035753E">
            <w:r w:rsidRPr="0035753E">
              <w:t>4</w:t>
            </w:r>
          </w:p>
        </w:tc>
        <w:tc>
          <w:tcPr>
            <w:tcW w:w="0" w:type="auto"/>
            <w:hideMark/>
          </w:tcPr>
          <w:p w14:paraId="7E19060F" w14:textId="77777777" w:rsidR="0035753E" w:rsidRPr="0035753E" w:rsidRDefault="0035753E" w:rsidP="0035753E">
            <w:r w:rsidRPr="0035753E">
              <w:t>0.8</w:t>
            </w:r>
          </w:p>
        </w:tc>
        <w:tc>
          <w:tcPr>
            <w:tcW w:w="0" w:type="auto"/>
            <w:hideMark/>
          </w:tcPr>
          <w:p w14:paraId="210A77B2" w14:textId="77777777" w:rsidR="0035753E" w:rsidRPr="0035753E" w:rsidRDefault="0035753E" w:rsidP="0035753E">
            <w:r w:rsidRPr="0035753E">
              <w:rPr>
                <w:b/>
                <w:bCs/>
              </w:rPr>
              <w:t>1.6%</w:t>
            </w:r>
          </w:p>
        </w:tc>
      </w:tr>
      <w:tr w:rsidR="0035753E" w:rsidRPr="0035753E" w14:paraId="7BFAACAE" w14:textId="77777777" w:rsidTr="007C041A">
        <w:trPr>
          <w:trHeight w:val="491"/>
        </w:trPr>
        <w:tc>
          <w:tcPr>
            <w:tcW w:w="0" w:type="auto"/>
            <w:hideMark/>
          </w:tcPr>
          <w:p w14:paraId="45703D37" w14:textId="77777777" w:rsidR="0035753E" w:rsidRPr="0035753E" w:rsidRDefault="0035753E" w:rsidP="0035753E">
            <w:r w:rsidRPr="0035753E">
              <w:t>B</w:t>
            </w:r>
          </w:p>
        </w:tc>
        <w:tc>
          <w:tcPr>
            <w:tcW w:w="0" w:type="auto"/>
            <w:hideMark/>
          </w:tcPr>
          <w:p w14:paraId="7DE93CEB" w14:textId="77777777" w:rsidR="0035753E" w:rsidRPr="0035753E" w:rsidRDefault="0035753E" w:rsidP="0035753E">
            <w:r w:rsidRPr="0035753E">
              <w:t>55</w:t>
            </w:r>
          </w:p>
        </w:tc>
        <w:tc>
          <w:tcPr>
            <w:tcW w:w="0" w:type="auto"/>
            <w:hideMark/>
          </w:tcPr>
          <w:p w14:paraId="77D310AF" w14:textId="77777777" w:rsidR="0035753E" w:rsidRPr="0035753E" w:rsidRDefault="0035753E" w:rsidP="0035753E">
            <w:r w:rsidRPr="0035753E">
              <w:t>5</w:t>
            </w:r>
          </w:p>
        </w:tc>
        <w:tc>
          <w:tcPr>
            <w:tcW w:w="0" w:type="auto"/>
            <w:hideMark/>
          </w:tcPr>
          <w:p w14:paraId="7733F997" w14:textId="77777777" w:rsidR="0035753E" w:rsidRPr="0035753E" w:rsidRDefault="0035753E" w:rsidP="0035753E">
            <w:r w:rsidRPr="0035753E">
              <w:t>1.0</w:t>
            </w:r>
          </w:p>
        </w:tc>
        <w:tc>
          <w:tcPr>
            <w:tcW w:w="0" w:type="auto"/>
            <w:hideMark/>
          </w:tcPr>
          <w:p w14:paraId="1FFB04FA" w14:textId="77777777" w:rsidR="0035753E" w:rsidRPr="0035753E" w:rsidRDefault="0035753E" w:rsidP="0035753E">
            <w:r w:rsidRPr="0035753E">
              <w:rPr>
                <w:b/>
                <w:bCs/>
              </w:rPr>
              <w:t>2.0%</w:t>
            </w:r>
          </w:p>
        </w:tc>
      </w:tr>
      <w:tr w:rsidR="0035753E" w:rsidRPr="0035753E" w14:paraId="6EC4DDD7" w14:textId="77777777" w:rsidTr="007C041A">
        <w:trPr>
          <w:trHeight w:val="507"/>
        </w:trPr>
        <w:tc>
          <w:tcPr>
            <w:tcW w:w="0" w:type="auto"/>
            <w:hideMark/>
          </w:tcPr>
          <w:p w14:paraId="5ABF8273" w14:textId="77777777" w:rsidR="0035753E" w:rsidRPr="0035753E" w:rsidRDefault="0035753E" w:rsidP="0035753E">
            <w:r w:rsidRPr="0035753E">
              <w:t>C</w:t>
            </w:r>
          </w:p>
        </w:tc>
        <w:tc>
          <w:tcPr>
            <w:tcW w:w="0" w:type="auto"/>
            <w:hideMark/>
          </w:tcPr>
          <w:p w14:paraId="7FFC5DB3" w14:textId="77777777" w:rsidR="0035753E" w:rsidRPr="0035753E" w:rsidRDefault="0035753E" w:rsidP="0035753E">
            <w:r w:rsidRPr="0035753E">
              <w:t>65</w:t>
            </w:r>
          </w:p>
        </w:tc>
        <w:tc>
          <w:tcPr>
            <w:tcW w:w="0" w:type="auto"/>
            <w:hideMark/>
          </w:tcPr>
          <w:p w14:paraId="0FA399C3" w14:textId="77777777" w:rsidR="0035753E" w:rsidRPr="0035753E" w:rsidRDefault="0035753E" w:rsidP="0035753E">
            <w:r w:rsidRPr="0035753E">
              <w:t>15</w:t>
            </w:r>
          </w:p>
        </w:tc>
        <w:tc>
          <w:tcPr>
            <w:tcW w:w="0" w:type="auto"/>
            <w:hideMark/>
          </w:tcPr>
          <w:p w14:paraId="124E7987" w14:textId="77777777" w:rsidR="0035753E" w:rsidRPr="0035753E" w:rsidRDefault="0035753E" w:rsidP="0035753E">
            <w:r w:rsidRPr="0035753E">
              <w:t>3.0</w:t>
            </w:r>
          </w:p>
        </w:tc>
        <w:tc>
          <w:tcPr>
            <w:tcW w:w="0" w:type="auto"/>
            <w:hideMark/>
          </w:tcPr>
          <w:p w14:paraId="6798DF8C" w14:textId="77777777" w:rsidR="0035753E" w:rsidRPr="0035753E" w:rsidRDefault="0035753E" w:rsidP="0035753E">
            <w:r w:rsidRPr="0035753E">
              <w:rPr>
                <w:b/>
                <w:bCs/>
              </w:rPr>
              <w:t>6.0%</w:t>
            </w:r>
          </w:p>
        </w:tc>
      </w:tr>
    </w:tbl>
    <w:p w14:paraId="7E64BF48" w14:textId="77777777" w:rsidR="00F113ED" w:rsidRDefault="0035753E" w:rsidP="00F113ED">
      <w:r w:rsidRPr="0035753E">
        <w:br/>
      </w:r>
      <w:r w:rsidR="00F113ED">
        <w:t>The ARR findings indicate clearly that Project C is much more profitable compared to Projects A and B. Its ARR of 6 is three times higher than Project B and almost four times higher than Project A.</w:t>
      </w:r>
    </w:p>
    <w:p w14:paraId="7A0B1C92" w14:textId="77777777" w:rsidR="00F113ED" w:rsidRDefault="00F113ED" w:rsidP="00F113ED">
      <w:r>
        <w:t>In the case of Toyota Industries Corporation, which now has rather low returns on equity, it is necessary to invest in a more accounting profitable project to enhance the financial performance. Project C has the best chance of generating higher profits and returns on stockholders.</w:t>
      </w:r>
    </w:p>
    <w:p w14:paraId="0383FABA" w14:textId="2D88E9DC" w:rsidR="0035753E" w:rsidRPr="0035753E" w:rsidRDefault="00F026E6" w:rsidP="00F113ED">
      <w:r w:rsidRPr="00F026E6">
        <w:t>However, ARR is not time-value-of-money sensitive and is based on accounting profit and not on real cash flows. So, although Project C seems very appealing, this approach is to be discussed with other approaches (Ravindhar, 2020).</w:t>
      </w:r>
    </w:p>
    <w:p w14:paraId="376A880C" w14:textId="77777777" w:rsidR="0035753E" w:rsidRPr="0035753E" w:rsidRDefault="0035753E" w:rsidP="00641C04">
      <w:pPr>
        <w:pStyle w:val="Heading2"/>
      </w:pPr>
      <w:bookmarkStart w:id="42" w:name="_Toc227885162"/>
      <w:r w:rsidRPr="0035753E">
        <w:lastRenderedPageBreak/>
        <w:t>4.4 Net Present Value (NPV)</w:t>
      </w:r>
      <w:bookmarkEnd w:id="42"/>
    </w:p>
    <w:p w14:paraId="0CF21565" w14:textId="77777777" w:rsidR="0035753E" w:rsidRPr="0035753E" w:rsidRDefault="0035753E" w:rsidP="0035753E">
      <w:pPr>
        <w:rPr>
          <w:b/>
          <w:bCs/>
        </w:rPr>
      </w:pPr>
      <w:r w:rsidRPr="0035753E">
        <w:rPr>
          <w:b/>
          <w:bCs/>
        </w:rPr>
        <w:t>Table 12. NPV Summary</w:t>
      </w:r>
    </w:p>
    <w:tbl>
      <w:tblPr>
        <w:tblStyle w:val="TableGrid"/>
        <w:tblW w:w="8952" w:type="dxa"/>
        <w:tblLook w:val="04A0" w:firstRow="1" w:lastRow="0" w:firstColumn="1" w:lastColumn="0" w:noHBand="0" w:noVBand="1"/>
      </w:tblPr>
      <w:tblGrid>
        <w:gridCol w:w="1752"/>
        <w:gridCol w:w="5018"/>
        <w:gridCol w:w="2182"/>
      </w:tblGrid>
      <w:tr w:rsidR="0035753E" w:rsidRPr="0035753E" w14:paraId="39D92EC2" w14:textId="77777777" w:rsidTr="007C041A">
        <w:trPr>
          <w:trHeight w:val="403"/>
        </w:trPr>
        <w:tc>
          <w:tcPr>
            <w:tcW w:w="0" w:type="auto"/>
            <w:hideMark/>
          </w:tcPr>
          <w:p w14:paraId="3E2B7FC9" w14:textId="77777777" w:rsidR="0035753E" w:rsidRPr="0035753E" w:rsidRDefault="0035753E" w:rsidP="0035753E">
            <w:pPr>
              <w:rPr>
                <w:b/>
                <w:bCs/>
              </w:rPr>
            </w:pPr>
            <w:r w:rsidRPr="0035753E">
              <w:rPr>
                <w:b/>
                <w:bCs/>
              </w:rPr>
              <w:t>Project</w:t>
            </w:r>
          </w:p>
        </w:tc>
        <w:tc>
          <w:tcPr>
            <w:tcW w:w="0" w:type="auto"/>
            <w:hideMark/>
          </w:tcPr>
          <w:p w14:paraId="25D20F6C" w14:textId="77777777" w:rsidR="0035753E" w:rsidRPr="0035753E" w:rsidRDefault="0035753E" w:rsidP="0035753E">
            <w:pPr>
              <w:rPr>
                <w:b/>
                <w:bCs/>
              </w:rPr>
            </w:pPr>
            <w:r w:rsidRPr="0035753E">
              <w:rPr>
                <w:b/>
                <w:bCs/>
              </w:rPr>
              <w:t>PV of Cash Inflows (£m)</w:t>
            </w:r>
          </w:p>
        </w:tc>
        <w:tc>
          <w:tcPr>
            <w:tcW w:w="0" w:type="auto"/>
            <w:hideMark/>
          </w:tcPr>
          <w:p w14:paraId="06A66E11" w14:textId="77777777" w:rsidR="0035753E" w:rsidRPr="0035753E" w:rsidRDefault="0035753E" w:rsidP="0035753E">
            <w:pPr>
              <w:rPr>
                <w:b/>
                <w:bCs/>
              </w:rPr>
            </w:pPr>
            <w:r w:rsidRPr="0035753E">
              <w:rPr>
                <w:b/>
                <w:bCs/>
              </w:rPr>
              <w:t>NPV (£m)</w:t>
            </w:r>
          </w:p>
        </w:tc>
      </w:tr>
      <w:tr w:rsidR="0035753E" w:rsidRPr="0035753E" w14:paraId="0DD1E718" w14:textId="77777777" w:rsidTr="007C041A">
        <w:trPr>
          <w:trHeight w:val="416"/>
        </w:trPr>
        <w:tc>
          <w:tcPr>
            <w:tcW w:w="0" w:type="auto"/>
            <w:hideMark/>
          </w:tcPr>
          <w:p w14:paraId="5BE3A53D" w14:textId="77777777" w:rsidR="0035753E" w:rsidRPr="0035753E" w:rsidRDefault="0035753E" w:rsidP="0035753E">
            <w:r w:rsidRPr="0035753E">
              <w:t>A</w:t>
            </w:r>
          </w:p>
        </w:tc>
        <w:tc>
          <w:tcPr>
            <w:tcW w:w="0" w:type="auto"/>
            <w:hideMark/>
          </w:tcPr>
          <w:p w14:paraId="4746EA0E" w14:textId="77777777" w:rsidR="0035753E" w:rsidRPr="0035753E" w:rsidRDefault="0035753E" w:rsidP="0035753E">
            <w:r w:rsidRPr="0035753E">
              <w:t>41.31</w:t>
            </w:r>
          </w:p>
        </w:tc>
        <w:tc>
          <w:tcPr>
            <w:tcW w:w="0" w:type="auto"/>
            <w:hideMark/>
          </w:tcPr>
          <w:p w14:paraId="068DED36" w14:textId="77777777" w:rsidR="0035753E" w:rsidRPr="0035753E" w:rsidRDefault="0035753E" w:rsidP="0035753E">
            <w:r w:rsidRPr="0035753E">
              <w:rPr>
                <w:b/>
                <w:bCs/>
              </w:rPr>
              <w:t>-8.69</w:t>
            </w:r>
          </w:p>
        </w:tc>
      </w:tr>
      <w:tr w:rsidR="0035753E" w:rsidRPr="0035753E" w14:paraId="3396D50D" w14:textId="77777777" w:rsidTr="007C041A">
        <w:trPr>
          <w:trHeight w:val="403"/>
        </w:trPr>
        <w:tc>
          <w:tcPr>
            <w:tcW w:w="0" w:type="auto"/>
            <w:hideMark/>
          </w:tcPr>
          <w:p w14:paraId="489B3938" w14:textId="77777777" w:rsidR="0035753E" w:rsidRPr="0035753E" w:rsidRDefault="0035753E" w:rsidP="0035753E">
            <w:r w:rsidRPr="0035753E">
              <w:t>B</w:t>
            </w:r>
          </w:p>
        </w:tc>
        <w:tc>
          <w:tcPr>
            <w:tcW w:w="0" w:type="auto"/>
            <w:hideMark/>
          </w:tcPr>
          <w:p w14:paraId="05EEE759" w14:textId="77777777" w:rsidR="0035753E" w:rsidRPr="0035753E" w:rsidRDefault="0035753E" w:rsidP="0035753E">
            <w:r w:rsidRPr="0035753E">
              <w:t>41.69</w:t>
            </w:r>
          </w:p>
        </w:tc>
        <w:tc>
          <w:tcPr>
            <w:tcW w:w="0" w:type="auto"/>
            <w:hideMark/>
          </w:tcPr>
          <w:p w14:paraId="392DF82E" w14:textId="77777777" w:rsidR="0035753E" w:rsidRPr="0035753E" w:rsidRDefault="0035753E" w:rsidP="0035753E">
            <w:r w:rsidRPr="0035753E">
              <w:rPr>
                <w:b/>
                <w:bCs/>
              </w:rPr>
              <w:t>-8.31</w:t>
            </w:r>
          </w:p>
        </w:tc>
      </w:tr>
      <w:tr w:rsidR="0035753E" w:rsidRPr="0035753E" w14:paraId="3A5B5F6F" w14:textId="77777777" w:rsidTr="007C041A">
        <w:trPr>
          <w:trHeight w:val="416"/>
        </w:trPr>
        <w:tc>
          <w:tcPr>
            <w:tcW w:w="0" w:type="auto"/>
            <w:hideMark/>
          </w:tcPr>
          <w:p w14:paraId="3C78337B" w14:textId="77777777" w:rsidR="0035753E" w:rsidRPr="0035753E" w:rsidRDefault="0035753E" w:rsidP="0035753E">
            <w:r w:rsidRPr="0035753E">
              <w:t>C</w:t>
            </w:r>
          </w:p>
        </w:tc>
        <w:tc>
          <w:tcPr>
            <w:tcW w:w="0" w:type="auto"/>
            <w:hideMark/>
          </w:tcPr>
          <w:p w14:paraId="6A5BD4C4" w14:textId="77777777" w:rsidR="0035753E" w:rsidRPr="0035753E" w:rsidRDefault="0035753E" w:rsidP="0035753E">
            <w:r w:rsidRPr="0035753E">
              <w:t>48.02</w:t>
            </w:r>
          </w:p>
        </w:tc>
        <w:tc>
          <w:tcPr>
            <w:tcW w:w="0" w:type="auto"/>
            <w:hideMark/>
          </w:tcPr>
          <w:p w14:paraId="5FFE504C" w14:textId="77777777" w:rsidR="0035753E" w:rsidRPr="0035753E" w:rsidRDefault="0035753E" w:rsidP="0035753E">
            <w:r w:rsidRPr="0035753E">
              <w:rPr>
                <w:b/>
                <w:bCs/>
              </w:rPr>
              <w:t>-1.98</w:t>
            </w:r>
          </w:p>
        </w:tc>
      </w:tr>
    </w:tbl>
    <w:p w14:paraId="2BA9D9E0" w14:textId="77777777" w:rsidR="00F026E6" w:rsidRDefault="0035753E" w:rsidP="00F026E6">
      <w:r w:rsidRPr="0035753E">
        <w:br/>
      </w:r>
      <w:r w:rsidR="00F026E6">
        <w:t>The NPV analysis shows that none of the three projects could reach the expected 10 percent return as these NPVs are negative. This implies that, at the current assumptions, none of the projects would add value to Toyota Industries Corporation.</w:t>
      </w:r>
    </w:p>
    <w:p w14:paraId="2E18282A" w14:textId="77777777" w:rsidR="00F026E6" w:rsidRDefault="00F026E6" w:rsidP="00F026E6">
      <w:r>
        <w:t>Project C is however, the least negative implying that it will lead to the least amount of value loss. Project B is a little better than Project A but nonetheless much less appealing than Project C.</w:t>
      </w:r>
    </w:p>
    <w:p w14:paraId="1FCBC783" w14:textId="10AFC3F7" w:rsidR="0035753E" w:rsidRPr="0035753E" w:rsidRDefault="00F026E6" w:rsidP="00F026E6">
      <w:r>
        <w:t xml:space="preserve">NPV is the most significant decision-making tool in the case of Toyota Industries Corporation. Thus, Project C is the most financially acceptable project, although all projects are under the necessary threshold (Fantozzi, Colleluori and Schiraldi, 2025). The company can also think of adjusting the assumptions or cutting on the cost </w:t>
      </w:r>
      <w:r w:rsidR="0089061F">
        <w:t>to</w:t>
      </w:r>
      <w:r>
        <w:t xml:space="preserve"> enhance the viability of the project.</w:t>
      </w:r>
    </w:p>
    <w:p w14:paraId="27CBD604" w14:textId="77777777" w:rsidR="0035753E" w:rsidRDefault="0035753E" w:rsidP="00641C04">
      <w:pPr>
        <w:pStyle w:val="Heading2"/>
      </w:pPr>
      <w:bookmarkStart w:id="43" w:name="_Toc227885163"/>
      <w:r w:rsidRPr="0035753E">
        <w:t>4.5 Profitability Index (PI)</w:t>
      </w:r>
      <w:bookmarkEnd w:id="43"/>
    </w:p>
    <w:p w14:paraId="04F51F08" w14:textId="4A61F6B2" w:rsidR="00C10EB4" w:rsidRPr="00C10EB4" w:rsidRDefault="00C10EB4" w:rsidP="00C10EB4">
      <m:oMathPara>
        <m:oMath>
          <m:r>
            <w:rPr>
              <w:rFonts w:ascii="Cambria Math" w:hAnsi="Cambria Math"/>
            </w:rPr>
            <m:t>PI=</m:t>
          </m:r>
          <m:f>
            <m:fPr>
              <m:ctrlPr>
                <w:rPr>
                  <w:rFonts w:ascii="Cambria Math" w:hAnsi="Cambria Math"/>
                </w:rPr>
              </m:ctrlPr>
            </m:fPr>
            <m:num>
              <m:r>
                <m:rPr>
                  <m:nor/>
                </m:rPr>
                <m:t>PV of Cash Inflows</m:t>
              </m:r>
            </m:num>
            <m:den>
              <m:r>
                <m:rPr>
                  <m:nor/>
                </m:rPr>
                <m:t>Initial Investment</m:t>
              </m:r>
            </m:den>
          </m:f>
          <m:r>
            <m:rPr>
              <m:sty m:val="p"/>
            </m:rPr>
            <w:br/>
          </m:r>
        </m:oMath>
      </m:oMathPara>
    </w:p>
    <w:p w14:paraId="51DE2D8C" w14:textId="77777777" w:rsidR="0035753E" w:rsidRPr="0035753E" w:rsidRDefault="0035753E" w:rsidP="0035753E">
      <w:pPr>
        <w:rPr>
          <w:b/>
          <w:bCs/>
        </w:rPr>
      </w:pPr>
      <w:r w:rsidRPr="0035753E">
        <w:rPr>
          <w:b/>
          <w:bCs/>
        </w:rPr>
        <w:t>Table 13. Profitability Index</w:t>
      </w:r>
    </w:p>
    <w:tbl>
      <w:tblPr>
        <w:tblStyle w:val="TableGrid"/>
        <w:tblW w:w="8996" w:type="dxa"/>
        <w:tblLook w:val="04A0" w:firstRow="1" w:lastRow="0" w:firstColumn="1" w:lastColumn="0" w:noHBand="0" w:noVBand="1"/>
      </w:tblPr>
      <w:tblGrid>
        <w:gridCol w:w="5406"/>
        <w:gridCol w:w="3590"/>
      </w:tblGrid>
      <w:tr w:rsidR="0035753E" w:rsidRPr="0035753E" w14:paraId="05F01FEE" w14:textId="77777777" w:rsidTr="007C041A">
        <w:trPr>
          <w:trHeight w:val="374"/>
        </w:trPr>
        <w:tc>
          <w:tcPr>
            <w:tcW w:w="0" w:type="auto"/>
            <w:hideMark/>
          </w:tcPr>
          <w:p w14:paraId="53862262" w14:textId="77777777" w:rsidR="0035753E" w:rsidRPr="0035753E" w:rsidRDefault="0035753E" w:rsidP="0035753E">
            <w:pPr>
              <w:rPr>
                <w:b/>
                <w:bCs/>
              </w:rPr>
            </w:pPr>
            <w:r w:rsidRPr="0035753E">
              <w:rPr>
                <w:b/>
                <w:bCs/>
              </w:rPr>
              <w:t>Project</w:t>
            </w:r>
          </w:p>
        </w:tc>
        <w:tc>
          <w:tcPr>
            <w:tcW w:w="0" w:type="auto"/>
            <w:hideMark/>
          </w:tcPr>
          <w:p w14:paraId="5BE1F13A" w14:textId="77777777" w:rsidR="0035753E" w:rsidRPr="0035753E" w:rsidRDefault="0035753E" w:rsidP="0035753E">
            <w:pPr>
              <w:rPr>
                <w:b/>
                <w:bCs/>
              </w:rPr>
            </w:pPr>
            <w:r w:rsidRPr="0035753E">
              <w:rPr>
                <w:b/>
                <w:bCs/>
              </w:rPr>
              <w:t>PI</w:t>
            </w:r>
          </w:p>
        </w:tc>
      </w:tr>
      <w:tr w:rsidR="0035753E" w:rsidRPr="0035753E" w14:paraId="087C40DA" w14:textId="77777777" w:rsidTr="007C041A">
        <w:trPr>
          <w:trHeight w:val="387"/>
        </w:trPr>
        <w:tc>
          <w:tcPr>
            <w:tcW w:w="0" w:type="auto"/>
            <w:hideMark/>
          </w:tcPr>
          <w:p w14:paraId="6805A97A" w14:textId="77777777" w:rsidR="0035753E" w:rsidRPr="0035753E" w:rsidRDefault="0035753E" w:rsidP="0035753E">
            <w:r w:rsidRPr="0035753E">
              <w:t>A</w:t>
            </w:r>
          </w:p>
        </w:tc>
        <w:tc>
          <w:tcPr>
            <w:tcW w:w="0" w:type="auto"/>
            <w:hideMark/>
          </w:tcPr>
          <w:p w14:paraId="3C439A1E" w14:textId="77777777" w:rsidR="0035753E" w:rsidRPr="0035753E" w:rsidRDefault="0035753E" w:rsidP="0035753E">
            <w:r w:rsidRPr="0035753E">
              <w:t>0.83</w:t>
            </w:r>
          </w:p>
        </w:tc>
      </w:tr>
      <w:tr w:rsidR="0035753E" w:rsidRPr="0035753E" w14:paraId="5D6BFE86" w14:textId="77777777" w:rsidTr="007C041A">
        <w:trPr>
          <w:trHeight w:val="374"/>
        </w:trPr>
        <w:tc>
          <w:tcPr>
            <w:tcW w:w="0" w:type="auto"/>
            <w:hideMark/>
          </w:tcPr>
          <w:p w14:paraId="21D09768" w14:textId="77777777" w:rsidR="0035753E" w:rsidRPr="0035753E" w:rsidRDefault="0035753E" w:rsidP="0035753E">
            <w:r w:rsidRPr="0035753E">
              <w:t>B</w:t>
            </w:r>
          </w:p>
        </w:tc>
        <w:tc>
          <w:tcPr>
            <w:tcW w:w="0" w:type="auto"/>
            <w:hideMark/>
          </w:tcPr>
          <w:p w14:paraId="5A4D2AB3" w14:textId="77777777" w:rsidR="0035753E" w:rsidRPr="0035753E" w:rsidRDefault="0035753E" w:rsidP="0035753E">
            <w:r w:rsidRPr="0035753E">
              <w:t>0.83</w:t>
            </w:r>
          </w:p>
        </w:tc>
      </w:tr>
      <w:tr w:rsidR="0035753E" w:rsidRPr="0035753E" w14:paraId="762DD050" w14:textId="77777777" w:rsidTr="007C041A">
        <w:trPr>
          <w:trHeight w:val="387"/>
        </w:trPr>
        <w:tc>
          <w:tcPr>
            <w:tcW w:w="0" w:type="auto"/>
            <w:hideMark/>
          </w:tcPr>
          <w:p w14:paraId="1310514B" w14:textId="77777777" w:rsidR="0035753E" w:rsidRPr="0035753E" w:rsidRDefault="0035753E" w:rsidP="0035753E">
            <w:r w:rsidRPr="0035753E">
              <w:t>C</w:t>
            </w:r>
          </w:p>
        </w:tc>
        <w:tc>
          <w:tcPr>
            <w:tcW w:w="0" w:type="auto"/>
            <w:hideMark/>
          </w:tcPr>
          <w:p w14:paraId="740B7253" w14:textId="77777777" w:rsidR="0035753E" w:rsidRPr="0035753E" w:rsidRDefault="0035753E" w:rsidP="0035753E">
            <w:r w:rsidRPr="0035753E">
              <w:rPr>
                <w:b/>
                <w:bCs/>
              </w:rPr>
              <w:t>0.96</w:t>
            </w:r>
          </w:p>
        </w:tc>
      </w:tr>
    </w:tbl>
    <w:p w14:paraId="0EE7EC5A" w14:textId="77777777" w:rsidR="00F026E6" w:rsidRDefault="0035753E" w:rsidP="00F026E6">
      <w:r w:rsidRPr="0035753E">
        <w:br/>
      </w:r>
      <w:r w:rsidR="00F026E6">
        <w:t xml:space="preserve">The Profitability Index verifies that Project C is the best use of capital. The PI of 0.96 </w:t>
      </w:r>
      <w:r w:rsidR="00F026E6">
        <w:lastRenderedPageBreak/>
        <w:t>means that on a 1:1 investment in Project C, the project will pay back in terms of the present value of 0.96 which is more than other projects.</w:t>
      </w:r>
    </w:p>
    <w:p w14:paraId="72169FEB" w14:textId="2EB7656F" w:rsidR="0035753E" w:rsidRPr="0035753E" w:rsidRDefault="00991DEC" w:rsidP="00F026E6">
      <w:r w:rsidRPr="00991DEC">
        <w:t xml:space="preserve">Even though all PI values are less than 1 (value loss), Project C is the best performer again. In the case of Toyota Industries Corporation that </w:t>
      </w:r>
      <w:proofErr w:type="gramStart"/>
      <w:r w:rsidRPr="00991DEC">
        <w:t>has to</w:t>
      </w:r>
      <w:proofErr w:type="gramEnd"/>
      <w:r w:rsidRPr="00991DEC">
        <w:t xml:space="preserve"> operate with limited resources, it is crucial to choose the project that would be the most efficient (Minh, 2023).</w:t>
      </w:r>
    </w:p>
    <w:p w14:paraId="08E02EA4" w14:textId="77777777" w:rsidR="0035753E" w:rsidRPr="0035753E" w:rsidRDefault="0035753E" w:rsidP="00641C04">
      <w:pPr>
        <w:pStyle w:val="Heading2"/>
      </w:pPr>
      <w:bookmarkStart w:id="44" w:name="_Toc227885164"/>
      <w:r w:rsidRPr="0035753E">
        <w:t>4.6 Internal Rate of Return (IRR)</w:t>
      </w:r>
      <w:bookmarkEnd w:id="44"/>
    </w:p>
    <w:p w14:paraId="1B6A115D" w14:textId="77777777" w:rsidR="0035753E" w:rsidRPr="0035753E" w:rsidRDefault="0035753E" w:rsidP="0035753E">
      <w:pPr>
        <w:rPr>
          <w:b/>
          <w:bCs/>
        </w:rPr>
      </w:pPr>
      <w:r w:rsidRPr="0035753E">
        <w:rPr>
          <w:b/>
          <w:bCs/>
        </w:rPr>
        <w:t>Table 14. IRR Comparison</w:t>
      </w:r>
    </w:p>
    <w:tbl>
      <w:tblPr>
        <w:tblStyle w:val="TableGrid"/>
        <w:tblW w:w="8891" w:type="dxa"/>
        <w:tblLook w:val="04A0" w:firstRow="1" w:lastRow="0" w:firstColumn="1" w:lastColumn="0" w:noHBand="0" w:noVBand="1"/>
      </w:tblPr>
      <w:tblGrid>
        <w:gridCol w:w="4924"/>
        <w:gridCol w:w="3967"/>
      </w:tblGrid>
      <w:tr w:rsidR="0035753E" w:rsidRPr="0035753E" w14:paraId="654503D2" w14:textId="77777777" w:rsidTr="007C041A">
        <w:trPr>
          <w:trHeight w:val="447"/>
        </w:trPr>
        <w:tc>
          <w:tcPr>
            <w:tcW w:w="0" w:type="auto"/>
            <w:hideMark/>
          </w:tcPr>
          <w:p w14:paraId="4F28D0B6" w14:textId="77777777" w:rsidR="0035753E" w:rsidRPr="0035753E" w:rsidRDefault="0035753E" w:rsidP="0035753E">
            <w:pPr>
              <w:rPr>
                <w:b/>
                <w:bCs/>
              </w:rPr>
            </w:pPr>
            <w:r w:rsidRPr="0035753E">
              <w:rPr>
                <w:b/>
                <w:bCs/>
              </w:rPr>
              <w:t>Project</w:t>
            </w:r>
          </w:p>
        </w:tc>
        <w:tc>
          <w:tcPr>
            <w:tcW w:w="0" w:type="auto"/>
            <w:hideMark/>
          </w:tcPr>
          <w:p w14:paraId="6BDBAB3C" w14:textId="77777777" w:rsidR="0035753E" w:rsidRPr="0035753E" w:rsidRDefault="0035753E" w:rsidP="0035753E">
            <w:pPr>
              <w:rPr>
                <w:b/>
                <w:bCs/>
              </w:rPr>
            </w:pPr>
            <w:r w:rsidRPr="0035753E">
              <w:rPr>
                <w:b/>
                <w:bCs/>
              </w:rPr>
              <w:t>IRR</w:t>
            </w:r>
          </w:p>
        </w:tc>
      </w:tr>
      <w:tr w:rsidR="0035753E" w:rsidRPr="0035753E" w14:paraId="504BF25C" w14:textId="77777777" w:rsidTr="007C041A">
        <w:trPr>
          <w:trHeight w:val="461"/>
        </w:trPr>
        <w:tc>
          <w:tcPr>
            <w:tcW w:w="0" w:type="auto"/>
            <w:hideMark/>
          </w:tcPr>
          <w:p w14:paraId="23B08634" w14:textId="77777777" w:rsidR="0035753E" w:rsidRPr="0035753E" w:rsidRDefault="0035753E" w:rsidP="0035753E">
            <w:r w:rsidRPr="0035753E">
              <w:t>A</w:t>
            </w:r>
          </w:p>
        </w:tc>
        <w:tc>
          <w:tcPr>
            <w:tcW w:w="0" w:type="auto"/>
            <w:hideMark/>
          </w:tcPr>
          <w:p w14:paraId="4619367B" w14:textId="77777777" w:rsidR="0035753E" w:rsidRPr="0035753E" w:rsidRDefault="0035753E" w:rsidP="0035753E">
            <w:r w:rsidRPr="0035753E">
              <w:t>6–7%</w:t>
            </w:r>
          </w:p>
        </w:tc>
      </w:tr>
      <w:tr w:rsidR="0035753E" w:rsidRPr="0035753E" w14:paraId="054CEC42" w14:textId="77777777" w:rsidTr="007C041A">
        <w:trPr>
          <w:trHeight w:val="447"/>
        </w:trPr>
        <w:tc>
          <w:tcPr>
            <w:tcW w:w="0" w:type="auto"/>
            <w:hideMark/>
          </w:tcPr>
          <w:p w14:paraId="0C9D9FEC" w14:textId="77777777" w:rsidR="0035753E" w:rsidRPr="0035753E" w:rsidRDefault="0035753E" w:rsidP="0035753E">
            <w:r w:rsidRPr="0035753E">
              <w:t>B</w:t>
            </w:r>
          </w:p>
        </w:tc>
        <w:tc>
          <w:tcPr>
            <w:tcW w:w="0" w:type="auto"/>
            <w:hideMark/>
          </w:tcPr>
          <w:p w14:paraId="160CD4D0" w14:textId="77777777" w:rsidR="0035753E" w:rsidRPr="0035753E" w:rsidRDefault="0035753E" w:rsidP="0035753E">
            <w:r w:rsidRPr="0035753E">
              <w:t>~7%</w:t>
            </w:r>
          </w:p>
        </w:tc>
      </w:tr>
      <w:tr w:rsidR="0035753E" w:rsidRPr="0035753E" w14:paraId="30F603BD" w14:textId="77777777" w:rsidTr="007C041A">
        <w:trPr>
          <w:trHeight w:val="461"/>
        </w:trPr>
        <w:tc>
          <w:tcPr>
            <w:tcW w:w="0" w:type="auto"/>
            <w:hideMark/>
          </w:tcPr>
          <w:p w14:paraId="73105865" w14:textId="77777777" w:rsidR="0035753E" w:rsidRPr="0035753E" w:rsidRDefault="0035753E" w:rsidP="0035753E">
            <w:r w:rsidRPr="0035753E">
              <w:t>C</w:t>
            </w:r>
          </w:p>
        </w:tc>
        <w:tc>
          <w:tcPr>
            <w:tcW w:w="0" w:type="auto"/>
            <w:hideMark/>
          </w:tcPr>
          <w:p w14:paraId="551C1247" w14:textId="77777777" w:rsidR="0035753E" w:rsidRPr="0035753E" w:rsidRDefault="0035753E" w:rsidP="0035753E">
            <w:r w:rsidRPr="0035753E">
              <w:rPr>
                <w:b/>
                <w:bCs/>
              </w:rPr>
              <w:t>~9%</w:t>
            </w:r>
          </w:p>
        </w:tc>
      </w:tr>
    </w:tbl>
    <w:p w14:paraId="1D740D1B" w14:textId="77777777" w:rsidR="00991DEC" w:rsidRDefault="0035753E" w:rsidP="00991DEC">
      <w:r w:rsidRPr="0035753E">
        <w:br/>
      </w:r>
      <w:r w:rsidR="00991DEC">
        <w:t>The conclusions of the earlier methods are supported by the IRR results. Project C has the largest IRR, thus, the nearest to 10% which is the required return.</w:t>
      </w:r>
    </w:p>
    <w:p w14:paraId="6033A2C1" w14:textId="08277AFC" w:rsidR="0035753E" w:rsidRPr="0035753E" w:rsidRDefault="00991DEC" w:rsidP="00991DEC">
      <w:r>
        <w:t>Projects A and B are much lower than this threshold and are thus less appealing. In the case of Toyota industries corporation, this indicates that Project C has the best potential payoff as compared to its cost of capital though it fails to achieve the target (Tonny and Nekesa, 2022).</w:t>
      </w:r>
    </w:p>
    <w:p w14:paraId="32D6F8C5" w14:textId="77777777" w:rsidR="0035753E" w:rsidRPr="0035753E" w:rsidRDefault="0035753E" w:rsidP="00641C04">
      <w:pPr>
        <w:pStyle w:val="Heading2"/>
      </w:pPr>
      <w:bookmarkStart w:id="45" w:name="_Toc227885165"/>
      <w:r w:rsidRPr="0035753E">
        <w:t>4.7 Overall Comparison</w:t>
      </w:r>
      <w:bookmarkEnd w:id="45"/>
    </w:p>
    <w:p w14:paraId="7C1266D8" w14:textId="77777777" w:rsidR="0035753E" w:rsidRPr="0035753E" w:rsidRDefault="0035753E" w:rsidP="0035753E">
      <w:pPr>
        <w:rPr>
          <w:b/>
          <w:bCs/>
        </w:rPr>
      </w:pPr>
      <w:r w:rsidRPr="0035753E">
        <w:rPr>
          <w:b/>
          <w:bCs/>
        </w:rPr>
        <w:t>Table 15. Project Ranking</w:t>
      </w:r>
    </w:p>
    <w:tbl>
      <w:tblPr>
        <w:tblStyle w:val="TableGrid"/>
        <w:tblW w:w="9043" w:type="dxa"/>
        <w:tblLook w:val="04A0" w:firstRow="1" w:lastRow="0" w:firstColumn="1" w:lastColumn="0" w:noHBand="0" w:noVBand="1"/>
      </w:tblPr>
      <w:tblGrid>
        <w:gridCol w:w="3733"/>
        <w:gridCol w:w="5310"/>
      </w:tblGrid>
      <w:tr w:rsidR="0035753E" w:rsidRPr="0035753E" w14:paraId="21AC73B1" w14:textId="77777777" w:rsidTr="00C10EB4">
        <w:trPr>
          <w:trHeight w:val="444"/>
        </w:trPr>
        <w:tc>
          <w:tcPr>
            <w:tcW w:w="0" w:type="auto"/>
            <w:hideMark/>
          </w:tcPr>
          <w:p w14:paraId="69005F08" w14:textId="77777777" w:rsidR="0035753E" w:rsidRPr="0035753E" w:rsidRDefault="0035753E" w:rsidP="0035753E">
            <w:pPr>
              <w:rPr>
                <w:b/>
                <w:bCs/>
              </w:rPr>
            </w:pPr>
            <w:r w:rsidRPr="0035753E">
              <w:rPr>
                <w:b/>
                <w:bCs/>
              </w:rPr>
              <w:t>Method</w:t>
            </w:r>
          </w:p>
        </w:tc>
        <w:tc>
          <w:tcPr>
            <w:tcW w:w="0" w:type="auto"/>
            <w:hideMark/>
          </w:tcPr>
          <w:p w14:paraId="4E4AABC5" w14:textId="77777777" w:rsidR="0035753E" w:rsidRPr="0035753E" w:rsidRDefault="0035753E" w:rsidP="0035753E">
            <w:pPr>
              <w:rPr>
                <w:b/>
                <w:bCs/>
              </w:rPr>
            </w:pPr>
            <w:r w:rsidRPr="0035753E">
              <w:rPr>
                <w:b/>
                <w:bCs/>
              </w:rPr>
              <w:t>Best Project</w:t>
            </w:r>
          </w:p>
        </w:tc>
      </w:tr>
      <w:tr w:rsidR="0035753E" w:rsidRPr="0035753E" w14:paraId="796426C8" w14:textId="77777777" w:rsidTr="00C10EB4">
        <w:trPr>
          <w:trHeight w:val="459"/>
        </w:trPr>
        <w:tc>
          <w:tcPr>
            <w:tcW w:w="0" w:type="auto"/>
            <w:hideMark/>
          </w:tcPr>
          <w:p w14:paraId="6FDF1FF2" w14:textId="77777777" w:rsidR="0035753E" w:rsidRPr="0035753E" w:rsidRDefault="0035753E" w:rsidP="0035753E">
            <w:r w:rsidRPr="0035753E">
              <w:t>Payback</w:t>
            </w:r>
          </w:p>
        </w:tc>
        <w:tc>
          <w:tcPr>
            <w:tcW w:w="0" w:type="auto"/>
            <w:hideMark/>
          </w:tcPr>
          <w:p w14:paraId="5DD96E2A" w14:textId="77777777" w:rsidR="0035753E" w:rsidRPr="0035753E" w:rsidRDefault="0035753E" w:rsidP="0035753E">
            <w:r w:rsidRPr="0035753E">
              <w:t>C</w:t>
            </w:r>
          </w:p>
        </w:tc>
      </w:tr>
      <w:tr w:rsidR="0035753E" w:rsidRPr="0035753E" w14:paraId="6E6EEA75" w14:textId="77777777" w:rsidTr="00C10EB4">
        <w:trPr>
          <w:trHeight w:val="444"/>
        </w:trPr>
        <w:tc>
          <w:tcPr>
            <w:tcW w:w="0" w:type="auto"/>
            <w:hideMark/>
          </w:tcPr>
          <w:p w14:paraId="1230CB95" w14:textId="77777777" w:rsidR="0035753E" w:rsidRPr="0035753E" w:rsidRDefault="0035753E" w:rsidP="0035753E">
            <w:r w:rsidRPr="0035753E">
              <w:t>ARR</w:t>
            </w:r>
          </w:p>
        </w:tc>
        <w:tc>
          <w:tcPr>
            <w:tcW w:w="0" w:type="auto"/>
            <w:hideMark/>
          </w:tcPr>
          <w:p w14:paraId="74FECF98" w14:textId="77777777" w:rsidR="0035753E" w:rsidRPr="0035753E" w:rsidRDefault="0035753E" w:rsidP="0035753E">
            <w:r w:rsidRPr="0035753E">
              <w:t>C</w:t>
            </w:r>
          </w:p>
        </w:tc>
      </w:tr>
      <w:tr w:rsidR="0035753E" w:rsidRPr="0035753E" w14:paraId="4711782C" w14:textId="77777777" w:rsidTr="00C10EB4">
        <w:trPr>
          <w:trHeight w:val="459"/>
        </w:trPr>
        <w:tc>
          <w:tcPr>
            <w:tcW w:w="0" w:type="auto"/>
            <w:hideMark/>
          </w:tcPr>
          <w:p w14:paraId="30258E9B" w14:textId="77777777" w:rsidR="0035753E" w:rsidRPr="0035753E" w:rsidRDefault="0035753E" w:rsidP="0035753E">
            <w:r w:rsidRPr="0035753E">
              <w:t>NPV</w:t>
            </w:r>
          </w:p>
        </w:tc>
        <w:tc>
          <w:tcPr>
            <w:tcW w:w="0" w:type="auto"/>
            <w:hideMark/>
          </w:tcPr>
          <w:p w14:paraId="2BDC8CC7" w14:textId="77777777" w:rsidR="0035753E" w:rsidRPr="0035753E" w:rsidRDefault="0035753E" w:rsidP="0035753E">
            <w:r w:rsidRPr="0035753E">
              <w:t>C</w:t>
            </w:r>
          </w:p>
        </w:tc>
      </w:tr>
      <w:tr w:rsidR="0035753E" w:rsidRPr="0035753E" w14:paraId="7966B912" w14:textId="77777777" w:rsidTr="00C10EB4">
        <w:trPr>
          <w:trHeight w:val="444"/>
        </w:trPr>
        <w:tc>
          <w:tcPr>
            <w:tcW w:w="0" w:type="auto"/>
            <w:hideMark/>
          </w:tcPr>
          <w:p w14:paraId="043C0D93" w14:textId="77777777" w:rsidR="0035753E" w:rsidRPr="0035753E" w:rsidRDefault="0035753E" w:rsidP="0035753E">
            <w:r w:rsidRPr="0035753E">
              <w:t>PI</w:t>
            </w:r>
          </w:p>
        </w:tc>
        <w:tc>
          <w:tcPr>
            <w:tcW w:w="0" w:type="auto"/>
            <w:hideMark/>
          </w:tcPr>
          <w:p w14:paraId="0EE16EDC" w14:textId="77777777" w:rsidR="0035753E" w:rsidRPr="0035753E" w:rsidRDefault="0035753E" w:rsidP="0035753E">
            <w:r w:rsidRPr="0035753E">
              <w:t>C</w:t>
            </w:r>
          </w:p>
        </w:tc>
      </w:tr>
      <w:tr w:rsidR="0035753E" w:rsidRPr="0035753E" w14:paraId="4490D27C" w14:textId="77777777" w:rsidTr="00C10EB4">
        <w:trPr>
          <w:trHeight w:val="459"/>
        </w:trPr>
        <w:tc>
          <w:tcPr>
            <w:tcW w:w="0" w:type="auto"/>
            <w:hideMark/>
          </w:tcPr>
          <w:p w14:paraId="74D6EEDB" w14:textId="77777777" w:rsidR="0035753E" w:rsidRPr="0035753E" w:rsidRDefault="0035753E" w:rsidP="0035753E">
            <w:r w:rsidRPr="0035753E">
              <w:t>IRR</w:t>
            </w:r>
          </w:p>
        </w:tc>
        <w:tc>
          <w:tcPr>
            <w:tcW w:w="0" w:type="auto"/>
            <w:hideMark/>
          </w:tcPr>
          <w:p w14:paraId="7496498E" w14:textId="77777777" w:rsidR="0035753E" w:rsidRPr="0035753E" w:rsidRDefault="0035753E" w:rsidP="0035753E">
            <w:r w:rsidRPr="0035753E">
              <w:t>C</w:t>
            </w:r>
          </w:p>
        </w:tc>
      </w:tr>
    </w:tbl>
    <w:p w14:paraId="2CF81A41" w14:textId="77777777" w:rsidR="0089061F" w:rsidRDefault="0089061F" w:rsidP="0089061F">
      <w:r>
        <w:lastRenderedPageBreak/>
        <w:t>Project C is the best project under all the evaluation techniques such as Payback Period, ARR, NPV, PI and IRR. Such a high degree of consistency enhances the validity of the analysis and gives a lot of confidence in the decision-making process. It shows that Project C is not only doing well in terms of profitability but also in terms of the key financial criteria, which include efficiency and potential of returns.</w:t>
      </w:r>
    </w:p>
    <w:p w14:paraId="0C56C90A" w14:textId="4513EF3A" w:rsidR="0035753E" w:rsidRPr="0035753E" w:rsidRDefault="0089061F" w:rsidP="0089061F">
      <w:r>
        <w:t>Project B has fairly good performance because the cash flows are stable and predictable, hence a lower risk choice. It is however not very profitable as compared to Project C and hence, it has the lowest returns and the slowest recovery. In the case of Toyota Industries Corporation, the comparison shows conclusively that Project C is the best project that meets its financial objectives.</w:t>
      </w:r>
    </w:p>
    <w:p w14:paraId="463D1CDA" w14:textId="77777777" w:rsidR="0035753E" w:rsidRPr="0035753E" w:rsidRDefault="0035753E" w:rsidP="00641C04">
      <w:pPr>
        <w:pStyle w:val="Heading2"/>
      </w:pPr>
      <w:bookmarkStart w:id="46" w:name="_Toc227885166"/>
      <w:r w:rsidRPr="0035753E">
        <w:t>4.8 Capital Rationing Decision</w:t>
      </w:r>
      <w:bookmarkEnd w:id="46"/>
    </w:p>
    <w:p w14:paraId="3188B4A2" w14:textId="77777777" w:rsidR="0035753E" w:rsidRPr="0035753E" w:rsidRDefault="0035753E" w:rsidP="0035753E">
      <w:pPr>
        <w:rPr>
          <w:b/>
          <w:bCs/>
        </w:rPr>
      </w:pPr>
      <w:r w:rsidRPr="0035753E">
        <w:rPr>
          <w:b/>
          <w:bCs/>
        </w:rPr>
        <w:t>Table 16. Capital Rationing (£100m)</w:t>
      </w:r>
    </w:p>
    <w:tbl>
      <w:tblPr>
        <w:tblStyle w:val="TableGrid"/>
        <w:tblW w:w="8981" w:type="dxa"/>
        <w:tblLook w:val="04A0" w:firstRow="1" w:lastRow="0" w:firstColumn="1" w:lastColumn="0" w:noHBand="0" w:noVBand="1"/>
      </w:tblPr>
      <w:tblGrid>
        <w:gridCol w:w="4472"/>
        <w:gridCol w:w="4509"/>
      </w:tblGrid>
      <w:tr w:rsidR="0035753E" w:rsidRPr="0035753E" w14:paraId="0CE1C283" w14:textId="77777777" w:rsidTr="00641C04">
        <w:trPr>
          <w:trHeight w:val="443"/>
        </w:trPr>
        <w:tc>
          <w:tcPr>
            <w:tcW w:w="0" w:type="auto"/>
            <w:hideMark/>
          </w:tcPr>
          <w:p w14:paraId="648671BB" w14:textId="77777777" w:rsidR="0035753E" w:rsidRPr="0035753E" w:rsidRDefault="0035753E" w:rsidP="0035753E">
            <w:pPr>
              <w:rPr>
                <w:b/>
                <w:bCs/>
              </w:rPr>
            </w:pPr>
            <w:r w:rsidRPr="0035753E">
              <w:rPr>
                <w:b/>
                <w:bCs/>
              </w:rPr>
              <w:t>Combination</w:t>
            </w:r>
          </w:p>
        </w:tc>
        <w:tc>
          <w:tcPr>
            <w:tcW w:w="0" w:type="auto"/>
            <w:hideMark/>
          </w:tcPr>
          <w:p w14:paraId="14C60CB2" w14:textId="77777777" w:rsidR="0035753E" w:rsidRPr="0035753E" w:rsidRDefault="0035753E" w:rsidP="0035753E">
            <w:pPr>
              <w:rPr>
                <w:b/>
                <w:bCs/>
              </w:rPr>
            </w:pPr>
            <w:r w:rsidRPr="0035753E">
              <w:rPr>
                <w:b/>
                <w:bCs/>
              </w:rPr>
              <w:t>Evaluation</w:t>
            </w:r>
          </w:p>
        </w:tc>
      </w:tr>
      <w:tr w:rsidR="0035753E" w:rsidRPr="0035753E" w14:paraId="4B94A98A" w14:textId="77777777" w:rsidTr="00641C04">
        <w:trPr>
          <w:trHeight w:val="457"/>
        </w:trPr>
        <w:tc>
          <w:tcPr>
            <w:tcW w:w="0" w:type="auto"/>
            <w:hideMark/>
          </w:tcPr>
          <w:p w14:paraId="4BEFD7C2" w14:textId="77777777" w:rsidR="0035753E" w:rsidRPr="0035753E" w:rsidRDefault="0035753E" w:rsidP="0035753E">
            <w:r w:rsidRPr="0035753E">
              <w:t>A + B</w:t>
            </w:r>
          </w:p>
        </w:tc>
        <w:tc>
          <w:tcPr>
            <w:tcW w:w="0" w:type="auto"/>
            <w:hideMark/>
          </w:tcPr>
          <w:p w14:paraId="4B3501D8" w14:textId="77777777" w:rsidR="0035753E" w:rsidRPr="0035753E" w:rsidRDefault="0035753E" w:rsidP="0035753E">
            <w:r w:rsidRPr="0035753E">
              <w:t>Weak returns</w:t>
            </w:r>
          </w:p>
        </w:tc>
      </w:tr>
      <w:tr w:rsidR="0035753E" w:rsidRPr="0035753E" w14:paraId="235374E4" w14:textId="77777777" w:rsidTr="00641C04">
        <w:trPr>
          <w:trHeight w:val="443"/>
        </w:trPr>
        <w:tc>
          <w:tcPr>
            <w:tcW w:w="0" w:type="auto"/>
            <w:hideMark/>
          </w:tcPr>
          <w:p w14:paraId="2138E675" w14:textId="77777777" w:rsidR="0035753E" w:rsidRPr="0035753E" w:rsidRDefault="0035753E" w:rsidP="0035753E">
            <w:r w:rsidRPr="0035753E">
              <w:t>A + C</w:t>
            </w:r>
          </w:p>
        </w:tc>
        <w:tc>
          <w:tcPr>
            <w:tcW w:w="0" w:type="auto"/>
            <w:hideMark/>
          </w:tcPr>
          <w:p w14:paraId="1EEDC962" w14:textId="77777777" w:rsidR="0035753E" w:rsidRPr="0035753E" w:rsidRDefault="0035753E" w:rsidP="0035753E">
            <w:r w:rsidRPr="0035753E">
              <w:t>Moderate</w:t>
            </w:r>
          </w:p>
        </w:tc>
      </w:tr>
      <w:tr w:rsidR="0035753E" w:rsidRPr="0035753E" w14:paraId="1C9376AB" w14:textId="77777777" w:rsidTr="00641C04">
        <w:trPr>
          <w:trHeight w:val="457"/>
        </w:trPr>
        <w:tc>
          <w:tcPr>
            <w:tcW w:w="0" w:type="auto"/>
            <w:hideMark/>
          </w:tcPr>
          <w:p w14:paraId="53B822D2" w14:textId="77777777" w:rsidR="0035753E" w:rsidRPr="0035753E" w:rsidRDefault="0035753E" w:rsidP="0035753E">
            <w:r w:rsidRPr="0035753E">
              <w:t>B + C</w:t>
            </w:r>
          </w:p>
        </w:tc>
        <w:tc>
          <w:tcPr>
            <w:tcW w:w="0" w:type="auto"/>
            <w:hideMark/>
          </w:tcPr>
          <w:p w14:paraId="5A1CC3E1" w14:textId="77777777" w:rsidR="0035753E" w:rsidRPr="0035753E" w:rsidRDefault="0035753E" w:rsidP="0035753E">
            <w:r w:rsidRPr="0035753E">
              <w:rPr>
                <w:b/>
                <w:bCs/>
              </w:rPr>
              <w:t>Best balance</w:t>
            </w:r>
          </w:p>
        </w:tc>
      </w:tr>
    </w:tbl>
    <w:p w14:paraId="2E7421E5" w14:textId="05E70F52" w:rsidR="00991DEC" w:rsidRDefault="0035753E" w:rsidP="00991DEC">
      <w:r w:rsidRPr="0035753E">
        <w:br/>
      </w:r>
      <w:r w:rsidR="00991DEC">
        <w:t xml:space="preserve">Toyota Industries Corporation </w:t>
      </w:r>
      <w:r w:rsidR="0089061F">
        <w:t>must</w:t>
      </w:r>
      <w:r w:rsidR="00991DEC">
        <w:t xml:space="preserve"> select two projects under a limit of investment of less than £100 million. Project B and Project C </w:t>
      </w:r>
      <w:r w:rsidR="0089061F">
        <w:t>mixed</w:t>
      </w:r>
      <w:r w:rsidR="00991DEC">
        <w:t xml:space="preserve"> is the most appropriate.</w:t>
      </w:r>
    </w:p>
    <w:p w14:paraId="7FE8B085" w14:textId="38452363" w:rsidR="0035753E" w:rsidRPr="0035753E" w:rsidRDefault="00991DEC" w:rsidP="00991DEC">
      <w:r>
        <w:t>Project B is stable and predictable cash flow with low risk. Project C has greater returns and growth. Collectively, they form a diversified investment portfolio that promotes both liquidity and profitability (Qiu, 2024).</w:t>
      </w:r>
    </w:p>
    <w:p w14:paraId="5E5E64E5" w14:textId="77777777" w:rsidR="0035753E" w:rsidRPr="0035753E" w:rsidRDefault="0035753E" w:rsidP="00641C04">
      <w:pPr>
        <w:pStyle w:val="Heading2"/>
      </w:pPr>
      <w:bookmarkStart w:id="47" w:name="_Toc227885167"/>
      <w:r w:rsidRPr="0035753E">
        <w:t>4.9 Final Recommendation</w:t>
      </w:r>
      <w:bookmarkEnd w:id="47"/>
    </w:p>
    <w:p w14:paraId="66825751" w14:textId="77777777" w:rsidR="00981756" w:rsidRDefault="0035753E" w:rsidP="00981756">
      <w:r w:rsidRPr="0035753E">
        <w:t xml:space="preserve">Based on the comprehensive analysis, </w:t>
      </w:r>
      <w:r w:rsidR="00981756">
        <w:t>Project C is the one that Toyota Industries Corporation should choose as the main investment. Project C always performs better than the other alternatives in all the appraisal techniques such as Payback Period, Accounting rate of return (ARR), Net present value (NPV), Profitability Index (PI) and the Internal rate of return (IRR). It has the quickest payback time, the most profitable and the greatest overall payback potential, with it being the most appealing choice.</w:t>
      </w:r>
    </w:p>
    <w:p w14:paraId="315C9AD0" w14:textId="77777777" w:rsidR="00981756" w:rsidRDefault="00981756" w:rsidP="00981756">
      <w:r>
        <w:lastRenderedPageBreak/>
        <w:t>The combination of Project B and Project C is advisable under capital rationing, where the available funds are only £100 million. Project B offers predictable and consistent cash flows, minimizing the overall investment risk, whereas Project C offers more returns and growth potential. The combination enables Toyota Industries Corporation to strike a balance between financial stability and profitability.</w:t>
      </w:r>
    </w:p>
    <w:p w14:paraId="4CD06B17" w14:textId="48ABF5FA" w:rsidR="0035753E" w:rsidRDefault="00981756" w:rsidP="00981756">
      <w:r>
        <w:t>Despite negative NPVs at the 10% rate in all the projects, Project C minimises the loss of value and is the most financially acceptable project. Based on financial performance and non-financial risks, the strategy will help Toyota Industries Corporation to achieve better profitability, better cash flow management and long-term sustainable growth.</w:t>
      </w:r>
    </w:p>
    <w:p w14:paraId="62B1E755" w14:textId="1061B568" w:rsidR="0031120B" w:rsidRPr="0035753E" w:rsidRDefault="0031120B" w:rsidP="00981756">
      <w:r w:rsidRPr="0031120B">
        <w:t>The selection of Project C and Project B under capital rationing is motivated by the financial performance of Toyota Industries Corporation. The company is showing a consistent profitability but with a low ROE and a growing cash conversion turnover, which means that it is straining its capital usage and liquidity. Project C has greater returns and recoveries, and it aids in bettering profitability, whereas Project B guarantees consistent cash inflows to maintain liquidity. This moderate strategy is in line with the requirement of the company to increase returns, optimise working capital, and financial stability to contribute to the long-term sustainable growth and creation of shareholder value.</w:t>
      </w:r>
    </w:p>
    <w:p w14:paraId="5FFA5C82" w14:textId="6F24A182" w:rsidR="002C6918" w:rsidRDefault="002C6918">
      <w:pPr>
        <w:spacing w:after="160" w:line="278" w:lineRule="auto"/>
        <w:jc w:val="left"/>
      </w:pPr>
      <w:r>
        <w:br w:type="page"/>
      </w:r>
    </w:p>
    <w:p w14:paraId="1D3C12C1" w14:textId="5BC48961" w:rsidR="002C6918" w:rsidRPr="002C6918" w:rsidRDefault="002C6918" w:rsidP="00E511AB">
      <w:pPr>
        <w:pStyle w:val="Heading1"/>
      </w:pPr>
      <w:bookmarkStart w:id="48" w:name="_Toc227885168"/>
      <w:r w:rsidRPr="002C6918">
        <w:lastRenderedPageBreak/>
        <w:t>Conclusion</w:t>
      </w:r>
      <w:bookmarkEnd w:id="48"/>
    </w:p>
    <w:p w14:paraId="36AB94F6" w14:textId="35AB68AE" w:rsidR="00DB462D" w:rsidRDefault="00F36D27" w:rsidP="00F36D27">
      <w:r w:rsidRPr="00F36D27">
        <w:t xml:space="preserve">Overall, </w:t>
      </w:r>
      <w:r w:rsidR="00B420F3" w:rsidRPr="00B420F3">
        <w:t>Toyota Industries Corporation is financially sound and with steady growth and a stable capital position, although liquidity management and capital efficiency could be improved. The analysis indicates that the working capital practices need improvement and the strategy of the balanced financial restructuring is necessary. Investment appraisal finds Project C to be the best choice, and a combination of Projects B and C offers the best risk versus returns. The recommendations will be implemented to boost performance, enhance cash flow, and long-term sustainability.</w:t>
      </w:r>
      <w:r w:rsidR="00DB462D">
        <w:br w:type="page"/>
      </w:r>
    </w:p>
    <w:p w14:paraId="255D65A5" w14:textId="14E64155" w:rsidR="00BB52AB" w:rsidRDefault="00DB462D" w:rsidP="00DB462D">
      <w:pPr>
        <w:pStyle w:val="Heading1"/>
      </w:pPr>
      <w:bookmarkStart w:id="49" w:name="_Toc227885169"/>
      <w:r>
        <w:lastRenderedPageBreak/>
        <w:t>Reference List</w:t>
      </w:r>
      <w:bookmarkEnd w:id="49"/>
    </w:p>
    <w:p w14:paraId="38B8FC90" w14:textId="77777777" w:rsidR="007F344D" w:rsidRPr="00F36069" w:rsidRDefault="007F344D" w:rsidP="007F344D">
      <w:pPr>
        <w:ind w:left="720" w:hanging="720"/>
      </w:pPr>
      <w:r w:rsidRPr="00F36069">
        <w:t xml:space="preserve">Abbas, M. (2025) ‘The Influence of Cash and Receivables Management on Liquidity in Trading Companies in Makassar Central Market’, </w:t>
      </w:r>
      <w:r w:rsidRPr="00F36069">
        <w:rPr>
          <w:i/>
          <w:iCs/>
        </w:rPr>
        <w:t xml:space="preserve">Journal La </w:t>
      </w:r>
      <w:proofErr w:type="spellStart"/>
      <w:r w:rsidRPr="00F36069">
        <w:rPr>
          <w:i/>
          <w:iCs/>
        </w:rPr>
        <w:t>Bisecoman</w:t>
      </w:r>
      <w:proofErr w:type="spellEnd"/>
      <w:r w:rsidRPr="00F36069">
        <w:t xml:space="preserve">, 6(2), pp. 297–310. Available at: </w:t>
      </w:r>
      <w:hyperlink r:id="rId18" w:history="1">
        <w:r w:rsidRPr="0007122D">
          <w:rPr>
            <w:rStyle w:val="Hyperlink"/>
          </w:rPr>
          <w:t>https://doi.org/10.37899/journallabisecoman.v6i2.2151</w:t>
        </w:r>
      </w:hyperlink>
      <w:r>
        <w:t xml:space="preserve"> </w:t>
      </w:r>
    </w:p>
    <w:p w14:paraId="2BBDFE59" w14:textId="77777777" w:rsidR="007F344D" w:rsidRPr="00F36069" w:rsidRDefault="007F344D" w:rsidP="007F344D">
      <w:pPr>
        <w:ind w:left="720" w:hanging="720"/>
      </w:pPr>
      <w:r w:rsidRPr="00F36069">
        <w:t xml:space="preserve">Abbes, I. (2025) ‘Strategic pathways for innovation and sustainability in digital transformation: Insights from leading global companies’, </w:t>
      </w:r>
      <w:r w:rsidRPr="00F36069">
        <w:rPr>
          <w:i/>
          <w:iCs/>
        </w:rPr>
        <w:t>Social Sciences &amp; Humanities Open</w:t>
      </w:r>
      <w:r w:rsidRPr="00F36069">
        <w:t xml:space="preserve">, 12, p. 101906. Available at: </w:t>
      </w:r>
      <w:hyperlink r:id="rId19" w:history="1">
        <w:r w:rsidRPr="0007122D">
          <w:rPr>
            <w:rStyle w:val="Hyperlink"/>
          </w:rPr>
          <w:t>https://doi.org/10.1016/j.ssaho.2025.101906</w:t>
        </w:r>
      </w:hyperlink>
      <w:r>
        <w:t xml:space="preserve"> </w:t>
      </w:r>
    </w:p>
    <w:p w14:paraId="32D37499" w14:textId="77777777" w:rsidR="007F344D" w:rsidRPr="00F36069" w:rsidRDefault="007F344D" w:rsidP="007F344D">
      <w:pPr>
        <w:ind w:left="720" w:hanging="720"/>
      </w:pPr>
      <w:r w:rsidRPr="00F36069">
        <w:t xml:space="preserve">Baindu Gobio-Thomas, L., Darwish, M. and </w:t>
      </w:r>
      <w:proofErr w:type="spellStart"/>
      <w:r w:rsidRPr="00F36069">
        <w:t>Stojceska</w:t>
      </w:r>
      <w:proofErr w:type="spellEnd"/>
      <w:r w:rsidRPr="00F36069">
        <w:t xml:space="preserve">, V. (2023) ‘Review on the economic impacts of solar thermal power plants’, </w:t>
      </w:r>
      <w:r w:rsidRPr="00F36069">
        <w:rPr>
          <w:i/>
          <w:iCs/>
        </w:rPr>
        <w:t>Thermal Science and Engineering Progress</w:t>
      </w:r>
      <w:r w:rsidRPr="00F36069">
        <w:t xml:space="preserve">, 46, p. 102224. Available at: </w:t>
      </w:r>
      <w:hyperlink r:id="rId20" w:tgtFrame="_new" w:history="1">
        <w:r w:rsidRPr="00F36069">
          <w:rPr>
            <w:rStyle w:val="Hyperlink"/>
          </w:rPr>
          <w:t>https://doi.org/10.1016/j.tsep.2023.102224</w:t>
        </w:r>
      </w:hyperlink>
    </w:p>
    <w:p w14:paraId="752CEA5E" w14:textId="77777777" w:rsidR="007F344D" w:rsidRPr="00F36069" w:rsidRDefault="007F344D" w:rsidP="007F344D">
      <w:pPr>
        <w:ind w:left="720" w:hanging="720"/>
      </w:pPr>
      <w:r w:rsidRPr="00F36069">
        <w:t xml:space="preserve">Bakhouche, M. (2020) ‘Environmental dimension of Corporate Social Responsibility -Case study of Toyota company-’, </w:t>
      </w:r>
      <w:proofErr w:type="spellStart"/>
      <w:r w:rsidRPr="00F36069">
        <w:rPr>
          <w:i/>
          <w:iCs/>
        </w:rPr>
        <w:t>Dirassat</w:t>
      </w:r>
      <w:proofErr w:type="spellEnd"/>
      <w:r w:rsidRPr="00F36069">
        <w:rPr>
          <w:i/>
          <w:iCs/>
        </w:rPr>
        <w:t xml:space="preserve"> Journal Economic Issue</w:t>
      </w:r>
      <w:r w:rsidRPr="00F36069">
        <w:t xml:space="preserve">, 8(2), pp. 317–331. Available at: </w:t>
      </w:r>
      <w:hyperlink r:id="rId21" w:history="1">
        <w:r w:rsidRPr="0007122D">
          <w:rPr>
            <w:rStyle w:val="Hyperlink"/>
          </w:rPr>
          <w:t>https://doi.org/10.34118/djei.v8i2.268</w:t>
        </w:r>
      </w:hyperlink>
      <w:r>
        <w:t xml:space="preserve"> </w:t>
      </w:r>
    </w:p>
    <w:p w14:paraId="572821B7" w14:textId="77777777" w:rsidR="007F344D" w:rsidRPr="00F36069" w:rsidRDefault="007F344D" w:rsidP="007F344D">
      <w:pPr>
        <w:ind w:left="720" w:hanging="720"/>
      </w:pPr>
      <w:r w:rsidRPr="00F36069">
        <w:t xml:space="preserve">Batth, V. (2023) ‘Toyota Motor Corporation: Just in Time (JIT) Management Strategy or Beyond?’, </w:t>
      </w:r>
      <w:r w:rsidRPr="00F36069">
        <w:rPr>
          <w:i/>
          <w:iCs/>
        </w:rPr>
        <w:t>ResearchGate</w:t>
      </w:r>
      <w:r w:rsidRPr="00F36069">
        <w:t xml:space="preserve">. Available at: </w:t>
      </w:r>
      <w:hyperlink r:id="rId22" w:history="1">
        <w:r w:rsidRPr="0007122D">
          <w:rPr>
            <w:rStyle w:val="Hyperlink"/>
          </w:rPr>
          <w:t>https://doi.org/10.13140/RG.2.2.10613.35043</w:t>
        </w:r>
      </w:hyperlink>
      <w:r>
        <w:t xml:space="preserve"> </w:t>
      </w:r>
    </w:p>
    <w:p w14:paraId="39A25634" w14:textId="77777777" w:rsidR="007F344D" w:rsidRPr="00F36069" w:rsidRDefault="007F344D" w:rsidP="007F344D">
      <w:pPr>
        <w:ind w:left="720" w:hanging="720"/>
      </w:pPr>
      <w:proofErr w:type="spellStart"/>
      <w:r w:rsidRPr="00F36069">
        <w:t>Bhattacheryay</w:t>
      </w:r>
      <w:proofErr w:type="spellEnd"/>
      <w:r w:rsidRPr="00F36069">
        <w:t xml:space="preserve">, S. (2021) ‘Multinational working capital management a study on Toyota Motor Corporation’, </w:t>
      </w:r>
      <w:r w:rsidRPr="00F36069">
        <w:rPr>
          <w:i/>
          <w:iCs/>
        </w:rPr>
        <w:t>International Journal of Finance &amp; Economics</w:t>
      </w:r>
      <w:r w:rsidRPr="00F36069">
        <w:t xml:space="preserve">, 28(1), pp. 236–256. Available at: </w:t>
      </w:r>
      <w:hyperlink r:id="rId23" w:history="1">
        <w:r w:rsidRPr="0007122D">
          <w:rPr>
            <w:rStyle w:val="Hyperlink"/>
          </w:rPr>
          <w:t>https://doi.org/10.1002/ijfe.2418</w:t>
        </w:r>
      </w:hyperlink>
      <w:r>
        <w:t xml:space="preserve"> </w:t>
      </w:r>
    </w:p>
    <w:p w14:paraId="23D1D1DF" w14:textId="77777777" w:rsidR="007F344D" w:rsidRPr="00F36069" w:rsidRDefault="007F344D" w:rsidP="007F344D">
      <w:pPr>
        <w:ind w:left="720" w:hanging="720"/>
      </w:pPr>
      <w:proofErr w:type="spellStart"/>
      <w:r w:rsidRPr="00F36069">
        <w:t>Bhattacheryay</w:t>
      </w:r>
      <w:proofErr w:type="spellEnd"/>
      <w:r w:rsidRPr="00F36069">
        <w:t xml:space="preserve">, S. (2023) ‘Distinguished Competency and Efficacy of Working Capital Management Ensuing Firm Survival, Liquidity, Solvency and Profitability: A Study on Automotive Industry’, </w:t>
      </w:r>
      <w:r w:rsidRPr="00F36069">
        <w:rPr>
          <w:i/>
          <w:iCs/>
        </w:rPr>
        <w:t>American Business Review</w:t>
      </w:r>
      <w:r w:rsidRPr="00F36069">
        <w:t xml:space="preserve">, 26(1). Available at: </w:t>
      </w:r>
      <w:hyperlink r:id="rId24" w:tgtFrame="_new" w:history="1">
        <w:r w:rsidRPr="00F36069">
          <w:rPr>
            <w:rStyle w:val="Hyperlink"/>
          </w:rPr>
          <w:t>https://digitalcommons.newhaven.edu/americanbusinessreview/vol26/iss1/3/</w:t>
        </w:r>
      </w:hyperlink>
    </w:p>
    <w:p w14:paraId="436D2EB4" w14:textId="77777777" w:rsidR="007F344D" w:rsidRPr="00F36069" w:rsidRDefault="007F344D" w:rsidP="007F344D">
      <w:pPr>
        <w:ind w:left="720" w:hanging="720"/>
      </w:pPr>
      <w:r w:rsidRPr="00F36069">
        <w:t xml:space="preserve">Cecil, P. (2024) ‘Cross-Border Supply Chain Optimization: Strategies for Managing International Operations While Maintaining Speed and Cost Efficiency’, </w:t>
      </w:r>
      <w:r w:rsidRPr="00F36069">
        <w:rPr>
          <w:i/>
          <w:iCs/>
        </w:rPr>
        <w:t>International Journal of Scientific Research and Management (IJSRM)</w:t>
      </w:r>
      <w:r w:rsidRPr="00F36069">
        <w:t xml:space="preserve">, 12(05), pp. 6565–6588. Available at: </w:t>
      </w:r>
      <w:hyperlink r:id="rId25" w:history="1">
        <w:r w:rsidRPr="0007122D">
          <w:rPr>
            <w:rStyle w:val="Hyperlink"/>
          </w:rPr>
          <w:t>https://doi.org/10.18535/ijsrm/v12i05.em23</w:t>
        </w:r>
      </w:hyperlink>
      <w:r>
        <w:t xml:space="preserve"> </w:t>
      </w:r>
    </w:p>
    <w:p w14:paraId="4EA58F4C" w14:textId="77777777" w:rsidR="007F344D" w:rsidRPr="00F36069" w:rsidRDefault="007F344D" w:rsidP="007F344D">
      <w:pPr>
        <w:ind w:left="720" w:hanging="720"/>
      </w:pPr>
      <w:r w:rsidRPr="00F36069">
        <w:lastRenderedPageBreak/>
        <w:t xml:space="preserve">Chap </w:t>
      </w:r>
      <w:proofErr w:type="spellStart"/>
      <w:r w:rsidRPr="00F36069">
        <w:t>Sovanhangmeas</w:t>
      </w:r>
      <w:proofErr w:type="spellEnd"/>
      <w:r w:rsidRPr="00F36069">
        <w:t xml:space="preserve"> and Liu, J. (2024) ‘Debt Risk Analysis of Automotive Enterprises’, </w:t>
      </w:r>
      <w:r w:rsidRPr="00F36069">
        <w:rPr>
          <w:i/>
          <w:iCs/>
        </w:rPr>
        <w:t>Economics &amp; Management Information</w:t>
      </w:r>
      <w:r w:rsidRPr="00F36069">
        <w:t xml:space="preserve">, pp. 1–15. Available at: </w:t>
      </w:r>
      <w:hyperlink r:id="rId26" w:history="1">
        <w:r w:rsidRPr="0007122D">
          <w:rPr>
            <w:rStyle w:val="Hyperlink"/>
          </w:rPr>
          <w:t>https://doi.org/10.62836/emi.v3i3.223</w:t>
        </w:r>
      </w:hyperlink>
      <w:r>
        <w:t xml:space="preserve"> </w:t>
      </w:r>
    </w:p>
    <w:p w14:paraId="407743A1" w14:textId="77777777" w:rsidR="007F344D" w:rsidRPr="00F36069" w:rsidRDefault="007F344D" w:rsidP="007F344D">
      <w:pPr>
        <w:ind w:left="720" w:hanging="720"/>
      </w:pPr>
      <w:r w:rsidRPr="00F36069">
        <w:t xml:space="preserve">Du, N. and Whittington, R. (2024) ‘Other Comprehensive Income: Do Nonprofessional Investors Value It as Much as Net Income?’, </w:t>
      </w:r>
      <w:r w:rsidRPr="00F36069">
        <w:rPr>
          <w:i/>
          <w:iCs/>
        </w:rPr>
        <w:t>Journal of Risk and Financial Management</w:t>
      </w:r>
      <w:r w:rsidRPr="00F36069">
        <w:t xml:space="preserve">, 17(11), p. 508. Available at: </w:t>
      </w:r>
      <w:hyperlink r:id="rId27" w:tgtFrame="_new" w:history="1">
        <w:r w:rsidRPr="00F36069">
          <w:rPr>
            <w:rStyle w:val="Hyperlink"/>
          </w:rPr>
          <w:t>https://doi.org/10.3390/jrfm17110508</w:t>
        </w:r>
      </w:hyperlink>
    </w:p>
    <w:p w14:paraId="3A6A5C58" w14:textId="77777777" w:rsidR="007F344D" w:rsidRPr="00F36069" w:rsidRDefault="007F344D" w:rsidP="007F344D">
      <w:pPr>
        <w:ind w:left="720" w:hanging="720"/>
      </w:pPr>
      <w:proofErr w:type="spellStart"/>
      <w:r w:rsidRPr="00F36069">
        <w:t>Elumilade</w:t>
      </w:r>
      <w:proofErr w:type="spellEnd"/>
      <w:r w:rsidRPr="00F36069">
        <w:t xml:space="preserve">, O.O., Ibidapo Abiodun </w:t>
      </w:r>
      <w:proofErr w:type="spellStart"/>
      <w:r w:rsidRPr="00F36069">
        <w:t>Ogundeji</w:t>
      </w:r>
      <w:proofErr w:type="spellEnd"/>
      <w:r w:rsidRPr="00F36069">
        <w:t xml:space="preserve">, Godwin </w:t>
      </w:r>
      <w:proofErr w:type="spellStart"/>
      <w:r w:rsidRPr="00F36069">
        <w:t>Ozoemenam</w:t>
      </w:r>
      <w:proofErr w:type="spellEnd"/>
      <w:r w:rsidRPr="00F36069">
        <w:t xml:space="preserve"> Achumie, </w:t>
      </w:r>
      <w:proofErr w:type="spellStart"/>
      <w:r w:rsidRPr="00F36069">
        <w:t>Omokhoa</w:t>
      </w:r>
      <w:proofErr w:type="spellEnd"/>
      <w:r w:rsidRPr="00F36069">
        <w:t xml:space="preserve">, H.E. and Bamidele Michael Omowole (2022) ‘Optimizing corporate tax strategies and transfer pricing policies to improve financial efficiency and compliance’, </w:t>
      </w:r>
      <w:r w:rsidRPr="00F36069">
        <w:rPr>
          <w:i/>
          <w:iCs/>
        </w:rPr>
        <w:t>The Journal of Multidisciplinary Research</w:t>
      </w:r>
      <w:r w:rsidRPr="00F36069">
        <w:t xml:space="preserve">, pp. 28–38. Available at: </w:t>
      </w:r>
      <w:hyperlink r:id="rId28" w:tgtFrame="_new" w:history="1">
        <w:r w:rsidRPr="00F36069">
          <w:rPr>
            <w:rStyle w:val="Hyperlink"/>
          </w:rPr>
          <w:t>https://www.researchgate.net/publication/389320954_Optimizing_corporate_tax_strategies_and_transfer_pricing_policies_to_improve_financial_efficiency_and_compliance</w:t>
        </w:r>
      </w:hyperlink>
    </w:p>
    <w:p w14:paraId="1D65622E" w14:textId="77777777" w:rsidR="007F344D" w:rsidRPr="00F36069" w:rsidRDefault="007F344D" w:rsidP="007F344D">
      <w:pPr>
        <w:ind w:left="720" w:hanging="720"/>
      </w:pPr>
      <w:r w:rsidRPr="00F36069">
        <w:t xml:space="preserve">Fantozzi, I.C., Colleluori, L. and Schiraldi, M.M. (2025) ‘A Quali-Quantitative Analysis Model Integrating Fuzzy Analytical Hierarchy Process and Cost–Benefit Analysis for Optimizing KPI Implementation: Insights from a Practical Case Study Application’, </w:t>
      </w:r>
      <w:r w:rsidRPr="00F36069">
        <w:rPr>
          <w:i/>
          <w:iCs/>
        </w:rPr>
        <w:t>Eng</w:t>
      </w:r>
      <w:r w:rsidRPr="00F36069">
        <w:t xml:space="preserve">, 6(3), p. 56. Available at: </w:t>
      </w:r>
      <w:hyperlink r:id="rId29" w:tgtFrame="_new" w:history="1">
        <w:r w:rsidRPr="00F36069">
          <w:rPr>
            <w:rStyle w:val="Hyperlink"/>
          </w:rPr>
          <w:t>https://doi.org/10.3390/eng6030056</w:t>
        </w:r>
      </w:hyperlink>
    </w:p>
    <w:p w14:paraId="557439C1" w14:textId="77777777" w:rsidR="007F344D" w:rsidRPr="00F36069" w:rsidRDefault="007F344D" w:rsidP="007F344D">
      <w:pPr>
        <w:ind w:left="720" w:hanging="720"/>
      </w:pPr>
      <w:r w:rsidRPr="00F36069">
        <w:t xml:space="preserve">Koroma, S., </w:t>
      </w:r>
      <w:proofErr w:type="spellStart"/>
      <w:r w:rsidRPr="00F36069">
        <w:t>Kamason</w:t>
      </w:r>
      <w:proofErr w:type="spellEnd"/>
      <w:r w:rsidRPr="00F36069">
        <w:t xml:space="preserve">, A.A., Fofanah, A.C. and Misiko, J.W. (2026) ‘The Relationship between Working Capital Management and Profitability of Listed Automobile Companies in...’, </w:t>
      </w:r>
      <w:r w:rsidRPr="00F36069">
        <w:rPr>
          <w:i/>
          <w:iCs/>
        </w:rPr>
        <w:t>ResearchGate</w:t>
      </w:r>
      <w:r w:rsidRPr="00F36069">
        <w:t xml:space="preserve">, 3(3), pp. 01–22. Available at: </w:t>
      </w:r>
      <w:hyperlink r:id="rId30" w:tgtFrame="_new" w:history="1">
        <w:r w:rsidRPr="00F36069">
          <w:rPr>
            <w:rStyle w:val="Hyperlink"/>
          </w:rPr>
          <w:t>https://www.researchgate.net/publication/403160705_The_Relationship_between_Working_Capital_Management_and_Profitability_of_Listed_Automobile_Companies_in_Japan_Stock_Exchange_Market_Moderating_Effect_of_Market_Share</w:t>
        </w:r>
      </w:hyperlink>
      <w:r w:rsidRPr="00F36069">
        <w:t xml:space="preserve"> </w:t>
      </w:r>
      <w:r>
        <w:t xml:space="preserve"> </w:t>
      </w:r>
    </w:p>
    <w:p w14:paraId="66D8800C" w14:textId="77777777" w:rsidR="007F344D" w:rsidRPr="00F36069" w:rsidRDefault="007F344D" w:rsidP="007F344D">
      <w:pPr>
        <w:ind w:left="720" w:hanging="720"/>
      </w:pPr>
      <w:r w:rsidRPr="00F36069">
        <w:t xml:space="preserve">Liu, Y. (2023) ‘Financial Analysis and Strategic Forecast of Toyota’, </w:t>
      </w:r>
      <w:r w:rsidRPr="00F36069">
        <w:rPr>
          <w:i/>
          <w:iCs/>
        </w:rPr>
        <w:t>Advances in Economics, Management and Political Sciences</w:t>
      </w:r>
      <w:r w:rsidRPr="00F36069">
        <w:t xml:space="preserve">, 43(1), pp. 218–224. Available at: </w:t>
      </w:r>
      <w:hyperlink r:id="rId31" w:history="1">
        <w:r w:rsidRPr="0007122D">
          <w:rPr>
            <w:rStyle w:val="Hyperlink"/>
          </w:rPr>
          <w:t>https://doi.org/10.54254/2754-1169/43/20232167</w:t>
        </w:r>
      </w:hyperlink>
      <w:r>
        <w:t xml:space="preserve"> </w:t>
      </w:r>
    </w:p>
    <w:p w14:paraId="1AB52B85" w14:textId="77777777" w:rsidR="007F344D" w:rsidRPr="00F36069" w:rsidRDefault="007F344D" w:rsidP="007F344D">
      <w:pPr>
        <w:ind w:left="720" w:hanging="720"/>
      </w:pPr>
      <w:proofErr w:type="spellStart"/>
      <w:r w:rsidRPr="00F36069">
        <w:t>Madaram</w:t>
      </w:r>
      <w:proofErr w:type="spellEnd"/>
      <w:r w:rsidRPr="00F36069">
        <w:t xml:space="preserve">, V.G., Biswas, P.K., Sain, C., </w:t>
      </w:r>
      <w:proofErr w:type="spellStart"/>
      <w:r w:rsidRPr="00F36069">
        <w:t>Thanikanti</w:t>
      </w:r>
      <w:proofErr w:type="spellEnd"/>
      <w:r w:rsidRPr="00F36069">
        <w:t xml:space="preserve">, S.B. and Balachandran, P.K. (2024) ‘Advancement of electric vehicle technologies, classification of charging methodologies, and optimization strategies for sustainable development - A </w:t>
      </w:r>
      <w:r w:rsidRPr="00F36069">
        <w:lastRenderedPageBreak/>
        <w:t xml:space="preserve">comprehensive review’, </w:t>
      </w:r>
      <w:proofErr w:type="spellStart"/>
      <w:r w:rsidRPr="00F36069">
        <w:rPr>
          <w:i/>
          <w:iCs/>
        </w:rPr>
        <w:t>Heliyon</w:t>
      </w:r>
      <w:proofErr w:type="spellEnd"/>
      <w:r w:rsidRPr="00F36069">
        <w:t xml:space="preserve">, 10(20), p. e39299. Available at: </w:t>
      </w:r>
      <w:hyperlink r:id="rId32" w:tgtFrame="_new" w:history="1">
        <w:r w:rsidRPr="00F36069">
          <w:rPr>
            <w:rStyle w:val="Hyperlink"/>
          </w:rPr>
          <w:t>https://doi.org/10.1016/j.heliyon.2024.e39299</w:t>
        </w:r>
      </w:hyperlink>
    </w:p>
    <w:p w14:paraId="33535B05" w14:textId="77777777" w:rsidR="007F344D" w:rsidRDefault="007F344D" w:rsidP="007F344D">
      <w:pPr>
        <w:ind w:left="720" w:hanging="720"/>
      </w:pPr>
      <w:r w:rsidRPr="00F36069">
        <w:t xml:space="preserve">Minh, N.D. (2023) ‘Toyota’s production efficiency improvement management: best practice for productivity evaluation and operation improvement’, </w:t>
      </w:r>
      <w:r w:rsidRPr="00F36069">
        <w:rPr>
          <w:i/>
          <w:iCs/>
        </w:rPr>
        <w:t>Journal of Advances in Management Research</w:t>
      </w:r>
      <w:r w:rsidRPr="00F36069">
        <w:t xml:space="preserve">, 20(3), pp. 385–408. Available at: </w:t>
      </w:r>
      <w:hyperlink r:id="rId33" w:history="1">
        <w:r w:rsidRPr="0007122D">
          <w:rPr>
            <w:rStyle w:val="Hyperlink"/>
          </w:rPr>
          <w:t>https://doi.org/10.1108/jamr-02-2022-0042</w:t>
        </w:r>
      </w:hyperlink>
      <w:r>
        <w:t xml:space="preserve"> </w:t>
      </w:r>
    </w:p>
    <w:p w14:paraId="1FD79028" w14:textId="77777777" w:rsidR="007F344D" w:rsidRPr="00F36069" w:rsidRDefault="007F344D" w:rsidP="007F344D">
      <w:pPr>
        <w:ind w:left="720" w:hanging="720"/>
      </w:pPr>
      <w:r w:rsidRPr="00F36069">
        <w:t xml:space="preserve">Ou, Y. (2025) ‘A Financial Analysis and Valuation of Toyota’, </w:t>
      </w:r>
      <w:r w:rsidRPr="00F36069">
        <w:rPr>
          <w:i/>
          <w:iCs/>
        </w:rPr>
        <w:t>Advances in Economics Management and Political Sciences</w:t>
      </w:r>
      <w:r w:rsidRPr="00F36069">
        <w:t xml:space="preserve">, 172(1), pp. 55–61. Available at: </w:t>
      </w:r>
      <w:hyperlink r:id="rId34" w:history="1">
        <w:r w:rsidRPr="0007122D">
          <w:rPr>
            <w:rStyle w:val="Hyperlink"/>
          </w:rPr>
          <w:t>https://doi.org/10.54254/2754-1169/2025.22172</w:t>
        </w:r>
      </w:hyperlink>
      <w:r>
        <w:t xml:space="preserve"> </w:t>
      </w:r>
    </w:p>
    <w:p w14:paraId="2BC210FF" w14:textId="77777777" w:rsidR="007F344D" w:rsidRPr="00F36069" w:rsidRDefault="007F344D" w:rsidP="007F344D">
      <w:pPr>
        <w:ind w:left="720" w:hanging="720"/>
      </w:pPr>
      <w:r w:rsidRPr="00F36069">
        <w:t xml:space="preserve">Qiu, Z. (2024) ‘Research on the Optimal Strategy of Investment Portfolio Based on Markowitz Model’, </w:t>
      </w:r>
      <w:r w:rsidRPr="00F36069">
        <w:rPr>
          <w:i/>
          <w:iCs/>
        </w:rPr>
        <w:t>Advances in Economics, Management and Political Sciences</w:t>
      </w:r>
      <w:r w:rsidRPr="00F36069">
        <w:t xml:space="preserve">, 75(1), pp. 53–60. Available at: </w:t>
      </w:r>
      <w:hyperlink r:id="rId35" w:history="1">
        <w:r w:rsidRPr="0007122D">
          <w:rPr>
            <w:rStyle w:val="Hyperlink"/>
          </w:rPr>
          <w:t>https://doi.org/10.54254/2754-1169/75/20241795</w:t>
        </w:r>
      </w:hyperlink>
      <w:r>
        <w:t xml:space="preserve"> </w:t>
      </w:r>
    </w:p>
    <w:p w14:paraId="4F12BE88" w14:textId="77777777" w:rsidR="007F344D" w:rsidRPr="00F36069" w:rsidRDefault="007F344D" w:rsidP="007F344D">
      <w:pPr>
        <w:ind w:left="720" w:hanging="720"/>
      </w:pPr>
      <w:r w:rsidRPr="00F36069">
        <w:t xml:space="preserve">Ravindhar Vadapalli (2020) </w:t>
      </w:r>
      <w:r w:rsidRPr="00F36069">
        <w:rPr>
          <w:i/>
          <w:iCs/>
        </w:rPr>
        <w:t>Time Value of Money and Capital</w:t>
      </w:r>
      <w:r w:rsidRPr="00F36069">
        <w:t xml:space="preserve">. Available at: </w:t>
      </w:r>
      <w:hyperlink r:id="rId36" w:history="1">
        <w:r w:rsidRPr="0007122D">
          <w:rPr>
            <w:rStyle w:val="Hyperlink"/>
          </w:rPr>
          <w:t>https://doi.org/10.13140/RG.2.2.28702.77120</w:t>
        </w:r>
      </w:hyperlink>
      <w:r>
        <w:t xml:space="preserve"> </w:t>
      </w:r>
    </w:p>
    <w:p w14:paraId="1D245494" w14:textId="77777777" w:rsidR="007F344D" w:rsidRPr="00F36069" w:rsidRDefault="007F344D" w:rsidP="007F344D">
      <w:pPr>
        <w:ind w:left="720" w:hanging="720"/>
      </w:pPr>
      <w:r w:rsidRPr="00F36069">
        <w:t xml:space="preserve">Reyad, H.M., </w:t>
      </w:r>
      <w:proofErr w:type="spellStart"/>
      <w:r w:rsidRPr="00F36069">
        <w:t>Zariyawati</w:t>
      </w:r>
      <w:proofErr w:type="spellEnd"/>
      <w:r w:rsidRPr="00F36069">
        <w:t xml:space="preserve">, M.A., Ong, T.S. and Muhamad, H. (2022) ‘The Impact of Macroeconomic Risk Factors, the Adoption of Financial Derivatives on Working Capital Management, and Firm Performance’, </w:t>
      </w:r>
      <w:r w:rsidRPr="00F36069">
        <w:rPr>
          <w:i/>
          <w:iCs/>
        </w:rPr>
        <w:t>Sustainability</w:t>
      </w:r>
      <w:r w:rsidRPr="00F36069">
        <w:t>, 14(21), p. 14447.</w:t>
      </w:r>
      <w:r>
        <w:t xml:space="preserve"> </w:t>
      </w:r>
    </w:p>
    <w:p w14:paraId="15CD7E32" w14:textId="77777777" w:rsidR="007F344D" w:rsidRPr="00F36069" w:rsidRDefault="007F344D" w:rsidP="007F344D">
      <w:pPr>
        <w:ind w:left="720" w:hanging="720"/>
      </w:pPr>
      <w:r w:rsidRPr="00F36069">
        <w:t xml:space="preserve">Stavropoulos, A.-S. and </w:t>
      </w:r>
      <w:proofErr w:type="spellStart"/>
      <w:r w:rsidRPr="00F36069">
        <w:t>Zounta</w:t>
      </w:r>
      <w:proofErr w:type="spellEnd"/>
      <w:r w:rsidRPr="00F36069">
        <w:t xml:space="preserve">, S. (2025) ‘Cash Conversion Cycle and Profitability: Evidence from Greek Service Firms’, </w:t>
      </w:r>
      <w:r w:rsidRPr="00F36069">
        <w:rPr>
          <w:i/>
          <w:iCs/>
        </w:rPr>
        <w:t>Journal of Risk and Financial Management</w:t>
      </w:r>
      <w:r w:rsidRPr="00F36069">
        <w:t xml:space="preserve">, 18(4), p. 208. Available at: </w:t>
      </w:r>
      <w:hyperlink r:id="rId37" w:tgtFrame="_new" w:history="1">
        <w:r w:rsidRPr="00F36069">
          <w:rPr>
            <w:rStyle w:val="Hyperlink"/>
          </w:rPr>
          <w:t>https://doi.org/10.3390/jrfm18040208</w:t>
        </w:r>
      </w:hyperlink>
    </w:p>
    <w:p w14:paraId="076F0222" w14:textId="77777777" w:rsidR="007F344D" w:rsidRPr="00F36069" w:rsidRDefault="007F344D" w:rsidP="007F344D">
      <w:pPr>
        <w:ind w:left="720" w:hanging="720"/>
      </w:pPr>
      <w:r w:rsidRPr="00F36069">
        <w:t xml:space="preserve">Tonny Ochieng’ </w:t>
      </w:r>
      <w:proofErr w:type="spellStart"/>
      <w:r w:rsidRPr="00F36069">
        <w:t>Ondeng</w:t>
      </w:r>
      <w:proofErr w:type="spellEnd"/>
      <w:r w:rsidRPr="00F36069">
        <w:t xml:space="preserve"> and Nekesa, T. (2022) ‘Case Study Critical Analysis for Toyota Motor Corporate Strategy’, </w:t>
      </w:r>
      <w:r w:rsidRPr="00F36069">
        <w:rPr>
          <w:i/>
          <w:iCs/>
        </w:rPr>
        <w:t>ResearchGate</w:t>
      </w:r>
      <w:r w:rsidRPr="00F36069">
        <w:t xml:space="preserve">. Available at: </w:t>
      </w:r>
      <w:hyperlink r:id="rId38" w:tgtFrame="_new" w:history="1">
        <w:r w:rsidRPr="00F36069">
          <w:rPr>
            <w:rStyle w:val="Hyperlink"/>
          </w:rPr>
          <w:t>https://www.researchgate.net/publication/363659699_Case_Study_Critical_Analysis_for_Toyota_Motor_Corporate_Strategy</w:t>
        </w:r>
      </w:hyperlink>
      <w:r w:rsidRPr="00F36069">
        <w:t xml:space="preserve"> </w:t>
      </w:r>
    </w:p>
    <w:p w14:paraId="48B18E25" w14:textId="77777777" w:rsidR="007F344D" w:rsidRPr="00F36069" w:rsidRDefault="007F344D" w:rsidP="007F344D">
      <w:pPr>
        <w:ind w:left="720" w:hanging="720"/>
      </w:pPr>
      <w:r w:rsidRPr="00F36069">
        <w:t xml:space="preserve">Toyota. (2026) </w:t>
      </w:r>
      <w:r w:rsidRPr="00F36069">
        <w:rPr>
          <w:i/>
          <w:iCs/>
        </w:rPr>
        <w:t>Corporate Governance | Toyota Industries Corporation</w:t>
      </w:r>
      <w:r w:rsidRPr="00F36069">
        <w:t xml:space="preserve">. Available at: </w:t>
      </w:r>
      <w:hyperlink r:id="rId39" w:tgtFrame="_new" w:history="1">
        <w:r w:rsidRPr="00F36069">
          <w:rPr>
            <w:rStyle w:val="Hyperlink"/>
          </w:rPr>
          <w:t>https://www.toyota-industries.com/sustainability/governance/index.html</w:t>
        </w:r>
      </w:hyperlink>
      <w:r w:rsidRPr="00F36069">
        <w:t xml:space="preserve"> </w:t>
      </w:r>
      <w:r>
        <w:t xml:space="preserve"> </w:t>
      </w:r>
    </w:p>
    <w:p w14:paraId="5EA6F955" w14:textId="77777777" w:rsidR="007F344D" w:rsidRPr="00F36069" w:rsidRDefault="007F344D" w:rsidP="007F344D">
      <w:pPr>
        <w:ind w:left="720" w:hanging="720"/>
      </w:pPr>
      <w:r w:rsidRPr="00F36069">
        <w:t xml:space="preserve">Wei, X., Fang, G. and Yu, X. (2025) ‘From collaboration to green transformation: How strategic alliances drive green total factor productivity through dynamic capabilities?’, </w:t>
      </w:r>
      <w:r w:rsidRPr="00F36069">
        <w:rPr>
          <w:i/>
          <w:iCs/>
        </w:rPr>
        <w:t>Journal of Innovation &amp; Knowledge</w:t>
      </w:r>
      <w:r w:rsidRPr="00F36069">
        <w:t xml:space="preserve">, 10(5), p. 100783. Available at: </w:t>
      </w:r>
      <w:hyperlink r:id="rId40" w:tgtFrame="_new" w:history="1">
        <w:r w:rsidRPr="00F36069">
          <w:rPr>
            <w:rStyle w:val="Hyperlink"/>
          </w:rPr>
          <w:t>https://doi.org/10.1016/j.jik.2025.100783</w:t>
        </w:r>
      </w:hyperlink>
    </w:p>
    <w:p w14:paraId="46B80E31" w14:textId="77777777" w:rsidR="007F344D" w:rsidRPr="00F36069" w:rsidRDefault="007F344D" w:rsidP="007F344D">
      <w:pPr>
        <w:ind w:left="720" w:hanging="720"/>
      </w:pPr>
      <w:r w:rsidRPr="00F36069">
        <w:lastRenderedPageBreak/>
        <w:t xml:space="preserve">Wetzel, P. and Wagner, S. M. (2025) ‘Supply chain financing theory of the trade payables–performance link’, </w:t>
      </w:r>
      <w:r w:rsidRPr="00F36069">
        <w:rPr>
          <w:i/>
          <w:iCs/>
        </w:rPr>
        <w:t>International Journal of Production Research</w:t>
      </w:r>
      <w:r w:rsidRPr="00F36069">
        <w:t xml:space="preserve">, 63(8), pp. 2806–2830. Available at: </w:t>
      </w:r>
      <w:hyperlink r:id="rId41" w:tgtFrame="_new" w:history="1">
        <w:r w:rsidRPr="00F36069">
          <w:rPr>
            <w:rStyle w:val="Hyperlink"/>
          </w:rPr>
          <w:t>https://doi.org/10.1080/00207543.2024.2410465</w:t>
        </w:r>
      </w:hyperlink>
    </w:p>
    <w:p w14:paraId="1E053F40" w14:textId="77777777" w:rsidR="007F344D" w:rsidRDefault="007F344D" w:rsidP="007F344D">
      <w:pPr>
        <w:ind w:left="720" w:hanging="720"/>
      </w:pPr>
      <w:r w:rsidRPr="00F36069">
        <w:t xml:space="preserve">Yuan, Y. (2025) ‘Toyota Motor’s Exchange Rate Risk Management: Residual Risk and Response Strategies after Forward Hedging’, </w:t>
      </w:r>
      <w:r w:rsidRPr="00F36069">
        <w:rPr>
          <w:i/>
          <w:iCs/>
        </w:rPr>
        <w:t>Highlights in Business, Economics and Management</w:t>
      </w:r>
      <w:r w:rsidRPr="00F36069">
        <w:t xml:space="preserve">, 65, pp. 152–157. Available at: </w:t>
      </w:r>
      <w:hyperlink r:id="rId42" w:history="1">
        <w:r w:rsidRPr="0007122D">
          <w:rPr>
            <w:rStyle w:val="Hyperlink"/>
          </w:rPr>
          <w:t>https://doi.org/10.54097/z03dy213</w:t>
        </w:r>
      </w:hyperlink>
      <w:r>
        <w:t xml:space="preserve"> </w:t>
      </w:r>
    </w:p>
    <w:p w14:paraId="0FC17D01" w14:textId="77777777" w:rsidR="003B3793" w:rsidRPr="009147E5" w:rsidRDefault="00776256" w:rsidP="003B3793">
      <w:pPr>
        <w:rPr>
          <w:b/>
          <w:bCs/>
        </w:rPr>
      </w:pPr>
      <w:r>
        <w:br w:type="page"/>
      </w:r>
      <w:r w:rsidR="003B3793" w:rsidRPr="005D2657">
        <w:rPr>
          <w:b/>
          <w:bCs/>
          <w:sz w:val="32"/>
          <w:szCs w:val="32"/>
        </w:rPr>
        <w:lastRenderedPageBreak/>
        <w:t>Declaration</w:t>
      </w:r>
    </w:p>
    <w:p w14:paraId="365B71BB" w14:textId="1D3846B1" w:rsidR="00776256" w:rsidRDefault="003F613C" w:rsidP="003B3793">
      <w:r w:rsidRPr="003F613C">
        <w:t xml:space="preserve">I would like to state that the generative AI tools have been employed to support research, analyse data, and proofread the texts to enhance grammar and clarity. There was no AI tools involved in the </w:t>
      </w:r>
      <w:r w:rsidR="00584337" w:rsidRPr="00584337">
        <w:t>generate</w:t>
      </w:r>
      <w:r w:rsidRPr="003F613C">
        <w:t xml:space="preserve"> or writing of this report. </w:t>
      </w:r>
      <w:r w:rsidR="00B330D4" w:rsidRPr="00B330D4">
        <w:t>The entire idea, analysis, and final writing are my original work, and I have followed the guidelines of academic integrity in writing.</w:t>
      </w:r>
    </w:p>
    <w:p w14:paraId="0525795E" w14:textId="09ADCA51" w:rsidR="009147E5" w:rsidRDefault="009147E5">
      <w:pPr>
        <w:spacing w:after="160" w:line="278" w:lineRule="auto"/>
        <w:jc w:val="left"/>
      </w:pPr>
      <w:r>
        <w:br w:type="page"/>
      </w:r>
    </w:p>
    <w:p w14:paraId="6B373D9F" w14:textId="4237D9EC" w:rsidR="009147E5" w:rsidRDefault="009147E5" w:rsidP="009147E5">
      <w:pPr>
        <w:pStyle w:val="Heading1"/>
      </w:pPr>
      <w:bookmarkStart w:id="50" w:name="_Toc227885170"/>
      <w:r>
        <w:lastRenderedPageBreak/>
        <w:t>Appendices</w:t>
      </w:r>
      <w:bookmarkEnd w:id="50"/>
    </w:p>
    <w:p w14:paraId="457D2274" w14:textId="2E66C6B3" w:rsidR="009147E5" w:rsidRDefault="001614A3" w:rsidP="003B3793">
      <w:r w:rsidRPr="001614A3">
        <w:rPr>
          <w:noProof/>
        </w:rPr>
        <w:drawing>
          <wp:inline distT="0" distB="0" distL="0" distR="0" wp14:anchorId="37E19C71" wp14:editId="4B1D1FD8">
            <wp:extent cx="5731510" cy="3937635"/>
            <wp:effectExtent l="0" t="0" r="2540" b="5715"/>
            <wp:docPr id="52659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99652" name=""/>
                    <pic:cNvPicPr/>
                  </pic:nvPicPr>
                  <pic:blipFill>
                    <a:blip r:embed="rId43"/>
                    <a:stretch>
                      <a:fillRect/>
                    </a:stretch>
                  </pic:blipFill>
                  <pic:spPr>
                    <a:xfrm>
                      <a:off x="0" y="0"/>
                      <a:ext cx="5731510" cy="3937635"/>
                    </a:xfrm>
                    <a:prstGeom prst="rect">
                      <a:avLst/>
                    </a:prstGeom>
                  </pic:spPr>
                </pic:pic>
              </a:graphicData>
            </a:graphic>
          </wp:inline>
        </w:drawing>
      </w:r>
    </w:p>
    <w:p w14:paraId="5DE6A63A" w14:textId="7D209FA1" w:rsidR="00612507" w:rsidRDefault="00612507" w:rsidP="003B3793">
      <w:r w:rsidRPr="00612507">
        <w:rPr>
          <w:noProof/>
        </w:rPr>
        <w:drawing>
          <wp:inline distT="0" distB="0" distL="0" distR="0" wp14:anchorId="6798E869" wp14:editId="7B63B5A4">
            <wp:extent cx="5731510" cy="3390265"/>
            <wp:effectExtent l="0" t="0" r="2540" b="635"/>
            <wp:docPr id="1373361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61651" name=""/>
                    <pic:cNvPicPr/>
                  </pic:nvPicPr>
                  <pic:blipFill>
                    <a:blip r:embed="rId44"/>
                    <a:stretch>
                      <a:fillRect/>
                    </a:stretch>
                  </pic:blipFill>
                  <pic:spPr>
                    <a:xfrm>
                      <a:off x="0" y="0"/>
                      <a:ext cx="5731510" cy="3390265"/>
                    </a:xfrm>
                    <a:prstGeom prst="rect">
                      <a:avLst/>
                    </a:prstGeom>
                  </pic:spPr>
                </pic:pic>
              </a:graphicData>
            </a:graphic>
          </wp:inline>
        </w:drawing>
      </w:r>
    </w:p>
    <w:p w14:paraId="408FBF5C" w14:textId="6A566AF1" w:rsidR="00612507" w:rsidRDefault="00612507" w:rsidP="003B3793">
      <w:r w:rsidRPr="00612507">
        <w:rPr>
          <w:noProof/>
        </w:rPr>
        <w:lastRenderedPageBreak/>
        <w:drawing>
          <wp:inline distT="0" distB="0" distL="0" distR="0" wp14:anchorId="10518F32" wp14:editId="0024D45C">
            <wp:extent cx="5731510" cy="2959735"/>
            <wp:effectExtent l="0" t="0" r="2540" b="0"/>
            <wp:docPr id="1858103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103486" name=""/>
                    <pic:cNvPicPr/>
                  </pic:nvPicPr>
                  <pic:blipFill>
                    <a:blip r:embed="rId45"/>
                    <a:stretch>
                      <a:fillRect/>
                    </a:stretch>
                  </pic:blipFill>
                  <pic:spPr>
                    <a:xfrm>
                      <a:off x="0" y="0"/>
                      <a:ext cx="5731510" cy="2959735"/>
                    </a:xfrm>
                    <a:prstGeom prst="rect">
                      <a:avLst/>
                    </a:prstGeom>
                  </pic:spPr>
                </pic:pic>
              </a:graphicData>
            </a:graphic>
          </wp:inline>
        </w:drawing>
      </w:r>
    </w:p>
    <w:p w14:paraId="3252517C" w14:textId="77777777" w:rsidR="00214D77" w:rsidRDefault="00214D77" w:rsidP="003B3793"/>
    <w:p w14:paraId="5AD40EB6" w14:textId="0DF96727" w:rsidR="00EA7671" w:rsidRDefault="00214D77" w:rsidP="003B3793">
      <w:r w:rsidRPr="00214D77">
        <w:rPr>
          <w:noProof/>
        </w:rPr>
        <w:drawing>
          <wp:inline distT="0" distB="0" distL="0" distR="0" wp14:anchorId="33F704BB" wp14:editId="0A5E9A2C">
            <wp:extent cx="5731510" cy="3595370"/>
            <wp:effectExtent l="0" t="0" r="2540" b="5080"/>
            <wp:docPr id="1341990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990714" name=""/>
                    <pic:cNvPicPr/>
                  </pic:nvPicPr>
                  <pic:blipFill>
                    <a:blip r:embed="rId46"/>
                    <a:stretch>
                      <a:fillRect/>
                    </a:stretch>
                  </pic:blipFill>
                  <pic:spPr>
                    <a:xfrm>
                      <a:off x="0" y="0"/>
                      <a:ext cx="5731510" cy="3595370"/>
                    </a:xfrm>
                    <a:prstGeom prst="rect">
                      <a:avLst/>
                    </a:prstGeom>
                  </pic:spPr>
                </pic:pic>
              </a:graphicData>
            </a:graphic>
          </wp:inline>
        </w:drawing>
      </w:r>
    </w:p>
    <w:p w14:paraId="058957B4" w14:textId="678BBA32" w:rsidR="00EA7671" w:rsidRDefault="00EA7671" w:rsidP="003B3793">
      <w:r w:rsidRPr="00EA7671">
        <w:rPr>
          <w:noProof/>
        </w:rPr>
        <w:lastRenderedPageBreak/>
        <w:drawing>
          <wp:inline distT="0" distB="0" distL="0" distR="0" wp14:anchorId="7673008E" wp14:editId="4DE717E8">
            <wp:extent cx="5730949" cy="4350122"/>
            <wp:effectExtent l="0" t="0" r="3175" b="0"/>
            <wp:docPr id="65625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57619" name=""/>
                    <pic:cNvPicPr/>
                  </pic:nvPicPr>
                  <pic:blipFill>
                    <a:blip r:embed="rId47"/>
                    <a:stretch>
                      <a:fillRect/>
                    </a:stretch>
                  </pic:blipFill>
                  <pic:spPr>
                    <a:xfrm>
                      <a:off x="0" y="0"/>
                      <a:ext cx="5744402" cy="4360334"/>
                    </a:xfrm>
                    <a:prstGeom prst="rect">
                      <a:avLst/>
                    </a:prstGeom>
                  </pic:spPr>
                </pic:pic>
              </a:graphicData>
            </a:graphic>
          </wp:inline>
        </w:drawing>
      </w:r>
    </w:p>
    <w:p w14:paraId="79DCF228" w14:textId="77777777" w:rsidR="00612507" w:rsidRDefault="00612507" w:rsidP="003B3793"/>
    <w:p w14:paraId="38CCC286" w14:textId="5182C59C" w:rsidR="00EA7671" w:rsidRDefault="00B94CBD" w:rsidP="003B3793">
      <w:r w:rsidRPr="00B94CBD">
        <w:rPr>
          <w:noProof/>
        </w:rPr>
        <w:lastRenderedPageBreak/>
        <w:drawing>
          <wp:inline distT="0" distB="0" distL="0" distR="0" wp14:anchorId="20E3CB23" wp14:editId="45BE42C0">
            <wp:extent cx="5731510" cy="5981065"/>
            <wp:effectExtent l="0" t="0" r="2540" b="635"/>
            <wp:docPr id="7334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3706" name=""/>
                    <pic:cNvPicPr/>
                  </pic:nvPicPr>
                  <pic:blipFill>
                    <a:blip r:embed="rId48"/>
                    <a:stretch>
                      <a:fillRect/>
                    </a:stretch>
                  </pic:blipFill>
                  <pic:spPr>
                    <a:xfrm>
                      <a:off x="0" y="0"/>
                      <a:ext cx="5731510" cy="5981065"/>
                    </a:xfrm>
                    <a:prstGeom prst="rect">
                      <a:avLst/>
                    </a:prstGeom>
                  </pic:spPr>
                </pic:pic>
              </a:graphicData>
            </a:graphic>
          </wp:inline>
        </w:drawing>
      </w:r>
    </w:p>
    <w:p w14:paraId="1DA1CB69" w14:textId="77777777" w:rsidR="00B94CBD" w:rsidRDefault="00B94CBD" w:rsidP="003B3793"/>
    <w:sectPr w:rsidR="00B94CBD">
      <w:footerReference w:type="default" r:id="rId4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E1060" w14:textId="77777777" w:rsidR="0052203F" w:rsidRDefault="0052203F" w:rsidP="00851ADD">
      <w:pPr>
        <w:spacing w:after="0" w:line="240" w:lineRule="auto"/>
      </w:pPr>
      <w:r>
        <w:separator/>
      </w:r>
    </w:p>
  </w:endnote>
  <w:endnote w:type="continuationSeparator" w:id="0">
    <w:p w14:paraId="155C2D80" w14:textId="77777777" w:rsidR="0052203F" w:rsidRDefault="0052203F" w:rsidP="00851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932212"/>
      <w:docPartObj>
        <w:docPartGallery w:val="Page Numbers (Bottom of Page)"/>
        <w:docPartUnique/>
      </w:docPartObj>
    </w:sdtPr>
    <w:sdtEndPr>
      <w:rPr>
        <w:noProof/>
      </w:rPr>
    </w:sdtEndPr>
    <w:sdtContent>
      <w:p w14:paraId="1609CBC9" w14:textId="5A27167D" w:rsidR="00851ADD" w:rsidRDefault="00851A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FB29DC" w14:textId="77777777" w:rsidR="00851ADD" w:rsidRDefault="00851A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06461" w14:textId="77777777" w:rsidR="0052203F" w:rsidRDefault="0052203F" w:rsidP="00851ADD">
      <w:pPr>
        <w:spacing w:after="0" w:line="240" w:lineRule="auto"/>
      </w:pPr>
      <w:r>
        <w:separator/>
      </w:r>
    </w:p>
  </w:footnote>
  <w:footnote w:type="continuationSeparator" w:id="0">
    <w:p w14:paraId="7F4BA0F1" w14:textId="77777777" w:rsidR="0052203F" w:rsidRDefault="0052203F" w:rsidP="00851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414DC"/>
    <w:multiLevelType w:val="multilevel"/>
    <w:tmpl w:val="E816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9661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418"/>
    <w:rsid w:val="00013A27"/>
    <w:rsid w:val="00022C31"/>
    <w:rsid w:val="00024C0E"/>
    <w:rsid w:val="000338CA"/>
    <w:rsid w:val="00054C4F"/>
    <w:rsid w:val="00061C46"/>
    <w:rsid w:val="000842FB"/>
    <w:rsid w:val="00085288"/>
    <w:rsid w:val="000A04BF"/>
    <w:rsid w:val="000A5DF4"/>
    <w:rsid w:val="000C07C5"/>
    <w:rsid w:val="000C12BD"/>
    <w:rsid w:val="000C3633"/>
    <w:rsid w:val="000D7C65"/>
    <w:rsid w:val="000E1111"/>
    <w:rsid w:val="000E1860"/>
    <w:rsid w:val="000E2BC4"/>
    <w:rsid w:val="000F60C4"/>
    <w:rsid w:val="0012626B"/>
    <w:rsid w:val="00131BD4"/>
    <w:rsid w:val="00144720"/>
    <w:rsid w:val="00144E14"/>
    <w:rsid w:val="00156237"/>
    <w:rsid w:val="00156601"/>
    <w:rsid w:val="001614A3"/>
    <w:rsid w:val="00165AD9"/>
    <w:rsid w:val="00180682"/>
    <w:rsid w:val="00184C03"/>
    <w:rsid w:val="001921A5"/>
    <w:rsid w:val="00195D9C"/>
    <w:rsid w:val="001B041A"/>
    <w:rsid w:val="001D3A23"/>
    <w:rsid w:val="001E3F9B"/>
    <w:rsid w:val="00201CE5"/>
    <w:rsid w:val="00206C00"/>
    <w:rsid w:val="00210280"/>
    <w:rsid w:val="00213962"/>
    <w:rsid w:val="0021397B"/>
    <w:rsid w:val="00214D77"/>
    <w:rsid w:val="0021671C"/>
    <w:rsid w:val="00236566"/>
    <w:rsid w:val="0026238B"/>
    <w:rsid w:val="002922EC"/>
    <w:rsid w:val="002957A9"/>
    <w:rsid w:val="002B3F11"/>
    <w:rsid w:val="002C060A"/>
    <w:rsid w:val="002C0C60"/>
    <w:rsid w:val="002C6918"/>
    <w:rsid w:val="002E6E0B"/>
    <w:rsid w:val="002F2E6D"/>
    <w:rsid w:val="00305679"/>
    <w:rsid w:val="0031120B"/>
    <w:rsid w:val="00315C84"/>
    <w:rsid w:val="00323A45"/>
    <w:rsid w:val="00324BC1"/>
    <w:rsid w:val="003348C6"/>
    <w:rsid w:val="00337964"/>
    <w:rsid w:val="0034002A"/>
    <w:rsid w:val="00341A38"/>
    <w:rsid w:val="003519C4"/>
    <w:rsid w:val="0035753E"/>
    <w:rsid w:val="00363658"/>
    <w:rsid w:val="00367051"/>
    <w:rsid w:val="003746C6"/>
    <w:rsid w:val="00380F36"/>
    <w:rsid w:val="0038471D"/>
    <w:rsid w:val="003A469C"/>
    <w:rsid w:val="003B3793"/>
    <w:rsid w:val="003C5648"/>
    <w:rsid w:val="003D40EE"/>
    <w:rsid w:val="003E0785"/>
    <w:rsid w:val="003E3B5E"/>
    <w:rsid w:val="003F613C"/>
    <w:rsid w:val="0040417F"/>
    <w:rsid w:val="00405CF6"/>
    <w:rsid w:val="00416C70"/>
    <w:rsid w:val="00433B78"/>
    <w:rsid w:val="004454DC"/>
    <w:rsid w:val="004461D8"/>
    <w:rsid w:val="00450AE8"/>
    <w:rsid w:val="004517D6"/>
    <w:rsid w:val="004649F0"/>
    <w:rsid w:val="0047106F"/>
    <w:rsid w:val="004A1B42"/>
    <w:rsid w:val="004B62CF"/>
    <w:rsid w:val="004C5B86"/>
    <w:rsid w:val="004C6F8D"/>
    <w:rsid w:val="004F00E1"/>
    <w:rsid w:val="0051299E"/>
    <w:rsid w:val="0052203F"/>
    <w:rsid w:val="00540989"/>
    <w:rsid w:val="00542F6D"/>
    <w:rsid w:val="005440E9"/>
    <w:rsid w:val="005535B8"/>
    <w:rsid w:val="00564A12"/>
    <w:rsid w:val="00567ED0"/>
    <w:rsid w:val="00583056"/>
    <w:rsid w:val="00584337"/>
    <w:rsid w:val="005858CD"/>
    <w:rsid w:val="005A1177"/>
    <w:rsid w:val="005A5586"/>
    <w:rsid w:val="005D2657"/>
    <w:rsid w:val="005F20E6"/>
    <w:rsid w:val="005F26C5"/>
    <w:rsid w:val="005F7E6E"/>
    <w:rsid w:val="00607F64"/>
    <w:rsid w:val="00612507"/>
    <w:rsid w:val="00613B1E"/>
    <w:rsid w:val="0061510D"/>
    <w:rsid w:val="006320CF"/>
    <w:rsid w:val="006323C3"/>
    <w:rsid w:val="006340FC"/>
    <w:rsid w:val="00641C04"/>
    <w:rsid w:val="00670ADF"/>
    <w:rsid w:val="00671815"/>
    <w:rsid w:val="00686353"/>
    <w:rsid w:val="00687540"/>
    <w:rsid w:val="006B71B3"/>
    <w:rsid w:val="006C7418"/>
    <w:rsid w:val="006D3D20"/>
    <w:rsid w:val="006E6ACA"/>
    <w:rsid w:val="006F49B6"/>
    <w:rsid w:val="00703319"/>
    <w:rsid w:val="00706212"/>
    <w:rsid w:val="007165A9"/>
    <w:rsid w:val="00735F26"/>
    <w:rsid w:val="00743098"/>
    <w:rsid w:val="00745CBB"/>
    <w:rsid w:val="007534E1"/>
    <w:rsid w:val="007569D0"/>
    <w:rsid w:val="00770AC3"/>
    <w:rsid w:val="00771AD3"/>
    <w:rsid w:val="00775EAF"/>
    <w:rsid w:val="00776256"/>
    <w:rsid w:val="007803C1"/>
    <w:rsid w:val="00781C39"/>
    <w:rsid w:val="007868B8"/>
    <w:rsid w:val="007C041A"/>
    <w:rsid w:val="007C39C2"/>
    <w:rsid w:val="007C3EC6"/>
    <w:rsid w:val="007C4760"/>
    <w:rsid w:val="007F344D"/>
    <w:rsid w:val="00804F8E"/>
    <w:rsid w:val="00812D64"/>
    <w:rsid w:val="00831358"/>
    <w:rsid w:val="00832453"/>
    <w:rsid w:val="00843B58"/>
    <w:rsid w:val="0084468A"/>
    <w:rsid w:val="00851ADD"/>
    <w:rsid w:val="0085216B"/>
    <w:rsid w:val="00855AE4"/>
    <w:rsid w:val="00862B39"/>
    <w:rsid w:val="00863BDC"/>
    <w:rsid w:val="008643CC"/>
    <w:rsid w:val="008716EF"/>
    <w:rsid w:val="00881575"/>
    <w:rsid w:val="008868FB"/>
    <w:rsid w:val="0089061F"/>
    <w:rsid w:val="00890751"/>
    <w:rsid w:val="00891388"/>
    <w:rsid w:val="008A3DE2"/>
    <w:rsid w:val="008A4034"/>
    <w:rsid w:val="008B157F"/>
    <w:rsid w:val="008B3A9A"/>
    <w:rsid w:val="008C0D21"/>
    <w:rsid w:val="008D1D87"/>
    <w:rsid w:val="008E1828"/>
    <w:rsid w:val="008E58C3"/>
    <w:rsid w:val="008F69A3"/>
    <w:rsid w:val="009058A6"/>
    <w:rsid w:val="009118E8"/>
    <w:rsid w:val="009147E5"/>
    <w:rsid w:val="00921D79"/>
    <w:rsid w:val="009404B7"/>
    <w:rsid w:val="009429AF"/>
    <w:rsid w:val="0094496D"/>
    <w:rsid w:val="00956ECD"/>
    <w:rsid w:val="009632F2"/>
    <w:rsid w:val="00967F28"/>
    <w:rsid w:val="00981756"/>
    <w:rsid w:val="00991DEC"/>
    <w:rsid w:val="009965FA"/>
    <w:rsid w:val="009B439B"/>
    <w:rsid w:val="009C7283"/>
    <w:rsid w:val="009C7EB2"/>
    <w:rsid w:val="00A1029F"/>
    <w:rsid w:val="00A26ADF"/>
    <w:rsid w:val="00A30174"/>
    <w:rsid w:val="00A307DF"/>
    <w:rsid w:val="00A32949"/>
    <w:rsid w:val="00A34E91"/>
    <w:rsid w:val="00A51204"/>
    <w:rsid w:val="00A53FEB"/>
    <w:rsid w:val="00A54B5B"/>
    <w:rsid w:val="00A7046A"/>
    <w:rsid w:val="00A92650"/>
    <w:rsid w:val="00A96872"/>
    <w:rsid w:val="00AB324F"/>
    <w:rsid w:val="00AB7D6E"/>
    <w:rsid w:val="00AC0E52"/>
    <w:rsid w:val="00AD2AB1"/>
    <w:rsid w:val="00AD6AB6"/>
    <w:rsid w:val="00AF5EE1"/>
    <w:rsid w:val="00AF63A5"/>
    <w:rsid w:val="00B00AE6"/>
    <w:rsid w:val="00B02ADB"/>
    <w:rsid w:val="00B152DC"/>
    <w:rsid w:val="00B2455B"/>
    <w:rsid w:val="00B325EF"/>
    <w:rsid w:val="00B330D4"/>
    <w:rsid w:val="00B420F3"/>
    <w:rsid w:val="00B51867"/>
    <w:rsid w:val="00B748AE"/>
    <w:rsid w:val="00B77A3F"/>
    <w:rsid w:val="00B81926"/>
    <w:rsid w:val="00B83047"/>
    <w:rsid w:val="00B94CBD"/>
    <w:rsid w:val="00BA6CB7"/>
    <w:rsid w:val="00BA6E2B"/>
    <w:rsid w:val="00BB2AA3"/>
    <w:rsid w:val="00BB52AB"/>
    <w:rsid w:val="00BB7702"/>
    <w:rsid w:val="00BC2AD1"/>
    <w:rsid w:val="00BC712C"/>
    <w:rsid w:val="00BC7E94"/>
    <w:rsid w:val="00BE1979"/>
    <w:rsid w:val="00C10EB4"/>
    <w:rsid w:val="00C11B55"/>
    <w:rsid w:val="00C14481"/>
    <w:rsid w:val="00C156F1"/>
    <w:rsid w:val="00C27428"/>
    <w:rsid w:val="00C27E77"/>
    <w:rsid w:val="00C30565"/>
    <w:rsid w:val="00C30921"/>
    <w:rsid w:val="00C319B6"/>
    <w:rsid w:val="00C378B4"/>
    <w:rsid w:val="00C52868"/>
    <w:rsid w:val="00C52A38"/>
    <w:rsid w:val="00C56131"/>
    <w:rsid w:val="00C62251"/>
    <w:rsid w:val="00C7491A"/>
    <w:rsid w:val="00C75093"/>
    <w:rsid w:val="00C97844"/>
    <w:rsid w:val="00CA43ED"/>
    <w:rsid w:val="00CA6796"/>
    <w:rsid w:val="00CD0980"/>
    <w:rsid w:val="00CE0A19"/>
    <w:rsid w:val="00CE3EC3"/>
    <w:rsid w:val="00D32503"/>
    <w:rsid w:val="00D37A87"/>
    <w:rsid w:val="00D47A8A"/>
    <w:rsid w:val="00D51E49"/>
    <w:rsid w:val="00D5700B"/>
    <w:rsid w:val="00D60230"/>
    <w:rsid w:val="00D643CF"/>
    <w:rsid w:val="00D83350"/>
    <w:rsid w:val="00D861E0"/>
    <w:rsid w:val="00D8786C"/>
    <w:rsid w:val="00D91D3B"/>
    <w:rsid w:val="00D962BE"/>
    <w:rsid w:val="00DA5837"/>
    <w:rsid w:val="00DA780E"/>
    <w:rsid w:val="00DB3FC5"/>
    <w:rsid w:val="00DB462D"/>
    <w:rsid w:val="00DB5161"/>
    <w:rsid w:val="00DB791A"/>
    <w:rsid w:val="00DC3062"/>
    <w:rsid w:val="00DC71F7"/>
    <w:rsid w:val="00DD3523"/>
    <w:rsid w:val="00DD38B9"/>
    <w:rsid w:val="00DE1DEE"/>
    <w:rsid w:val="00DE5C6C"/>
    <w:rsid w:val="00DE60BE"/>
    <w:rsid w:val="00DE7D64"/>
    <w:rsid w:val="00E04259"/>
    <w:rsid w:val="00E17811"/>
    <w:rsid w:val="00E35289"/>
    <w:rsid w:val="00E427A2"/>
    <w:rsid w:val="00E511AB"/>
    <w:rsid w:val="00E532FF"/>
    <w:rsid w:val="00E61DE4"/>
    <w:rsid w:val="00E637A9"/>
    <w:rsid w:val="00E75EAC"/>
    <w:rsid w:val="00E85DE3"/>
    <w:rsid w:val="00E929A3"/>
    <w:rsid w:val="00E962B8"/>
    <w:rsid w:val="00EA1001"/>
    <w:rsid w:val="00EA7671"/>
    <w:rsid w:val="00EB4C9F"/>
    <w:rsid w:val="00EC7143"/>
    <w:rsid w:val="00EF098D"/>
    <w:rsid w:val="00EF5EF6"/>
    <w:rsid w:val="00F014A0"/>
    <w:rsid w:val="00F026E6"/>
    <w:rsid w:val="00F113ED"/>
    <w:rsid w:val="00F23E04"/>
    <w:rsid w:val="00F26ED2"/>
    <w:rsid w:val="00F326FF"/>
    <w:rsid w:val="00F36069"/>
    <w:rsid w:val="00F36D27"/>
    <w:rsid w:val="00F54992"/>
    <w:rsid w:val="00F65033"/>
    <w:rsid w:val="00F75E9E"/>
    <w:rsid w:val="00F776B5"/>
    <w:rsid w:val="00FB7659"/>
    <w:rsid w:val="00FC1FF3"/>
    <w:rsid w:val="00FE0CBC"/>
    <w:rsid w:val="00FF4151"/>
    <w:rsid w:val="00FF6E7F"/>
    <w:rsid w:val="00FF7C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9A6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0AE8"/>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6C741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C741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C74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74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74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74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6C74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4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4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4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4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418"/>
    <w:rPr>
      <w:rFonts w:eastAsiaTheme="majorEastAsia" w:cstheme="majorBidi"/>
      <w:color w:val="272727" w:themeColor="text1" w:themeTint="D8"/>
    </w:rPr>
  </w:style>
  <w:style w:type="paragraph" w:styleId="Title">
    <w:name w:val="Title"/>
    <w:basedOn w:val="Normal"/>
    <w:next w:val="Normal"/>
    <w:link w:val="TitleChar"/>
    <w:uiPriority w:val="10"/>
    <w:qFormat/>
    <w:rsid w:val="006C74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4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41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4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41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C7418"/>
    <w:rPr>
      <w:rFonts w:ascii="Times New Roman" w:hAnsi="Times New Roman"/>
      <w:i/>
      <w:iCs/>
      <w:color w:val="404040" w:themeColor="text1" w:themeTint="BF"/>
    </w:rPr>
  </w:style>
  <w:style w:type="paragraph" w:styleId="ListParagraph">
    <w:name w:val="List Paragraph"/>
    <w:basedOn w:val="Normal"/>
    <w:uiPriority w:val="34"/>
    <w:qFormat/>
    <w:rsid w:val="006C7418"/>
    <w:pPr>
      <w:ind w:left="720"/>
      <w:contextualSpacing/>
    </w:pPr>
  </w:style>
  <w:style w:type="character" w:styleId="IntenseEmphasis">
    <w:name w:val="Intense Emphasis"/>
    <w:basedOn w:val="DefaultParagraphFont"/>
    <w:uiPriority w:val="21"/>
    <w:qFormat/>
    <w:rsid w:val="006C7418"/>
    <w:rPr>
      <w:i/>
      <w:iCs/>
      <w:color w:val="0F4761" w:themeColor="accent1" w:themeShade="BF"/>
    </w:rPr>
  </w:style>
  <w:style w:type="paragraph" w:styleId="IntenseQuote">
    <w:name w:val="Intense Quote"/>
    <w:basedOn w:val="Normal"/>
    <w:next w:val="Normal"/>
    <w:link w:val="IntenseQuoteChar"/>
    <w:uiPriority w:val="30"/>
    <w:qFormat/>
    <w:rsid w:val="006C74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418"/>
    <w:rPr>
      <w:rFonts w:ascii="Times New Roman" w:hAnsi="Times New Roman"/>
      <w:i/>
      <w:iCs/>
      <w:color w:val="0F4761" w:themeColor="accent1" w:themeShade="BF"/>
    </w:rPr>
  </w:style>
  <w:style w:type="character" w:styleId="IntenseReference">
    <w:name w:val="Intense Reference"/>
    <w:basedOn w:val="DefaultParagraphFont"/>
    <w:uiPriority w:val="32"/>
    <w:qFormat/>
    <w:rsid w:val="006C7418"/>
    <w:rPr>
      <w:b/>
      <w:bCs/>
      <w:smallCaps/>
      <w:color w:val="0F4761" w:themeColor="accent1" w:themeShade="BF"/>
      <w:spacing w:val="5"/>
    </w:rPr>
  </w:style>
  <w:style w:type="table" w:styleId="TableGrid">
    <w:name w:val="Table Grid"/>
    <w:basedOn w:val="TableNormal"/>
    <w:uiPriority w:val="39"/>
    <w:rsid w:val="00C319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511AB"/>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E511AB"/>
    <w:rPr>
      <w:color w:val="467886" w:themeColor="hyperlink"/>
      <w:u w:val="single"/>
    </w:rPr>
  </w:style>
  <w:style w:type="paragraph" w:styleId="NormalWeb">
    <w:name w:val="Normal (Web)"/>
    <w:basedOn w:val="Normal"/>
    <w:uiPriority w:val="99"/>
    <w:semiHidden/>
    <w:unhideWhenUsed/>
    <w:rsid w:val="00405CF6"/>
    <w:rPr>
      <w:rFonts w:ascii="Times New Roman" w:hAnsi="Times New Roman" w:cs="Times New Roman"/>
    </w:rPr>
  </w:style>
  <w:style w:type="character" w:styleId="UnresolvedMention">
    <w:name w:val="Unresolved Mention"/>
    <w:basedOn w:val="DefaultParagraphFont"/>
    <w:uiPriority w:val="99"/>
    <w:semiHidden/>
    <w:unhideWhenUsed/>
    <w:rsid w:val="00F75E9E"/>
    <w:rPr>
      <w:color w:val="605E5C"/>
      <w:shd w:val="clear" w:color="auto" w:fill="E1DFDD"/>
    </w:rPr>
  </w:style>
  <w:style w:type="paragraph" w:styleId="Header">
    <w:name w:val="header"/>
    <w:basedOn w:val="Normal"/>
    <w:link w:val="HeaderChar"/>
    <w:uiPriority w:val="99"/>
    <w:unhideWhenUsed/>
    <w:rsid w:val="00851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ADD"/>
    <w:rPr>
      <w:rFonts w:ascii="Arial" w:hAnsi="Arial"/>
    </w:rPr>
  </w:style>
  <w:style w:type="paragraph" w:styleId="Footer">
    <w:name w:val="footer"/>
    <w:basedOn w:val="Normal"/>
    <w:link w:val="FooterChar"/>
    <w:uiPriority w:val="99"/>
    <w:unhideWhenUsed/>
    <w:rsid w:val="00851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ADD"/>
    <w:rPr>
      <w:rFonts w:ascii="Arial" w:hAnsi="Arial"/>
    </w:rPr>
  </w:style>
  <w:style w:type="paragraph" w:styleId="Caption">
    <w:name w:val="caption"/>
    <w:basedOn w:val="Normal"/>
    <w:next w:val="Normal"/>
    <w:uiPriority w:val="35"/>
    <w:unhideWhenUsed/>
    <w:qFormat/>
    <w:rsid w:val="0030567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doi.org/10.37899/journallabisecoman.v6i2.2151" TargetMode="External"/><Relationship Id="rId26" Type="http://schemas.openxmlformats.org/officeDocument/2006/relationships/hyperlink" Target="https://doi.org/10.62836/emi.v3i3.223" TargetMode="External"/><Relationship Id="rId39" Type="http://schemas.openxmlformats.org/officeDocument/2006/relationships/hyperlink" Target="https://www.toyota-industries.com/sustainability/governance/index.html" TargetMode="External"/><Relationship Id="rId21" Type="http://schemas.openxmlformats.org/officeDocument/2006/relationships/hyperlink" Target="https://doi.org/10.34118/djei.v8i2.268" TargetMode="External"/><Relationship Id="rId34" Type="http://schemas.openxmlformats.org/officeDocument/2006/relationships/hyperlink" Target="https://doi.org/10.54254/2754-1169/2025.22172" TargetMode="External"/><Relationship Id="rId42" Type="http://schemas.openxmlformats.org/officeDocument/2006/relationships/hyperlink" Target="https://doi.org/10.54097/z03dy213" TargetMode="External"/><Relationship Id="rId47" Type="http://schemas.openxmlformats.org/officeDocument/2006/relationships/image" Target="media/image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hyperlink" Target="https://doi.org/10.3390/eng6030056" TargetMode="External"/><Relationship Id="rId11" Type="http://schemas.openxmlformats.org/officeDocument/2006/relationships/chart" Target="charts/chart3.xml"/><Relationship Id="rId24" Type="http://schemas.openxmlformats.org/officeDocument/2006/relationships/hyperlink" Target="https://digitalcommons.newhaven.edu/americanbusinessreview/vol26/iss1/3/" TargetMode="External"/><Relationship Id="rId32" Type="http://schemas.openxmlformats.org/officeDocument/2006/relationships/hyperlink" Target="https://doi.org/10.1016/j.heliyon.2024.e39299" TargetMode="External"/><Relationship Id="rId37" Type="http://schemas.openxmlformats.org/officeDocument/2006/relationships/hyperlink" Target="https://doi.org/10.3390/jrfm18040208" TargetMode="External"/><Relationship Id="rId40" Type="http://schemas.openxmlformats.org/officeDocument/2006/relationships/hyperlink" Target="https://doi.org/10.1016/j.jik.2025.100783" TargetMode="External"/><Relationship Id="rId45"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002/ijfe.2418" TargetMode="External"/><Relationship Id="rId28" Type="http://schemas.openxmlformats.org/officeDocument/2006/relationships/hyperlink" Target="https://www.researchgate.net/publication/389320954_Optimizing_corporate_tax_strategies_and_transfer_pricing_policies_to_improve_financial_efficiency_and_compliance" TargetMode="External"/><Relationship Id="rId36" Type="http://schemas.openxmlformats.org/officeDocument/2006/relationships/hyperlink" Target="https://doi.org/10.13140/RG.2.2.28702.77120" TargetMode="External"/><Relationship Id="rId49"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doi.org/10.1016/j.ssaho.2025.101906" TargetMode="External"/><Relationship Id="rId31" Type="http://schemas.openxmlformats.org/officeDocument/2006/relationships/hyperlink" Target="https://doi.org/10.54254/2754-1169/43/20232167" TargetMode="External"/><Relationship Id="rId44"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3140/RG.2.2.10613.35043" TargetMode="External"/><Relationship Id="rId27" Type="http://schemas.openxmlformats.org/officeDocument/2006/relationships/hyperlink" Target="https://doi.org/10.3390/jrfm17110508" TargetMode="External"/><Relationship Id="rId30" Type="http://schemas.openxmlformats.org/officeDocument/2006/relationships/hyperlink" Target="https://www.researchgate.net/publication/403160705_The_Relationship_between_Working_Capital_Management_and_Profitability_of_Listed_Automobile_Companies_in_Japan_Stock_Exchange_Market_Moderating_Effect_of_Market_Share" TargetMode="External"/><Relationship Id="rId35" Type="http://schemas.openxmlformats.org/officeDocument/2006/relationships/hyperlink" Target="https://doi.org/10.54254/2754-1169/75/20241795" TargetMode="External"/><Relationship Id="rId43" Type="http://schemas.openxmlformats.org/officeDocument/2006/relationships/image" Target="media/image2.png"/><Relationship Id="rId48" Type="http://schemas.openxmlformats.org/officeDocument/2006/relationships/image" Target="media/image7.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doi.org/10.18535/ijsrm/v12i05.em23" TargetMode="External"/><Relationship Id="rId33" Type="http://schemas.openxmlformats.org/officeDocument/2006/relationships/hyperlink" Target="https://doi.org/10.1108/jamr-02-2022-0042" TargetMode="External"/><Relationship Id="rId38" Type="http://schemas.openxmlformats.org/officeDocument/2006/relationships/hyperlink" Target="https://www.researchgate.net/publication/363659699_Case_Study_Critical_Analysis_for_Toyota_Motor_Corporate_Strategy" TargetMode="External"/><Relationship Id="rId46" Type="http://schemas.openxmlformats.org/officeDocument/2006/relationships/image" Target="media/image5.png"/><Relationship Id="rId20" Type="http://schemas.openxmlformats.org/officeDocument/2006/relationships/hyperlink" Target="https://doi.org/10.1016/j.tsep.2023.102224" TargetMode="External"/><Relationship Id="rId41" Type="http://schemas.openxmlformats.org/officeDocument/2006/relationships/hyperlink" Target="https://doi.org/10.1080/00207543.2024.2410465"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wnloads\gross_profit_margin_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wnloads\operating_profit_margin_cha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wnloads\roe_chart%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wnloads\current_ratio_char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wnloads\debt_ratio_char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ownloads\ccc_char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ownloads\ccc_table8_char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ownloads\payback_period_chart.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Gross Profit Margin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1"/>
        <c:ser>
          <c:idx val="0"/>
          <c:order val="0"/>
          <c:tx>
            <c:strRef>
              <c:f>'Gross Profit Margin'!$B$1</c:f>
              <c:strCache>
                <c:ptCount val="1"/>
                <c:pt idx="0">
                  <c:v>Gross Profit Margin (%)</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CF27-4350-AECF-10C5CBD55D49}"/>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CF27-4350-AECF-10C5CBD55D49}"/>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CF27-4350-AECF-10C5CBD55D49}"/>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CF27-4350-AECF-10C5CBD55D49}"/>
              </c:ext>
            </c:extLst>
          </c:dPt>
          <c:dPt>
            <c:idx val="4"/>
            <c:marker>
              <c:symbol val="none"/>
            </c:marker>
            <c:bubble3D val="0"/>
            <c:spPr>
              <a:ln w="34925" cap="rnd">
                <a:solidFill>
                  <a:schemeClr val="accent5"/>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9-CF27-4350-AECF-10C5CBD55D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'Gross Profit Margin'!$A$2:$A$6</c:f>
              <c:numCache>
                <c:formatCode>General</c:formatCode>
                <c:ptCount val="5"/>
                <c:pt idx="0">
                  <c:v>2021</c:v>
                </c:pt>
                <c:pt idx="1">
                  <c:v>2022</c:v>
                </c:pt>
                <c:pt idx="2">
                  <c:v>2023</c:v>
                </c:pt>
                <c:pt idx="3">
                  <c:v>2024</c:v>
                </c:pt>
                <c:pt idx="4">
                  <c:v>2025</c:v>
                </c:pt>
              </c:numCache>
            </c:numRef>
          </c:cat>
          <c:val>
            <c:numRef>
              <c:f>'Gross Profit Margin'!$B$2:$B$6</c:f>
              <c:numCache>
                <c:formatCode>General</c:formatCode>
                <c:ptCount val="5"/>
                <c:pt idx="0">
                  <c:v>23.15</c:v>
                </c:pt>
                <c:pt idx="1">
                  <c:v>22.46</c:v>
                </c:pt>
                <c:pt idx="2">
                  <c:v>22.37</c:v>
                </c:pt>
                <c:pt idx="3">
                  <c:v>23.51</c:v>
                </c:pt>
                <c:pt idx="4">
                  <c:v>23.29</c:v>
                </c:pt>
              </c:numCache>
            </c:numRef>
          </c:val>
          <c:smooth val="1"/>
          <c:extLst>
            <c:ext xmlns:c16="http://schemas.microsoft.com/office/drawing/2014/chart" uri="{C3380CC4-5D6E-409C-BE32-E72D297353CC}">
              <c16:uniqueId val="{0000000A-CF27-4350-AECF-10C5CBD55D49}"/>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r>
                  <a:rPr lang="en-GB" sz="400"/>
                  <a:t>Margin (%)</a:t>
                </a:r>
              </a:p>
            </c:rich>
          </c:tx>
          <c:layout>
            <c:manualLayout>
              <c:xMode val="edge"/>
              <c:yMode val="edge"/>
              <c:x val="0"/>
              <c:y val="0.35223598363167125"/>
            </c:manualLayout>
          </c:layout>
          <c:overlay val="1"/>
          <c:spPr>
            <a:noFill/>
            <a:ln>
              <a:noFill/>
            </a:ln>
            <a:effectLst/>
          </c:spPr>
          <c:txPr>
            <a:bodyPr rot="-5400000" spcFirstLastPara="1" vertOverflow="ellipsis" vert="horz" wrap="square" anchor="ctr" anchorCtr="1"/>
            <a:lstStyle/>
            <a:p>
              <a:pPr>
                <a:defRPr sz="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Operating Profit Margin Trend (2021-2025)</a:t>
            </a:r>
          </a:p>
        </c:rich>
      </c:tx>
      <c:layout>
        <c:manualLayout>
          <c:xMode val="edge"/>
          <c:yMode val="edge"/>
          <c:x val="0.16313503578859828"/>
          <c:y val="0"/>
        </c:manualLayout>
      </c:layout>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904889856373898E-2"/>
          <c:y val="8.3333333333333329E-2"/>
          <c:w val="0.91568863133288725"/>
          <c:h val="0.73614173228346458"/>
        </c:manualLayout>
      </c:layout>
      <c:lineChart>
        <c:grouping val="standard"/>
        <c:varyColors val="1"/>
        <c:ser>
          <c:idx val="0"/>
          <c:order val="0"/>
          <c:tx>
            <c:strRef>
              <c:f>'Operating Profit Margin'!$B$1</c:f>
              <c:strCache>
                <c:ptCount val="1"/>
                <c:pt idx="0">
                  <c:v>Operating Profit Margin (%)</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B5D7-472F-AC44-4327744CF90C}"/>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B5D7-472F-AC44-4327744CF90C}"/>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B5D7-472F-AC44-4327744CF90C}"/>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B5D7-472F-AC44-4327744CF90C}"/>
              </c:ext>
            </c:extLst>
          </c:dPt>
          <c:dPt>
            <c:idx val="4"/>
            <c:marker>
              <c:symbol val="none"/>
            </c:marker>
            <c:bubble3D val="0"/>
            <c:spPr>
              <a:ln w="34925" cap="rnd">
                <a:solidFill>
                  <a:schemeClr val="accent5"/>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9-B5D7-472F-AC44-4327744CF9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'Operating Profit Margin'!$A$2:$A$6</c:f>
              <c:numCache>
                <c:formatCode>General</c:formatCode>
                <c:ptCount val="5"/>
                <c:pt idx="0">
                  <c:v>2021</c:v>
                </c:pt>
                <c:pt idx="1">
                  <c:v>2022</c:v>
                </c:pt>
                <c:pt idx="2">
                  <c:v>2023</c:v>
                </c:pt>
                <c:pt idx="3">
                  <c:v>2024</c:v>
                </c:pt>
                <c:pt idx="4">
                  <c:v>2025</c:v>
                </c:pt>
              </c:numCache>
            </c:numRef>
          </c:cat>
          <c:val>
            <c:numRef>
              <c:f>'Operating Profit Margin'!$B$2:$B$6</c:f>
              <c:numCache>
                <c:formatCode>General</c:formatCode>
                <c:ptCount val="5"/>
                <c:pt idx="0">
                  <c:v>5.58</c:v>
                </c:pt>
                <c:pt idx="1">
                  <c:v>5.88</c:v>
                </c:pt>
                <c:pt idx="2">
                  <c:v>5.03</c:v>
                </c:pt>
                <c:pt idx="3">
                  <c:v>5.23</c:v>
                </c:pt>
                <c:pt idx="4">
                  <c:v>5.43</c:v>
                </c:pt>
              </c:numCache>
            </c:numRef>
          </c:val>
          <c:smooth val="1"/>
          <c:extLst>
            <c:ext xmlns:c16="http://schemas.microsoft.com/office/drawing/2014/chart" uri="{C3380CC4-5D6E-409C-BE32-E72D297353CC}">
              <c16:uniqueId val="{0000000A-B5D7-472F-AC44-4327744CF90C}"/>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r>
                  <a:rPr lang="en-GB" sz="500"/>
                  <a:t>Margin (%)</a:t>
                </a:r>
              </a:p>
            </c:rich>
          </c:tx>
          <c:layout>
            <c:manualLayout>
              <c:xMode val="edge"/>
              <c:yMode val="edge"/>
              <c:x val="0"/>
              <c:y val="0.37523512685914268"/>
            </c:manualLayout>
          </c:layout>
          <c:overlay val="1"/>
          <c:spPr>
            <a:noFill/>
            <a:ln>
              <a:noFill/>
            </a:ln>
            <a:effectLst/>
          </c:spPr>
          <c:txPr>
            <a:bodyPr rot="-54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Net Profit Margin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0407503877990196E-2"/>
          <c:y val="0.10293130454240322"/>
          <c:w val="0.91498124206674636"/>
          <c:h val="0.74493897593747305"/>
        </c:manualLayout>
      </c:layout>
      <c:lineChart>
        <c:grouping val="standard"/>
        <c:varyColors val="1"/>
        <c:ser>
          <c:idx val="0"/>
          <c:order val="0"/>
          <c:tx>
            <c:strRef>
              <c:f>'Net Profit Margin'!$B$1</c:f>
              <c:strCache>
                <c:ptCount val="1"/>
                <c:pt idx="0">
                  <c:v>Net Profit Margin (%)</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56A6-4B61-9A29-BB5D5B8C0426}"/>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56A6-4B61-9A29-BB5D5B8C0426}"/>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56A6-4B61-9A29-BB5D5B8C0426}"/>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56A6-4B61-9A29-BB5D5B8C0426}"/>
              </c:ext>
            </c:extLst>
          </c:dPt>
          <c:dPt>
            <c:idx val="4"/>
            <c:marker>
              <c:symbol val="none"/>
            </c:marker>
            <c:bubble3D val="0"/>
            <c:spPr>
              <a:ln w="34925" cap="rnd">
                <a:solidFill>
                  <a:schemeClr val="accent5"/>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9-56A6-4B61-9A29-BB5D5B8C04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'Net Profit Margin'!$A$2:$A$6</c:f>
              <c:numCache>
                <c:formatCode>General</c:formatCode>
                <c:ptCount val="5"/>
                <c:pt idx="0">
                  <c:v>2021</c:v>
                </c:pt>
                <c:pt idx="1">
                  <c:v>2022</c:v>
                </c:pt>
                <c:pt idx="2">
                  <c:v>2023</c:v>
                </c:pt>
                <c:pt idx="3">
                  <c:v>2024</c:v>
                </c:pt>
                <c:pt idx="4">
                  <c:v>2025</c:v>
                </c:pt>
              </c:numCache>
            </c:numRef>
          </c:cat>
          <c:val>
            <c:numRef>
              <c:f>'Net Profit Margin'!$B$2:$B$6</c:f>
              <c:numCache>
                <c:formatCode>General</c:formatCode>
                <c:ptCount val="5"/>
                <c:pt idx="0">
                  <c:v>6.45</c:v>
                </c:pt>
                <c:pt idx="1">
                  <c:v>6.66</c:v>
                </c:pt>
                <c:pt idx="2">
                  <c:v>5.71</c:v>
                </c:pt>
                <c:pt idx="3">
                  <c:v>5.97</c:v>
                </c:pt>
                <c:pt idx="4">
                  <c:v>6.42</c:v>
                </c:pt>
              </c:numCache>
            </c:numRef>
          </c:val>
          <c:smooth val="1"/>
          <c:extLst>
            <c:ext xmlns:c16="http://schemas.microsoft.com/office/drawing/2014/chart" uri="{C3380CC4-5D6E-409C-BE32-E72D297353CC}">
              <c16:uniqueId val="{0000000A-56A6-4B61-9A29-BB5D5B8C0426}"/>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Return on Equity Trend (2021-2025)</a:t>
            </a:r>
          </a:p>
        </c:rich>
      </c:tx>
      <c:layout>
        <c:manualLayout>
          <c:xMode val="edge"/>
          <c:yMode val="edge"/>
          <c:x val="0.2293605555555556"/>
          <c:y val="0"/>
        </c:manualLayout>
      </c:layout>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1"/>
        <c:ser>
          <c:idx val="0"/>
          <c:order val="0"/>
          <c:tx>
            <c:strRef>
              <c:f>ROE!$B$1</c:f>
              <c:strCache>
                <c:ptCount val="1"/>
                <c:pt idx="0">
                  <c:v>ROE (%)</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E903-4A00-9608-A4E1EA12F7AE}"/>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E903-4A00-9608-A4E1EA12F7AE}"/>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E903-4A00-9608-A4E1EA12F7AE}"/>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E903-4A00-9608-A4E1EA12F7AE}"/>
              </c:ext>
            </c:extLst>
          </c:dPt>
          <c:dPt>
            <c:idx val="4"/>
            <c:marker>
              <c:symbol val="none"/>
            </c:marker>
            <c:bubble3D val="0"/>
            <c:spPr>
              <a:ln w="34925" cap="rnd">
                <a:solidFill>
                  <a:schemeClr val="accent5"/>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9-E903-4A00-9608-A4E1EA12F7A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ROE!$A$2:$A$6</c:f>
              <c:numCache>
                <c:formatCode>General</c:formatCode>
                <c:ptCount val="5"/>
                <c:pt idx="0">
                  <c:v>2021</c:v>
                </c:pt>
                <c:pt idx="1">
                  <c:v>2022</c:v>
                </c:pt>
                <c:pt idx="2">
                  <c:v>2023</c:v>
                </c:pt>
                <c:pt idx="3">
                  <c:v>2024</c:v>
                </c:pt>
                <c:pt idx="4">
                  <c:v>2025</c:v>
                </c:pt>
              </c:numCache>
            </c:numRef>
          </c:cat>
          <c:val>
            <c:numRef>
              <c:f>ROE!$B$2:$B$6</c:f>
              <c:numCache>
                <c:formatCode>General</c:formatCode>
                <c:ptCount val="5"/>
                <c:pt idx="0">
                  <c:v>4.82</c:v>
                </c:pt>
                <c:pt idx="1">
                  <c:v>5.03</c:v>
                </c:pt>
                <c:pt idx="2">
                  <c:v>4.97</c:v>
                </c:pt>
                <c:pt idx="3">
                  <c:v>4.63</c:v>
                </c:pt>
                <c:pt idx="4">
                  <c:v>4.79</c:v>
                </c:pt>
              </c:numCache>
            </c:numRef>
          </c:val>
          <c:smooth val="1"/>
          <c:extLst>
            <c:ext xmlns:c16="http://schemas.microsoft.com/office/drawing/2014/chart" uri="{C3380CC4-5D6E-409C-BE32-E72D297353CC}">
              <c16:uniqueId val="{0000000A-E903-4A00-9608-A4E1EA12F7AE}"/>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Current Ratio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1"/>
        <c:ser>
          <c:idx val="0"/>
          <c:order val="0"/>
          <c:tx>
            <c:strRef>
              <c:f>'Current Ratio'!$B$1</c:f>
              <c:strCache>
                <c:ptCount val="1"/>
                <c:pt idx="0">
                  <c:v>Current Ratio</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285E-4156-91DD-912FB931E754}"/>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285E-4156-91DD-912FB931E754}"/>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285E-4156-91DD-912FB931E754}"/>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285E-4156-91DD-912FB931E75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'Current Ratio'!$A$2:$A$5</c:f>
              <c:numCache>
                <c:formatCode>General</c:formatCode>
                <c:ptCount val="4"/>
                <c:pt idx="0">
                  <c:v>2021</c:v>
                </c:pt>
                <c:pt idx="1">
                  <c:v>2022</c:v>
                </c:pt>
                <c:pt idx="2">
                  <c:v>2023</c:v>
                </c:pt>
                <c:pt idx="3">
                  <c:v>2024</c:v>
                </c:pt>
              </c:numCache>
            </c:numRef>
          </c:cat>
          <c:val>
            <c:numRef>
              <c:f>'Current Ratio'!$B$2:$B$5</c:f>
              <c:numCache>
                <c:formatCode>General</c:formatCode>
                <c:ptCount val="4"/>
                <c:pt idx="0">
                  <c:v>1.64</c:v>
                </c:pt>
                <c:pt idx="1">
                  <c:v>1.64</c:v>
                </c:pt>
                <c:pt idx="2">
                  <c:v>1.76</c:v>
                </c:pt>
                <c:pt idx="3">
                  <c:v>1.91</c:v>
                </c:pt>
              </c:numCache>
            </c:numRef>
          </c:val>
          <c:smooth val="1"/>
          <c:extLst>
            <c:ext xmlns:c16="http://schemas.microsoft.com/office/drawing/2014/chart" uri="{C3380CC4-5D6E-409C-BE32-E72D297353CC}">
              <c16:uniqueId val="{00000008-285E-4156-91DD-912FB931E754}"/>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Debt Ratio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1"/>
        <c:ser>
          <c:idx val="0"/>
          <c:order val="0"/>
          <c:tx>
            <c:strRef>
              <c:f>'[debt_ratio_chart.xlsx]Debt Ratio'!$B$1</c:f>
              <c:strCache>
                <c:ptCount val="1"/>
                <c:pt idx="0">
                  <c:v>Debt Ratio (%)</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563A-4CA2-B68A-BBB312776E7E}"/>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563A-4CA2-B68A-BBB312776E7E}"/>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563A-4CA2-B68A-BBB312776E7E}"/>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563A-4CA2-B68A-BBB312776E7E}"/>
              </c:ext>
            </c:extLst>
          </c:dPt>
          <c:dPt>
            <c:idx val="4"/>
            <c:marker>
              <c:symbol val="none"/>
            </c:marker>
            <c:bubble3D val="0"/>
            <c:spPr>
              <a:ln w="34925" cap="rnd">
                <a:solidFill>
                  <a:schemeClr val="accent5"/>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9-563A-4CA2-B68A-BBB312776E7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'[debt_ratio_chart.xlsx]Debt Ratio'!$A$2:$A$6</c:f>
              <c:numCache>
                <c:formatCode>General</c:formatCode>
                <c:ptCount val="5"/>
                <c:pt idx="0">
                  <c:v>2021</c:v>
                </c:pt>
                <c:pt idx="1">
                  <c:v>2022</c:v>
                </c:pt>
                <c:pt idx="2">
                  <c:v>2023</c:v>
                </c:pt>
                <c:pt idx="3">
                  <c:v>2024</c:v>
                </c:pt>
                <c:pt idx="4">
                  <c:v>2025</c:v>
                </c:pt>
              </c:numCache>
            </c:numRef>
          </c:cat>
          <c:val>
            <c:numRef>
              <c:f>'[debt_ratio_chart.xlsx]Debt Ratio'!$B$2:$B$6</c:f>
              <c:numCache>
                <c:formatCode>General</c:formatCode>
                <c:ptCount val="5"/>
                <c:pt idx="0">
                  <c:v>50.25</c:v>
                </c:pt>
                <c:pt idx="1">
                  <c:v>48.49</c:v>
                </c:pt>
                <c:pt idx="2">
                  <c:v>50.94</c:v>
                </c:pt>
                <c:pt idx="3">
                  <c:v>45.43</c:v>
                </c:pt>
                <c:pt idx="4">
                  <c:v>47.84</c:v>
                </c:pt>
              </c:numCache>
            </c:numRef>
          </c:val>
          <c:smooth val="1"/>
          <c:extLst>
            <c:ext xmlns:c16="http://schemas.microsoft.com/office/drawing/2014/chart" uri="{C3380CC4-5D6E-409C-BE32-E72D297353CC}">
              <c16:uniqueId val="{0000000A-563A-4CA2-B68A-BBB312776E7E}"/>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Cash Conversion Cycle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609731208192939E-2"/>
          <c:y val="0.10603964960811434"/>
          <c:w val="0.9110835623505299"/>
          <c:h val="0.73723657986735058"/>
        </c:manualLayout>
      </c:layout>
      <c:lineChart>
        <c:grouping val="standard"/>
        <c:varyColors val="1"/>
        <c:ser>
          <c:idx val="0"/>
          <c:order val="0"/>
          <c:tx>
            <c:strRef>
              <c:f>[ccc_chart.xlsx]CCC!$B$1</c:f>
              <c:strCache>
                <c:ptCount val="1"/>
                <c:pt idx="0">
                  <c:v>CCC (Days)</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6F7E-4CDB-B4D9-9CC7C474A86A}"/>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6F7E-4CDB-B4D9-9CC7C474A86A}"/>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6F7E-4CDB-B4D9-9CC7C474A86A}"/>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6F7E-4CDB-B4D9-9CC7C474A86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[ccc_chart.xlsx]CCC!$A$2:$A$5</c:f>
              <c:numCache>
                <c:formatCode>General</c:formatCode>
                <c:ptCount val="4"/>
                <c:pt idx="0">
                  <c:v>2021</c:v>
                </c:pt>
                <c:pt idx="1">
                  <c:v>2022</c:v>
                </c:pt>
                <c:pt idx="2">
                  <c:v>2023</c:v>
                </c:pt>
                <c:pt idx="3">
                  <c:v>2024</c:v>
                </c:pt>
              </c:numCache>
            </c:numRef>
          </c:cat>
          <c:val>
            <c:numRef>
              <c:f>[ccc_chart.xlsx]CCC!$B$2:$B$5</c:f>
              <c:numCache>
                <c:formatCode>General</c:formatCode>
                <c:ptCount val="4"/>
                <c:pt idx="0">
                  <c:v>93.78</c:v>
                </c:pt>
                <c:pt idx="1">
                  <c:v>97.06</c:v>
                </c:pt>
                <c:pt idx="2">
                  <c:v>111.7</c:v>
                </c:pt>
                <c:pt idx="3">
                  <c:v>123.98</c:v>
                </c:pt>
              </c:numCache>
            </c:numRef>
          </c:val>
          <c:smooth val="1"/>
          <c:extLst>
            <c:ext xmlns:c16="http://schemas.microsoft.com/office/drawing/2014/chart" uri="{C3380CC4-5D6E-409C-BE32-E72D297353CC}">
              <c16:uniqueId val="{00000008-6F7E-4CDB-B4D9-9CC7C474A86A}"/>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Cash Conversion Cycle Trend (2021-2025)</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212438472093375E-2"/>
          <c:y val="0.10118043844856661"/>
          <c:w val="0.91163031984568421"/>
          <c:h val="0.72539924920852006"/>
        </c:manualLayout>
      </c:layout>
      <c:lineChart>
        <c:grouping val="standard"/>
        <c:varyColors val="1"/>
        <c:ser>
          <c:idx val="0"/>
          <c:order val="0"/>
          <c:tx>
            <c:strRef>
              <c:f>'CCC Table 8'!$E$1</c:f>
              <c:strCache>
                <c:ptCount val="1"/>
                <c:pt idx="0">
                  <c:v>CCC</c:v>
                </c:pt>
              </c:strCache>
            </c:strRef>
          </c:tx>
          <c:marker>
            <c:symbol val="none"/>
          </c:marker>
          <c:dPt>
            <c:idx val="0"/>
            <c:marker>
              <c:symbol val="none"/>
            </c:marker>
            <c:bubble3D val="0"/>
            <c:spPr>
              <a:ln w="34925" cap="rnd">
                <a:solidFill>
                  <a:schemeClr val="accent1"/>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1-F2BE-4415-8A1E-61F5A94852B9}"/>
              </c:ext>
            </c:extLst>
          </c:dPt>
          <c:dPt>
            <c:idx val="1"/>
            <c:marker>
              <c:symbol val="none"/>
            </c:marker>
            <c:bubble3D val="0"/>
            <c:spPr>
              <a:ln w="34925" cap="rnd">
                <a:solidFill>
                  <a:schemeClr val="accent2"/>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3-F2BE-4415-8A1E-61F5A94852B9}"/>
              </c:ext>
            </c:extLst>
          </c:dPt>
          <c:dPt>
            <c:idx val="2"/>
            <c:marker>
              <c:symbol val="none"/>
            </c:marker>
            <c:bubble3D val="0"/>
            <c:spPr>
              <a:ln w="34925" cap="rnd">
                <a:solidFill>
                  <a:schemeClr val="accent3"/>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5-F2BE-4415-8A1E-61F5A94852B9}"/>
              </c:ext>
            </c:extLst>
          </c:dPt>
          <c:dPt>
            <c:idx val="3"/>
            <c:marker>
              <c:symbol val="none"/>
            </c:marker>
            <c:bubble3D val="0"/>
            <c:spPr>
              <a:ln w="34925" cap="rnd">
                <a:solidFill>
                  <a:schemeClr val="accent4"/>
                </a:solidFill>
                <a:round/>
              </a:ln>
              <a:effectLst>
                <a:outerShdw blurRad="40000" dist="23000" dir="5400000" rotWithShape="0">
                  <a:srgbClr val="000000">
                    <a:alpha val="35000"/>
                  </a:srgbClr>
                </a:outerShdw>
              </a:effectLst>
            </c:spPr>
            <c:extLst>
              <c:ext xmlns:c16="http://schemas.microsoft.com/office/drawing/2014/chart" uri="{C3380CC4-5D6E-409C-BE32-E72D297353CC}">
                <c16:uniqueId val="{00000007-F2BE-4415-8A1E-61F5A94852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'CCC Table 8'!$A$2:$A$5</c:f>
              <c:numCache>
                <c:formatCode>General</c:formatCode>
                <c:ptCount val="4"/>
                <c:pt idx="0">
                  <c:v>2021</c:v>
                </c:pt>
                <c:pt idx="1">
                  <c:v>2022</c:v>
                </c:pt>
                <c:pt idx="2">
                  <c:v>2023</c:v>
                </c:pt>
                <c:pt idx="3">
                  <c:v>2024</c:v>
                </c:pt>
              </c:numCache>
            </c:numRef>
          </c:cat>
          <c:val>
            <c:numRef>
              <c:f>'CCC Table 8'!$E$2:$E$5</c:f>
              <c:numCache>
                <c:formatCode>General</c:formatCode>
                <c:ptCount val="4"/>
                <c:pt idx="0">
                  <c:v>93.78</c:v>
                </c:pt>
                <c:pt idx="1">
                  <c:v>97.06</c:v>
                </c:pt>
                <c:pt idx="2">
                  <c:v>111.7</c:v>
                </c:pt>
                <c:pt idx="3">
                  <c:v>123.98</c:v>
                </c:pt>
              </c:numCache>
            </c:numRef>
          </c:val>
          <c:smooth val="1"/>
          <c:extLst>
            <c:ext xmlns:c16="http://schemas.microsoft.com/office/drawing/2014/chart" uri="{C3380CC4-5D6E-409C-BE32-E72D297353CC}">
              <c16:uniqueId val="{00000008-F2BE-4415-8A1E-61F5A94852B9}"/>
            </c:ext>
          </c:extLst>
        </c:ser>
        <c:dLbls>
          <c:dLblPos val="ctr"/>
          <c:showLegendKey val="0"/>
          <c:showVal val="1"/>
          <c:showCatName val="0"/>
          <c:showSerName val="0"/>
          <c:showPercent val="0"/>
          <c:showBubbleSize val="0"/>
        </c:dLbls>
        <c:smooth val="0"/>
        <c:axId val="10"/>
        <c:axId val="100"/>
      </c:lineChart>
      <c:catAx>
        <c:axId val="1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Payback Period Comparison</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1"/>
        <c:ser>
          <c:idx val="0"/>
          <c:order val="0"/>
          <c:tx>
            <c:strRef>
              <c:f>'Payback Period'!$B$1</c:f>
              <c:strCache>
                <c:ptCount val="1"/>
                <c:pt idx="0">
                  <c:v>Payback (Years)</c:v>
                </c:pt>
              </c:strCache>
            </c:strRef>
          </c:tx>
          <c:invertIfNegative val="1"/>
          <c:dPt>
            <c:idx val="0"/>
            <c:invertIfNegative val="1"/>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810A-44A1-8052-B7E647FF6660}"/>
              </c:ext>
            </c:extLst>
          </c:dPt>
          <c:dPt>
            <c:idx val="1"/>
            <c:invertIfNegative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810A-44A1-8052-B7E647FF6660}"/>
              </c:ext>
            </c:extLst>
          </c:dPt>
          <c:dPt>
            <c:idx val="2"/>
            <c:invertIfNegative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810A-44A1-8052-B7E647FF666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'Payback Period'!$A$2:$A$4</c:f>
              <c:strCache>
                <c:ptCount val="3"/>
                <c:pt idx="0">
                  <c:v>A</c:v>
                </c:pt>
                <c:pt idx="1">
                  <c:v>B</c:v>
                </c:pt>
                <c:pt idx="2">
                  <c:v>C</c:v>
                </c:pt>
              </c:strCache>
            </c:strRef>
          </c:cat>
          <c:val>
            <c:numRef>
              <c:f>'Payback Period'!$B$2:$B$4</c:f>
              <c:numCache>
                <c:formatCode>General</c:formatCode>
                <c:ptCount val="3"/>
                <c:pt idx="0">
                  <c:v>4.5</c:v>
                </c:pt>
                <c:pt idx="1">
                  <c:v>4.55</c:v>
                </c:pt>
                <c:pt idx="2">
                  <c:v>3.6</c:v>
                </c:pt>
              </c:numCache>
            </c:numRef>
          </c:val>
          <c:extLst>
            <c:ext xmlns:c16="http://schemas.microsoft.com/office/drawing/2014/chart" uri="{C3380CC4-5D6E-409C-BE32-E72D297353CC}">
              <c16:uniqueId val="{00000006-810A-44A1-8052-B7E647FF6660}"/>
            </c:ext>
          </c:extLst>
        </c:ser>
        <c:dLbls>
          <c:dLblPos val="inEnd"/>
          <c:showLegendKey val="0"/>
          <c:showVal val="1"/>
          <c:showCatName val="0"/>
          <c:showSerName val="0"/>
          <c:showPercent val="0"/>
          <c:showBubbleSize val="0"/>
        </c:dLbls>
        <c:gapWidth val="100"/>
        <c:overlap val="-24"/>
        <c:axId val="10"/>
        <c:axId val="100"/>
      </c:barChart>
      <c:catAx>
        <c:axId val="1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Project</a:t>
                </a:r>
              </a:p>
            </c:rich>
          </c:tx>
          <c:overlay val="1"/>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Years</a:t>
                </a:r>
              </a:p>
            </c:rich>
          </c:tx>
          <c:overlay val="1"/>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BCB29-8113-4F07-8D85-E32442B77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7649</Words>
  <Characters>43604</Characters>
  <Application>Microsoft Office Word</Application>
  <DocSecurity>0</DocSecurity>
  <Lines>363</Lines>
  <Paragraphs>102</Paragraphs>
  <ScaleCrop>false</ScaleCrop>
  <Company/>
  <LinksUpToDate>false</LinksUpToDate>
  <CharactersWithSpaces>51151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2026-03-09T16:51:00Z</dcterms:created>
  <dcterms:modified xsi:type="dcterms:W3CDTF">2026-04-23T19:05:00Z</dcterms:modified>
</cp:coreProperties>
</file>