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724C6" w14:textId="77777777" w:rsidR="00E43E69" w:rsidRPr="006B2F06" w:rsidRDefault="00E43E69" w:rsidP="006B2F06">
      <w:pPr>
        <w:pStyle w:val="TOC1"/>
        <w:rPr>
          <w:rFonts w:ascii="Arial" w:hAnsi="Arial" w:cs="Arial"/>
          <w:color w:val="000000" w:themeColor="text1"/>
          <w:sz w:val="24"/>
          <w:szCs w:val="24"/>
        </w:rPr>
      </w:pPr>
    </w:p>
    <w:p w14:paraId="42DA75CE" w14:textId="77777777" w:rsidR="00E43E69" w:rsidRPr="006B2F06" w:rsidRDefault="00E43E69" w:rsidP="006B2F06">
      <w:pPr>
        <w:spacing w:line="360" w:lineRule="auto"/>
        <w:jc w:val="center"/>
        <w:rPr>
          <w:rFonts w:ascii="Arial" w:hAnsi="Arial" w:cs="Arial"/>
          <w:color w:val="000000" w:themeColor="text1"/>
        </w:rPr>
      </w:pPr>
      <w:r w:rsidRPr="006B2F06">
        <w:rPr>
          <w:rFonts w:ascii="Arial" w:hAnsi="Arial" w:cs="Arial"/>
          <w:noProof/>
          <w:color w:val="000000" w:themeColor="text1"/>
        </w:rPr>
        <w:drawing>
          <wp:inline distT="0" distB="0" distL="0" distR="0" wp14:anchorId="36972285" wp14:editId="5F140C93">
            <wp:extent cx="3726180" cy="1409700"/>
            <wp:effectExtent l="0" t="0" r="7620" b="0"/>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inline>
        </w:drawing>
      </w:r>
    </w:p>
    <w:p w14:paraId="51E62A50" w14:textId="77777777" w:rsidR="00E43E69" w:rsidRPr="006B2F06" w:rsidRDefault="00E43E69" w:rsidP="006B2F06">
      <w:pPr>
        <w:spacing w:line="360" w:lineRule="auto"/>
        <w:jc w:val="center"/>
        <w:rPr>
          <w:rFonts w:ascii="Arial" w:hAnsi="Arial" w:cs="Arial"/>
          <w:color w:val="000000" w:themeColor="text1"/>
        </w:rPr>
      </w:pPr>
    </w:p>
    <w:p w14:paraId="05F22E09" w14:textId="77777777" w:rsidR="00E43E69" w:rsidRPr="006B2F06" w:rsidRDefault="00E43E69" w:rsidP="006B2F06">
      <w:pPr>
        <w:spacing w:line="360" w:lineRule="auto"/>
        <w:jc w:val="center"/>
        <w:rPr>
          <w:rFonts w:ascii="Arial" w:hAnsi="Arial" w:cs="Arial"/>
          <w:b/>
          <w:bCs/>
          <w:color w:val="000000" w:themeColor="text1"/>
        </w:rPr>
      </w:pPr>
      <w:r w:rsidRPr="006B2F06">
        <w:rPr>
          <w:rFonts w:ascii="Arial" w:hAnsi="Arial" w:cs="Arial"/>
          <w:b/>
          <w:bCs/>
          <w:color w:val="000000" w:themeColor="text1"/>
        </w:rPr>
        <w:t>Programme Name: - Master of Business Administration</w:t>
      </w:r>
    </w:p>
    <w:p w14:paraId="36DCC31F" w14:textId="1E4FE49A" w:rsidR="00E43E69" w:rsidRPr="006B2F06" w:rsidRDefault="00E43E69" w:rsidP="006B2F06">
      <w:pPr>
        <w:spacing w:line="360" w:lineRule="auto"/>
        <w:jc w:val="center"/>
        <w:rPr>
          <w:rFonts w:ascii="Arial" w:hAnsi="Arial" w:cs="Arial"/>
          <w:b/>
          <w:bCs/>
          <w:color w:val="000000" w:themeColor="text1"/>
        </w:rPr>
      </w:pPr>
      <w:r w:rsidRPr="006B2F06">
        <w:rPr>
          <w:rFonts w:ascii="Arial" w:hAnsi="Arial" w:cs="Arial"/>
          <w:b/>
          <w:bCs/>
          <w:color w:val="000000" w:themeColor="text1"/>
        </w:rPr>
        <w:t xml:space="preserve">Module Name: - </w:t>
      </w:r>
      <w:r w:rsidR="00A036ED" w:rsidRPr="006B2F06">
        <w:rPr>
          <w:rFonts w:ascii="Arial" w:hAnsi="Arial" w:cs="Arial"/>
          <w:b/>
          <w:bCs/>
          <w:color w:val="000000" w:themeColor="text1"/>
        </w:rPr>
        <w:t>Strategic Management</w:t>
      </w:r>
    </w:p>
    <w:p w14:paraId="4E364A69" w14:textId="6949361D" w:rsidR="00E43E69" w:rsidRPr="006B2F06" w:rsidRDefault="00E43E69" w:rsidP="006B2F06">
      <w:pPr>
        <w:spacing w:line="360" w:lineRule="auto"/>
        <w:jc w:val="center"/>
        <w:rPr>
          <w:rFonts w:ascii="Arial" w:hAnsi="Arial" w:cs="Arial"/>
          <w:b/>
          <w:bCs/>
          <w:color w:val="000000" w:themeColor="text1"/>
        </w:rPr>
      </w:pPr>
      <w:r w:rsidRPr="006B2F06">
        <w:rPr>
          <w:rFonts w:ascii="Arial" w:hAnsi="Arial" w:cs="Arial"/>
          <w:b/>
          <w:bCs/>
          <w:color w:val="000000" w:themeColor="text1"/>
        </w:rPr>
        <w:t>Module Code: - LCMB70</w:t>
      </w:r>
      <w:r w:rsidR="00A036ED" w:rsidRPr="006B2F06">
        <w:rPr>
          <w:rFonts w:ascii="Arial" w:hAnsi="Arial" w:cs="Arial"/>
          <w:b/>
          <w:bCs/>
          <w:color w:val="000000" w:themeColor="text1"/>
        </w:rPr>
        <w:t>03</w:t>
      </w:r>
    </w:p>
    <w:p w14:paraId="688CD258" w14:textId="521E61EA" w:rsidR="00E43E69" w:rsidRPr="006B2F06" w:rsidRDefault="00E43E69" w:rsidP="006B2F06">
      <w:pPr>
        <w:spacing w:line="360" w:lineRule="auto"/>
        <w:jc w:val="center"/>
        <w:rPr>
          <w:rFonts w:ascii="Arial" w:hAnsi="Arial" w:cs="Arial"/>
          <w:b/>
          <w:bCs/>
          <w:color w:val="000000" w:themeColor="text1"/>
          <w:lang w:val="en-GB"/>
        </w:rPr>
      </w:pPr>
      <w:r w:rsidRPr="006B2F06">
        <w:rPr>
          <w:rFonts w:ascii="Arial" w:hAnsi="Arial" w:cs="Arial"/>
          <w:b/>
          <w:bCs/>
          <w:color w:val="000000" w:themeColor="text1"/>
        </w:rPr>
        <w:t xml:space="preserve">Assignment Title: - </w:t>
      </w:r>
      <w:r w:rsidR="00A036ED" w:rsidRPr="006B2F06">
        <w:rPr>
          <w:rFonts w:ascii="Arial" w:hAnsi="Arial" w:cs="Arial"/>
          <w:b/>
          <w:bCs/>
          <w:color w:val="000000" w:themeColor="text1"/>
        </w:rPr>
        <w:t>Assessment component - Individual report</w:t>
      </w:r>
    </w:p>
    <w:p w14:paraId="1E918F88" w14:textId="77777777" w:rsidR="00A036ED" w:rsidRPr="006B2F06" w:rsidRDefault="00E43E69" w:rsidP="006B2F06">
      <w:pPr>
        <w:spacing w:line="360" w:lineRule="auto"/>
        <w:jc w:val="center"/>
        <w:rPr>
          <w:rFonts w:ascii="Arial" w:hAnsi="Arial" w:cs="Arial"/>
          <w:b/>
          <w:bCs/>
          <w:color w:val="000000" w:themeColor="text1"/>
          <w:lang w:val="en-GB"/>
        </w:rPr>
      </w:pPr>
      <w:r w:rsidRPr="006B2F06">
        <w:rPr>
          <w:rFonts w:ascii="Arial" w:hAnsi="Arial" w:cs="Arial"/>
          <w:b/>
          <w:bCs/>
          <w:color w:val="000000" w:themeColor="text1"/>
        </w:rPr>
        <w:t xml:space="preserve">Lecturer’s Name: - </w:t>
      </w:r>
      <w:r w:rsidR="00A036ED" w:rsidRPr="006B2F06">
        <w:rPr>
          <w:rFonts w:ascii="Arial" w:hAnsi="Arial" w:cs="Arial"/>
          <w:b/>
          <w:bCs/>
          <w:color w:val="000000" w:themeColor="text1"/>
          <w:lang w:val="en-GB"/>
        </w:rPr>
        <w:t>Amare Desta</w:t>
      </w:r>
    </w:p>
    <w:p w14:paraId="7D6E5A79" w14:textId="07556543" w:rsidR="00E43E69" w:rsidRPr="006B2F06" w:rsidRDefault="00A036ED" w:rsidP="006B2F06">
      <w:pPr>
        <w:spacing w:line="360" w:lineRule="auto"/>
        <w:jc w:val="center"/>
        <w:rPr>
          <w:rFonts w:ascii="Arial" w:hAnsi="Arial" w:cs="Arial"/>
          <w:b/>
          <w:bCs/>
          <w:color w:val="000000" w:themeColor="text1"/>
        </w:rPr>
      </w:pPr>
      <w:proofErr w:type="spellStart"/>
      <w:r w:rsidRPr="006B2F06">
        <w:rPr>
          <w:rFonts w:ascii="Arial" w:hAnsi="Arial" w:cs="Arial"/>
          <w:b/>
          <w:bCs/>
          <w:color w:val="000000" w:themeColor="text1"/>
          <w:lang w:val="en-GB"/>
        </w:rPr>
        <w:t>Zulf</w:t>
      </w:r>
      <w:proofErr w:type="spellEnd"/>
      <w:r w:rsidRPr="006B2F06">
        <w:rPr>
          <w:rFonts w:ascii="Arial" w:hAnsi="Arial" w:cs="Arial"/>
          <w:b/>
          <w:bCs/>
          <w:color w:val="000000" w:themeColor="text1"/>
          <w:lang w:val="en-GB"/>
        </w:rPr>
        <w:t xml:space="preserve"> Khan</w:t>
      </w:r>
    </w:p>
    <w:p w14:paraId="0D91D25D" w14:textId="77777777" w:rsidR="00E43E69" w:rsidRPr="006B2F06" w:rsidRDefault="00E43E69" w:rsidP="006B2F06">
      <w:pPr>
        <w:spacing w:line="360" w:lineRule="auto"/>
        <w:jc w:val="center"/>
        <w:rPr>
          <w:rFonts w:ascii="Arial" w:hAnsi="Arial" w:cs="Arial"/>
          <w:b/>
          <w:bCs/>
          <w:color w:val="000000" w:themeColor="text1"/>
        </w:rPr>
      </w:pPr>
      <w:r w:rsidRPr="006B2F06">
        <w:rPr>
          <w:rFonts w:ascii="Arial" w:hAnsi="Arial" w:cs="Arial"/>
          <w:b/>
          <w:bCs/>
          <w:color w:val="000000" w:themeColor="text1"/>
        </w:rPr>
        <w:t xml:space="preserve">Student Name: - Krisha </w:t>
      </w:r>
      <w:proofErr w:type="spellStart"/>
      <w:r w:rsidRPr="006B2F06">
        <w:rPr>
          <w:rFonts w:ascii="Arial" w:hAnsi="Arial" w:cs="Arial"/>
          <w:b/>
          <w:bCs/>
          <w:color w:val="000000" w:themeColor="text1"/>
        </w:rPr>
        <w:t>Rajeshbhai</w:t>
      </w:r>
      <w:proofErr w:type="spellEnd"/>
      <w:r w:rsidRPr="006B2F06">
        <w:rPr>
          <w:rFonts w:ascii="Arial" w:hAnsi="Arial" w:cs="Arial"/>
          <w:b/>
          <w:bCs/>
          <w:color w:val="000000" w:themeColor="text1"/>
        </w:rPr>
        <w:t xml:space="preserve"> </w:t>
      </w:r>
      <w:proofErr w:type="spellStart"/>
      <w:r w:rsidRPr="006B2F06">
        <w:rPr>
          <w:rFonts w:ascii="Arial" w:hAnsi="Arial" w:cs="Arial"/>
          <w:b/>
          <w:bCs/>
          <w:color w:val="000000" w:themeColor="text1"/>
        </w:rPr>
        <w:t>navapara</w:t>
      </w:r>
      <w:proofErr w:type="spellEnd"/>
    </w:p>
    <w:p w14:paraId="2E3FFDBF" w14:textId="77777777" w:rsidR="00E43E69" w:rsidRPr="006B2F06" w:rsidRDefault="00E43E69" w:rsidP="006B2F06">
      <w:pPr>
        <w:spacing w:line="360" w:lineRule="auto"/>
        <w:jc w:val="center"/>
        <w:rPr>
          <w:rFonts w:ascii="Arial" w:hAnsi="Arial" w:cs="Arial"/>
          <w:b/>
          <w:bCs/>
          <w:color w:val="000000" w:themeColor="text1"/>
        </w:rPr>
      </w:pPr>
      <w:r w:rsidRPr="006B2F06">
        <w:rPr>
          <w:rFonts w:ascii="Arial" w:hAnsi="Arial" w:cs="Arial"/>
          <w:b/>
          <w:bCs/>
          <w:color w:val="000000" w:themeColor="text1"/>
        </w:rPr>
        <w:t>Student Id: - 2431955</w:t>
      </w:r>
    </w:p>
    <w:p w14:paraId="67F6588F" w14:textId="7CC0A695" w:rsidR="00E43E69" w:rsidRPr="006B2F06" w:rsidRDefault="00E43E69" w:rsidP="006B2F06">
      <w:pPr>
        <w:spacing w:line="360" w:lineRule="auto"/>
        <w:jc w:val="center"/>
        <w:rPr>
          <w:rFonts w:ascii="Arial" w:hAnsi="Arial" w:cs="Arial"/>
          <w:b/>
          <w:bCs/>
          <w:color w:val="000000" w:themeColor="text1"/>
        </w:rPr>
      </w:pPr>
      <w:r w:rsidRPr="006B2F06">
        <w:rPr>
          <w:rFonts w:ascii="Arial" w:hAnsi="Arial" w:cs="Arial"/>
          <w:b/>
          <w:bCs/>
          <w:color w:val="000000" w:themeColor="text1"/>
        </w:rPr>
        <w:t xml:space="preserve">Submission Date: - </w:t>
      </w:r>
      <w:r w:rsidR="00A036ED" w:rsidRPr="006B2F06">
        <w:rPr>
          <w:rFonts w:ascii="Arial" w:hAnsi="Arial" w:cs="Arial"/>
          <w:b/>
          <w:bCs/>
          <w:color w:val="000000" w:themeColor="text1"/>
        </w:rPr>
        <w:t>Wednesday 01/04/2026 by 2pm</w:t>
      </w:r>
    </w:p>
    <w:p w14:paraId="70B04D6C" w14:textId="70FFBBD3" w:rsidR="00E43E69" w:rsidRPr="006B2F06" w:rsidRDefault="00E43E69" w:rsidP="006B2F06">
      <w:pPr>
        <w:spacing w:line="360" w:lineRule="auto"/>
        <w:ind w:left="360"/>
        <w:jc w:val="center"/>
        <w:rPr>
          <w:rFonts w:ascii="Arial" w:hAnsi="Arial" w:cs="Arial"/>
          <w:b/>
          <w:bCs/>
          <w:color w:val="000000" w:themeColor="text1"/>
        </w:rPr>
      </w:pPr>
      <w:r w:rsidRPr="006B2F06">
        <w:rPr>
          <w:rFonts w:ascii="Arial" w:hAnsi="Arial" w:cs="Arial"/>
          <w:b/>
          <w:bCs/>
          <w:color w:val="000000" w:themeColor="text1"/>
        </w:rPr>
        <w:t xml:space="preserve">Word count: - </w:t>
      </w:r>
      <w:r w:rsidR="00115D18" w:rsidRPr="006B2F06">
        <w:rPr>
          <w:rFonts w:ascii="Arial" w:hAnsi="Arial" w:cs="Arial"/>
          <w:b/>
          <w:bCs/>
          <w:color w:val="000000" w:themeColor="text1"/>
        </w:rPr>
        <w:t>54</w:t>
      </w:r>
      <w:r w:rsidR="0089399B" w:rsidRPr="006B2F06">
        <w:rPr>
          <w:rFonts w:ascii="Arial" w:hAnsi="Arial" w:cs="Arial"/>
          <w:b/>
          <w:bCs/>
          <w:color w:val="000000" w:themeColor="text1"/>
        </w:rPr>
        <w:t>58</w:t>
      </w:r>
    </w:p>
    <w:p w14:paraId="2B28791B" w14:textId="77777777" w:rsidR="00BC22D5" w:rsidRPr="006B2F06" w:rsidRDefault="00BC22D5" w:rsidP="006B2F06">
      <w:pPr>
        <w:spacing w:line="360" w:lineRule="auto"/>
        <w:rPr>
          <w:rFonts w:ascii="Arial" w:hAnsi="Arial" w:cs="Arial"/>
          <w:color w:val="000000" w:themeColor="text1"/>
        </w:rPr>
      </w:pPr>
    </w:p>
    <w:p w14:paraId="746622B3" w14:textId="77777777" w:rsidR="00E43E69" w:rsidRPr="006B2F06" w:rsidRDefault="00E43E69" w:rsidP="006B2F06">
      <w:pPr>
        <w:spacing w:line="360" w:lineRule="auto"/>
        <w:rPr>
          <w:rFonts w:ascii="Arial" w:hAnsi="Arial" w:cs="Arial"/>
          <w:color w:val="000000" w:themeColor="text1"/>
        </w:rPr>
      </w:pPr>
    </w:p>
    <w:p w14:paraId="0ACB2687" w14:textId="77777777" w:rsidR="00E43E69" w:rsidRPr="006B2F06" w:rsidRDefault="00E43E69" w:rsidP="006B2F06">
      <w:pPr>
        <w:spacing w:line="360" w:lineRule="auto"/>
        <w:rPr>
          <w:rFonts w:ascii="Arial" w:hAnsi="Arial" w:cs="Arial"/>
          <w:color w:val="000000" w:themeColor="text1"/>
        </w:rPr>
      </w:pPr>
    </w:p>
    <w:p w14:paraId="2761B2D8" w14:textId="77777777" w:rsidR="00E43E69" w:rsidRPr="006B2F06" w:rsidRDefault="00E43E69" w:rsidP="006B2F06">
      <w:pPr>
        <w:spacing w:line="360" w:lineRule="auto"/>
        <w:rPr>
          <w:rFonts w:ascii="Arial" w:hAnsi="Arial" w:cs="Arial"/>
          <w:color w:val="000000" w:themeColor="text1"/>
        </w:rPr>
      </w:pPr>
    </w:p>
    <w:p w14:paraId="09203774" w14:textId="77777777" w:rsidR="00E43E69" w:rsidRPr="006B2F06" w:rsidRDefault="00E43E69" w:rsidP="006B2F06">
      <w:pPr>
        <w:spacing w:line="360" w:lineRule="auto"/>
        <w:rPr>
          <w:rFonts w:ascii="Arial" w:hAnsi="Arial" w:cs="Arial"/>
          <w:color w:val="000000" w:themeColor="text1"/>
        </w:rPr>
      </w:pPr>
    </w:p>
    <w:p w14:paraId="6AF34E17" w14:textId="77777777" w:rsidR="00E43E69" w:rsidRPr="006B2F06" w:rsidRDefault="00E43E69" w:rsidP="006B2F06">
      <w:pPr>
        <w:spacing w:line="360" w:lineRule="auto"/>
        <w:rPr>
          <w:rFonts w:ascii="Arial" w:hAnsi="Arial" w:cs="Arial"/>
          <w:color w:val="000000" w:themeColor="text1"/>
        </w:rPr>
      </w:pPr>
    </w:p>
    <w:p w14:paraId="2A52E265" w14:textId="77777777" w:rsidR="00E43E69" w:rsidRPr="006B2F06" w:rsidRDefault="00E43E69" w:rsidP="006B2F06">
      <w:pPr>
        <w:spacing w:line="360" w:lineRule="auto"/>
        <w:rPr>
          <w:rFonts w:ascii="Arial" w:hAnsi="Arial" w:cs="Arial"/>
          <w:color w:val="000000" w:themeColor="text1"/>
        </w:rPr>
      </w:pPr>
    </w:p>
    <w:p w14:paraId="212C046C" w14:textId="77777777" w:rsidR="00E43E69" w:rsidRPr="006B2F06" w:rsidRDefault="00E43E69" w:rsidP="006B2F06">
      <w:pPr>
        <w:spacing w:line="360" w:lineRule="auto"/>
        <w:rPr>
          <w:rFonts w:ascii="Arial" w:hAnsi="Arial" w:cs="Arial"/>
          <w:color w:val="000000" w:themeColor="text1"/>
        </w:rPr>
      </w:pPr>
    </w:p>
    <w:p w14:paraId="485B8BC2" w14:textId="77777777" w:rsidR="00E43E69" w:rsidRPr="006B2F06" w:rsidRDefault="00E43E69" w:rsidP="006B2F06">
      <w:pPr>
        <w:spacing w:line="360" w:lineRule="auto"/>
        <w:rPr>
          <w:rFonts w:ascii="Arial" w:hAnsi="Arial" w:cs="Arial"/>
          <w:color w:val="000000" w:themeColor="text1"/>
        </w:rPr>
      </w:pPr>
    </w:p>
    <w:p w14:paraId="4D4AEF0E" w14:textId="77777777" w:rsidR="00E43E69" w:rsidRPr="006B2F06" w:rsidRDefault="00E43E69" w:rsidP="006B2F06">
      <w:pPr>
        <w:spacing w:line="360" w:lineRule="auto"/>
        <w:rPr>
          <w:rFonts w:ascii="Arial" w:hAnsi="Arial" w:cs="Arial"/>
          <w:color w:val="000000" w:themeColor="text1"/>
        </w:rPr>
      </w:pPr>
    </w:p>
    <w:p w14:paraId="79ADB3F5" w14:textId="77777777" w:rsidR="00E43E69" w:rsidRPr="006B2F06" w:rsidRDefault="00E43E69" w:rsidP="006B2F06">
      <w:pPr>
        <w:spacing w:line="360" w:lineRule="auto"/>
        <w:rPr>
          <w:rFonts w:ascii="Arial" w:hAnsi="Arial" w:cs="Arial"/>
          <w:color w:val="000000" w:themeColor="text1"/>
        </w:rPr>
      </w:pPr>
    </w:p>
    <w:p w14:paraId="30864CA0" w14:textId="77777777" w:rsidR="00E43E69" w:rsidRPr="006B2F06" w:rsidRDefault="00E43E69" w:rsidP="006B2F06">
      <w:pPr>
        <w:spacing w:line="360" w:lineRule="auto"/>
        <w:rPr>
          <w:rFonts w:ascii="Arial" w:hAnsi="Arial" w:cs="Arial"/>
          <w:color w:val="000000" w:themeColor="text1"/>
        </w:rPr>
      </w:pPr>
    </w:p>
    <w:sdt>
      <w:sdtPr>
        <w:rPr>
          <w:rFonts w:ascii="Arial" w:eastAsiaTheme="minorHAnsi" w:hAnsi="Arial" w:cs="Arial"/>
          <w:color w:val="000000" w:themeColor="text1"/>
          <w:kern w:val="2"/>
          <w:sz w:val="24"/>
          <w:szCs w:val="24"/>
          <w:lang w:val="en-IN"/>
          <w14:ligatures w14:val="standardContextual"/>
        </w:rPr>
        <w:id w:val="-392970671"/>
        <w:docPartObj>
          <w:docPartGallery w:val="Table of Contents"/>
          <w:docPartUnique/>
        </w:docPartObj>
      </w:sdtPr>
      <w:sdtEndPr>
        <w:rPr>
          <w:b/>
          <w:bCs/>
          <w:noProof/>
        </w:rPr>
      </w:sdtEndPr>
      <w:sdtContent>
        <w:p w14:paraId="686B4291" w14:textId="102D98ED" w:rsidR="00B37DF9" w:rsidRPr="006B2F06" w:rsidRDefault="00B37DF9" w:rsidP="006B2F06">
          <w:pPr>
            <w:pStyle w:val="TOCHeading"/>
            <w:spacing w:line="360" w:lineRule="auto"/>
            <w:jc w:val="center"/>
            <w:rPr>
              <w:rFonts w:ascii="Arial" w:hAnsi="Arial" w:cs="Arial"/>
              <w:b/>
              <w:bCs/>
              <w:color w:val="000000" w:themeColor="text1"/>
              <w:sz w:val="24"/>
              <w:szCs w:val="24"/>
              <w:u w:val="single"/>
            </w:rPr>
          </w:pPr>
          <w:r w:rsidRPr="006B2F06">
            <w:rPr>
              <w:rFonts w:ascii="Arial" w:hAnsi="Arial" w:cs="Arial"/>
              <w:b/>
              <w:bCs/>
              <w:color w:val="000000" w:themeColor="text1"/>
              <w:sz w:val="24"/>
              <w:szCs w:val="24"/>
              <w:u w:val="single"/>
            </w:rPr>
            <w:t>Table of Contents</w:t>
          </w:r>
        </w:p>
        <w:p w14:paraId="1E79A1AD" w14:textId="77777777" w:rsidR="00B37DF9" w:rsidRPr="006B2F06" w:rsidRDefault="00B37DF9" w:rsidP="006B2F06">
          <w:pPr>
            <w:spacing w:line="360" w:lineRule="auto"/>
            <w:rPr>
              <w:rFonts w:ascii="Arial" w:hAnsi="Arial" w:cs="Arial"/>
              <w:color w:val="000000" w:themeColor="text1"/>
              <w:lang w:val="en-US"/>
            </w:rPr>
          </w:pPr>
        </w:p>
        <w:p w14:paraId="7F70FB24" w14:textId="761DA910" w:rsidR="00B76A7F" w:rsidRPr="006B2F06" w:rsidRDefault="00B37DF9" w:rsidP="006B2F06">
          <w:pPr>
            <w:pStyle w:val="TOC1"/>
            <w:rPr>
              <w:rFonts w:ascii="Arial" w:eastAsiaTheme="minorEastAsia" w:hAnsi="Arial" w:cs="Arial"/>
              <w:b w:val="0"/>
              <w:bCs w:val="0"/>
              <w:sz w:val="24"/>
              <w:szCs w:val="24"/>
              <w:lang w:eastAsia="en-IN"/>
            </w:rPr>
          </w:pPr>
          <w:r w:rsidRPr="006B2F06">
            <w:rPr>
              <w:rFonts w:ascii="Arial" w:hAnsi="Arial" w:cs="Arial"/>
              <w:color w:val="000000" w:themeColor="text1"/>
              <w:sz w:val="24"/>
              <w:szCs w:val="24"/>
            </w:rPr>
            <w:fldChar w:fldCharType="begin"/>
          </w:r>
          <w:r w:rsidRPr="006B2F06">
            <w:rPr>
              <w:rFonts w:ascii="Arial" w:hAnsi="Arial" w:cs="Arial"/>
              <w:color w:val="000000" w:themeColor="text1"/>
              <w:sz w:val="24"/>
              <w:szCs w:val="24"/>
            </w:rPr>
            <w:instrText xml:space="preserve"> TOC \o "1-3" \h \z \u </w:instrText>
          </w:r>
          <w:r w:rsidRPr="006B2F06">
            <w:rPr>
              <w:rFonts w:ascii="Arial" w:hAnsi="Arial" w:cs="Arial"/>
              <w:color w:val="000000" w:themeColor="text1"/>
              <w:sz w:val="24"/>
              <w:szCs w:val="24"/>
            </w:rPr>
            <w:fldChar w:fldCharType="separate"/>
          </w:r>
          <w:hyperlink w:anchor="_Toc225852083" w:history="1">
            <w:r w:rsidR="00B76A7F" w:rsidRPr="006B2F06">
              <w:rPr>
                <w:rStyle w:val="Hyperlink"/>
                <w:rFonts w:ascii="Arial" w:hAnsi="Arial" w:cs="Arial"/>
                <w:sz w:val="24"/>
                <w:szCs w:val="24"/>
              </w:rPr>
              <w:t>1 Organisational Context and Overview of Microsoft</w:t>
            </w:r>
            <w:r w:rsidR="00B76A7F" w:rsidRPr="006B2F06">
              <w:rPr>
                <w:rFonts w:ascii="Arial" w:hAnsi="Arial" w:cs="Arial"/>
                <w:webHidden/>
                <w:sz w:val="24"/>
                <w:szCs w:val="24"/>
              </w:rPr>
              <w:tab/>
            </w:r>
            <w:r w:rsidR="00B76A7F" w:rsidRPr="006B2F06">
              <w:rPr>
                <w:rFonts w:ascii="Arial" w:hAnsi="Arial" w:cs="Arial"/>
                <w:webHidden/>
                <w:sz w:val="24"/>
                <w:szCs w:val="24"/>
              </w:rPr>
              <w:fldChar w:fldCharType="begin"/>
            </w:r>
            <w:r w:rsidR="00B76A7F" w:rsidRPr="006B2F06">
              <w:rPr>
                <w:rFonts w:ascii="Arial" w:hAnsi="Arial" w:cs="Arial"/>
                <w:webHidden/>
                <w:sz w:val="24"/>
                <w:szCs w:val="24"/>
              </w:rPr>
              <w:instrText xml:space="preserve"> PAGEREF _Toc225852083 \h </w:instrText>
            </w:r>
            <w:r w:rsidR="00B76A7F" w:rsidRPr="006B2F06">
              <w:rPr>
                <w:rFonts w:ascii="Arial" w:hAnsi="Arial" w:cs="Arial"/>
                <w:webHidden/>
                <w:sz w:val="24"/>
                <w:szCs w:val="24"/>
              </w:rPr>
            </w:r>
            <w:r w:rsidR="00B76A7F" w:rsidRPr="006B2F06">
              <w:rPr>
                <w:rFonts w:ascii="Arial" w:hAnsi="Arial" w:cs="Arial"/>
                <w:webHidden/>
                <w:sz w:val="24"/>
                <w:szCs w:val="24"/>
              </w:rPr>
              <w:fldChar w:fldCharType="separate"/>
            </w:r>
            <w:r w:rsidR="00B76A7F" w:rsidRPr="006B2F06">
              <w:rPr>
                <w:rFonts w:ascii="Arial" w:hAnsi="Arial" w:cs="Arial"/>
                <w:webHidden/>
                <w:sz w:val="24"/>
                <w:szCs w:val="24"/>
              </w:rPr>
              <w:t>4</w:t>
            </w:r>
            <w:r w:rsidR="00B76A7F" w:rsidRPr="006B2F06">
              <w:rPr>
                <w:rFonts w:ascii="Arial" w:hAnsi="Arial" w:cs="Arial"/>
                <w:webHidden/>
                <w:sz w:val="24"/>
                <w:szCs w:val="24"/>
              </w:rPr>
              <w:fldChar w:fldCharType="end"/>
            </w:r>
          </w:hyperlink>
        </w:p>
        <w:p w14:paraId="2C5F7FE7" w14:textId="6F34D419" w:rsidR="00B76A7F" w:rsidRPr="006B2F06" w:rsidRDefault="00B76A7F" w:rsidP="006B2F06">
          <w:pPr>
            <w:pStyle w:val="TOC1"/>
            <w:rPr>
              <w:rFonts w:ascii="Arial" w:eastAsiaTheme="minorEastAsia" w:hAnsi="Arial" w:cs="Arial"/>
              <w:b w:val="0"/>
              <w:bCs w:val="0"/>
              <w:sz w:val="24"/>
              <w:szCs w:val="24"/>
              <w:lang w:eastAsia="en-IN"/>
            </w:rPr>
          </w:pPr>
          <w:hyperlink w:anchor="_Toc225852084" w:history="1">
            <w:r w:rsidRPr="006B2F06">
              <w:rPr>
                <w:rStyle w:val="Hyperlink"/>
                <w:rFonts w:ascii="Arial" w:hAnsi="Arial" w:cs="Arial"/>
                <w:sz w:val="24"/>
                <w:szCs w:val="24"/>
              </w:rPr>
              <w:t>2 External Environment Analysis (PESTEL) of Microsoft</w:t>
            </w:r>
            <w:r w:rsidRPr="006B2F06">
              <w:rPr>
                <w:rFonts w:ascii="Arial" w:hAnsi="Arial" w:cs="Arial"/>
                <w:webHidden/>
                <w:sz w:val="24"/>
                <w:szCs w:val="24"/>
              </w:rPr>
              <w:tab/>
            </w:r>
            <w:r w:rsidRPr="006B2F06">
              <w:rPr>
                <w:rFonts w:ascii="Arial" w:hAnsi="Arial" w:cs="Arial"/>
                <w:webHidden/>
                <w:sz w:val="24"/>
                <w:szCs w:val="24"/>
              </w:rPr>
              <w:fldChar w:fldCharType="begin"/>
            </w:r>
            <w:r w:rsidRPr="006B2F06">
              <w:rPr>
                <w:rFonts w:ascii="Arial" w:hAnsi="Arial" w:cs="Arial"/>
                <w:webHidden/>
                <w:sz w:val="24"/>
                <w:szCs w:val="24"/>
              </w:rPr>
              <w:instrText xml:space="preserve"> PAGEREF _Toc225852084 \h </w:instrText>
            </w:r>
            <w:r w:rsidRPr="006B2F06">
              <w:rPr>
                <w:rFonts w:ascii="Arial" w:hAnsi="Arial" w:cs="Arial"/>
                <w:webHidden/>
                <w:sz w:val="24"/>
                <w:szCs w:val="24"/>
              </w:rPr>
            </w:r>
            <w:r w:rsidRPr="006B2F06">
              <w:rPr>
                <w:rFonts w:ascii="Arial" w:hAnsi="Arial" w:cs="Arial"/>
                <w:webHidden/>
                <w:sz w:val="24"/>
                <w:szCs w:val="24"/>
              </w:rPr>
              <w:fldChar w:fldCharType="separate"/>
            </w:r>
            <w:r w:rsidRPr="006B2F06">
              <w:rPr>
                <w:rFonts w:ascii="Arial" w:hAnsi="Arial" w:cs="Arial"/>
                <w:webHidden/>
                <w:sz w:val="24"/>
                <w:szCs w:val="24"/>
              </w:rPr>
              <w:t>5</w:t>
            </w:r>
            <w:r w:rsidRPr="006B2F06">
              <w:rPr>
                <w:rFonts w:ascii="Arial" w:hAnsi="Arial" w:cs="Arial"/>
                <w:webHidden/>
                <w:sz w:val="24"/>
                <w:szCs w:val="24"/>
              </w:rPr>
              <w:fldChar w:fldCharType="end"/>
            </w:r>
          </w:hyperlink>
        </w:p>
        <w:p w14:paraId="66BA8314" w14:textId="69631AD1"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85" w:history="1">
            <w:r w:rsidRPr="006B2F06">
              <w:rPr>
                <w:rStyle w:val="Hyperlink"/>
                <w:rFonts w:ascii="Arial" w:hAnsi="Arial" w:cs="Arial"/>
                <w:noProof/>
              </w:rPr>
              <w:t>2.1 Political Factors</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_Toc225852085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5</w:t>
            </w:r>
            <w:r w:rsidRPr="006B2F06">
              <w:rPr>
                <w:rFonts w:ascii="Arial" w:hAnsi="Arial" w:cs="Arial"/>
                <w:noProof/>
                <w:webHidden/>
              </w:rPr>
              <w:fldChar w:fldCharType="end"/>
            </w:r>
          </w:hyperlink>
        </w:p>
        <w:p w14:paraId="1C437F05" w14:textId="5A3CBB7B"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86" w:history="1">
            <w:r w:rsidRPr="006B2F06">
              <w:rPr>
                <w:rStyle w:val="Hyperlink"/>
                <w:rFonts w:ascii="Arial" w:hAnsi="Arial" w:cs="Arial"/>
                <w:noProof/>
              </w:rPr>
              <w:t>2.2 Economic Factors</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_Toc225852086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6</w:t>
            </w:r>
            <w:r w:rsidRPr="006B2F06">
              <w:rPr>
                <w:rFonts w:ascii="Arial" w:hAnsi="Arial" w:cs="Arial"/>
                <w:noProof/>
                <w:webHidden/>
              </w:rPr>
              <w:fldChar w:fldCharType="end"/>
            </w:r>
          </w:hyperlink>
        </w:p>
        <w:p w14:paraId="646C93BE" w14:textId="53331014"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87" w:history="1">
            <w:r w:rsidRPr="006B2F06">
              <w:rPr>
                <w:rStyle w:val="Hyperlink"/>
                <w:rFonts w:ascii="Arial" w:hAnsi="Arial" w:cs="Arial"/>
                <w:noProof/>
              </w:rPr>
              <w:t>2.3 Social Factors</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_Toc225852087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6</w:t>
            </w:r>
            <w:r w:rsidRPr="006B2F06">
              <w:rPr>
                <w:rFonts w:ascii="Arial" w:hAnsi="Arial" w:cs="Arial"/>
                <w:noProof/>
                <w:webHidden/>
              </w:rPr>
              <w:fldChar w:fldCharType="end"/>
            </w:r>
          </w:hyperlink>
        </w:p>
        <w:p w14:paraId="346CD151" w14:textId="40495E79"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88" w:history="1">
            <w:r w:rsidRPr="006B2F06">
              <w:rPr>
                <w:rStyle w:val="Hyperlink"/>
                <w:rFonts w:ascii="Arial" w:hAnsi="Arial" w:cs="Arial"/>
                <w:noProof/>
              </w:rPr>
              <w:t>2.4 Technological Factors</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_Toc225852088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7</w:t>
            </w:r>
            <w:r w:rsidRPr="006B2F06">
              <w:rPr>
                <w:rFonts w:ascii="Arial" w:hAnsi="Arial" w:cs="Arial"/>
                <w:noProof/>
                <w:webHidden/>
              </w:rPr>
              <w:fldChar w:fldCharType="end"/>
            </w:r>
          </w:hyperlink>
        </w:p>
        <w:p w14:paraId="4DA6DC7A" w14:textId="52B8576A"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89" w:history="1">
            <w:r w:rsidRPr="006B2F06">
              <w:rPr>
                <w:rStyle w:val="Hyperlink"/>
                <w:rFonts w:ascii="Arial" w:hAnsi="Arial" w:cs="Arial"/>
                <w:noProof/>
              </w:rPr>
              <w:t>2.5 Environmental Factors</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_Toc225852089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8</w:t>
            </w:r>
            <w:r w:rsidRPr="006B2F06">
              <w:rPr>
                <w:rFonts w:ascii="Arial" w:hAnsi="Arial" w:cs="Arial"/>
                <w:noProof/>
                <w:webHidden/>
              </w:rPr>
              <w:fldChar w:fldCharType="end"/>
            </w:r>
          </w:hyperlink>
        </w:p>
        <w:p w14:paraId="15651C2D" w14:textId="2B30711A"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90" w:history="1">
            <w:r w:rsidRPr="006B2F06">
              <w:rPr>
                <w:rStyle w:val="Hyperlink"/>
                <w:rFonts w:ascii="Arial" w:hAnsi="Arial" w:cs="Arial"/>
                <w:noProof/>
              </w:rPr>
              <w:t>2.6 Legal Factors</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_Toc225852090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8</w:t>
            </w:r>
            <w:r w:rsidRPr="006B2F06">
              <w:rPr>
                <w:rFonts w:ascii="Arial" w:hAnsi="Arial" w:cs="Arial"/>
                <w:noProof/>
                <w:webHidden/>
              </w:rPr>
              <w:fldChar w:fldCharType="end"/>
            </w:r>
          </w:hyperlink>
        </w:p>
        <w:p w14:paraId="62F69461" w14:textId="663F523C" w:rsidR="00B76A7F" w:rsidRPr="006B2F06" w:rsidRDefault="00B76A7F" w:rsidP="006B2F06">
          <w:pPr>
            <w:pStyle w:val="TOC1"/>
            <w:rPr>
              <w:rFonts w:ascii="Arial" w:eastAsiaTheme="minorEastAsia" w:hAnsi="Arial" w:cs="Arial"/>
              <w:b w:val="0"/>
              <w:bCs w:val="0"/>
              <w:sz w:val="24"/>
              <w:szCs w:val="24"/>
              <w:lang w:eastAsia="en-IN"/>
            </w:rPr>
          </w:pPr>
          <w:hyperlink w:anchor="_Toc225852091" w:history="1">
            <w:r w:rsidRPr="006B2F06">
              <w:rPr>
                <w:rStyle w:val="Hyperlink"/>
                <w:rFonts w:ascii="Arial" w:hAnsi="Arial" w:cs="Arial"/>
                <w:sz w:val="24"/>
                <w:szCs w:val="24"/>
              </w:rPr>
              <w:t>3 Internal Environment &amp; VRIO Analysis of Microsoft</w:t>
            </w:r>
            <w:r w:rsidRPr="006B2F06">
              <w:rPr>
                <w:rFonts w:ascii="Arial" w:hAnsi="Arial" w:cs="Arial"/>
                <w:webHidden/>
                <w:sz w:val="24"/>
                <w:szCs w:val="24"/>
              </w:rPr>
              <w:tab/>
            </w:r>
            <w:r w:rsidRPr="006B2F06">
              <w:rPr>
                <w:rFonts w:ascii="Arial" w:hAnsi="Arial" w:cs="Arial"/>
                <w:webHidden/>
                <w:sz w:val="24"/>
                <w:szCs w:val="24"/>
              </w:rPr>
              <w:fldChar w:fldCharType="begin"/>
            </w:r>
            <w:r w:rsidRPr="006B2F06">
              <w:rPr>
                <w:rFonts w:ascii="Arial" w:hAnsi="Arial" w:cs="Arial"/>
                <w:webHidden/>
                <w:sz w:val="24"/>
                <w:szCs w:val="24"/>
              </w:rPr>
              <w:instrText xml:space="preserve"> PAGEREF _Toc225852091 \h </w:instrText>
            </w:r>
            <w:r w:rsidRPr="006B2F06">
              <w:rPr>
                <w:rFonts w:ascii="Arial" w:hAnsi="Arial" w:cs="Arial"/>
                <w:webHidden/>
                <w:sz w:val="24"/>
                <w:szCs w:val="24"/>
              </w:rPr>
            </w:r>
            <w:r w:rsidRPr="006B2F06">
              <w:rPr>
                <w:rFonts w:ascii="Arial" w:hAnsi="Arial" w:cs="Arial"/>
                <w:webHidden/>
                <w:sz w:val="24"/>
                <w:szCs w:val="24"/>
              </w:rPr>
              <w:fldChar w:fldCharType="separate"/>
            </w:r>
            <w:r w:rsidRPr="006B2F06">
              <w:rPr>
                <w:rFonts w:ascii="Arial" w:hAnsi="Arial" w:cs="Arial"/>
                <w:webHidden/>
                <w:sz w:val="24"/>
                <w:szCs w:val="24"/>
              </w:rPr>
              <w:t>9</w:t>
            </w:r>
            <w:r w:rsidRPr="006B2F06">
              <w:rPr>
                <w:rFonts w:ascii="Arial" w:hAnsi="Arial" w:cs="Arial"/>
                <w:webHidden/>
                <w:sz w:val="24"/>
                <w:szCs w:val="24"/>
              </w:rPr>
              <w:fldChar w:fldCharType="end"/>
            </w:r>
          </w:hyperlink>
        </w:p>
        <w:p w14:paraId="28A7499F" w14:textId="68EE9177"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92" w:history="1">
            <w:r w:rsidRPr="006B2F06">
              <w:rPr>
                <w:rStyle w:val="Hyperlink"/>
                <w:rFonts w:ascii="Arial" w:hAnsi="Arial" w:cs="Arial"/>
                <w:noProof/>
              </w:rPr>
              <w:t>3.1 Resources</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_Toc225852092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9</w:t>
            </w:r>
            <w:r w:rsidRPr="006B2F06">
              <w:rPr>
                <w:rFonts w:ascii="Arial" w:hAnsi="Arial" w:cs="Arial"/>
                <w:noProof/>
                <w:webHidden/>
              </w:rPr>
              <w:fldChar w:fldCharType="end"/>
            </w:r>
          </w:hyperlink>
        </w:p>
        <w:p w14:paraId="34C02052" w14:textId="3AE17E4B"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93" w:history="1">
            <w:r w:rsidRPr="006B2F06">
              <w:rPr>
                <w:rStyle w:val="Hyperlink"/>
                <w:rFonts w:ascii="Arial" w:hAnsi="Arial" w:cs="Arial"/>
                <w:noProof/>
              </w:rPr>
              <w:t>3.2 Capabilities</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_Toc225852093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10</w:t>
            </w:r>
            <w:r w:rsidRPr="006B2F06">
              <w:rPr>
                <w:rFonts w:ascii="Arial" w:hAnsi="Arial" w:cs="Arial"/>
                <w:noProof/>
                <w:webHidden/>
              </w:rPr>
              <w:fldChar w:fldCharType="end"/>
            </w:r>
          </w:hyperlink>
        </w:p>
        <w:p w14:paraId="49A4AF2C" w14:textId="3A8F0638"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94" w:history="1">
            <w:r w:rsidRPr="006B2F06">
              <w:rPr>
                <w:rStyle w:val="Hyperlink"/>
                <w:rFonts w:ascii="Arial" w:hAnsi="Arial" w:cs="Arial"/>
                <w:noProof/>
              </w:rPr>
              <w:t>3.3 Core Competencies</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_Toc225852094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11</w:t>
            </w:r>
            <w:r w:rsidRPr="006B2F06">
              <w:rPr>
                <w:rFonts w:ascii="Arial" w:hAnsi="Arial" w:cs="Arial"/>
                <w:noProof/>
                <w:webHidden/>
              </w:rPr>
              <w:fldChar w:fldCharType="end"/>
            </w:r>
          </w:hyperlink>
        </w:p>
        <w:p w14:paraId="4DE10C77" w14:textId="25E40B4C"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95" w:history="1">
            <w:r w:rsidRPr="006B2F06">
              <w:rPr>
                <w:rStyle w:val="Hyperlink"/>
                <w:rFonts w:ascii="Arial" w:hAnsi="Arial" w:cs="Arial"/>
                <w:noProof/>
              </w:rPr>
              <w:t>3.4 VRIO Analysis of Microsoft</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_Toc225852095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12</w:t>
            </w:r>
            <w:r w:rsidRPr="006B2F06">
              <w:rPr>
                <w:rFonts w:ascii="Arial" w:hAnsi="Arial" w:cs="Arial"/>
                <w:noProof/>
                <w:webHidden/>
              </w:rPr>
              <w:fldChar w:fldCharType="end"/>
            </w:r>
          </w:hyperlink>
        </w:p>
        <w:p w14:paraId="4DA81722" w14:textId="5C17A59B"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96" w:history="1">
            <w:r w:rsidRPr="006B2F06">
              <w:rPr>
                <w:rStyle w:val="Hyperlink"/>
                <w:rFonts w:ascii="Arial" w:hAnsi="Arial" w:cs="Arial"/>
                <w:noProof/>
              </w:rPr>
              <w:t>3.5 Critical Evaluation</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_Toc225852096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14</w:t>
            </w:r>
            <w:r w:rsidRPr="006B2F06">
              <w:rPr>
                <w:rFonts w:ascii="Arial" w:hAnsi="Arial" w:cs="Arial"/>
                <w:noProof/>
                <w:webHidden/>
              </w:rPr>
              <w:fldChar w:fldCharType="end"/>
            </w:r>
          </w:hyperlink>
        </w:p>
        <w:p w14:paraId="448C4E64" w14:textId="3105CECA" w:rsidR="00B76A7F" w:rsidRPr="006B2F06" w:rsidRDefault="00B76A7F" w:rsidP="006B2F06">
          <w:pPr>
            <w:pStyle w:val="TOC1"/>
            <w:rPr>
              <w:rFonts w:ascii="Arial" w:eastAsiaTheme="minorEastAsia" w:hAnsi="Arial" w:cs="Arial"/>
              <w:b w:val="0"/>
              <w:bCs w:val="0"/>
              <w:sz w:val="24"/>
              <w:szCs w:val="24"/>
              <w:lang w:eastAsia="en-IN"/>
            </w:rPr>
          </w:pPr>
          <w:hyperlink w:anchor="_Toc225852097" w:history="1">
            <w:r w:rsidRPr="006B2F06">
              <w:rPr>
                <w:rStyle w:val="Hyperlink"/>
                <w:rFonts w:ascii="Arial" w:hAnsi="Arial" w:cs="Arial"/>
                <w:sz w:val="24"/>
                <w:szCs w:val="24"/>
              </w:rPr>
              <w:t>4 CSR and Sustainability Objectives of Microsoft</w:t>
            </w:r>
            <w:r w:rsidRPr="006B2F06">
              <w:rPr>
                <w:rFonts w:ascii="Arial" w:hAnsi="Arial" w:cs="Arial"/>
                <w:webHidden/>
                <w:sz w:val="24"/>
                <w:szCs w:val="24"/>
              </w:rPr>
              <w:tab/>
            </w:r>
            <w:r w:rsidRPr="006B2F06">
              <w:rPr>
                <w:rFonts w:ascii="Arial" w:hAnsi="Arial" w:cs="Arial"/>
                <w:webHidden/>
                <w:sz w:val="24"/>
                <w:szCs w:val="24"/>
              </w:rPr>
              <w:fldChar w:fldCharType="begin"/>
            </w:r>
            <w:r w:rsidRPr="006B2F06">
              <w:rPr>
                <w:rFonts w:ascii="Arial" w:hAnsi="Arial" w:cs="Arial"/>
                <w:webHidden/>
                <w:sz w:val="24"/>
                <w:szCs w:val="24"/>
              </w:rPr>
              <w:instrText xml:space="preserve"> PAGEREF _Toc225852097 \h </w:instrText>
            </w:r>
            <w:r w:rsidRPr="006B2F06">
              <w:rPr>
                <w:rFonts w:ascii="Arial" w:hAnsi="Arial" w:cs="Arial"/>
                <w:webHidden/>
                <w:sz w:val="24"/>
                <w:szCs w:val="24"/>
              </w:rPr>
            </w:r>
            <w:r w:rsidRPr="006B2F06">
              <w:rPr>
                <w:rFonts w:ascii="Arial" w:hAnsi="Arial" w:cs="Arial"/>
                <w:webHidden/>
                <w:sz w:val="24"/>
                <w:szCs w:val="24"/>
              </w:rPr>
              <w:fldChar w:fldCharType="separate"/>
            </w:r>
            <w:r w:rsidRPr="006B2F06">
              <w:rPr>
                <w:rFonts w:ascii="Arial" w:hAnsi="Arial" w:cs="Arial"/>
                <w:webHidden/>
                <w:sz w:val="24"/>
                <w:szCs w:val="24"/>
              </w:rPr>
              <w:t>14</w:t>
            </w:r>
            <w:r w:rsidRPr="006B2F06">
              <w:rPr>
                <w:rFonts w:ascii="Arial" w:hAnsi="Arial" w:cs="Arial"/>
                <w:webHidden/>
                <w:sz w:val="24"/>
                <w:szCs w:val="24"/>
              </w:rPr>
              <w:fldChar w:fldCharType="end"/>
            </w:r>
          </w:hyperlink>
        </w:p>
        <w:p w14:paraId="55A82067" w14:textId="54BFCE43"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98" w:history="1">
            <w:r w:rsidRPr="006B2F06">
              <w:rPr>
                <w:rStyle w:val="Hyperlink"/>
                <w:rFonts w:ascii="Arial" w:hAnsi="Arial" w:cs="Arial"/>
                <w:noProof/>
              </w:rPr>
              <w:t>4.1 Environmental Sustainability</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_Toc225852098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15</w:t>
            </w:r>
            <w:r w:rsidRPr="006B2F06">
              <w:rPr>
                <w:rFonts w:ascii="Arial" w:hAnsi="Arial" w:cs="Arial"/>
                <w:noProof/>
                <w:webHidden/>
              </w:rPr>
              <w:fldChar w:fldCharType="end"/>
            </w:r>
          </w:hyperlink>
        </w:p>
        <w:p w14:paraId="2DEFF399" w14:textId="33552112"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099" w:history="1">
            <w:r w:rsidRPr="006B2F06">
              <w:rPr>
                <w:rStyle w:val="Hyperlink"/>
                <w:rFonts w:ascii="Arial" w:hAnsi="Arial" w:cs="Arial"/>
                <w:noProof/>
              </w:rPr>
              <w:t>4.2 Social Responsibility</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_Toc225852099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15</w:t>
            </w:r>
            <w:r w:rsidRPr="006B2F06">
              <w:rPr>
                <w:rFonts w:ascii="Arial" w:hAnsi="Arial" w:cs="Arial"/>
                <w:noProof/>
                <w:webHidden/>
              </w:rPr>
              <w:fldChar w:fldCharType="end"/>
            </w:r>
          </w:hyperlink>
        </w:p>
        <w:p w14:paraId="696108CD" w14:textId="00E60C25"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00" w:history="1">
            <w:r w:rsidRPr="006B2F06">
              <w:rPr>
                <w:rStyle w:val="Hyperlink"/>
                <w:rFonts w:ascii="Arial" w:hAnsi="Arial" w:cs="Arial"/>
                <w:noProof/>
              </w:rPr>
              <w:t>4.3 Governance and Ethical Conduct</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_Toc225852100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15</w:t>
            </w:r>
            <w:r w:rsidRPr="006B2F06">
              <w:rPr>
                <w:rFonts w:ascii="Arial" w:hAnsi="Arial" w:cs="Arial"/>
                <w:noProof/>
                <w:webHidden/>
              </w:rPr>
              <w:fldChar w:fldCharType="end"/>
            </w:r>
          </w:hyperlink>
        </w:p>
        <w:p w14:paraId="4A9B809B" w14:textId="23ED8D27"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01" w:history="1">
            <w:r w:rsidRPr="006B2F06">
              <w:rPr>
                <w:rStyle w:val="Hyperlink"/>
                <w:rFonts w:ascii="Arial" w:hAnsi="Arial" w:cs="Arial"/>
                <w:noProof/>
              </w:rPr>
              <w:t>4.4 Critical Evaluation</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_Toc225852101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15</w:t>
            </w:r>
            <w:r w:rsidRPr="006B2F06">
              <w:rPr>
                <w:rFonts w:ascii="Arial" w:hAnsi="Arial" w:cs="Arial"/>
                <w:noProof/>
                <w:webHidden/>
              </w:rPr>
              <w:fldChar w:fldCharType="end"/>
            </w:r>
          </w:hyperlink>
        </w:p>
        <w:p w14:paraId="4AA195DF" w14:textId="7D0239F3" w:rsidR="00B76A7F" w:rsidRPr="006B2F06" w:rsidRDefault="00B76A7F" w:rsidP="006B2F06">
          <w:pPr>
            <w:pStyle w:val="TOC1"/>
            <w:rPr>
              <w:rFonts w:ascii="Arial" w:eastAsiaTheme="minorEastAsia" w:hAnsi="Arial" w:cs="Arial"/>
              <w:b w:val="0"/>
              <w:bCs w:val="0"/>
              <w:sz w:val="24"/>
              <w:szCs w:val="24"/>
              <w:lang w:eastAsia="en-IN"/>
            </w:rPr>
          </w:pPr>
          <w:hyperlink w:anchor="_Toc225852102" w:history="1">
            <w:r w:rsidRPr="006B2F06">
              <w:rPr>
                <w:rStyle w:val="Hyperlink"/>
                <w:rFonts w:ascii="Arial" w:hAnsi="Arial" w:cs="Arial"/>
                <w:sz w:val="24"/>
                <w:szCs w:val="24"/>
              </w:rPr>
              <w:t>5 Balanced Scorecard (BSC) Analysis of Microsoft</w:t>
            </w:r>
            <w:r w:rsidRPr="006B2F06">
              <w:rPr>
                <w:rFonts w:ascii="Arial" w:hAnsi="Arial" w:cs="Arial"/>
                <w:webHidden/>
                <w:sz w:val="24"/>
                <w:szCs w:val="24"/>
              </w:rPr>
              <w:tab/>
            </w:r>
            <w:r w:rsidRPr="006B2F06">
              <w:rPr>
                <w:rFonts w:ascii="Arial" w:hAnsi="Arial" w:cs="Arial"/>
                <w:webHidden/>
                <w:sz w:val="24"/>
                <w:szCs w:val="24"/>
              </w:rPr>
              <w:fldChar w:fldCharType="begin"/>
            </w:r>
            <w:r w:rsidRPr="006B2F06">
              <w:rPr>
                <w:rFonts w:ascii="Arial" w:hAnsi="Arial" w:cs="Arial"/>
                <w:webHidden/>
                <w:sz w:val="24"/>
                <w:szCs w:val="24"/>
              </w:rPr>
              <w:instrText xml:space="preserve"> PAGEREF _Toc225852102 \h </w:instrText>
            </w:r>
            <w:r w:rsidRPr="006B2F06">
              <w:rPr>
                <w:rFonts w:ascii="Arial" w:hAnsi="Arial" w:cs="Arial"/>
                <w:webHidden/>
                <w:sz w:val="24"/>
                <w:szCs w:val="24"/>
              </w:rPr>
            </w:r>
            <w:r w:rsidRPr="006B2F06">
              <w:rPr>
                <w:rFonts w:ascii="Arial" w:hAnsi="Arial" w:cs="Arial"/>
                <w:webHidden/>
                <w:sz w:val="24"/>
                <w:szCs w:val="24"/>
              </w:rPr>
              <w:fldChar w:fldCharType="separate"/>
            </w:r>
            <w:r w:rsidRPr="006B2F06">
              <w:rPr>
                <w:rFonts w:ascii="Arial" w:hAnsi="Arial" w:cs="Arial"/>
                <w:webHidden/>
                <w:sz w:val="24"/>
                <w:szCs w:val="24"/>
              </w:rPr>
              <w:t>16</w:t>
            </w:r>
            <w:r w:rsidRPr="006B2F06">
              <w:rPr>
                <w:rFonts w:ascii="Arial" w:hAnsi="Arial" w:cs="Arial"/>
                <w:webHidden/>
                <w:sz w:val="24"/>
                <w:szCs w:val="24"/>
              </w:rPr>
              <w:fldChar w:fldCharType="end"/>
            </w:r>
          </w:hyperlink>
        </w:p>
        <w:p w14:paraId="33FF6481" w14:textId="20BCE4CC"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03" w:history="1">
            <w:r w:rsidRPr="006B2F06">
              <w:rPr>
                <w:rStyle w:val="Hyperlink"/>
                <w:rFonts w:ascii="Arial" w:hAnsi="Arial" w:cs="Arial"/>
                <w:noProof/>
              </w:rPr>
              <w:t>5.1 Financial Perspective</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_Toc225852103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16</w:t>
            </w:r>
            <w:r w:rsidRPr="006B2F06">
              <w:rPr>
                <w:rFonts w:ascii="Arial" w:hAnsi="Arial" w:cs="Arial"/>
                <w:noProof/>
                <w:webHidden/>
              </w:rPr>
              <w:fldChar w:fldCharType="end"/>
            </w:r>
          </w:hyperlink>
        </w:p>
        <w:p w14:paraId="67BF7031" w14:textId="2FD28695"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04" w:history="1">
            <w:r w:rsidRPr="006B2F06">
              <w:rPr>
                <w:rStyle w:val="Hyperlink"/>
                <w:rFonts w:ascii="Arial" w:hAnsi="Arial" w:cs="Arial"/>
                <w:noProof/>
              </w:rPr>
              <w:t>5.2 Customer Perspective</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_Toc225852104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18</w:t>
            </w:r>
            <w:r w:rsidRPr="006B2F06">
              <w:rPr>
                <w:rFonts w:ascii="Arial" w:hAnsi="Arial" w:cs="Arial"/>
                <w:noProof/>
                <w:webHidden/>
              </w:rPr>
              <w:fldChar w:fldCharType="end"/>
            </w:r>
          </w:hyperlink>
        </w:p>
        <w:p w14:paraId="36400502" w14:textId="1F00D763"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05" w:history="1">
            <w:r w:rsidRPr="006B2F06">
              <w:rPr>
                <w:rStyle w:val="Hyperlink"/>
                <w:rFonts w:ascii="Arial" w:hAnsi="Arial" w:cs="Arial"/>
                <w:noProof/>
              </w:rPr>
              <w:t>5.3 Internal Business Processes Perspective</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_Toc225852105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19</w:t>
            </w:r>
            <w:r w:rsidRPr="006B2F06">
              <w:rPr>
                <w:rFonts w:ascii="Arial" w:hAnsi="Arial" w:cs="Arial"/>
                <w:noProof/>
                <w:webHidden/>
              </w:rPr>
              <w:fldChar w:fldCharType="end"/>
            </w:r>
          </w:hyperlink>
        </w:p>
        <w:p w14:paraId="510CE535" w14:textId="6A20317D"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06" w:history="1">
            <w:r w:rsidRPr="006B2F06">
              <w:rPr>
                <w:rStyle w:val="Hyperlink"/>
                <w:rFonts w:ascii="Arial" w:hAnsi="Arial" w:cs="Arial"/>
                <w:noProof/>
              </w:rPr>
              <w:t>5.4 Learning &amp; Growth Perspective</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_Toc225852106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20</w:t>
            </w:r>
            <w:r w:rsidRPr="006B2F06">
              <w:rPr>
                <w:rFonts w:ascii="Arial" w:hAnsi="Arial" w:cs="Arial"/>
                <w:noProof/>
                <w:webHidden/>
              </w:rPr>
              <w:fldChar w:fldCharType="end"/>
            </w:r>
          </w:hyperlink>
        </w:p>
        <w:p w14:paraId="76C20708" w14:textId="4DE16EBF"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07" w:history="1">
            <w:r w:rsidRPr="006B2F06">
              <w:rPr>
                <w:rStyle w:val="Hyperlink"/>
                <w:rFonts w:ascii="Arial" w:hAnsi="Arial" w:cs="Arial"/>
                <w:noProof/>
              </w:rPr>
              <w:t>5.5 Critical Evaluation</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_Toc225852107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22</w:t>
            </w:r>
            <w:r w:rsidRPr="006B2F06">
              <w:rPr>
                <w:rFonts w:ascii="Arial" w:hAnsi="Arial" w:cs="Arial"/>
                <w:noProof/>
                <w:webHidden/>
              </w:rPr>
              <w:fldChar w:fldCharType="end"/>
            </w:r>
          </w:hyperlink>
        </w:p>
        <w:p w14:paraId="0C94A383" w14:textId="48AAC639" w:rsidR="00B76A7F" w:rsidRPr="006B2F06" w:rsidRDefault="00B76A7F" w:rsidP="006B2F06">
          <w:pPr>
            <w:pStyle w:val="TOC1"/>
            <w:rPr>
              <w:rFonts w:ascii="Arial" w:eastAsiaTheme="minorEastAsia" w:hAnsi="Arial" w:cs="Arial"/>
              <w:b w:val="0"/>
              <w:bCs w:val="0"/>
              <w:sz w:val="24"/>
              <w:szCs w:val="24"/>
              <w:lang w:eastAsia="en-IN"/>
            </w:rPr>
          </w:pPr>
          <w:hyperlink w:anchor="_Toc225852108" w:history="1">
            <w:r w:rsidRPr="006B2F06">
              <w:rPr>
                <w:rStyle w:val="Hyperlink"/>
                <w:rFonts w:ascii="Arial" w:hAnsi="Arial" w:cs="Arial"/>
                <w:sz w:val="24"/>
                <w:szCs w:val="24"/>
              </w:rPr>
              <w:t>6 Strategic Choices and Implementation</w:t>
            </w:r>
            <w:r w:rsidRPr="006B2F06">
              <w:rPr>
                <w:rFonts w:ascii="Arial" w:hAnsi="Arial" w:cs="Arial"/>
                <w:webHidden/>
                <w:sz w:val="24"/>
                <w:szCs w:val="24"/>
              </w:rPr>
              <w:tab/>
            </w:r>
            <w:r w:rsidRPr="006B2F06">
              <w:rPr>
                <w:rFonts w:ascii="Arial" w:hAnsi="Arial" w:cs="Arial"/>
                <w:webHidden/>
                <w:sz w:val="24"/>
                <w:szCs w:val="24"/>
              </w:rPr>
              <w:fldChar w:fldCharType="begin"/>
            </w:r>
            <w:r w:rsidRPr="006B2F06">
              <w:rPr>
                <w:rFonts w:ascii="Arial" w:hAnsi="Arial" w:cs="Arial"/>
                <w:webHidden/>
                <w:sz w:val="24"/>
                <w:szCs w:val="24"/>
              </w:rPr>
              <w:instrText xml:space="preserve"> PAGEREF _Toc225852108 \h </w:instrText>
            </w:r>
            <w:r w:rsidRPr="006B2F06">
              <w:rPr>
                <w:rFonts w:ascii="Arial" w:hAnsi="Arial" w:cs="Arial"/>
                <w:webHidden/>
                <w:sz w:val="24"/>
                <w:szCs w:val="24"/>
              </w:rPr>
            </w:r>
            <w:r w:rsidRPr="006B2F06">
              <w:rPr>
                <w:rFonts w:ascii="Arial" w:hAnsi="Arial" w:cs="Arial"/>
                <w:webHidden/>
                <w:sz w:val="24"/>
                <w:szCs w:val="24"/>
              </w:rPr>
              <w:fldChar w:fldCharType="separate"/>
            </w:r>
            <w:r w:rsidRPr="006B2F06">
              <w:rPr>
                <w:rFonts w:ascii="Arial" w:hAnsi="Arial" w:cs="Arial"/>
                <w:webHidden/>
                <w:sz w:val="24"/>
                <w:szCs w:val="24"/>
              </w:rPr>
              <w:t>22</w:t>
            </w:r>
            <w:r w:rsidRPr="006B2F06">
              <w:rPr>
                <w:rFonts w:ascii="Arial" w:hAnsi="Arial" w:cs="Arial"/>
                <w:webHidden/>
                <w:sz w:val="24"/>
                <w:szCs w:val="24"/>
              </w:rPr>
              <w:fldChar w:fldCharType="end"/>
            </w:r>
          </w:hyperlink>
        </w:p>
        <w:p w14:paraId="3D5197C1" w14:textId="7B925010"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09" w:history="1">
            <w:r w:rsidRPr="006B2F06">
              <w:rPr>
                <w:rStyle w:val="Hyperlink"/>
                <w:rFonts w:ascii="Arial" w:hAnsi="Arial" w:cs="Arial"/>
                <w:noProof/>
              </w:rPr>
              <w:t>6.1 Business</w:t>
            </w:r>
            <w:r w:rsidRPr="006B2F06">
              <w:rPr>
                <w:rStyle w:val="Hyperlink"/>
                <w:rFonts w:ascii="Cambria Math" w:hAnsi="Cambria Math" w:cs="Cambria Math"/>
                <w:noProof/>
              </w:rPr>
              <w:t>‑</w:t>
            </w:r>
            <w:r w:rsidRPr="006B2F06">
              <w:rPr>
                <w:rStyle w:val="Hyperlink"/>
                <w:rFonts w:ascii="Arial" w:hAnsi="Arial" w:cs="Arial"/>
                <w:noProof/>
              </w:rPr>
              <w:t>Level Strategy</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_Toc225852109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22</w:t>
            </w:r>
            <w:r w:rsidRPr="006B2F06">
              <w:rPr>
                <w:rFonts w:ascii="Arial" w:hAnsi="Arial" w:cs="Arial"/>
                <w:noProof/>
                <w:webHidden/>
              </w:rPr>
              <w:fldChar w:fldCharType="end"/>
            </w:r>
          </w:hyperlink>
        </w:p>
        <w:p w14:paraId="7E37A5AB" w14:textId="7186E28C"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10" w:history="1">
            <w:r w:rsidRPr="006B2F06">
              <w:rPr>
                <w:rStyle w:val="Hyperlink"/>
                <w:rFonts w:ascii="Arial" w:hAnsi="Arial" w:cs="Arial"/>
                <w:noProof/>
              </w:rPr>
              <w:t>6.2 Corporate</w:t>
            </w:r>
            <w:r w:rsidRPr="006B2F06">
              <w:rPr>
                <w:rStyle w:val="Hyperlink"/>
                <w:rFonts w:ascii="Cambria Math" w:hAnsi="Cambria Math" w:cs="Cambria Math"/>
                <w:noProof/>
              </w:rPr>
              <w:t>‑</w:t>
            </w:r>
            <w:r w:rsidRPr="006B2F06">
              <w:rPr>
                <w:rStyle w:val="Hyperlink"/>
                <w:rFonts w:ascii="Arial" w:hAnsi="Arial" w:cs="Arial"/>
                <w:noProof/>
              </w:rPr>
              <w:t>Level Strategy</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_Toc225852110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23</w:t>
            </w:r>
            <w:r w:rsidRPr="006B2F06">
              <w:rPr>
                <w:rFonts w:ascii="Arial" w:hAnsi="Arial" w:cs="Arial"/>
                <w:noProof/>
                <w:webHidden/>
              </w:rPr>
              <w:fldChar w:fldCharType="end"/>
            </w:r>
          </w:hyperlink>
        </w:p>
        <w:p w14:paraId="37DB9A2A" w14:textId="52F5ABFA"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11" w:history="1">
            <w:r w:rsidRPr="006B2F06">
              <w:rPr>
                <w:rStyle w:val="Hyperlink"/>
                <w:rFonts w:ascii="Arial" w:hAnsi="Arial" w:cs="Arial"/>
                <w:noProof/>
              </w:rPr>
              <w:t>6.3 Change Management and Strategic Implementation</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_Toc225852111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25</w:t>
            </w:r>
            <w:r w:rsidRPr="006B2F06">
              <w:rPr>
                <w:rFonts w:ascii="Arial" w:hAnsi="Arial" w:cs="Arial"/>
                <w:noProof/>
                <w:webHidden/>
              </w:rPr>
              <w:fldChar w:fldCharType="end"/>
            </w:r>
          </w:hyperlink>
        </w:p>
        <w:p w14:paraId="7EB61FA3" w14:textId="0B6C9833" w:rsidR="00B76A7F" w:rsidRPr="006B2F06" w:rsidRDefault="00B76A7F" w:rsidP="006B2F06">
          <w:pPr>
            <w:pStyle w:val="TOC1"/>
            <w:rPr>
              <w:rFonts w:ascii="Arial" w:eastAsiaTheme="minorEastAsia" w:hAnsi="Arial" w:cs="Arial"/>
              <w:b w:val="0"/>
              <w:bCs w:val="0"/>
              <w:sz w:val="24"/>
              <w:szCs w:val="24"/>
              <w:lang w:eastAsia="en-IN"/>
            </w:rPr>
          </w:pPr>
          <w:hyperlink w:anchor="_Toc225852112" w:history="1">
            <w:r w:rsidRPr="006B2F06">
              <w:rPr>
                <w:rStyle w:val="Hyperlink"/>
                <w:rFonts w:ascii="Arial" w:hAnsi="Arial" w:cs="Arial"/>
                <w:sz w:val="24"/>
                <w:szCs w:val="24"/>
              </w:rPr>
              <w:t>7 Strategic Evaluation and Recommendations</w:t>
            </w:r>
            <w:r w:rsidRPr="006B2F06">
              <w:rPr>
                <w:rFonts w:ascii="Arial" w:hAnsi="Arial" w:cs="Arial"/>
                <w:webHidden/>
                <w:sz w:val="24"/>
                <w:szCs w:val="24"/>
              </w:rPr>
              <w:tab/>
            </w:r>
            <w:r w:rsidRPr="006B2F06">
              <w:rPr>
                <w:rFonts w:ascii="Arial" w:hAnsi="Arial" w:cs="Arial"/>
                <w:webHidden/>
                <w:sz w:val="24"/>
                <w:szCs w:val="24"/>
              </w:rPr>
              <w:fldChar w:fldCharType="begin"/>
            </w:r>
            <w:r w:rsidRPr="006B2F06">
              <w:rPr>
                <w:rFonts w:ascii="Arial" w:hAnsi="Arial" w:cs="Arial"/>
                <w:webHidden/>
                <w:sz w:val="24"/>
                <w:szCs w:val="24"/>
              </w:rPr>
              <w:instrText xml:space="preserve"> PAGEREF _Toc225852112 \h </w:instrText>
            </w:r>
            <w:r w:rsidRPr="006B2F06">
              <w:rPr>
                <w:rFonts w:ascii="Arial" w:hAnsi="Arial" w:cs="Arial"/>
                <w:webHidden/>
                <w:sz w:val="24"/>
                <w:szCs w:val="24"/>
              </w:rPr>
            </w:r>
            <w:r w:rsidRPr="006B2F06">
              <w:rPr>
                <w:rFonts w:ascii="Arial" w:hAnsi="Arial" w:cs="Arial"/>
                <w:webHidden/>
                <w:sz w:val="24"/>
                <w:szCs w:val="24"/>
              </w:rPr>
              <w:fldChar w:fldCharType="separate"/>
            </w:r>
            <w:r w:rsidRPr="006B2F06">
              <w:rPr>
                <w:rFonts w:ascii="Arial" w:hAnsi="Arial" w:cs="Arial"/>
                <w:webHidden/>
                <w:sz w:val="24"/>
                <w:szCs w:val="24"/>
              </w:rPr>
              <w:t>26</w:t>
            </w:r>
            <w:r w:rsidRPr="006B2F06">
              <w:rPr>
                <w:rFonts w:ascii="Arial" w:hAnsi="Arial" w:cs="Arial"/>
                <w:webHidden/>
                <w:sz w:val="24"/>
                <w:szCs w:val="24"/>
              </w:rPr>
              <w:fldChar w:fldCharType="end"/>
            </w:r>
          </w:hyperlink>
        </w:p>
        <w:p w14:paraId="2BE89D03" w14:textId="038921B4"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13" w:history="1">
            <w:r w:rsidRPr="006B2F06">
              <w:rPr>
                <w:rStyle w:val="Hyperlink"/>
                <w:rFonts w:ascii="Arial" w:hAnsi="Arial" w:cs="Arial"/>
                <w:noProof/>
              </w:rPr>
              <w:t>7.1 Recommendations</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_Toc225852113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28</w:t>
            </w:r>
            <w:r w:rsidRPr="006B2F06">
              <w:rPr>
                <w:rFonts w:ascii="Arial" w:hAnsi="Arial" w:cs="Arial"/>
                <w:noProof/>
                <w:webHidden/>
              </w:rPr>
              <w:fldChar w:fldCharType="end"/>
            </w:r>
          </w:hyperlink>
        </w:p>
        <w:p w14:paraId="15DC4C0B" w14:textId="7D922D8D" w:rsidR="00B76A7F" w:rsidRPr="006B2F06" w:rsidRDefault="00B76A7F" w:rsidP="006B2F06">
          <w:pPr>
            <w:pStyle w:val="TOC1"/>
            <w:rPr>
              <w:rFonts w:ascii="Arial" w:eastAsiaTheme="minorEastAsia" w:hAnsi="Arial" w:cs="Arial"/>
              <w:b w:val="0"/>
              <w:bCs w:val="0"/>
              <w:sz w:val="24"/>
              <w:szCs w:val="24"/>
              <w:lang w:eastAsia="en-IN"/>
            </w:rPr>
          </w:pPr>
          <w:hyperlink w:anchor="_Toc225852114" w:history="1">
            <w:r w:rsidRPr="006B2F06">
              <w:rPr>
                <w:rStyle w:val="Hyperlink"/>
                <w:rFonts w:ascii="Arial" w:hAnsi="Arial" w:cs="Arial"/>
                <w:sz w:val="24"/>
                <w:szCs w:val="24"/>
              </w:rPr>
              <w:t>8 Reflection on the Strategic Management Project</w:t>
            </w:r>
            <w:r w:rsidRPr="006B2F06">
              <w:rPr>
                <w:rFonts w:ascii="Arial" w:hAnsi="Arial" w:cs="Arial"/>
                <w:webHidden/>
                <w:sz w:val="24"/>
                <w:szCs w:val="24"/>
              </w:rPr>
              <w:tab/>
            </w:r>
            <w:r w:rsidRPr="006B2F06">
              <w:rPr>
                <w:rFonts w:ascii="Arial" w:hAnsi="Arial" w:cs="Arial"/>
                <w:webHidden/>
                <w:sz w:val="24"/>
                <w:szCs w:val="24"/>
              </w:rPr>
              <w:fldChar w:fldCharType="begin"/>
            </w:r>
            <w:r w:rsidRPr="006B2F06">
              <w:rPr>
                <w:rFonts w:ascii="Arial" w:hAnsi="Arial" w:cs="Arial"/>
                <w:webHidden/>
                <w:sz w:val="24"/>
                <w:szCs w:val="24"/>
              </w:rPr>
              <w:instrText xml:space="preserve"> PAGEREF _Toc225852114 \h </w:instrText>
            </w:r>
            <w:r w:rsidRPr="006B2F06">
              <w:rPr>
                <w:rFonts w:ascii="Arial" w:hAnsi="Arial" w:cs="Arial"/>
                <w:webHidden/>
                <w:sz w:val="24"/>
                <w:szCs w:val="24"/>
              </w:rPr>
            </w:r>
            <w:r w:rsidRPr="006B2F06">
              <w:rPr>
                <w:rFonts w:ascii="Arial" w:hAnsi="Arial" w:cs="Arial"/>
                <w:webHidden/>
                <w:sz w:val="24"/>
                <w:szCs w:val="24"/>
              </w:rPr>
              <w:fldChar w:fldCharType="separate"/>
            </w:r>
            <w:r w:rsidRPr="006B2F06">
              <w:rPr>
                <w:rFonts w:ascii="Arial" w:hAnsi="Arial" w:cs="Arial"/>
                <w:webHidden/>
                <w:sz w:val="24"/>
                <w:szCs w:val="24"/>
              </w:rPr>
              <w:t>28</w:t>
            </w:r>
            <w:r w:rsidRPr="006B2F06">
              <w:rPr>
                <w:rFonts w:ascii="Arial" w:hAnsi="Arial" w:cs="Arial"/>
                <w:webHidden/>
                <w:sz w:val="24"/>
                <w:szCs w:val="24"/>
              </w:rPr>
              <w:fldChar w:fldCharType="end"/>
            </w:r>
          </w:hyperlink>
        </w:p>
        <w:p w14:paraId="3F5DEE34" w14:textId="1E2DD059"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15" w:history="1">
            <w:r w:rsidRPr="006B2F06">
              <w:rPr>
                <w:rStyle w:val="Hyperlink"/>
                <w:rFonts w:ascii="Arial" w:hAnsi="Arial" w:cs="Arial"/>
                <w:noProof/>
              </w:rPr>
              <w:t>8.1 Description</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_Toc225852115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28</w:t>
            </w:r>
            <w:r w:rsidRPr="006B2F06">
              <w:rPr>
                <w:rFonts w:ascii="Arial" w:hAnsi="Arial" w:cs="Arial"/>
                <w:noProof/>
                <w:webHidden/>
              </w:rPr>
              <w:fldChar w:fldCharType="end"/>
            </w:r>
          </w:hyperlink>
        </w:p>
        <w:p w14:paraId="1188212D" w14:textId="08D24598"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16" w:history="1">
            <w:r w:rsidRPr="006B2F06">
              <w:rPr>
                <w:rStyle w:val="Hyperlink"/>
                <w:rFonts w:ascii="Arial" w:hAnsi="Arial" w:cs="Arial"/>
                <w:noProof/>
              </w:rPr>
              <w:t>8.2 Feelings</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_Toc225852116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29</w:t>
            </w:r>
            <w:r w:rsidRPr="006B2F06">
              <w:rPr>
                <w:rFonts w:ascii="Arial" w:hAnsi="Arial" w:cs="Arial"/>
                <w:noProof/>
                <w:webHidden/>
              </w:rPr>
              <w:fldChar w:fldCharType="end"/>
            </w:r>
          </w:hyperlink>
        </w:p>
        <w:p w14:paraId="2E6D7E7C" w14:textId="6149B0A9"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17" w:history="1">
            <w:r w:rsidRPr="006B2F06">
              <w:rPr>
                <w:rStyle w:val="Hyperlink"/>
                <w:rFonts w:ascii="Arial" w:hAnsi="Arial" w:cs="Arial"/>
                <w:noProof/>
              </w:rPr>
              <w:t>8.3 Evaluation</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_Toc225852117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29</w:t>
            </w:r>
            <w:r w:rsidRPr="006B2F06">
              <w:rPr>
                <w:rFonts w:ascii="Arial" w:hAnsi="Arial" w:cs="Arial"/>
                <w:noProof/>
                <w:webHidden/>
              </w:rPr>
              <w:fldChar w:fldCharType="end"/>
            </w:r>
          </w:hyperlink>
        </w:p>
        <w:p w14:paraId="399A2B4C" w14:textId="3F13B9F3"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18" w:history="1">
            <w:r w:rsidRPr="006B2F06">
              <w:rPr>
                <w:rStyle w:val="Hyperlink"/>
                <w:rFonts w:ascii="Arial" w:hAnsi="Arial" w:cs="Arial"/>
                <w:noProof/>
              </w:rPr>
              <w:t>8.4 Analysis</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_Toc225852118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30</w:t>
            </w:r>
            <w:r w:rsidRPr="006B2F06">
              <w:rPr>
                <w:rFonts w:ascii="Arial" w:hAnsi="Arial" w:cs="Arial"/>
                <w:noProof/>
                <w:webHidden/>
              </w:rPr>
              <w:fldChar w:fldCharType="end"/>
            </w:r>
          </w:hyperlink>
        </w:p>
        <w:p w14:paraId="6A7BCAB0" w14:textId="67099D9F"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19" w:history="1">
            <w:r w:rsidRPr="006B2F06">
              <w:rPr>
                <w:rStyle w:val="Hyperlink"/>
                <w:rFonts w:ascii="Arial" w:hAnsi="Arial" w:cs="Arial"/>
                <w:noProof/>
              </w:rPr>
              <w:t>8.5 Conclusion</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_Toc225852119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31</w:t>
            </w:r>
            <w:r w:rsidRPr="006B2F06">
              <w:rPr>
                <w:rFonts w:ascii="Arial" w:hAnsi="Arial" w:cs="Arial"/>
                <w:noProof/>
                <w:webHidden/>
              </w:rPr>
              <w:fldChar w:fldCharType="end"/>
            </w:r>
          </w:hyperlink>
        </w:p>
        <w:p w14:paraId="2A1BB81A" w14:textId="112BC37A" w:rsidR="00B76A7F" w:rsidRPr="006B2F06" w:rsidRDefault="00B76A7F" w:rsidP="006B2F06">
          <w:pPr>
            <w:pStyle w:val="TOC2"/>
            <w:tabs>
              <w:tab w:val="right" w:leader="dot" w:pos="10068"/>
            </w:tabs>
            <w:spacing w:line="360" w:lineRule="auto"/>
            <w:rPr>
              <w:rFonts w:ascii="Arial" w:eastAsiaTheme="minorEastAsia" w:hAnsi="Arial" w:cs="Arial"/>
              <w:noProof/>
              <w:lang w:eastAsia="en-IN"/>
            </w:rPr>
          </w:pPr>
          <w:hyperlink w:anchor="_Toc225852120" w:history="1">
            <w:r w:rsidRPr="006B2F06">
              <w:rPr>
                <w:rStyle w:val="Hyperlink"/>
                <w:rFonts w:ascii="Arial" w:hAnsi="Arial" w:cs="Arial"/>
                <w:noProof/>
              </w:rPr>
              <w:t>8.6 Action Plan</w:t>
            </w:r>
            <w:r w:rsidRPr="006B2F06">
              <w:rPr>
                <w:rFonts w:ascii="Arial" w:hAnsi="Arial" w:cs="Arial"/>
                <w:noProof/>
                <w:webHidden/>
              </w:rPr>
              <w:tab/>
            </w:r>
            <w:r w:rsidRPr="006B2F06">
              <w:rPr>
                <w:rFonts w:ascii="Arial" w:hAnsi="Arial" w:cs="Arial"/>
                <w:noProof/>
                <w:webHidden/>
              </w:rPr>
              <w:fldChar w:fldCharType="begin"/>
            </w:r>
            <w:r w:rsidRPr="006B2F06">
              <w:rPr>
                <w:rFonts w:ascii="Arial" w:hAnsi="Arial" w:cs="Arial"/>
                <w:noProof/>
                <w:webHidden/>
              </w:rPr>
              <w:instrText xml:space="preserve"> PAGEREF _Toc225852120 \h </w:instrText>
            </w:r>
            <w:r w:rsidRPr="006B2F06">
              <w:rPr>
                <w:rFonts w:ascii="Arial" w:hAnsi="Arial" w:cs="Arial"/>
                <w:noProof/>
                <w:webHidden/>
              </w:rPr>
            </w:r>
            <w:r w:rsidRPr="006B2F06">
              <w:rPr>
                <w:rFonts w:ascii="Arial" w:hAnsi="Arial" w:cs="Arial"/>
                <w:noProof/>
                <w:webHidden/>
              </w:rPr>
              <w:fldChar w:fldCharType="separate"/>
            </w:r>
            <w:r w:rsidRPr="006B2F06">
              <w:rPr>
                <w:rFonts w:ascii="Arial" w:hAnsi="Arial" w:cs="Arial"/>
                <w:noProof/>
                <w:webHidden/>
              </w:rPr>
              <w:t>31</w:t>
            </w:r>
            <w:r w:rsidRPr="006B2F06">
              <w:rPr>
                <w:rFonts w:ascii="Arial" w:hAnsi="Arial" w:cs="Arial"/>
                <w:noProof/>
                <w:webHidden/>
              </w:rPr>
              <w:fldChar w:fldCharType="end"/>
            </w:r>
          </w:hyperlink>
        </w:p>
        <w:p w14:paraId="04728215" w14:textId="545840EC" w:rsidR="00B76A7F" w:rsidRPr="006B2F06" w:rsidRDefault="00B76A7F" w:rsidP="006B2F06">
          <w:pPr>
            <w:pStyle w:val="TOC1"/>
            <w:rPr>
              <w:rFonts w:ascii="Arial" w:eastAsiaTheme="minorEastAsia" w:hAnsi="Arial" w:cs="Arial"/>
              <w:b w:val="0"/>
              <w:bCs w:val="0"/>
              <w:sz w:val="24"/>
              <w:szCs w:val="24"/>
              <w:lang w:eastAsia="en-IN"/>
            </w:rPr>
          </w:pPr>
          <w:hyperlink w:anchor="_Toc225852121" w:history="1">
            <w:r w:rsidRPr="006B2F06">
              <w:rPr>
                <w:rStyle w:val="Hyperlink"/>
                <w:rFonts w:ascii="Arial" w:hAnsi="Arial" w:cs="Arial"/>
                <w:sz w:val="24"/>
                <w:szCs w:val="24"/>
              </w:rPr>
              <w:t>9 References</w:t>
            </w:r>
            <w:r w:rsidRPr="006B2F06">
              <w:rPr>
                <w:rFonts w:ascii="Arial" w:hAnsi="Arial" w:cs="Arial"/>
                <w:webHidden/>
                <w:sz w:val="24"/>
                <w:szCs w:val="24"/>
              </w:rPr>
              <w:tab/>
            </w:r>
            <w:r w:rsidRPr="006B2F06">
              <w:rPr>
                <w:rFonts w:ascii="Arial" w:hAnsi="Arial" w:cs="Arial"/>
                <w:webHidden/>
                <w:sz w:val="24"/>
                <w:szCs w:val="24"/>
              </w:rPr>
              <w:fldChar w:fldCharType="begin"/>
            </w:r>
            <w:r w:rsidRPr="006B2F06">
              <w:rPr>
                <w:rFonts w:ascii="Arial" w:hAnsi="Arial" w:cs="Arial"/>
                <w:webHidden/>
                <w:sz w:val="24"/>
                <w:szCs w:val="24"/>
              </w:rPr>
              <w:instrText xml:space="preserve"> PAGEREF _Toc225852121 \h </w:instrText>
            </w:r>
            <w:r w:rsidRPr="006B2F06">
              <w:rPr>
                <w:rFonts w:ascii="Arial" w:hAnsi="Arial" w:cs="Arial"/>
                <w:webHidden/>
                <w:sz w:val="24"/>
                <w:szCs w:val="24"/>
              </w:rPr>
            </w:r>
            <w:r w:rsidRPr="006B2F06">
              <w:rPr>
                <w:rFonts w:ascii="Arial" w:hAnsi="Arial" w:cs="Arial"/>
                <w:webHidden/>
                <w:sz w:val="24"/>
                <w:szCs w:val="24"/>
              </w:rPr>
              <w:fldChar w:fldCharType="separate"/>
            </w:r>
            <w:r w:rsidRPr="006B2F06">
              <w:rPr>
                <w:rFonts w:ascii="Arial" w:hAnsi="Arial" w:cs="Arial"/>
                <w:webHidden/>
                <w:sz w:val="24"/>
                <w:szCs w:val="24"/>
              </w:rPr>
              <w:t>32</w:t>
            </w:r>
            <w:r w:rsidRPr="006B2F06">
              <w:rPr>
                <w:rFonts w:ascii="Arial" w:hAnsi="Arial" w:cs="Arial"/>
                <w:webHidden/>
                <w:sz w:val="24"/>
                <w:szCs w:val="24"/>
              </w:rPr>
              <w:fldChar w:fldCharType="end"/>
            </w:r>
          </w:hyperlink>
        </w:p>
        <w:p w14:paraId="75E5AA76" w14:textId="37F521CB" w:rsidR="00B37DF9" w:rsidRPr="006B2F06" w:rsidRDefault="00B37DF9" w:rsidP="006B2F06">
          <w:pPr>
            <w:spacing w:line="360" w:lineRule="auto"/>
            <w:rPr>
              <w:rFonts w:ascii="Arial" w:hAnsi="Arial" w:cs="Arial"/>
              <w:color w:val="000000" w:themeColor="text1"/>
            </w:rPr>
          </w:pPr>
          <w:r w:rsidRPr="006B2F06">
            <w:rPr>
              <w:rFonts w:ascii="Arial" w:hAnsi="Arial" w:cs="Arial"/>
              <w:b/>
              <w:bCs/>
              <w:noProof/>
              <w:color w:val="000000" w:themeColor="text1"/>
            </w:rPr>
            <w:fldChar w:fldCharType="end"/>
          </w:r>
        </w:p>
      </w:sdtContent>
    </w:sdt>
    <w:p w14:paraId="5DB7FED9" w14:textId="77777777" w:rsidR="00E43E69" w:rsidRPr="006B2F06" w:rsidRDefault="00E43E69" w:rsidP="006B2F06">
      <w:pPr>
        <w:spacing w:line="360" w:lineRule="auto"/>
        <w:rPr>
          <w:rFonts w:ascii="Arial" w:hAnsi="Arial" w:cs="Arial"/>
          <w:color w:val="000000" w:themeColor="text1"/>
        </w:rPr>
      </w:pPr>
    </w:p>
    <w:p w14:paraId="25CB7E10" w14:textId="77777777" w:rsidR="00E43E69" w:rsidRPr="006B2F06" w:rsidRDefault="00E43E69" w:rsidP="006B2F06">
      <w:pPr>
        <w:spacing w:line="360" w:lineRule="auto"/>
        <w:rPr>
          <w:rFonts w:ascii="Arial" w:hAnsi="Arial" w:cs="Arial"/>
          <w:color w:val="000000" w:themeColor="text1"/>
        </w:rPr>
      </w:pPr>
    </w:p>
    <w:p w14:paraId="19B3D8EF" w14:textId="77777777" w:rsidR="00E43E69" w:rsidRPr="006B2F06" w:rsidRDefault="00E43E69" w:rsidP="006B2F06">
      <w:pPr>
        <w:spacing w:line="360" w:lineRule="auto"/>
        <w:rPr>
          <w:rFonts w:ascii="Arial" w:hAnsi="Arial" w:cs="Arial"/>
          <w:color w:val="000000" w:themeColor="text1"/>
        </w:rPr>
      </w:pPr>
    </w:p>
    <w:p w14:paraId="4EF9853E" w14:textId="77777777" w:rsidR="00E43E69" w:rsidRPr="006B2F06" w:rsidRDefault="00E43E69" w:rsidP="006B2F06">
      <w:pPr>
        <w:spacing w:line="360" w:lineRule="auto"/>
        <w:rPr>
          <w:rFonts w:ascii="Arial" w:hAnsi="Arial" w:cs="Arial"/>
          <w:color w:val="000000" w:themeColor="text1"/>
        </w:rPr>
      </w:pPr>
    </w:p>
    <w:p w14:paraId="31F9A70B" w14:textId="77777777" w:rsidR="00E43E69" w:rsidRPr="006B2F06" w:rsidRDefault="00E43E69" w:rsidP="006B2F06">
      <w:pPr>
        <w:spacing w:line="360" w:lineRule="auto"/>
        <w:rPr>
          <w:rFonts w:ascii="Arial" w:hAnsi="Arial" w:cs="Arial"/>
          <w:color w:val="000000" w:themeColor="text1"/>
        </w:rPr>
      </w:pPr>
    </w:p>
    <w:p w14:paraId="38169967" w14:textId="77777777" w:rsidR="00E43E69" w:rsidRPr="006B2F06" w:rsidRDefault="00E43E69" w:rsidP="006B2F06">
      <w:pPr>
        <w:spacing w:line="360" w:lineRule="auto"/>
        <w:rPr>
          <w:rFonts w:ascii="Arial" w:hAnsi="Arial" w:cs="Arial"/>
          <w:color w:val="000000" w:themeColor="text1"/>
        </w:rPr>
      </w:pPr>
    </w:p>
    <w:p w14:paraId="07E35045" w14:textId="77777777" w:rsidR="00E43E69" w:rsidRPr="006B2F06" w:rsidRDefault="00E43E69" w:rsidP="006B2F06">
      <w:pPr>
        <w:spacing w:line="360" w:lineRule="auto"/>
        <w:rPr>
          <w:rFonts w:ascii="Arial" w:hAnsi="Arial" w:cs="Arial"/>
          <w:color w:val="000000" w:themeColor="text1"/>
        </w:rPr>
      </w:pPr>
    </w:p>
    <w:p w14:paraId="3E8BE866" w14:textId="77777777" w:rsidR="00A036ED" w:rsidRPr="006B2F06" w:rsidRDefault="00A036ED" w:rsidP="006B2F06">
      <w:pPr>
        <w:spacing w:line="360" w:lineRule="auto"/>
        <w:rPr>
          <w:rFonts w:ascii="Arial" w:hAnsi="Arial" w:cs="Arial"/>
          <w:color w:val="000000" w:themeColor="text1"/>
        </w:rPr>
      </w:pPr>
    </w:p>
    <w:p w14:paraId="7C4C14B0" w14:textId="77777777" w:rsidR="00A036ED" w:rsidRPr="006B2F06" w:rsidRDefault="00A036ED" w:rsidP="006B2F06">
      <w:pPr>
        <w:spacing w:line="360" w:lineRule="auto"/>
        <w:rPr>
          <w:rFonts w:ascii="Arial" w:hAnsi="Arial" w:cs="Arial"/>
          <w:color w:val="000000" w:themeColor="text1"/>
        </w:rPr>
      </w:pPr>
    </w:p>
    <w:p w14:paraId="2A1B8435" w14:textId="77777777" w:rsidR="00A036ED" w:rsidRPr="006B2F06" w:rsidRDefault="00A036ED" w:rsidP="006B2F06">
      <w:pPr>
        <w:spacing w:line="360" w:lineRule="auto"/>
        <w:rPr>
          <w:rFonts w:ascii="Arial" w:hAnsi="Arial" w:cs="Arial"/>
          <w:color w:val="000000" w:themeColor="text1"/>
        </w:rPr>
      </w:pPr>
    </w:p>
    <w:p w14:paraId="7720BD44" w14:textId="77777777" w:rsidR="00A036ED" w:rsidRPr="006B2F06" w:rsidRDefault="00A036ED" w:rsidP="006B2F06">
      <w:pPr>
        <w:spacing w:line="360" w:lineRule="auto"/>
        <w:rPr>
          <w:rFonts w:ascii="Arial" w:hAnsi="Arial" w:cs="Arial"/>
          <w:color w:val="000000" w:themeColor="text1"/>
        </w:rPr>
      </w:pPr>
    </w:p>
    <w:p w14:paraId="6F4BE80D" w14:textId="77777777" w:rsidR="00A036ED" w:rsidRPr="006B2F06" w:rsidRDefault="00A036ED" w:rsidP="006B2F06">
      <w:pPr>
        <w:spacing w:line="360" w:lineRule="auto"/>
        <w:rPr>
          <w:rFonts w:ascii="Arial" w:hAnsi="Arial" w:cs="Arial"/>
          <w:color w:val="000000" w:themeColor="text1"/>
        </w:rPr>
      </w:pPr>
    </w:p>
    <w:p w14:paraId="5F5C8DD8" w14:textId="77777777" w:rsidR="00A036ED" w:rsidRPr="006B2F06" w:rsidRDefault="00A036ED" w:rsidP="006B2F06">
      <w:pPr>
        <w:spacing w:line="360" w:lineRule="auto"/>
        <w:rPr>
          <w:rFonts w:ascii="Arial" w:hAnsi="Arial" w:cs="Arial"/>
          <w:color w:val="000000" w:themeColor="text1"/>
        </w:rPr>
      </w:pPr>
    </w:p>
    <w:p w14:paraId="45B5C4CB" w14:textId="77777777" w:rsidR="00A036ED" w:rsidRPr="006B2F06" w:rsidRDefault="00A036ED" w:rsidP="006B2F06">
      <w:pPr>
        <w:spacing w:line="360" w:lineRule="auto"/>
        <w:rPr>
          <w:rFonts w:ascii="Arial" w:hAnsi="Arial" w:cs="Arial"/>
          <w:color w:val="000000" w:themeColor="text1"/>
        </w:rPr>
      </w:pPr>
    </w:p>
    <w:p w14:paraId="70E21336" w14:textId="77777777" w:rsidR="00A036ED" w:rsidRPr="006B2F06" w:rsidRDefault="00A036ED" w:rsidP="006B2F06">
      <w:pPr>
        <w:spacing w:line="360" w:lineRule="auto"/>
        <w:rPr>
          <w:rFonts w:ascii="Arial" w:hAnsi="Arial" w:cs="Arial"/>
          <w:color w:val="000000" w:themeColor="text1"/>
        </w:rPr>
      </w:pPr>
    </w:p>
    <w:p w14:paraId="673A3202" w14:textId="77777777" w:rsidR="00A036ED" w:rsidRPr="006B2F06" w:rsidRDefault="00A036ED" w:rsidP="006B2F06">
      <w:pPr>
        <w:spacing w:line="360" w:lineRule="auto"/>
        <w:rPr>
          <w:rFonts w:ascii="Arial" w:hAnsi="Arial" w:cs="Arial"/>
          <w:color w:val="000000" w:themeColor="text1"/>
        </w:rPr>
      </w:pPr>
    </w:p>
    <w:p w14:paraId="0641E3DE" w14:textId="77777777" w:rsidR="00A036ED" w:rsidRPr="006B2F06" w:rsidRDefault="00A036ED" w:rsidP="006B2F06">
      <w:pPr>
        <w:spacing w:line="360" w:lineRule="auto"/>
        <w:rPr>
          <w:rFonts w:ascii="Arial" w:hAnsi="Arial" w:cs="Arial"/>
          <w:color w:val="000000" w:themeColor="text1"/>
        </w:rPr>
      </w:pPr>
    </w:p>
    <w:p w14:paraId="46E2605C" w14:textId="77777777" w:rsidR="00A036ED" w:rsidRPr="006B2F06" w:rsidRDefault="00A036ED" w:rsidP="006B2F06">
      <w:pPr>
        <w:spacing w:line="360" w:lineRule="auto"/>
        <w:rPr>
          <w:rFonts w:ascii="Arial" w:hAnsi="Arial" w:cs="Arial"/>
          <w:color w:val="000000" w:themeColor="text1"/>
        </w:rPr>
      </w:pPr>
    </w:p>
    <w:p w14:paraId="43DB5C39" w14:textId="03827036" w:rsidR="00E43E69" w:rsidRPr="006B2F06" w:rsidRDefault="00B44918" w:rsidP="006B2F06">
      <w:pPr>
        <w:pStyle w:val="Heading1"/>
        <w:spacing w:line="360" w:lineRule="auto"/>
        <w:rPr>
          <w:rFonts w:ascii="Arial" w:hAnsi="Arial" w:cs="Arial"/>
          <w:color w:val="000000" w:themeColor="text1"/>
          <w:sz w:val="24"/>
          <w:szCs w:val="24"/>
        </w:rPr>
      </w:pPr>
      <w:bookmarkStart w:id="0" w:name="_Toc225852083"/>
      <w:r w:rsidRPr="006B2F06">
        <w:rPr>
          <w:rFonts w:ascii="Arial" w:hAnsi="Arial" w:cs="Arial"/>
          <w:color w:val="000000" w:themeColor="text1"/>
          <w:sz w:val="24"/>
          <w:szCs w:val="24"/>
        </w:rPr>
        <w:t xml:space="preserve">1 </w:t>
      </w:r>
      <w:r w:rsidR="00E43E69" w:rsidRPr="006B2F06">
        <w:rPr>
          <w:rFonts w:ascii="Arial" w:hAnsi="Arial" w:cs="Arial"/>
          <w:color w:val="000000" w:themeColor="text1"/>
          <w:sz w:val="24"/>
          <w:szCs w:val="24"/>
        </w:rPr>
        <w:t>Organisational Context and Overview of Microsoft</w:t>
      </w:r>
      <w:bookmarkEnd w:id="0"/>
    </w:p>
    <w:p w14:paraId="516DCD79" w14:textId="77777777" w:rsidR="00E43E69" w:rsidRPr="006B2F06" w:rsidRDefault="00E43E69" w:rsidP="006B2F06">
      <w:pPr>
        <w:spacing w:line="360" w:lineRule="auto"/>
        <w:rPr>
          <w:rFonts w:ascii="Arial" w:hAnsi="Arial" w:cs="Arial"/>
          <w:color w:val="000000" w:themeColor="text1"/>
        </w:rPr>
      </w:pPr>
    </w:p>
    <w:p w14:paraId="7C7081D5" w14:textId="77777777"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Microsoft Corporation, founded in 1975 by Bill Gates and Paul Allen, has evolved from a small software start</w:t>
      </w:r>
      <w:r w:rsidRPr="006B2F06">
        <w:rPr>
          <w:rFonts w:ascii="Cambria Math" w:hAnsi="Cambria Math" w:cs="Cambria Math"/>
          <w:color w:val="000000" w:themeColor="text1"/>
        </w:rPr>
        <w:t>‑</w:t>
      </w:r>
      <w:r w:rsidRPr="006B2F06">
        <w:rPr>
          <w:rFonts w:ascii="Arial" w:hAnsi="Arial" w:cs="Arial"/>
          <w:color w:val="000000" w:themeColor="text1"/>
        </w:rPr>
        <w:t>up into one of the world’s most influential technology conglomerates. Its early success was driven by the MS</w:t>
      </w:r>
      <w:r w:rsidRPr="006B2F06">
        <w:rPr>
          <w:rFonts w:ascii="Cambria Math" w:hAnsi="Cambria Math" w:cs="Cambria Math"/>
          <w:color w:val="000000" w:themeColor="text1"/>
        </w:rPr>
        <w:t>‑</w:t>
      </w:r>
      <w:r w:rsidRPr="006B2F06">
        <w:rPr>
          <w:rFonts w:ascii="Arial" w:hAnsi="Arial" w:cs="Arial"/>
          <w:color w:val="000000" w:themeColor="text1"/>
        </w:rPr>
        <w:t>DOS operating system and later the Windows platform, which became the dominant global standard for personal computing throughout the 1990s (Cusumano and Selby, 1995). Microsoft’s mission — “to empower every person and every organisation on the planet to achieve more” — reflects its strategic shift from a product</w:t>
      </w:r>
      <w:r w:rsidRPr="006B2F06">
        <w:rPr>
          <w:rFonts w:ascii="Cambria Math" w:hAnsi="Cambria Math" w:cs="Cambria Math"/>
          <w:color w:val="000000" w:themeColor="text1"/>
        </w:rPr>
        <w:t>‑</w:t>
      </w:r>
      <w:r w:rsidRPr="006B2F06">
        <w:rPr>
          <w:rFonts w:ascii="Arial" w:hAnsi="Arial" w:cs="Arial"/>
          <w:color w:val="000000" w:themeColor="text1"/>
        </w:rPr>
        <w:t>centric software company to a cloud</w:t>
      </w:r>
      <w:r w:rsidRPr="006B2F06">
        <w:rPr>
          <w:rFonts w:ascii="Cambria Math" w:hAnsi="Cambria Math" w:cs="Cambria Math"/>
          <w:color w:val="000000" w:themeColor="text1"/>
        </w:rPr>
        <w:t>‑</w:t>
      </w:r>
      <w:r w:rsidRPr="006B2F06">
        <w:rPr>
          <w:rFonts w:ascii="Arial" w:hAnsi="Arial" w:cs="Arial"/>
          <w:color w:val="000000" w:themeColor="text1"/>
        </w:rPr>
        <w:t>driven, services</w:t>
      </w:r>
      <w:r w:rsidRPr="006B2F06">
        <w:rPr>
          <w:rFonts w:ascii="Cambria Math" w:hAnsi="Cambria Math" w:cs="Cambria Math"/>
          <w:color w:val="000000" w:themeColor="text1"/>
        </w:rPr>
        <w:t>‑</w:t>
      </w:r>
      <w:r w:rsidRPr="006B2F06">
        <w:rPr>
          <w:rFonts w:ascii="Arial" w:hAnsi="Arial" w:cs="Arial"/>
          <w:color w:val="000000" w:themeColor="text1"/>
        </w:rPr>
        <w:t>oriented digital ecosystem (Microsoft, 2023). Its vision emphasises inclusive digital transformation, underpinned by innovation in cloud computing, artificial intelligence, and enterprise solutions.</w:t>
      </w:r>
    </w:p>
    <w:p w14:paraId="0331B148" w14:textId="77777777" w:rsidR="00E43E69" w:rsidRPr="006B2F06" w:rsidRDefault="00E43E69" w:rsidP="006B2F06">
      <w:pPr>
        <w:spacing w:line="360" w:lineRule="auto"/>
        <w:jc w:val="both"/>
        <w:rPr>
          <w:rFonts w:ascii="Arial" w:hAnsi="Arial" w:cs="Arial"/>
          <w:color w:val="000000" w:themeColor="text1"/>
        </w:rPr>
      </w:pPr>
    </w:p>
    <w:p w14:paraId="246AD606" w14:textId="4D1457EC"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Microsoft’s business model has diversified significantly over the past two decades. Historically reliant on licensing revenue from Windows and Office, the company has transitioned toward subscription</w:t>
      </w:r>
      <w:r w:rsidRPr="006B2F06">
        <w:rPr>
          <w:rFonts w:ascii="Cambria Math" w:hAnsi="Cambria Math" w:cs="Cambria Math"/>
          <w:color w:val="000000" w:themeColor="text1"/>
        </w:rPr>
        <w:t>‑</w:t>
      </w:r>
      <w:r w:rsidRPr="006B2F06">
        <w:rPr>
          <w:rFonts w:ascii="Arial" w:hAnsi="Arial" w:cs="Arial"/>
          <w:color w:val="000000" w:themeColor="text1"/>
        </w:rPr>
        <w:t>based and cloud</w:t>
      </w:r>
      <w:r w:rsidRPr="006B2F06">
        <w:rPr>
          <w:rFonts w:ascii="Cambria Math" w:hAnsi="Cambria Math" w:cs="Cambria Math"/>
          <w:color w:val="000000" w:themeColor="text1"/>
        </w:rPr>
        <w:t>‑</w:t>
      </w:r>
      <w:r w:rsidRPr="006B2F06">
        <w:rPr>
          <w:rFonts w:ascii="Arial" w:hAnsi="Arial" w:cs="Arial"/>
          <w:color w:val="000000" w:themeColor="text1"/>
        </w:rPr>
        <w:t>based revenue streams, particularly through Microsoft 365 and Azure (Vance, 2015). Azure, launched in 2010, has become the second</w:t>
      </w:r>
      <w:r w:rsidRPr="006B2F06">
        <w:rPr>
          <w:rFonts w:ascii="Cambria Math" w:hAnsi="Cambria Math" w:cs="Cambria Math"/>
          <w:color w:val="000000" w:themeColor="text1"/>
        </w:rPr>
        <w:t>‑</w:t>
      </w:r>
      <w:r w:rsidRPr="006B2F06">
        <w:rPr>
          <w:rFonts w:ascii="Arial" w:hAnsi="Arial" w:cs="Arial"/>
          <w:color w:val="000000" w:themeColor="text1"/>
        </w:rPr>
        <w:t>largest global cloud platform, competing directly with Amazon Web Services (AWS) and Google Cloud (Gartner, 2023).</w:t>
      </w:r>
    </w:p>
    <w:p w14:paraId="31A166DF" w14:textId="77777777" w:rsidR="00E43E69" w:rsidRPr="006B2F06" w:rsidRDefault="00E43E69" w:rsidP="006B2F06">
      <w:pPr>
        <w:spacing w:line="360" w:lineRule="auto"/>
        <w:jc w:val="both"/>
        <w:rPr>
          <w:rFonts w:ascii="Arial" w:hAnsi="Arial" w:cs="Arial"/>
          <w:color w:val="000000" w:themeColor="text1"/>
        </w:rPr>
      </w:pPr>
    </w:p>
    <w:p w14:paraId="17F43675" w14:textId="77777777"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 xml:space="preserve">Microsoft operates within the global technology industry, characterised by rapid innovation cycles, high R&amp;D intensity, and intense competitive rivalry (Porter, 2008). Its key competitors </w:t>
      </w:r>
      <w:r w:rsidRPr="006B2F06">
        <w:rPr>
          <w:rFonts w:ascii="Arial" w:hAnsi="Arial" w:cs="Arial"/>
          <w:color w:val="000000" w:themeColor="text1"/>
        </w:rPr>
        <w:lastRenderedPageBreak/>
        <w:t>include Amazon, Google, Apple, Salesforce, and IBM, each competing across overlapping domains such as cloud computing, productivity software, operating systems, gaming, and AI. Microsoft maintains a strong competitive position due to its integrated ecosystem, combining software, hardware, cloud services, and enterprise solutions (McKinsey &amp; Company, 2023). Its acquisition strategy — including LinkedIn (2016), GitHub (2018), and Activision Blizzard (2023) — has further strengthened its market presence and diversified its capabilities (Financial Times, 2023).</w:t>
      </w:r>
    </w:p>
    <w:p w14:paraId="0ED9D7E3" w14:textId="77777777" w:rsidR="00E43E69" w:rsidRPr="006B2F06" w:rsidRDefault="00E43E69" w:rsidP="006B2F06">
      <w:pPr>
        <w:spacing w:line="360" w:lineRule="auto"/>
        <w:jc w:val="both"/>
        <w:rPr>
          <w:rFonts w:ascii="Arial" w:hAnsi="Arial" w:cs="Arial"/>
          <w:color w:val="000000" w:themeColor="text1"/>
        </w:rPr>
      </w:pPr>
    </w:p>
    <w:p w14:paraId="6B295496" w14:textId="3C1F0E6F"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Globally, Microsoft holds a dominant position in enterprise software, cloud computing, and productivity tools. Its Windows operating system retains significant market share in desktop computing, while Microsoft 365 is a leading subscription productivity suite (Statista, 2023). Azure’s rapid growth has positioned Microsoft as a central player in digital transformation initiatives across industries, governments, and emerging markets. The company’s strategic emphasis on cloud, AI, cybersecurity, and sustainability continues to shape its competitive trajectory in the global technology landscape</w:t>
      </w:r>
    </w:p>
    <w:p w14:paraId="7C4A911F" w14:textId="65D4BD85" w:rsidR="000856B3" w:rsidRPr="006B2F06" w:rsidRDefault="000856B3" w:rsidP="006B2F06">
      <w:pPr>
        <w:spacing w:line="360" w:lineRule="auto"/>
        <w:jc w:val="both"/>
        <w:rPr>
          <w:rFonts w:ascii="Arial" w:hAnsi="Arial" w:cs="Arial"/>
          <w:color w:val="000000" w:themeColor="text1"/>
        </w:rPr>
      </w:pPr>
      <w:r w:rsidRPr="006B2F06">
        <w:rPr>
          <w:rFonts w:ascii="Arial" w:hAnsi="Arial" w:cs="Arial"/>
          <w:color w:val="000000" w:themeColor="text1"/>
        </w:rPr>
        <w:t>However, Microsoft’s continued dominance depends on sustaining innovation in increasingly competitive cloud and AI markets, where rivals such as Amazon and Google continue to intensify pressure.</w:t>
      </w:r>
    </w:p>
    <w:p w14:paraId="687ECBB6" w14:textId="77777777" w:rsidR="00E43E69" w:rsidRPr="006B2F06" w:rsidRDefault="00E43E69" w:rsidP="006B2F06">
      <w:pPr>
        <w:spacing w:line="360" w:lineRule="auto"/>
        <w:jc w:val="both"/>
        <w:rPr>
          <w:rFonts w:ascii="Arial" w:hAnsi="Arial" w:cs="Arial"/>
          <w:color w:val="000000" w:themeColor="text1"/>
        </w:rPr>
      </w:pPr>
    </w:p>
    <w:p w14:paraId="2B9EDEA0" w14:textId="5E2FEF76" w:rsidR="00E43E69" w:rsidRPr="006B2F06" w:rsidRDefault="00B44918" w:rsidP="006B2F06">
      <w:pPr>
        <w:pStyle w:val="Heading1"/>
        <w:spacing w:line="360" w:lineRule="auto"/>
        <w:rPr>
          <w:rFonts w:ascii="Arial" w:hAnsi="Arial" w:cs="Arial"/>
          <w:color w:val="000000" w:themeColor="text1"/>
          <w:sz w:val="24"/>
          <w:szCs w:val="24"/>
        </w:rPr>
      </w:pPr>
      <w:bookmarkStart w:id="1" w:name="_Toc225852084"/>
      <w:r w:rsidRPr="006B2F06">
        <w:rPr>
          <w:rFonts w:ascii="Arial" w:hAnsi="Arial" w:cs="Arial"/>
          <w:color w:val="000000" w:themeColor="text1"/>
          <w:sz w:val="24"/>
          <w:szCs w:val="24"/>
        </w:rPr>
        <w:lastRenderedPageBreak/>
        <w:t xml:space="preserve">2 </w:t>
      </w:r>
      <w:r w:rsidR="00E43E69" w:rsidRPr="006B2F06">
        <w:rPr>
          <w:rFonts w:ascii="Arial" w:hAnsi="Arial" w:cs="Arial"/>
          <w:color w:val="000000" w:themeColor="text1"/>
          <w:sz w:val="24"/>
          <w:szCs w:val="24"/>
        </w:rPr>
        <w:t>External Environment Analysis (PESTEL) of Microsoft</w:t>
      </w:r>
      <w:bookmarkEnd w:id="1"/>
      <w:r w:rsidR="00E43E69" w:rsidRPr="006B2F06">
        <w:rPr>
          <w:rFonts w:ascii="Arial" w:hAnsi="Arial" w:cs="Arial"/>
          <w:color w:val="000000" w:themeColor="text1"/>
          <w:sz w:val="24"/>
          <w:szCs w:val="24"/>
        </w:rPr>
        <w:t xml:space="preserve"> </w:t>
      </w:r>
    </w:p>
    <w:p w14:paraId="3FF9A13F" w14:textId="1E10B32C" w:rsidR="00AF27ED" w:rsidRPr="006B2F06" w:rsidRDefault="00AF27ED" w:rsidP="006B2F06">
      <w:pPr>
        <w:spacing w:line="360" w:lineRule="auto"/>
        <w:rPr>
          <w:rFonts w:ascii="Arial" w:hAnsi="Arial" w:cs="Arial"/>
        </w:rPr>
      </w:pPr>
      <w:r w:rsidRPr="006B2F06">
        <w:rPr>
          <w:rFonts w:ascii="Arial" w:hAnsi="Arial" w:cs="Arial"/>
        </w:rPr>
        <w:drawing>
          <wp:inline distT="0" distB="0" distL="0" distR="0" wp14:anchorId="01B65516" wp14:editId="7E551667">
            <wp:extent cx="6399530" cy="3579495"/>
            <wp:effectExtent l="0" t="0" r="1270" b="1905"/>
            <wp:docPr id="1037016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016259" name=""/>
                    <pic:cNvPicPr/>
                  </pic:nvPicPr>
                  <pic:blipFill>
                    <a:blip r:embed="rId7"/>
                    <a:stretch>
                      <a:fillRect/>
                    </a:stretch>
                  </pic:blipFill>
                  <pic:spPr>
                    <a:xfrm>
                      <a:off x="0" y="0"/>
                      <a:ext cx="6399530" cy="3579495"/>
                    </a:xfrm>
                    <a:prstGeom prst="rect">
                      <a:avLst/>
                    </a:prstGeom>
                  </pic:spPr>
                </pic:pic>
              </a:graphicData>
            </a:graphic>
          </wp:inline>
        </w:drawing>
      </w:r>
    </w:p>
    <w:p w14:paraId="185E45C1" w14:textId="04335C5E" w:rsidR="00AF27ED" w:rsidRPr="006B2F06" w:rsidRDefault="00AF27ED" w:rsidP="006B2F06">
      <w:pPr>
        <w:spacing w:line="360" w:lineRule="auto"/>
        <w:jc w:val="center"/>
        <w:rPr>
          <w:rFonts w:ascii="Arial" w:hAnsi="Arial" w:cs="Arial"/>
          <w:b/>
          <w:bCs/>
        </w:rPr>
      </w:pPr>
      <w:r w:rsidRPr="006B2F06">
        <w:rPr>
          <w:rFonts w:ascii="Arial" w:hAnsi="Arial" w:cs="Arial"/>
          <w:b/>
          <w:bCs/>
        </w:rPr>
        <w:t>Figure 1: PESTEL Framework applied to Microsoft</w:t>
      </w:r>
    </w:p>
    <w:p w14:paraId="08CF7BC4" w14:textId="77777777" w:rsidR="00E43E69" w:rsidRPr="006B2F06" w:rsidRDefault="00E43E69" w:rsidP="006B2F06">
      <w:pPr>
        <w:spacing w:line="360" w:lineRule="auto"/>
        <w:jc w:val="both"/>
        <w:rPr>
          <w:rFonts w:ascii="Arial" w:hAnsi="Arial" w:cs="Arial"/>
          <w:color w:val="000000" w:themeColor="text1"/>
        </w:rPr>
      </w:pPr>
    </w:p>
    <w:p w14:paraId="4D3D7335" w14:textId="7A46A8A1"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Microsoft operates within a highly dynamic global technology environment shaped by political, economic, social, technological, environmental, and legal forces. A critical PESTEL analysis highlights how these external factors influence Microsoft’s strategic decisions and competitive positioning.</w:t>
      </w:r>
    </w:p>
    <w:p w14:paraId="7CFFEA64" w14:textId="77777777" w:rsidR="00E43E69" w:rsidRPr="006B2F06" w:rsidRDefault="00E43E69" w:rsidP="006B2F06">
      <w:pPr>
        <w:spacing w:line="360" w:lineRule="auto"/>
        <w:jc w:val="both"/>
        <w:rPr>
          <w:rFonts w:ascii="Arial" w:hAnsi="Arial" w:cs="Arial"/>
          <w:color w:val="000000" w:themeColor="text1"/>
        </w:rPr>
      </w:pPr>
    </w:p>
    <w:p w14:paraId="4979886E" w14:textId="2933864C" w:rsidR="00E43E69" w:rsidRPr="006B2F06" w:rsidRDefault="00B44918" w:rsidP="006B2F06">
      <w:pPr>
        <w:pStyle w:val="Heading2"/>
        <w:spacing w:line="360" w:lineRule="auto"/>
        <w:rPr>
          <w:rFonts w:ascii="Arial" w:hAnsi="Arial" w:cs="Arial"/>
          <w:color w:val="000000" w:themeColor="text1"/>
          <w:sz w:val="24"/>
          <w:szCs w:val="24"/>
        </w:rPr>
      </w:pPr>
      <w:bookmarkStart w:id="2" w:name="_Toc225852085"/>
      <w:r w:rsidRPr="006B2F06">
        <w:rPr>
          <w:rFonts w:ascii="Arial" w:hAnsi="Arial" w:cs="Arial"/>
          <w:color w:val="000000" w:themeColor="text1"/>
          <w:sz w:val="24"/>
          <w:szCs w:val="24"/>
        </w:rPr>
        <w:t xml:space="preserve">2.1 </w:t>
      </w:r>
      <w:r w:rsidR="00E43E69" w:rsidRPr="006B2F06">
        <w:rPr>
          <w:rFonts w:ascii="Arial" w:hAnsi="Arial" w:cs="Arial"/>
          <w:color w:val="000000" w:themeColor="text1"/>
          <w:sz w:val="24"/>
          <w:szCs w:val="24"/>
        </w:rPr>
        <w:t>Political Factors</w:t>
      </w:r>
      <w:bookmarkEnd w:id="2"/>
    </w:p>
    <w:p w14:paraId="5673BC13" w14:textId="77777777" w:rsidR="00E43E69" w:rsidRPr="006B2F06" w:rsidRDefault="00E43E69" w:rsidP="006B2F06">
      <w:pPr>
        <w:spacing w:line="360" w:lineRule="auto"/>
        <w:jc w:val="both"/>
        <w:rPr>
          <w:rFonts w:ascii="Arial" w:hAnsi="Arial" w:cs="Arial"/>
          <w:color w:val="000000" w:themeColor="text1"/>
        </w:rPr>
      </w:pPr>
    </w:p>
    <w:p w14:paraId="3103161F" w14:textId="77777777"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Political stability, regulatory frameworks, and geopolitical tensions significantly shape Microsoft’s global operations. As a multinational technology corporation, Microsoft is heavily affected by government policies on data governance, cybersecurity, and digital sovereignty (OECD, 2023). Increasing geopolitical tensions between the United States and China have created uncertainties for technology firms, particularly regarding cloud services, semiconductor supply chains, and AI regulation (The Economist, 2023). Microsoft’s cloud infrastructure investments in Europe and Asia are influenced by regional data</w:t>
      </w:r>
      <w:r w:rsidRPr="006B2F06">
        <w:rPr>
          <w:rFonts w:ascii="Cambria Math" w:hAnsi="Cambria Math" w:cs="Cambria Math"/>
          <w:color w:val="000000" w:themeColor="text1"/>
        </w:rPr>
        <w:t>‑</w:t>
      </w:r>
      <w:r w:rsidRPr="006B2F06">
        <w:rPr>
          <w:rFonts w:ascii="Arial" w:hAnsi="Arial" w:cs="Arial"/>
          <w:color w:val="000000" w:themeColor="text1"/>
        </w:rPr>
        <w:t xml:space="preserve">localisation laws such as the EU’s GDPR and China’s Cybersecurity Law, which require companies to store and process data locally (European </w:t>
      </w:r>
      <w:r w:rsidRPr="006B2F06">
        <w:rPr>
          <w:rFonts w:ascii="Arial" w:hAnsi="Arial" w:cs="Arial"/>
          <w:color w:val="000000" w:themeColor="text1"/>
        </w:rPr>
        <w:lastRenderedPageBreak/>
        <w:t>Commission, 2023). These regulations increase operational complexity but also create opportunities for Microsoft to position Azure as a compliant, enterprise</w:t>
      </w:r>
      <w:r w:rsidRPr="006B2F06">
        <w:rPr>
          <w:rFonts w:ascii="Cambria Math" w:hAnsi="Cambria Math" w:cs="Cambria Math"/>
          <w:color w:val="000000" w:themeColor="text1"/>
        </w:rPr>
        <w:t>‑</w:t>
      </w:r>
      <w:r w:rsidRPr="006B2F06">
        <w:rPr>
          <w:rFonts w:ascii="Arial" w:hAnsi="Arial" w:cs="Arial"/>
          <w:color w:val="000000" w:themeColor="text1"/>
        </w:rPr>
        <w:t>grade cloud solution (Gartner, 2023).</w:t>
      </w:r>
    </w:p>
    <w:p w14:paraId="5E746858" w14:textId="77777777" w:rsidR="00E43E69" w:rsidRPr="006B2F06" w:rsidRDefault="00E43E69" w:rsidP="006B2F06">
      <w:pPr>
        <w:spacing w:line="360" w:lineRule="auto"/>
        <w:jc w:val="both"/>
        <w:rPr>
          <w:rFonts w:ascii="Arial" w:hAnsi="Arial" w:cs="Arial"/>
          <w:color w:val="000000" w:themeColor="text1"/>
        </w:rPr>
      </w:pPr>
    </w:p>
    <w:p w14:paraId="0FFADDB7" w14:textId="57EBB4D4"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 xml:space="preserve">Government procurement policies also shape Microsoft’s strategy. For example, Microsoft’s JEDI cloud contract with the U.S. Department of </w:t>
      </w:r>
      <w:proofErr w:type="spellStart"/>
      <w:r w:rsidRPr="006B2F06">
        <w:rPr>
          <w:rFonts w:ascii="Arial" w:hAnsi="Arial" w:cs="Arial"/>
          <w:color w:val="000000" w:themeColor="text1"/>
        </w:rPr>
        <w:t>Defense</w:t>
      </w:r>
      <w:proofErr w:type="spellEnd"/>
      <w:r w:rsidRPr="006B2F06">
        <w:rPr>
          <w:rFonts w:ascii="Arial" w:hAnsi="Arial" w:cs="Arial"/>
          <w:color w:val="000000" w:themeColor="text1"/>
        </w:rPr>
        <w:t xml:space="preserve"> (later replaced by the JWCC programme) demonstrates the political significance of cloud infrastructure in national security (Financial Times, 2022). Political scrutiny of Big Tech, including antitrust investigations in the U.S. and EU, further influences Microsoft’s acquisition strategy, as seen in the regulatory challenges surrounding its acquisition of Activision Blizzard (Nikkei Asia, 2023). Overall, political factors create both constraints and opportunities for Microsoft’s global expansion.</w:t>
      </w:r>
    </w:p>
    <w:p w14:paraId="59DF7113" w14:textId="77777777" w:rsidR="00054B1E" w:rsidRPr="006B2F06" w:rsidRDefault="00054B1E" w:rsidP="006B2F06">
      <w:pPr>
        <w:spacing w:line="360" w:lineRule="auto"/>
        <w:jc w:val="both"/>
        <w:rPr>
          <w:rFonts w:ascii="Arial" w:hAnsi="Arial" w:cs="Arial"/>
          <w:color w:val="000000" w:themeColor="text1"/>
        </w:rPr>
      </w:pPr>
    </w:p>
    <w:p w14:paraId="13EC34BF" w14:textId="2850085E" w:rsidR="00E43E69" w:rsidRPr="006B2F06" w:rsidRDefault="00B44918" w:rsidP="006B2F06">
      <w:pPr>
        <w:pStyle w:val="Heading2"/>
        <w:spacing w:line="360" w:lineRule="auto"/>
        <w:rPr>
          <w:rFonts w:ascii="Arial" w:hAnsi="Arial" w:cs="Arial"/>
          <w:color w:val="000000" w:themeColor="text1"/>
          <w:sz w:val="24"/>
          <w:szCs w:val="24"/>
        </w:rPr>
      </w:pPr>
      <w:bookmarkStart w:id="3" w:name="_Toc225852086"/>
      <w:r w:rsidRPr="006B2F06">
        <w:rPr>
          <w:rFonts w:ascii="Arial" w:hAnsi="Arial" w:cs="Arial"/>
          <w:color w:val="000000" w:themeColor="text1"/>
          <w:sz w:val="24"/>
          <w:szCs w:val="24"/>
        </w:rPr>
        <w:t xml:space="preserve">2.2 </w:t>
      </w:r>
      <w:r w:rsidR="00E43E69" w:rsidRPr="006B2F06">
        <w:rPr>
          <w:rFonts w:ascii="Arial" w:hAnsi="Arial" w:cs="Arial"/>
          <w:color w:val="000000" w:themeColor="text1"/>
          <w:sz w:val="24"/>
          <w:szCs w:val="24"/>
        </w:rPr>
        <w:t>Economic Factors</w:t>
      </w:r>
      <w:bookmarkEnd w:id="3"/>
    </w:p>
    <w:p w14:paraId="209912E1" w14:textId="77777777" w:rsidR="00054B1E" w:rsidRPr="006B2F06" w:rsidRDefault="00054B1E" w:rsidP="006B2F06">
      <w:pPr>
        <w:spacing w:line="360" w:lineRule="auto"/>
        <w:jc w:val="both"/>
        <w:rPr>
          <w:rFonts w:ascii="Arial" w:hAnsi="Arial" w:cs="Arial"/>
          <w:color w:val="000000" w:themeColor="text1"/>
        </w:rPr>
      </w:pPr>
    </w:p>
    <w:p w14:paraId="67B02E9E" w14:textId="77777777"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Global economic conditions, inflationary pressures, and currency fluctuations directly affect Microsoft’s revenue streams. As a company with significant international exposure, Microsoft is sensitive to exchange</w:t>
      </w:r>
      <w:r w:rsidRPr="006B2F06">
        <w:rPr>
          <w:rFonts w:ascii="Cambria Math" w:hAnsi="Cambria Math" w:cs="Cambria Math"/>
          <w:color w:val="000000" w:themeColor="text1"/>
        </w:rPr>
        <w:t>‑</w:t>
      </w:r>
      <w:r w:rsidRPr="006B2F06">
        <w:rPr>
          <w:rFonts w:ascii="Arial" w:hAnsi="Arial" w:cs="Arial"/>
          <w:color w:val="000000" w:themeColor="text1"/>
        </w:rPr>
        <w:t>rate volatility, particularly the strengthening of the U.S. dollar, which reduces international earnings when converted back to USD (LVMH, 2023; OECD, 2023). Economic slowdowns in major markets such as Europe and China can reduce enterprise IT spending, impacting demand for cloud services, software licences, and hardware (McKinsey &amp; Company, 2023).</w:t>
      </w:r>
    </w:p>
    <w:p w14:paraId="6CF95C2E" w14:textId="77777777" w:rsidR="00E43E69" w:rsidRPr="006B2F06" w:rsidRDefault="00E43E69" w:rsidP="006B2F06">
      <w:pPr>
        <w:spacing w:line="360" w:lineRule="auto"/>
        <w:jc w:val="both"/>
        <w:rPr>
          <w:rFonts w:ascii="Arial" w:hAnsi="Arial" w:cs="Arial"/>
          <w:color w:val="000000" w:themeColor="text1"/>
        </w:rPr>
      </w:pPr>
    </w:p>
    <w:p w14:paraId="7D54B5C8" w14:textId="2B4A76E8"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However, digital transformation remains a long</w:t>
      </w:r>
      <w:r w:rsidRPr="006B2F06">
        <w:rPr>
          <w:rFonts w:ascii="Cambria Math" w:hAnsi="Cambria Math" w:cs="Cambria Math"/>
          <w:color w:val="000000" w:themeColor="text1"/>
        </w:rPr>
        <w:t>‑</w:t>
      </w:r>
      <w:r w:rsidRPr="006B2F06">
        <w:rPr>
          <w:rFonts w:ascii="Arial" w:hAnsi="Arial" w:cs="Arial"/>
          <w:color w:val="000000" w:themeColor="text1"/>
        </w:rPr>
        <w:t>term economic driver. Even during economic downturns, organisations continue investing in cloud computing, cybersecurity, and AI to improve efficiency and resilience (Bain &amp; Company, 2023). Microsoft benefits from this structural shift, with Azure experiencing double</w:t>
      </w:r>
      <w:r w:rsidRPr="006B2F06">
        <w:rPr>
          <w:rFonts w:ascii="Cambria Math" w:hAnsi="Cambria Math" w:cs="Cambria Math"/>
          <w:color w:val="000000" w:themeColor="text1"/>
        </w:rPr>
        <w:t>‑</w:t>
      </w:r>
      <w:r w:rsidRPr="006B2F06">
        <w:rPr>
          <w:rFonts w:ascii="Arial" w:hAnsi="Arial" w:cs="Arial"/>
          <w:color w:val="000000" w:themeColor="text1"/>
        </w:rPr>
        <w:t>digit growth despite macroeconomic uncertainty (Statista, 2023). Subscription</w:t>
      </w:r>
      <w:r w:rsidRPr="006B2F06">
        <w:rPr>
          <w:rFonts w:ascii="Cambria Math" w:hAnsi="Cambria Math" w:cs="Cambria Math"/>
          <w:color w:val="000000" w:themeColor="text1"/>
        </w:rPr>
        <w:t>‑</w:t>
      </w:r>
      <w:r w:rsidRPr="006B2F06">
        <w:rPr>
          <w:rFonts w:ascii="Arial" w:hAnsi="Arial" w:cs="Arial"/>
          <w:color w:val="000000" w:themeColor="text1"/>
        </w:rPr>
        <w:t>based revenue models such as Microsoft 365 provide stable, recurring income, reducing vulnerability to economic cycles (Kotler and Keller, 2022). The global rise of remote and hybrid work has also increased demand for collaboration tools such as Teams, further strengthening Microsoft’s economic position (Financial Times, 2023).</w:t>
      </w:r>
    </w:p>
    <w:p w14:paraId="08D49793" w14:textId="77777777" w:rsidR="00E43E69" w:rsidRPr="006B2F06" w:rsidRDefault="00E43E69" w:rsidP="006B2F06">
      <w:pPr>
        <w:spacing w:line="360" w:lineRule="auto"/>
        <w:jc w:val="both"/>
        <w:rPr>
          <w:rFonts w:ascii="Arial" w:hAnsi="Arial" w:cs="Arial"/>
          <w:color w:val="000000" w:themeColor="text1"/>
        </w:rPr>
      </w:pPr>
    </w:p>
    <w:p w14:paraId="35CEB30B" w14:textId="2B5B96EC" w:rsidR="00E43E69" w:rsidRPr="006B2F06" w:rsidRDefault="00B44918" w:rsidP="006B2F06">
      <w:pPr>
        <w:pStyle w:val="Heading2"/>
        <w:spacing w:line="360" w:lineRule="auto"/>
        <w:rPr>
          <w:rFonts w:ascii="Arial" w:hAnsi="Arial" w:cs="Arial"/>
          <w:color w:val="000000" w:themeColor="text1"/>
          <w:sz w:val="24"/>
          <w:szCs w:val="24"/>
        </w:rPr>
      </w:pPr>
      <w:bookmarkStart w:id="4" w:name="_Toc225852087"/>
      <w:r w:rsidRPr="006B2F06">
        <w:rPr>
          <w:rFonts w:ascii="Arial" w:hAnsi="Arial" w:cs="Arial"/>
          <w:color w:val="000000" w:themeColor="text1"/>
          <w:sz w:val="24"/>
          <w:szCs w:val="24"/>
        </w:rPr>
        <w:lastRenderedPageBreak/>
        <w:t xml:space="preserve">2.3 </w:t>
      </w:r>
      <w:r w:rsidR="00E43E69" w:rsidRPr="006B2F06">
        <w:rPr>
          <w:rFonts w:ascii="Arial" w:hAnsi="Arial" w:cs="Arial"/>
          <w:color w:val="000000" w:themeColor="text1"/>
          <w:sz w:val="24"/>
          <w:szCs w:val="24"/>
        </w:rPr>
        <w:t>Social Factors</w:t>
      </w:r>
      <w:bookmarkEnd w:id="4"/>
    </w:p>
    <w:p w14:paraId="55B76A5D" w14:textId="77777777" w:rsidR="00E43E69" w:rsidRPr="006B2F06" w:rsidRDefault="00E43E69" w:rsidP="006B2F06">
      <w:pPr>
        <w:spacing w:line="360" w:lineRule="auto"/>
        <w:jc w:val="both"/>
        <w:rPr>
          <w:rFonts w:ascii="Arial" w:hAnsi="Arial" w:cs="Arial"/>
          <w:color w:val="000000" w:themeColor="text1"/>
        </w:rPr>
      </w:pPr>
    </w:p>
    <w:p w14:paraId="7878428E" w14:textId="77777777"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Social trends such as digital adoption, remote work, and changing consumer expectations significantly influence Microsoft’s strategic direction. The COVID</w:t>
      </w:r>
      <w:r w:rsidRPr="006B2F06">
        <w:rPr>
          <w:rFonts w:ascii="Cambria Math" w:hAnsi="Cambria Math" w:cs="Cambria Math"/>
          <w:color w:val="000000" w:themeColor="text1"/>
        </w:rPr>
        <w:t>‑</w:t>
      </w:r>
      <w:r w:rsidRPr="006B2F06">
        <w:rPr>
          <w:rFonts w:ascii="Arial" w:hAnsi="Arial" w:cs="Arial"/>
          <w:color w:val="000000" w:themeColor="text1"/>
        </w:rPr>
        <w:t>19 pandemic accelerated the shift toward hybrid work, increasing reliance on cloud</w:t>
      </w:r>
      <w:r w:rsidRPr="006B2F06">
        <w:rPr>
          <w:rFonts w:ascii="Cambria Math" w:hAnsi="Cambria Math" w:cs="Cambria Math"/>
          <w:color w:val="000000" w:themeColor="text1"/>
        </w:rPr>
        <w:t>‑</w:t>
      </w:r>
      <w:r w:rsidRPr="006B2F06">
        <w:rPr>
          <w:rFonts w:ascii="Arial" w:hAnsi="Arial" w:cs="Arial"/>
          <w:color w:val="000000" w:themeColor="text1"/>
        </w:rPr>
        <w:t>based collaboration tools (McKinsey &amp; Company, 2023). Microsoft’s strategic response — integrating Teams into Microsoft 365 and enhancing cloud security — reflects its ability to adapt to evolving social behaviours (Hines and Bruce, 2020).</w:t>
      </w:r>
    </w:p>
    <w:p w14:paraId="389E3A72" w14:textId="77777777" w:rsidR="00E43E69" w:rsidRPr="006B2F06" w:rsidRDefault="00E43E69" w:rsidP="006B2F06">
      <w:pPr>
        <w:spacing w:line="360" w:lineRule="auto"/>
        <w:jc w:val="both"/>
        <w:rPr>
          <w:rFonts w:ascii="Arial" w:hAnsi="Arial" w:cs="Arial"/>
          <w:color w:val="000000" w:themeColor="text1"/>
        </w:rPr>
      </w:pPr>
    </w:p>
    <w:p w14:paraId="293500CE" w14:textId="77777777"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Demographic changes also shape technology consumption. Younger generations increasingly prefer subscription</w:t>
      </w:r>
      <w:r w:rsidRPr="006B2F06">
        <w:rPr>
          <w:rFonts w:ascii="Cambria Math" w:hAnsi="Cambria Math" w:cs="Cambria Math"/>
          <w:color w:val="000000" w:themeColor="text1"/>
        </w:rPr>
        <w:t>‑</w:t>
      </w:r>
      <w:r w:rsidRPr="006B2F06">
        <w:rPr>
          <w:rFonts w:ascii="Arial" w:hAnsi="Arial" w:cs="Arial"/>
          <w:color w:val="000000" w:themeColor="text1"/>
        </w:rPr>
        <w:t xml:space="preserve">based digital services, aligning with Microsoft’s shift from perpetual licences to cloud subscriptions (de </w:t>
      </w:r>
      <w:proofErr w:type="spellStart"/>
      <w:r w:rsidRPr="006B2F06">
        <w:rPr>
          <w:rFonts w:ascii="Arial" w:hAnsi="Arial" w:cs="Arial"/>
          <w:color w:val="000000" w:themeColor="text1"/>
        </w:rPr>
        <w:t>Mooij</w:t>
      </w:r>
      <w:proofErr w:type="spellEnd"/>
      <w:r w:rsidRPr="006B2F06">
        <w:rPr>
          <w:rFonts w:ascii="Arial" w:hAnsi="Arial" w:cs="Arial"/>
          <w:color w:val="000000" w:themeColor="text1"/>
        </w:rPr>
        <w:t>, 2019). Social concerns about data privacy, misinformation, and AI ethics have intensified public scrutiny of technology companies (Hofstede, 2011). Microsoft’s Responsible AI Framework and investments in ethical AI research demonstrate its attempt to address these concerns and differentiate itself from competitors (Microsoft, 2023).</w:t>
      </w:r>
    </w:p>
    <w:p w14:paraId="716CAD0F" w14:textId="77777777" w:rsidR="00E43E69" w:rsidRPr="006B2F06" w:rsidRDefault="00E43E69" w:rsidP="006B2F06">
      <w:pPr>
        <w:spacing w:line="360" w:lineRule="auto"/>
        <w:jc w:val="both"/>
        <w:rPr>
          <w:rFonts w:ascii="Arial" w:hAnsi="Arial" w:cs="Arial"/>
          <w:color w:val="000000" w:themeColor="text1"/>
        </w:rPr>
      </w:pPr>
    </w:p>
    <w:p w14:paraId="71380A90" w14:textId="77777777"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Furthermore, global digital inequality remains a challenge. Microsoft’s Airband Initiative aims to expand broadband access in underserved regions, aligning social responsibility with long</w:t>
      </w:r>
      <w:r w:rsidRPr="006B2F06">
        <w:rPr>
          <w:rFonts w:ascii="Cambria Math" w:hAnsi="Cambria Math" w:cs="Cambria Math"/>
          <w:color w:val="000000" w:themeColor="text1"/>
        </w:rPr>
        <w:t>‑</w:t>
      </w:r>
      <w:r w:rsidRPr="006B2F06">
        <w:rPr>
          <w:rFonts w:ascii="Arial" w:hAnsi="Arial" w:cs="Arial"/>
          <w:color w:val="000000" w:themeColor="text1"/>
        </w:rPr>
        <w:t>term market development (OECD, 2023). Social expectations for sustainability and ethical business practices also influence Microsoft’s brand reputation and stakeholder relationships (Kapferer and Bastien, 2017).</w:t>
      </w:r>
    </w:p>
    <w:p w14:paraId="076B9282" w14:textId="463342C8" w:rsidR="00E43E69" w:rsidRPr="006B2F06" w:rsidRDefault="00E43E69" w:rsidP="006B2F06">
      <w:pPr>
        <w:spacing w:line="360" w:lineRule="auto"/>
        <w:jc w:val="both"/>
        <w:rPr>
          <w:rFonts w:ascii="Arial" w:hAnsi="Arial" w:cs="Arial"/>
          <w:color w:val="000000" w:themeColor="text1"/>
        </w:rPr>
      </w:pPr>
    </w:p>
    <w:p w14:paraId="44E030C3" w14:textId="388A754E" w:rsidR="00E43E69" w:rsidRPr="006B2F06" w:rsidRDefault="00B44918" w:rsidP="006B2F06">
      <w:pPr>
        <w:pStyle w:val="Heading2"/>
        <w:spacing w:line="360" w:lineRule="auto"/>
        <w:rPr>
          <w:rFonts w:ascii="Arial" w:hAnsi="Arial" w:cs="Arial"/>
          <w:color w:val="000000" w:themeColor="text1"/>
          <w:sz w:val="24"/>
          <w:szCs w:val="24"/>
        </w:rPr>
      </w:pPr>
      <w:bookmarkStart w:id="5" w:name="_Toc225852088"/>
      <w:r w:rsidRPr="006B2F06">
        <w:rPr>
          <w:rFonts w:ascii="Arial" w:hAnsi="Arial" w:cs="Arial"/>
          <w:color w:val="000000" w:themeColor="text1"/>
          <w:sz w:val="24"/>
          <w:szCs w:val="24"/>
        </w:rPr>
        <w:lastRenderedPageBreak/>
        <w:t xml:space="preserve">2.4 </w:t>
      </w:r>
      <w:r w:rsidR="00E43E69" w:rsidRPr="006B2F06">
        <w:rPr>
          <w:rFonts w:ascii="Arial" w:hAnsi="Arial" w:cs="Arial"/>
          <w:color w:val="000000" w:themeColor="text1"/>
          <w:sz w:val="24"/>
          <w:szCs w:val="24"/>
        </w:rPr>
        <w:t>Technological Factors</w:t>
      </w:r>
      <w:bookmarkEnd w:id="5"/>
    </w:p>
    <w:p w14:paraId="5AFB5F53" w14:textId="7884D5FB" w:rsidR="00AF27ED" w:rsidRPr="006B2F06" w:rsidRDefault="00AF27ED" w:rsidP="006B2F06">
      <w:pPr>
        <w:spacing w:line="360" w:lineRule="auto"/>
        <w:jc w:val="both"/>
        <w:rPr>
          <w:rFonts w:ascii="Arial" w:hAnsi="Arial" w:cs="Arial"/>
          <w:color w:val="000000" w:themeColor="text1"/>
        </w:rPr>
      </w:pPr>
      <w:r w:rsidRPr="006B2F06">
        <w:rPr>
          <w:rFonts w:ascii="Arial" w:hAnsi="Arial" w:cs="Arial"/>
          <w:color w:val="000000" w:themeColor="text1"/>
        </w:rPr>
        <w:drawing>
          <wp:inline distT="0" distB="0" distL="0" distR="0" wp14:anchorId="1B8E473E" wp14:editId="444107B7">
            <wp:extent cx="6399530" cy="3562985"/>
            <wp:effectExtent l="0" t="0" r="1270" b="0"/>
            <wp:docPr id="1990015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015638" name=""/>
                    <pic:cNvPicPr/>
                  </pic:nvPicPr>
                  <pic:blipFill>
                    <a:blip r:embed="rId8"/>
                    <a:stretch>
                      <a:fillRect/>
                    </a:stretch>
                  </pic:blipFill>
                  <pic:spPr>
                    <a:xfrm>
                      <a:off x="0" y="0"/>
                      <a:ext cx="6399530" cy="3562985"/>
                    </a:xfrm>
                    <a:prstGeom prst="rect">
                      <a:avLst/>
                    </a:prstGeom>
                  </pic:spPr>
                </pic:pic>
              </a:graphicData>
            </a:graphic>
          </wp:inline>
        </w:drawing>
      </w:r>
    </w:p>
    <w:p w14:paraId="42C8A5F3" w14:textId="535CD86D" w:rsidR="00AF27ED" w:rsidRPr="006B2F06" w:rsidRDefault="00AF27ED" w:rsidP="006B2F06">
      <w:pPr>
        <w:spacing w:line="360" w:lineRule="auto"/>
        <w:jc w:val="center"/>
        <w:rPr>
          <w:rFonts w:ascii="Arial" w:hAnsi="Arial" w:cs="Arial"/>
          <w:color w:val="000000" w:themeColor="text1"/>
        </w:rPr>
      </w:pPr>
      <w:r w:rsidRPr="006B2F06">
        <w:rPr>
          <w:rFonts w:ascii="Arial" w:hAnsi="Arial" w:cs="Arial"/>
          <w:b/>
          <w:bCs/>
        </w:rPr>
        <w:t xml:space="preserve">Figure </w:t>
      </w:r>
      <w:r w:rsidRPr="006B2F06">
        <w:rPr>
          <w:rFonts w:ascii="Arial" w:hAnsi="Arial" w:cs="Arial"/>
          <w:b/>
          <w:bCs/>
        </w:rPr>
        <w:t>2: Cloud infrastructure service</w:t>
      </w:r>
    </w:p>
    <w:p w14:paraId="1CE21DCB" w14:textId="77777777"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Technological change is the most significant external driver of Microsoft’s strategy. The rapid evolution of cloud computing, artificial intelligence, cybersecurity, and quantum computing creates both opportunities and competitive pressures (Porter, 2008). Microsoft’s Azure platform competes directly with AWS and Google Cloud, requiring continuous innovation and large</w:t>
      </w:r>
      <w:r w:rsidRPr="006B2F06">
        <w:rPr>
          <w:rFonts w:ascii="Cambria Math" w:hAnsi="Cambria Math" w:cs="Cambria Math"/>
          <w:color w:val="000000" w:themeColor="text1"/>
        </w:rPr>
        <w:t>‑</w:t>
      </w:r>
      <w:r w:rsidRPr="006B2F06">
        <w:rPr>
          <w:rFonts w:ascii="Arial" w:hAnsi="Arial" w:cs="Arial"/>
          <w:color w:val="000000" w:themeColor="text1"/>
        </w:rPr>
        <w:t>scale infrastructure investment (Gartner, 2023). The company’s strategic focus on AI — including its partnership with OpenAI and integration of AI capabilities into Microsoft 365 — reflects the growing importance of generative AI in enterprise productivity (Financial Times, 2023).</w:t>
      </w:r>
    </w:p>
    <w:p w14:paraId="299DC1A0" w14:textId="77777777" w:rsidR="00E43E69" w:rsidRPr="006B2F06" w:rsidRDefault="00E43E69" w:rsidP="006B2F06">
      <w:pPr>
        <w:spacing w:line="360" w:lineRule="auto"/>
        <w:jc w:val="both"/>
        <w:rPr>
          <w:rFonts w:ascii="Arial" w:hAnsi="Arial" w:cs="Arial"/>
          <w:color w:val="000000" w:themeColor="text1"/>
        </w:rPr>
      </w:pPr>
    </w:p>
    <w:p w14:paraId="2419D88A" w14:textId="77777777"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Cybersecurity threats are another major technological factor. Rising cyberattacks on governments and corporations have increased demand for Microsoft’s security solutions, including Defender and Sentinel (McKinsey &amp; Company, 2023). Microsoft invests over $1 billion annually in cybersecurity R&amp;D, demonstrating the strategic importance of technological resilience (Statista, 2023).</w:t>
      </w:r>
    </w:p>
    <w:p w14:paraId="0E94EF91" w14:textId="77777777" w:rsidR="00E43E69" w:rsidRPr="006B2F06" w:rsidRDefault="00E43E69" w:rsidP="006B2F06">
      <w:pPr>
        <w:spacing w:line="360" w:lineRule="auto"/>
        <w:jc w:val="both"/>
        <w:rPr>
          <w:rFonts w:ascii="Arial" w:hAnsi="Arial" w:cs="Arial"/>
          <w:color w:val="000000" w:themeColor="text1"/>
        </w:rPr>
      </w:pPr>
    </w:p>
    <w:p w14:paraId="0A0D18B5" w14:textId="2D04EF10"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lastRenderedPageBreak/>
        <w:t>The emergence of quantum computing also shapes Microsoft’s long</w:t>
      </w:r>
      <w:r w:rsidRPr="006B2F06">
        <w:rPr>
          <w:rFonts w:ascii="Cambria Math" w:hAnsi="Cambria Math" w:cs="Cambria Math"/>
          <w:color w:val="000000" w:themeColor="text1"/>
        </w:rPr>
        <w:t>‑</w:t>
      </w:r>
      <w:r w:rsidRPr="006B2F06">
        <w:rPr>
          <w:rFonts w:ascii="Arial" w:hAnsi="Arial" w:cs="Arial"/>
          <w:color w:val="000000" w:themeColor="text1"/>
        </w:rPr>
        <w:t>term innovation strategy. Through Azure Quantum, Microsoft aims to position itself as a leader in next</w:t>
      </w:r>
      <w:r w:rsidRPr="006B2F06">
        <w:rPr>
          <w:rFonts w:ascii="Cambria Math" w:hAnsi="Cambria Math" w:cs="Cambria Math"/>
          <w:color w:val="000000" w:themeColor="text1"/>
        </w:rPr>
        <w:t>‑</w:t>
      </w:r>
      <w:r w:rsidRPr="006B2F06">
        <w:rPr>
          <w:rFonts w:ascii="Arial" w:hAnsi="Arial" w:cs="Arial"/>
          <w:color w:val="000000" w:themeColor="text1"/>
        </w:rPr>
        <w:t>generation computing technologies (The Economist, 2023).</w:t>
      </w:r>
    </w:p>
    <w:p w14:paraId="5A4AC7BF" w14:textId="77777777" w:rsidR="00E43E69" w:rsidRPr="006B2F06" w:rsidRDefault="00E43E69" w:rsidP="006B2F06">
      <w:pPr>
        <w:spacing w:line="360" w:lineRule="auto"/>
        <w:jc w:val="both"/>
        <w:rPr>
          <w:rFonts w:ascii="Arial" w:hAnsi="Arial" w:cs="Arial"/>
          <w:color w:val="000000" w:themeColor="text1"/>
        </w:rPr>
      </w:pPr>
    </w:p>
    <w:p w14:paraId="117D0650" w14:textId="6870695A" w:rsidR="00E43E69" w:rsidRPr="006B2F06" w:rsidRDefault="00B44918" w:rsidP="006B2F06">
      <w:pPr>
        <w:pStyle w:val="Heading2"/>
        <w:spacing w:line="360" w:lineRule="auto"/>
        <w:rPr>
          <w:rFonts w:ascii="Arial" w:hAnsi="Arial" w:cs="Arial"/>
          <w:color w:val="000000" w:themeColor="text1"/>
          <w:sz w:val="24"/>
          <w:szCs w:val="24"/>
        </w:rPr>
      </w:pPr>
      <w:bookmarkStart w:id="6" w:name="_Toc225852089"/>
      <w:r w:rsidRPr="006B2F06">
        <w:rPr>
          <w:rFonts w:ascii="Arial" w:hAnsi="Arial" w:cs="Arial"/>
          <w:color w:val="000000" w:themeColor="text1"/>
          <w:sz w:val="24"/>
          <w:szCs w:val="24"/>
        </w:rPr>
        <w:t xml:space="preserve">2.5 </w:t>
      </w:r>
      <w:r w:rsidR="00E43E69" w:rsidRPr="006B2F06">
        <w:rPr>
          <w:rFonts w:ascii="Arial" w:hAnsi="Arial" w:cs="Arial"/>
          <w:color w:val="000000" w:themeColor="text1"/>
          <w:sz w:val="24"/>
          <w:szCs w:val="24"/>
        </w:rPr>
        <w:t>Environmental Factors</w:t>
      </w:r>
      <w:bookmarkEnd w:id="6"/>
    </w:p>
    <w:p w14:paraId="0467F22C" w14:textId="77777777" w:rsidR="00E43E69" w:rsidRPr="006B2F06" w:rsidRDefault="00E43E69" w:rsidP="006B2F06">
      <w:pPr>
        <w:spacing w:line="360" w:lineRule="auto"/>
        <w:jc w:val="both"/>
        <w:rPr>
          <w:rFonts w:ascii="Arial" w:hAnsi="Arial" w:cs="Arial"/>
          <w:color w:val="000000" w:themeColor="text1"/>
        </w:rPr>
      </w:pPr>
    </w:p>
    <w:p w14:paraId="22C243EC" w14:textId="77777777"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Environmental sustainability has become a critical strategic priority for global technology firms. Microsoft has committed to becoming carbon negative by 2030 and aims to remove all historical carbon emissions by 2050 (Microsoft, 2023). These commitments reflect growing regulatory and stakeholder pressure for environmental responsibility (OECD, 2023). Cloud data centres consume significant energy, making renewable energy sourcing essential for Microsoft’s sustainability strategy (European Commission, 2023).</w:t>
      </w:r>
    </w:p>
    <w:p w14:paraId="11B48895" w14:textId="77777777" w:rsidR="00E43E69" w:rsidRPr="006B2F06" w:rsidRDefault="00E43E69" w:rsidP="006B2F06">
      <w:pPr>
        <w:spacing w:line="360" w:lineRule="auto"/>
        <w:jc w:val="both"/>
        <w:rPr>
          <w:rFonts w:ascii="Arial" w:hAnsi="Arial" w:cs="Arial"/>
          <w:color w:val="000000" w:themeColor="text1"/>
        </w:rPr>
      </w:pPr>
    </w:p>
    <w:p w14:paraId="55E8796B" w14:textId="77777777"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Environmental concerns also influence product design and supply chain management. Microsoft’s Surface devices incorporate recycled materials, and the company has invested in circular economy initiatives to reduce electronic waste (Financial Times, 2023). Climate</w:t>
      </w:r>
      <w:r w:rsidRPr="006B2F06">
        <w:rPr>
          <w:rFonts w:ascii="Cambria Math" w:hAnsi="Cambria Math" w:cs="Cambria Math"/>
          <w:color w:val="000000" w:themeColor="text1"/>
        </w:rPr>
        <w:t>‑</w:t>
      </w:r>
      <w:r w:rsidRPr="006B2F06">
        <w:rPr>
          <w:rFonts w:ascii="Arial" w:hAnsi="Arial" w:cs="Arial"/>
          <w:color w:val="000000" w:themeColor="text1"/>
        </w:rPr>
        <w:t>related risks, such as extreme weather events, can disrupt global supply chains and data centre operations, requiring robust environmental risk management (McKinsey &amp; Company, 2023).</w:t>
      </w:r>
    </w:p>
    <w:p w14:paraId="0BB68C32" w14:textId="73A02058" w:rsidR="00E43E69" w:rsidRPr="006B2F06" w:rsidRDefault="00E43E69" w:rsidP="006B2F06">
      <w:pPr>
        <w:spacing w:line="360" w:lineRule="auto"/>
        <w:jc w:val="both"/>
        <w:rPr>
          <w:rFonts w:ascii="Arial" w:hAnsi="Arial" w:cs="Arial"/>
          <w:color w:val="000000" w:themeColor="text1"/>
        </w:rPr>
      </w:pPr>
    </w:p>
    <w:p w14:paraId="752CFE94" w14:textId="75005384" w:rsidR="00E43E69" w:rsidRPr="006B2F06" w:rsidRDefault="00B44918" w:rsidP="006B2F06">
      <w:pPr>
        <w:pStyle w:val="Heading2"/>
        <w:spacing w:line="360" w:lineRule="auto"/>
        <w:rPr>
          <w:rFonts w:ascii="Arial" w:hAnsi="Arial" w:cs="Arial"/>
          <w:color w:val="000000" w:themeColor="text1"/>
          <w:sz w:val="24"/>
          <w:szCs w:val="24"/>
        </w:rPr>
      </w:pPr>
      <w:bookmarkStart w:id="7" w:name="_Toc225852090"/>
      <w:r w:rsidRPr="006B2F06">
        <w:rPr>
          <w:rFonts w:ascii="Arial" w:hAnsi="Arial" w:cs="Arial"/>
          <w:color w:val="000000" w:themeColor="text1"/>
          <w:sz w:val="24"/>
          <w:szCs w:val="24"/>
        </w:rPr>
        <w:t xml:space="preserve">2.6 </w:t>
      </w:r>
      <w:r w:rsidR="00E43E69" w:rsidRPr="006B2F06">
        <w:rPr>
          <w:rFonts w:ascii="Arial" w:hAnsi="Arial" w:cs="Arial"/>
          <w:color w:val="000000" w:themeColor="text1"/>
          <w:sz w:val="24"/>
          <w:szCs w:val="24"/>
        </w:rPr>
        <w:t>Legal Factors</w:t>
      </w:r>
      <w:bookmarkEnd w:id="7"/>
    </w:p>
    <w:p w14:paraId="5A2F583E" w14:textId="77777777" w:rsidR="00E43E69" w:rsidRPr="006B2F06" w:rsidRDefault="00E43E69" w:rsidP="006B2F06">
      <w:pPr>
        <w:spacing w:line="360" w:lineRule="auto"/>
        <w:jc w:val="both"/>
        <w:rPr>
          <w:rFonts w:ascii="Arial" w:hAnsi="Arial" w:cs="Arial"/>
          <w:color w:val="000000" w:themeColor="text1"/>
        </w:rPr>
      </w:pPr>
    </w:p>
    <w:p w14:paraId="655932B0" w14:textId="77777777"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Microsoft faces complex legal challenges related to antitrust regulation, intellectual property, data protection, and competition law. The EU’s Digital Markets Act (DMA) and Digital Services Act (DSA) impose strict requirements on large technology platforms, affecting Microsoft’s operations in Europe (European Commission, 2023). Data privacy laws such as GDPR and the California Consumer Privacy Act (CCPA) require stringent data governance practices (OECD, 2023).</w:t>
      </w:r>
    </w:p>
    <w:p w14:paraId="29FA86EB" w14:textId="77777777" w:rsidR="00E43E69" w:rsidRPr="006B2F06" w:rsidRDefault="00E43E69" w:rsidP="006B2F06">
      <w:pPr>
        <w:spacing w:line="360" w:lineRule="auto"/>
        <w:jc w:val="both"/>
        <w:rPr>
          <w:rFonts w:ascii="Arial" w:hAnsi="Arial" w:cs="Arial"/>
          <w:color w:val="000000" w:themeColor="text1"/>
        </w:rPr>
      </w:pPr>
    </w:p>
    <w:p w14:paraId="120BFE76" w14:textId="7FEC72E4" w:rsidR="00E43E69" w:rsidRPr="006B2F06" w:rsidRDefault="00E43E69" w:rsidP="006B2F06">
      <w:pPr>
        <w:spacing w:line="360" w:lineRule="auto"/>
        <w:jc w:val="both"/>
        <w:rPr>
          <w:rFonts w:ascii="Arial" w:hAnsi="Arial" w:cs="Arial"/>
          <w:color w:val="000000" w:themeColor="text1"/>
        </w:rPr>
      </w:pPr>
      <w:r w:rsidRPr="006B2F06">
        <w:rPr>
          <w:rFonts w:ascii="Arial" w:hAnsi="Arial" w:cs="Arial"/>
          <w:color w:val="000000" w:themeColor="text1"/>
        </w:rPr>
        <w:t xml:space="preserve">Antitrust scrutiny remains a major legal factor. Microsoft’s acquisition of Activision Blizzard faced regulatory challenges from the U.S. Federal Trade Commission (FTC), the UK’s Competition </w:t>
      </w:r>
      <w:r w:rsidRPr="006B2F06">
        <w:rPr>
          <w:rFonts w:ascii="Arial" w:hAnsi="Arial" w:cs="Arial"/>
          <w:color w:val="000000" w:themeColor="text1"/>
        </w:rPr>
        <w:lastRenderedPageBreak/>
        <w:t>and Markets Authority (CMA), and the European Commission (Nikkei Asia, 2023). Intellectual property protection is also critical, particularly in software licensing and cloud services (Kapferer, 2021).</w:t>
      </w:r>
    </w:p>
    <w:p w14:paraId="5D0E5CBE" w14:textId="5F9FFDE9" w:rsidR="000856B3" w:rsidRPr="006B2F06" w:rsidRDefault="000856B3" w:rsidP="006B2F06">
      <w:pPr>
        <w:spacing w:line="360" w:lineRule="auto"/>
        <w:jc w:val="both"/>
        <w:rPr>
          <w:rFonts w:ascii="Arial" w:hAnsi="Arial" w:cs="Arial"/>
          <w:color w:val="000000" w:themeColor="text1"/>
        </w:rPr>
      </w:pPr>
      <w:r w:rsidRPr="006B2F06">
        <w:rPr>
          <w:rFonts w:ascii="Arial" w:hAnsi="Arial" w:cs="Arial"/>
          <w:color w:val="000000" w:themeColor="text1"/>
        </w:rPr>
        <w:t>Overall, these external factors demonstrate that Microsoft’s strategy is not only driven by technological innovation but increasingly constrained by regulatory and geopolitical pressures.</w:t>
      </w:r>
    </w:p>
    <w:p w14:paraId="1A664103" w14:textId="77777777" w:rsidR="00551F66" w:rsidRPr="006B2F06" w:rsidRDefault="00551F66" w:rsidP="006B2F06">
      <w:pPr>
        <w:spacing w:line="360" w:lineRule="auto"/>
        <w:jc w:val="both"/>
        <w:rPr>
          <w:rFonts w:ascii="Arial" w:hAnsi="Arial" w:cs="Arial"/>
          <w:color w:val="000000" w:themeColor="text1"/>
        </w:rPr>
      </w:pPr>
    </w:p>
    <w:p w14:paraId="44BA5068" w14:textId="168C4370" w:rsidR="00551F66" w:rsidRPr="006B2F06" w:rsidRDefault="00B44918" w:rsidP="006B2F06">
      <w:pPr>
        <w:pStyle w:val="Heading1"/>
        <w:spacing w:line="360" w:lineRule="auto"/>
        <w:rPr>
          <w:rFonts w:ascii="Arial" w:hAnsi="Arial" w:cs="Arial"/>
          <w:color w:val="000000" w:themeColor="text1"/>
          <w:sz w:val="24"/>
          <w:szCs w:val="24"/>
        </w:rPr>
      </w:pPr>
      <w:bookmarkStart w:id="8" w:name="_Toc225852091"/>
      <w:r w:rsidRPr="006B2F06">
        <w:rPr>
          <w:rFonts w:ascii="Arial" w:hAnsi="Arial" w:cs="Arial"/>
          <w:color w:val="000000" w:themeColor="text1"/>
          <w:sz w:val="24"/>
          <w:szCs w:val="24"/>
        </w:rPr>
        <w:t xml:space="preserve">3 </w:t>
      </w:r>
      <w:r w:rsidR="00551F66" w:rsidRPr="006B2F06">
        <w:rPr>
          <w:rFonts w:ascii="Arial" w:hAnsi="Arial" w:cs="Arial"/>
          <w:color w:val="000000" w:themeColor="text1"/>
          <w:sz w:val="24"/>
          <w:szCs w:val="24"/>
        </w:rPr>
        <w:t>Internal Environment &amp; VRIO Analysis of Microsoft</w:t>
      </w:r>
      <w:bookmarkEnd w:id="8"/>
      <w:r w:rsidR="00551F66" w:rsidRPr="006B2F06">
        <w:rPr>
          <w:rFonts w:ascii="Arial" w:hAnsi="Arial" w:cs="Arial"/>
          <w:color w:val="000000" w:themeColor="text1"/>
          <w:sz w:val="24"/>
          <w:szCs w:val="24"/>
        </w:rPr>
        <w:t xml:space="preserve"> </w:t>
      </w:r>
    </w:p>
    <w:p w14:paraId="3AAB8611" w14:textId="77777777" w:rsidR="00551F66" w:rsidRPr="006B2F06" w:rsidRDefault="00551F66" w:rsidP="006B2F06">
      <w:pPr>
        <w:spacing w:line="360" w:lineRule="auto"/>
        <w:jc w:val="both"/>
        <w:rPr>
          <w:rFonts w:ascii="Arial" w:hAnsi="Arial" w:cs="Arial"/>
          <w:color w:val="000000" w:themeColor="text1"/>
        </w:rPr>
      </w:pPr>
    </w:p>
    <w:p w14:paraId="6142FD4F"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Microsoft’s internal environment is shaped by its extensive resources, capabilities, and core competencies, which collectively underpin its competitive advantage in the global technology industry. A critical analysis of Microsoft’s internal strengths reveals how the firm leverages its technological assets, human capital, brand equity, and organisational structure to sustain long</w:t>
      </w:r>
      <w:r w:rsidRPr="006B2F06">
        <w:rPr>
          <w:rFonts w:ascii="Cambria Math" w:hAnsi="Cambria Math" w:cs="Cambria Math"/>
          <w:color w:val="000000" w:themeColor="text1"/>
        </w:rPr>
        <w:t>‑</w:t>
      </w:r>
      <w:r w:rsidRPr="006B2F06">
        <w:rPr>
          <w:rFonts w:ascii="Arial" w:hAnsi="Arial" w:cs="Arial"/>
          <w:color w:val="000000" w:themeColor="text1"/>
        </w:rPr>
        <w:t>term strategic performance (Barney, 1991; Johnson, Whittington and Scholes, 2020).</w:t>
      </w:r>
    </w:p>
    <w:p w14:paraId="6B849284" w14:textId="77777777" w:rsidR="00551F66" w:rsidRPr="006B2F06" w:rsidRDefault="00551F66" w:rsidP="006B2F06">
      <w:pPr>
        <w:spacing w:line="360" w:lineRule="auto"/>
        <w:jc w:val="both"/>
        <w:rPr>
          <w:rFonts w:ascii="Arial" w:hAnsi="Arial" w:cs="Arial"/>
          <w:color w:val="000000" w:themeColor="text1"/>
        </w:rPr>
      </w:pPr>
    </w:p>
    <w:p w14:paraId="0F465929" w14:textId="08046874" w:rsidR="00551F66" w:rsidRPr="006B2F06" w:rsidRDefault="00B44918" w:rsidP="006B2F06">
      <w:pPr>
        <w:pStyle w:val="Heading2"/>
        <w:spacing w:line="360" w:lineRule="auto"/>
        <w:rPr>
          <w:rFonts w:ascii="Arial" w:hAnsi="Arial" w:cs="Arial"/>
          <w:color w:val="000000" w:themeColor="text1"/>
          <w:sz w:val="24"/>
          <w:szCs w:val="24"/>
        </w:rPr>
      </w:pPr>
      <w:bookmarkStart w:id="9" w:name="_Toc225852092"/>
      <w:r w:rsidRPr="006B2F06">
        <w:rPr>
          <w:rFonts w:ascii="Arial" w:hAnsi="Arial" w:cs="Arial"/>
          <w:color w:val="000000" w:themeColor="text1"/>
          <w:sz w:val="24"/>
          <w:szCs w:val="24"/>
        </w:rPr>
        <w:t xml:space="preserve">3.1 </w:t>
      </w:r>
      <w:r w:rsidR="00551F66" w:rsidRPr="006B2F06">
        <w:rPr>
          <w:rFonts w:ascii="Arial" w:hAnsi="Arial" w:cs="Arial"/>
          <w:color w:val="000000" w:themeColor="text1"/>
          <w:sz w:val="24"/>
          <w:szCs w:val="24"/>
        </w:rPr>
        <w:t>Resources</w:t>
      </w:r>
      <w:bookmarkEnd w:id="9"/>
    </w:p>
    <w:p w14:paraId="18D73C0F" w14:textId="77777777" w:rsidR="00551F66" w:rsidRPr="006B2F06" w:rsidRDefault="00551F66" w:rsidP="006B2F06">
      <w:pPr>
        <w:spacing w:line="360" w:lineRule="auto"/>
        <w:jc w:val="both"/>
        <w:rPr>
          <w:rFonts w:ascii="Arial" w:hAnsi="Arial" w:cs="Arial"/>
          <w:color w:val="000000" w:themeColor="text1"/>
        </w:rPr>
      </w:pPr>
    </w:p>
    <w:p w14:paraId="1427CDD7"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Tangible Resources</w:t>
      </w:r>
    </w:p>
    <w:p w14:paraId="56106208" w14:textId="77777777" w:rsidR="00551F66" w:rsidRPr="006B2F06" w:rsidRDefault="00551F66" w:rsidP="006B2F06">
      <w:pPr>
        <w:spacing w:line="360" w:lineRule="auto"/>
        <w:jc w:val="both"/>
        <w:rPr>
          <w:rFonts w:ascii="Arial" w:hAnsi="Arial" w:cs="Arial"/>
          <w:color w:val="000000" w:themeColor="text1"/>
        </w:rPr>
      </w:pPr>
    </w:p>
    <w:p w14:paraId="4D8DBE33" w14:textId="08E0F6FD"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Microsoft possesses substantial financial resources, consistently ranking among the world’s most valuable companies by market capitalisation (Financial Times, 2023). Its strong cash reserves enable significant investment in R&amp;D, acquisitions, and cloud infrastructure (LVMH, 2023; McKinsey &amp; Company, 2023). The company’s global network of data centres — essential for Azure — represents a major tangible asset, supporting scalability and global service delivery (Gartner, 2023).</w:t>
      </w:r>
    </w:p>
    <w:p w14:paraId="51C67694" w14:textId="77777777" w:rsidR="00551F66" w:rsidRPr="006B2F06" w:rsidRDefault="00551F66" w:rsidP="006B2F06">
      <w:pPr>
        <w:spacing w:line="360" w:lineRule="auto"/>
        <w:jc w:val="both"/>
        <w:rPr>
          <w:rFonts w:ascii="Arial" w:hAnsi="Arial" w:cs="Arial"/>
          <w:color w:val="000000" w:themeColor="text1"/>
        </w:rPr>
      </w:pPr>
    </w:p>
    <w:p w14:paraId="45BFF39E"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Intangible Resources</w:t>
      </w:r>
    </w:p>
    <w:p w14:paraId="6FF1C4CB" w14:textId="77777777" w:rsidR="00551F66" w:rsidRPr="006B2F06" w:rsidRDefault="00551F66" w:rsidP="006B2F06">
      <w:pPr>
        <w:spacing w:line="360" w:lineRule="auto"/>
        <w:jc w:val="both"/>
        <w:rPr>
          <w:rFonts w:ascii="Arial" w:hAnsi="Arial" w:cs="Arial"/>
          <w:color w:val="000000" w:themeColor="text1"/>
        </w:rPr>
      </w:pPr>
    </w:p>
    <w:p w14:paraId="29179C21"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xml:space="preserve">Intangible assets are central to Microsoft’s competitive strength. The company’s brand is one of the most recognised globally, consistently ranked among the top global brands (Statista, 2023). </w:t>
      </w:r>
      <w:r w:rsidRPr="006B2F06">
        <w:rPr>
          <w:rFonts w:ascii="Arial" w:hAnsi="Arial" w:cs="Arial"/>
          <w:color w:val="000000" w:themeColor="text1"/>
        </w:rPr>
        <w:lastRenderedPageBreak/>
        <w:t>Brand equity enhances customer trust and facilitates adoption of new products and services (Kapferer, 2021). Microsoft’s intellectual property portfolio, including patents in cloud computing, AI, and software engineering, further strengthens its market position (European Commission, 2023). Organisational culture — shaped by Satya Nadella’s leadership — emphasises collaboration, learning, and innovation, contributing to improved internal performance and strategic agility (Vance, 2015; Hines and Bruce, 2020).</w:t>
      </w:r>
    </w:p>
    <w:p w14:paraId="29AE3902" w14:textId="2FF02ED9" w:rsidR="00551F66" w:rsidRPr="006B2F06" w:rsidRDefault="00551F66" w:rsidP="006B2F06">
      <w:pPr>
        <w:spacing w:line="360" w:lineRule="auto"/>
        <w:jc w:val="both"/>
        <w:rPr>
          <w:rFonts w:ascii="Arial" w:hAnsi="Arial" w:cs="Arial"/>
          <w:color w:val="000000" w:themeColor="text1"/>
        </w:rPr>
      </w:pPr>
    </w:p>
    <w:p w14:paraId="1BCDC145" w14:textId="173082BE" w:rsidR="00551F66" w:rsidRPr="006B2F06" w:rsidRDefault="00B44918" w:rsidP="006B2F06">
      <w:pPr>
        <w:pStyle w:val="Heading2"/>
        <w:spacing w:line="360" w:lineRule="auto"/>
        <w:rPr>
          <w:rFonts w:ascii="Arial" w:hAnsi="Arial" w:cs="Arial"/>
          <w:color w:val="000000" w:themeColor="text1"/>
          <w:sz w:val="24"/>
          <w:szCs w:val="24"/>
        </w:rPr>
      </w:pPr>
      <w:bookmarkStart w:id="10" w:name="_Toc225852093"/>
      <w:r w:rsidRPr="006B2F06">
        <w:rPr>
          <w:rFonts w:ascii="Arial" w:hAnsi="Arial" w:cs="Arial"/>
          <w:color w:val="000000" w:themeColor="text1"/>
          <w:sz w:val="24"/>
          <w:szCs w:val="24"/>
        </w:rPr>
        <w:t>3.2</w:t>
      </w:r>
      <w:r w:rsidR="00551F66" w:rsidRPr="006B2F06">
        <w:rPr>
          <w:rFonts w:ascii="Arial" w:hAnsi="Arial" w:cs="Arial"/>
          <w:color w:val="000000" w:themeColor="text1"/>
          <w:sz w:val="24"/>
          <w:szCs w:val="24"/>
        </w:rPr>
        <w:t xml:space="preserve"> Capabilities</w:t>
      </w:r>
      <w:bookmarkEnd w:id="10"/>
    </w:p>
    <w:p w14:paraId="3F7C28BE" w14:textId="77777777" w:rsidR="00551F66" w:rsidRPr="006B2F06" w:rsidRDefault="00551F66" w:rsidP="006B2F06">
      <w:pPr>
        <w:spacing w:line="360" w:lineRule="auto"/>
        <w:jc w:val="both"/>
        <w:rPr>
          <w:rFonts w:ascii="Arial" w:hAnsi="Arial" w:cs="Arial"/>
          <w:color w:val="000000" w:themeColor="text1"/>
        </w:rPr>
      </w:pPr>
    </w:p>
    <w:p w14:paraId="1933CF1A"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Technological Capabilities</w:t>
      </w:r>
    </w:p>
    <w:p w14:paraId="739CD642" w14:textId="77777777" w:rsidR="00551F66" w:rsidRPr="006B2F06" w:rsidRDefault="00551F66" w:rsidP="006B2F06">
      <w:pPr>
        <w:spacing w:line="360" w:lineRule="auto"/>
        <w:jc w:val="both"/>
        <w:rPr>
          <w:rFonts w:ascii="Arial" w:hAnsi="Arial" w:cs="Arial"/>
          <w:color w:val="000000" w:themeColor="text1"/>
        </w:rPr>
      </w:pPr>
    </w:p>
    <w:p w14:paraId="62D49C8F"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Microsoft’s core technological capabilities lie in software development, cloud computing, AI, and cybersecurity. The company invests heavily in R&amp;D, spending over $20 billion annually to maintain technological leadership (OECD, 2023). Azure’s rapid growth reflects Microsoft’s capability to integrate cloud infrastructure with enterprise software, creating a unified ecosystem that differentiates it from competitors (Gartner, 2023). Microsoft’s AI capabilities, strengthened through its partnership with OpenAI, enable advanced AI integration across Microsoft 365, Azure, and enterprise solutions (Financial Times, 2023).</w:t>
      </w:r>
    </w:p>
    <w:p w14:paraId="1186FA16" w14:textId="77777777" w:rsidR="00551F66" w:rsidRPr="006B2F06" w:rsidRDefault="00551F66" w:rsidP="006B2F06">
      <w:pPr>
        <w:spacing w:line="360" w:lineRule="auto"/>
        <w:jc w:val="both"/>
        <w:rPr>
          <w:rFonts w:ascii="Arial" w:hAnsi="Arial" w:cs="Arial"/>
          <w:b/>
          <w:bCs/>
          <w:color w:val="000000" w:themeColor="text1"/>
        </w:rPr>
      </w:pPr>
    </w:p>
    <w:p w14:paraId="0234D332"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Human Capital</w:t>
      </w:r>
    </w:p>
    <w:p w14:paraId="3F96D74B" w14:textId="77777777" w:rsidR="00551F66" w:rsidRPr="006B2F06" w:rsidRDefault="00551F66" w:rsidP="006B2F06">
      <w:pPr>
        <w:spacing w:line="360" w:lineRule="auto"/>
        <w:jc w:val="both"/>
        <w:rPr>
          <w:rFonts w:ascii="Arial" w:hAnsi="Arial" w:cs="Arial"/>
          <w:color w:val="000000" w:themeColor="text1"/>
        </w:rPr>
      </w:pPr>
    </w:p>
    <w:p w14:paraId="18CE1F95"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xml:space="preserve">Microsoft’s workforce is a critical capability. The company attracts highly skilled engineers, researchers, and developers, supported by a culture that encourages continuous learning and innovation (de </w:t>
      </w:r>
      <w:proofErr w:type="spellStart"/>
      <w:r w:rsidRPr="006B2F06">
        <w:rPr>
          <w:rFonts w:ascii="Arial" w:hAnsi="Arial" w:cs="Arial"/>
          <w:color w:val="000000" w:themeColor="text1"/>
        </w:rPr>
        <w:t>Mooij</w:t>
      </w:r>
      <w:proofErr w:type="spellEnd"/>
      <w:r w:rsidRPr="006B2F06">
        <w:rPr>
          <w:rFonts w:ascii="Arial" w:hAnsi="Arial" w:cs="Arial"/>
          <w:color w:val="000000" w:themeColor="text1"/>
        </w:rPr>
        <w:t>, 2019). Nadella’s cultural transformation emphasised empathy, growth mindset, and cross</w:t>
      </w:r>
      <w:r w:rsidRPr="006B2F06">
        <w:rPr>
          <w:rFonts w:ascii="Cambria Math" w:hAnsi="Cambria Math" w:cs="Cambria Math"/>
          <w:color w:val="000000" w:themeColor="text1"/>
        </w:rPr>
        <w:t>‑</w:t>
      </w:r>
      <w:r w:rsidRPr="006B2F06">
        <w:rPr>
          <w:rFonts w:ascii="Arial" w:hAnsi="Arial" w:cs="Arial"/>
          <w:color w:val="000000" w:themeColor="text1"/>
        </w:rPr>
        <w:t>functional collaboration, improving organisational performance and employee engagement (Vance, 2015). Human capital is therefore a key driver of Microsoft’s innovation and strategic execution.</w:t>
      </w:r>
    </w:p>
    <w:p w14:paraId="369E5E9D" w14:textId="77777777" w:rsidR="00551F66" w:rsidRPr="006B2F06" w:rsidRDefault="00551F66" w:rsidP="006B2F06">
      <w:pPr>
        <w:spacing w:line="360" w:lineRule="auto"/>
        <w:jc w:val="both"/>
        <w:rPr>
          <w:rFonts w:ascii="Arial" w:hAnsi="Arial" w:cs="Arial"/>
          <w:color w:val="000000" w:themeColor="text1"/>
        </w:rPr>
      </w:pPr>
    </w:p>
    <w:p w14:paraId="74A06B73"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Operational Capabilities</w:t>
      </w:r>
    </w:p>
    <w:p w14:paraId="49470061" w14:textId="77777777" w:rsidR="00551F66" w:rsidRPr="006B2F06" w:rsidRDefault="00551F66" w:rsidP="006B2F06">
      <w:pPr>
        <w:spacing w:line="360" w:lineRule="auto"/>
        <w:jc w:val="both"/>
        <w:rPr>
          <w:rFonts w:ascii="Arial" w:hAnsi="Arial" w:cs="Arial"/>
          <w:color w:val="000000" w:themeColor="text1"/>
        </w:rPr>
      </w:pPr>
    </w:p>
    <w:p w14:paraId="4311AAB3" w14:textId="1B9398B6"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lastRenderedPageBreak/>
        <w:t>Microsoft’s operational capabilities include global supply chain management, cloud infrastructure deployment, and enterprise service delivery. The company’s ability to integrate hardware (Surface, Xbox), software (Windows, Office), and cloud services (Azure) demonstrates strong operational coordination (Porter, 2008). Its acquisition integration capability — seen in LinkedIn, GitHub, and Activision Blizzard — further reflects operational maturity (Nikkei Asia, 2023).</w:t>
      </w:r>
    </w:p>
    <w:p w14:paraId="24B7EC1F" w14:textId="77777777" w:rsidR="00054B1E" w:rsidRPr="006B2F06" w:rsidRDefault="00054B1E" w:rsidP="006B2F06">
      <w:pPr>
        <w:spacing w:line="360" w:lineRule="auto"/>
        <w:jc w:val="both"/>
        <w:rPr>
          <w:rFonts w:ascii="Arial" w:hAnsi="Arial" w:cs="Arial"/>
          <w:color w:val="000000" w:themeColor="text1"/>
        </w:rPr>
      </w:pPr>
    </w:p>
    <w:p w14:paraId="17CE5B76" w14:textId="7FA86720" w:rsidR="00551F66" w:rsidRPr="006B2F06" w:rsidRDefault="00B44918" w:rsidP="006B2F06">
      <w:pPr>
        <w:pStyle w:val="Heading2"/>
        <w:spacing w:line="360" w:lineRule="auto"/>
        <w:rPr>
          <w:rFonts w:ascii="Arial" w:hAnsi="Arial" w:cs="Arial"/>
          <w:color w:val="000000" w:themeColor="text1"/>
          <w:sz w:val="24"/>
          <w:szCs w:val="24"/>
        </w:rPr>
      </w:pPr>
      <w:bookmarkStart w:id="11" w:name="_Toc225852094"/>
      <w:r w:rsidRPr="006B2F06">
        <w:rPr>
          <w:rFonts w:ascii="Arial" w:hAnsi="Arial" w:cs="Arial"/>
          <w:color w:val="000000" w:themeColor="text1"/>
          <w:sz w:val="24"/>
          <w:szCs w:val="24"/>
        </w:rPr>
        <w:t xml:space="preserve">3.3 </w:t>
      </w:r>
      <w:r w:rsidR="00551F66" w:rsidRPr="006B2F06">
        <w:rPr>
          <w:rFonts w:ascii="Arial" w:hAnsi="Arial" w:cs="Arial"/>
          <w:color w:val="000000" w:themeColor="text1"/>
          <w:sz w:val="24"/>
          <w:szCs w:val="24"/>
        </w:rPr>
        <w:t>Core Competencies</w:t>
      </w:r>
      <w:bookmarkEnd w:id="11"/>
    </w:p>
    <w:p w14:paraId="62978DD0" w14:textId="77777777" w:rsidR="00551F66" w:rsidRPr="006B2F06" w:rsidRDefault="00551F66" w:rsidP="006B2F06">
      <w:pPr>
        <w:spacing w:line="360" w:lineRule="auto"/>
        <w:jc w:val="both"/>
        <w:rPr>
          <w:rFonts w:ascii="Arial" w:hAnsi="Arial" w:cs="Arial"/>
          <w:color w:val="000000" w:themeColor="text1"/>
        </w:rPr>
      </w:pPr>
    </w:p>
    <w:p w14:paraId="6B285D7F"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According to Prahalad and Hamel (1990), core competencies are collective learning and coordination skills that provide sustainable competitive advantage. Microsoft’s core competencies include:</w:t>
      </w:r>
    </w:p>
    <w:p w14:paraId="0697B16C" w14:textId="77777777" w:rsidR="00551F66" w:rsidRPr="006B2F06" w:rsidRDefault="00551F66" w:rsidP="006B2F06">
      <w:pPr>
        <w:spacing w:line="360" w:lineRule="auto"/>
        <w:jc w:val="both"/>
        <w:rPr>
          <w:rFonts w:ascii="Arial" w:hAnsi="Arial" w:cs="Arial"/>
          <w:color w:val="000000" w:themeColor="text1"/>
        </w:rPr>
      </w:pPr>
    </w:p>
    <w:p w14:paraId="047E3F73"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A. Cloud Computing Ecosystem (Azure)</w:t>
      </w:r>
    </w:p>
    <w:p w14:paraId="7A54CFA1" w14:textId="77777777" w:rsidR="00551F66" w:rsidRPr="006B2F06" w:rsidRDefault="00551F66" w:rsidP="006B2F06">
      <w:pPr>
        <w:spacing w:line="360" w:lineRule="auto"/>
        <w:jc w:val="both"/>
        <w:rPr>
          <w:rFonts w:ascii="Arial" w:hAnsi="Arial" w:cs="Arial"/>
          <w:color w:val="000000" w:themeColor="text1"/>
        </w:rPr>
      </w:pPr>
    </w:p>
    <w:p w14:paraId="22AE3DD0"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Azure is a central competency, enabling Microsoft to compete in the high</w:t>
      </w:r>
      <w:r w:rsidRPr="006B2F06">
        <w:rPr>
          <w:rFonts w:ascii="Cambria Math" w:hAnsi="Cambria Math" w:cs="Cambria Math"/>
          <w:color w:val="000000" w:themeColor="text1"/>
        </w:rPr>
        <w:t>‑</w:t>
      </w:r>
      <w:r w:rsidRPr="006B2F06">
        <w:rPr>
          <w:rFonts w:ascii="Arial" w:hAnsi="Arial" w:cs="Arial"/>
          <w:color w:val="000000" w:themeColor="text1"/>
        </w:rPr>
        <w:t>growth cloud market. Its integration with enterprise software creates switching costs and strengthens customer loyalty (Gartner, 2023).</w:t>
      </w:r>
    </w:p>
    <w:p w14:paraId="118624D0" w14:textId="77777777" w:rsidR="00551F66" w:rsidRPr="006B2F06" w:rsidRDefault="00551F66" w:rsidP="006B2F06">
      <w:pPr>
        <w:spacing w:line="360" w:lineRule="auto"/>
        <w:jc w:val="both"/>
        <w:rPr>
          <w:rFonts w:ascii="Arial" w:hAnsi="Arial" w:cs="Arial"/>
          <w:color w:val="000000" w:themeColor="text1"/>
        </w:rPr>
      </w:pPr>
    </w:p>
    <w:p w14:paraId="623F07A4"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B. Software Engineering Excellence</w:t>
      </w:r>
    </w:p>
    <w:p w14:paraId="271514BE" w14:textId="77777777" w:rsidR="00551F66" w:rsidRPr="006B2F06" w:rsidRDefault="00551F66" w:rsidP="006B2F06">
      <w:pPr>
        <w:spacing w:line="360" w:lineRule="auto"/>
        <w:jc w:val="both"/>
        <w:rPr>
          <w:rFonts w:ascii="Arial" w:hAnsi="Arial" w:cs="Arial"/>
          <w:color w:val="000000" w:themeColor="text1"/>
        </w:rPr>
      </w:pPr>
    </w:p>
    <w:p w14:paraId="6EC981A8"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Microsoft’s long</w:t>
      </w:r>
      <w:r w:rsidRPr="006B2F06">
        <w:rPr>
          <w:rFonts w:ascii="Cambria Math" w:hAnsi="Cambria Math" w:cs="Cambria Math"/>
          <w:color w:val="000000" w:themeColor="text1"/>
        </w:rPr>
        <w:t>‑</w:t>
      </w:r>
      <w:r w:rsidRPr="006B2F06">
        <w:rPr>
          <w:rFonts w:ascii="Arial" w:hAnsi="Arial" w:cs="Arial"/>
          <w:color w:val="000000" w:themeColor="text1"/>
        </w:rPr>
        <w:t>standing expertise in software development underpins its productivity suite, operating systems, and enterprise solutions (Cusumano and Selby, 1995).</w:t>
      </w:r>
    </w:p>
    <w:p w14:paraId="437FF28E" w14:textId="77777777" w:rsidR="00551F66" w:rsidRPr="006B2F06" w:rsidRDefault="00551F66" w:rsidP="006B2F06">
      <w:pPr>
        <w:spacing w:line="360" w:lineRule="auto"/>
        <w:jc w:val="both"/>
        <w:rPr>
          <w:rFonts w:ascii="Arial" w:hAnsi="Arial" w:cs="Arial"/>
          <w:color w:val="000000" w:themeColor="text1"/>
        </w:rPr>
      </w:pPr>
    </w:p>
    <w:p w14:paraId="1E891A6A"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C. AI Integration Across Products</w:t>
      </w:r>
    </w:p>
    <w:p w14:paraId="0CC70C68" w14:textId="77777777" w:rsidR="00551F66" w:rsidRPr="006B2F06" w:rsidRDefault="00551F66" w:rsidP="006B2F06">
      <w:pPr>
        <w:spacing w:line="360" w:lineRule="auto"/>
        <w:jc w:val="both"/>
        <w:rPr>
          <w:rFonts w:ascii="Arial" w:hAnsi="Arial" w:cs="Arial"/>
          <w:color w:val="000000" w:themeColor="text1"/>
        </w:rPr>
      </w:pPr>
    </w:p>
    <w:p w14:paraId="4B33B897"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Microsoft’s AI capabilities — enhanced by OpenAI — represent a strategic competency that differentiates its offerings in productivity, cloud, and cybersecurity (Financial Times, 2023).</w:t>
      </w:r>
    </w:p>
    <w:p w14:paraId="1A3D4549" w14:textId="77777777" w:rsidR="00551F66" w:rsidRPr="006B2F06" w:rsidRDefault="00551F66" w:rsidP="006B2F06">
      <w:pPr>
        <w:spacing w:line="360" w:lineRule="auto"/>
        <w:jc w:val="both"/>
        <w:rPr>
          <w:rFonts w:ascii="Arial" w:hAnsi="Arial" w:cs="Arial"/>
          <w:color w:val="000000" w:themeColor="text1"/>
        </w:rPr>
      </w:pPr>
    </w:p>
    <w:p w14:paraId="3B97BF7C"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lastRenderedPageBreak/>
        <w:t>D. Enterprise Relationships</w:t>
      </w:r>
    </w:p>
    <w:p w14:paraId="4799DA34" w14:textId="77777777" w:rsidR="00551F66" w:rsidRPr="006B2F06" w:rsidRDefault="00551F66" w:rsidP="006B2F06">
      <w:pPr>
        <w:spacing w:line="360" w:lineRule="auto"/>
        <w:jc w:val="both"/>
        <w:rPr>
          <w:rFonts w:ascii="Arial" w:hAnsi="Arial" w:cs="Arial"/>
          <w:color w:val="000000" w:themeColor="text1"/>
        </w:rPr>
      </w:pPr>
    </w:p>
    <w:p w14:paraId="7573D8F7" w14:textId="23E5A27A"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Microsoft’s strong relationships with governments, corporations, and educational institutions provide a stable customer base and long</w:t>
      </w:r>
      <w:r w:rsidRPr="006B2F06">
        <w:rPr>
          <w:rFonts w:ascii="Cambria Math" w:hAnsi="Cambria Math" w:cs="Cambria Math"/>
          <w:color w:val="000000" w:themeColor="text1"/>
        </w:rPr>
        <w:t>‑</w:t>
      </w:r>
      <w:r w:rsidRPr="006B2F06">
        <w:rPr>
          <w:rFonts w:ascii="Arial" w:hAnsi="Arial" w:cs="Arial"/>
          <w:color w:val="000000" w:themeColor="text1"/>
        </w:rPr>
        <w:t>term contracts (OECD, 2023).</w:t>
      </w:r>
    </w:p>
    <w:p w14:paraId="27C5200E" w14:textId="77777777" w:rsidR="00115D18" w:rsidRPr="006B2F06" w:rsidRDefault="00115D18" w:rsidP="006B2F06">
      <w:pPr>
        <w:spacing w:line="360" w:lineRule="auto"/>
        <w:jc w:val="both"/>
        <w:rPr>
          <w:rFonts w:ascii="Arial" w:hAnsi="Arial" w:cs="Arial"/>
          <w:color w:val="000000" w:themeColor="text1"/>
        </w:rPr>
      </w:pPr>
    </w:p>
    <w:p w14:paraId="5F989251" w14:textId="2C760118"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These competencies collectively reinforce Microsoft’s competitive advantage.</w:t>
      </w:r>
    </w:p>
    <w:p w14:paraId="7470BBE8" w14:textId="77777777" w:rsidR="00115D18" w:rsidRPr="006B2F06" w:rsidRDefault="00115D18" w:rsidP="006B2F06">
      <w:pPr>
        <w:spacing w:line="360" w:lineRule="auto"/>
        <w:jc w:val="both"/>
        <w:rPr>
          <w:rFonts w:ascii="Arial" w:hAnsi="Arial" w:cs="Arial"/>
          <w:color w:val="000000" w:themeColor="text1"/>
        </w:rPr>
      </w:pPr>
    </w:p>
    <w:p w14:paraId="7B322695" w14:textId="6904C787" w:rsidR="00551F66" w:rsidRPr="006B2F06" w:rsidRDefault="00B44918" w:rsidP="006B2F06">
      <w:pPr>
        <w:pStyle w:val="Heading2"/>
        <w:spacing w:line="360" w:lineRule="auto"/>
        <w:rPr>
          <w:rFonts w:ascii="Arial" w:hAnsi="Arial" w:cs="Arial"/>
          <w:color w:val="000000" w:themeColor="text1"/>
          <w:sz w:val="24"/>
          <w:szCs w:val="24"/>
        </w:rPr>
      </w:pPr>
      <w:bookmarkStart w:id="12" w:name="_Toc225852095"/>
      <w:r w:rsidRPr="006B2F06">
        <w:rPr>
          <w:rFonts w:ascii="Arial" w:hAnsi="Arial" w:cs="Arial"/>
          <w:color w:val="000000" w:themeColor="text1"/>
          <w:sz w:val="24"/>
          <w:szCs w:val="24"/>
        </w:rPr>
        <w:t xml:space="preserve">3.4 </w:t>
      </w:r>
      <w:r w:rsidR="00551F66" w:rsidRPr="006B2F06">
        <w:rPr>
          <w:rFonts w:ascii="Arial" w:hAnsi="Arial" w:cs="Arial"/>
          <w:color w:val="000000" w:themeColor="text1"/>
          <w:sz w:val="24"/>
          <w:szCs w:val="24"/>
        </w:rPr>
        <w:t>VRIO Analysis of Microsoft</w:t>
      </w:r>
      <w:bookmarkEnd w:id="12"/>
    </w:p>
    <w:p w14:paraId="4DFF1751" w14:textId="77777777" w:rsidR="00551F66" w:rsidRPr="006B2F06" w:rsidRDefault="00551F66" w:rsidP="006B2F06">
      <w:pPr>
        <w:spacing w:line="360" w:lineRule="auto"/>
        <w:jc w:val="both"/>
        <w:rPr>
          <w:rFonts w:ascii="Arial" w:hAnsi="Arial" w:cs="Arial"/>
          <w:color w:val="000000" w:themeColor="text1"/>
        </w:rPr>
      </w:pPr>
    </w:p>
    <w:p w14:paraId="4E2E5B90"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The VRIO framework (Barney, 1991) evaluates whether Microsoft’s resources and capabilities are Valuable, Rare, Inimitable, and Organised to capture value.</w:t>
      </w:r>
    </w:p>
    <w:p w14:paraId="637B74AF" w14:textId="77777777" w:rsidR="00551F66" w:rsidRPr="006B2F06" w:rsidRDefault="00551F66" w:rsidP="006B2F06">
      <w:pPr>
        <w:spacing w:line="360" w:lineRule="auto"/>
        <w:jc w:val="both"/>
        <w:rPr>
          <w:rFonts w:ascii="Arial" w:hAnsi="Arial" w:cs="Arial"/>
          <w:color w:val="000000" w:themeColor="text1"/>
        </w:rPr>
      </w:pPr>
    </w:p>
    <w:p w14:paraId="12384175"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A. Brand Equity</w:t>
      </w:r>
    </w:p>
    <w:p w14:paraId="1333DDDA" w14:textId="77777777" w:rsidR="00551F66" w:rsidRPr="006B2F06" w:rsidRDefault="00551F66" w:rsidP="006B2F06">
      <w:pPr>
        <w:spacing w:line="360" w:lineRule="auto"/>
        <w:jc w:val="both"/>
        <w:rPr>
          <w:rFonts w:ascii="Arial" w:hAnsi="Arial" w:cs="Arial"/>
          <w:color w:val="000000" w:themeColor="text1"/>
        </w:rPr>
      </w:pPr>
    </w:p>
    <w:p w14:paraId="47D2BE73"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Valuable: Yes — enhances trust and adoption (Kapferer, 2021).</w:t>
      </w:r>
    </w:p>
    <w:p w14:paraId="7AE11BD6"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Rare: Yes — few brands have similar global recognition (Statista, 2023).</w:t>
      </w:r>
    </w:p>
    <w:p w14:paraId="28F5EDAF"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Inimitable: High — built over decades.</w:t>
      </w:r>
    </w:p>
    <w:p w14:paraId="7DAC1FAC"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Organised: Yes — leveraged across all product lines.</w:t>
      </w:r>
    </w:p>
    <w:p w14:paraId="2FEDA734" w14:textId="253D1039" w:rsidR="00551F66" w:rsidRPr="006B2F06" w:rsidRDefault="00551F66" w:rsidP="006B2F06">
      <w:pPr>
        <w:spacing w:line="360" w:lineRule="auto"/>
        <w:jc w:val="both"/>
        <w:rPr>
          <w:rFonts w:ascii="Arial" w:hAnsi="Arial" w:cs="Arial"/>
          <w:color w:val="000000" w:themeColor="text1"/>
        </w:rPr>
      </w:pPr>
    </w:p>
    <w:p w14:paraId="4B343282"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B. Cloud Infrastructure (Azure)</w:t>
      </w:r>
    </w:p>
    <w:p w14:paraId="2C827D0B" w14:textId="77777777" w:rsidR="00551F66" w:rsidRPr="006B2F06" w:rsidRDefault="00551F66" w:rsidP="006B2F06">
      <w:pPr>
        <w:spacing w:line="360" w:lineRule="auto"/>
        <w:jc w:val="both"/>
        <w:rPr>
          <w:rFonts w:ascii="Arial" w:hAnsi="Arial" w:cs="Arial"/>
          <w:color w:val="000000" w:themeColor="text1"/>
        </w:rPr>
      </w:pPr>
    </w:p>
    <w:p w14:paraId="2503E457"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Valuable: Yes — high demand for cloud services (McKinsey &amp; Company, 2023).</w:t>
      </w:r>
    </w:p>
    <w:p w14:paraId="215BB32D"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Rare: Moderately — only AWS and Google Cloud compete at scale (Gartner, 2023).</w:t>
      </w:r>
    </w:p>
    <w:p w14:paraId="55F58975"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Inimitable: High — requires massive capital investment.</w:t>
      </w:r>
    </w:p>
    <w:p w14:paraId="47A72B9D"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Organised: Yes — integrated with enterprise software.</w:t>
      </w:r>
    </w:p>
    <w:p w14:paraId="1CB39C07" w14:textId="5117A928" w:rsidR="00551F66" w:rsidRPr="006B2F06" w:rsidRDefault="00551F66" w:rsidP="006B2F06">
      <w:pPr>
        <w:spacing w:line="360" w:lineRule="auto"/>
        <w:jc w:val="both"/>
        <w:rPr>
          <w:rFonts w:ascii="Arial" w:hAnsi="Arial" w:cs="Arial"/>
          <w:color w:val="000000" w:themeColor="text1"/>
        </w:rPr>
      </w:pPr>
    </w:p>
    <w:p w14:paraId="31758951"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lastRenderedPageBreak/>
        <w:t>C. AI Capabilities</w:t>
      </w:r>
    </w:p>
    <w:p w14:paraId="0521BAED" w14:textId="77777777" w:rsidR="00551F66" w:rsidRPr="006B2F06" w:rsidRDefault="00551F66" w:rsidP="006B2F06">
      <w:pPr>
        <w:spacing w:line="360" w:lineRule="auto"/>
        <w:jc w:val="both"/>
        <w:rPr>
          <w:rFonts w:ascii="Arial" w:hAnsi="Arial" w:cs="Arial"/>
          <w:color w:val="000000" w:themeColor="text1"/>
        </w:rPr>
      </w:pPr>
    </w:p>
    <w:p w14:paraId="7A0CC90C"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Valuable: Yes — AI is a strategic priority globally (OECD, 2023).</w:t>
      </w:r>
    </w:p>
    <w:p w14:paraId="5789BEFA"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Rare: Yes — partnership with OpenAI is unique (Financial Times, 2023).</w:t>
      </w:r>
    </w:p>
    <w:p w14:paraId="5A707321"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Inimitable: Medium — competitors can develop alternatives.</w:t>
      </w:r>
    </w:p>
    <w:p w14:paraId="0148BDE5" w14:textId="4092D02B"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Organised: Yes — embedded across products.</w:t>
      </w:r>
    </w:p>
    <w:p w14:paraId="46F3C22C" w14:textId="77777777" w:rsidR="00115D18" w:rsidRPr="006B2F06" w:rsidRDefault="00115D18" w:rsidP="006B2F06">
      <w:pPr>
        <w:spacing w:line="360" w:lineRule="auto"/>
        <w:jc w:val="both"/>
        <w:rPr>
          <w:rFonts w:ascii="Arial" w:hAnsi="Arial" w:cs="Arial"/>
          <w:color w:val="000000" w:themeColor="text1"/>
        </w:rPr>
      </w:pPr>
    </w:p>
    <w:p w14:paraId="5EA99BE8"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D. Human Capital &amp; Culture</w:t>
      </w:r>
    </w:p>
    <w:p w14:paraId="2BCF0972" w14:textId="77777777" w:rsidR="00551F66" w:rsidRPr="006B2F06" w:rsidRDefault="00551F66" w:rsidP="006B2F06">
      <w:pPr>
        <w:spacing w:line="360" w:lineRule="auto"/>
        <w:jc w:val="both"/>
        <w:rPr>
          <w:rFonts w:ascii="Arial" w:hAnsi="Arial" w:cs="Arial"/>
          <w:color w:val="000000" w:themeColor="text1"/>
        </w:rPr>
      </w:pPr>
    </w:p>
    <w:p w14:paraId="40AA2A83"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Valuable: Yes — drives innovation (Vance, 2015).</w:t>
      </w:r>
    </w:p>
    <w:p w14:paraId="5B2DC419"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Rare: Moderately — culture is difficult to replicate.</w:t>
      </w:r>
    </w:p>
    <w:p w14:paraId="05C8CB20"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Inimitable: High — culture evolves over time.</w:t>
      </w:r>
    </w:p>
    <w:p w14:paraId="03254E84"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Organised: Yes — aligned with strategy.</w:t>
      </w:r>
    </w:p>
    <w:p w14:paraId="5F2B7E12" w14:textId="77777777" w:rsidR="00551F66" w:rsidRPr="006B2F06" w:rsidRDefault="00551F66" w:rsidP="006B2F06">
      <w:pPr>
        <w:spacing w:line="360" w:lineRule="auto"/>
        <w:jc w:val="both"/>
        <w:rPr>
          <w:rFonts w:ascii="Arial" w:hAnsi="Arial" w:cs="Arial"/>
          <w:color w:val="000000" w:themeColor="text1"/>
        </w:rPr>
      </w:pPr>
    </w:p>
    <w:p w14:paraId="1D032E2F" w14:textId="77777777" w:rsidR="00551F66" w:rsidRPr="006B2F06" w:rsidRDefault="00551F66"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E. Intellectual Property Portfolio</w:t>
      </w:r>
    </w:p>
    <w:p w14:paraId="1E0F83C3" w14:textId="77777777" w:rsidR="00551F66" w:rsidRPr="006B2F06" w:rsidRDefault="00551F66" w:rsidP="006B2F06">
      <w:pPr>
        <w:spacing w:line="360" w:lineRule="auto"/>
        <w:jc w:val="both"/>
        <w:rPr>
          <w:rFonts w:ascii="Arial" w:hAnsi="Arial" w:cs="Arial"/>
          <w:color w:val="000000" w:themeColor="text1"/>
        </w:rPr>
      </w:pPr>
    </w:p>
    <w:p w14:paraId="543E9CA4"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Valuable: Yes — protects innovation (European Commission, 2023).</w:t>
      </w:r>
    </w:p>
    <w:p w14:paraId="010C2064"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Rare: Yes — extensive patent library.</w:t>
      </w:r>
    </w:p>
    <w:p w14:paraId="49434384" w14:textId="77777777"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Inimitable: High — legal protection.</w:t>
      </w:r>
    </w:p>
    <w:p w14:paraId="2D5F3B61" w14:textId="6E5EE53C" w:rsidR="00551F66"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Organised: Yes — strategically managed.</w:t>
      </w:r>
    </w:p>
    <w:p w14:paraId="13DBDDC5" w14:textId="77777777" w:rsidR="00054B1E" w:rsidRPr="006B2F06" w:rsidRDefault="00054B1E" w:rsidP="006B2F06">
      <w:pPr>
        <w:spacing w:line="360" w:lineRule="auto"/>
        <w:jc w:val="both"/>
        <w:rPr>
          <w:rFonts w:ascii="Arial" w:hAnsi="Arial" w:cs="Arial"/>
          <w:color w:val="000000" w:themeColor="text1"/>
        </w:rPr>
      </w:pPr>
    </w:p>
    <w:p w14:paraId="3975D0CE" w14:textId="2730FEA7" w:rsidR="00551F66" w:rsidRPr="006B2F06" w:rsidRDefault="00B44918" w:rsidP="006B2F06">
      <w:pPr>
        <w:pStyle w:val="Heading2"/>
        <w:spacing w:line="360" w:lineRule="auto"/>
        <w:rPr>
          <w:rFonts w:ascii="Arial" w:hAnsi="Arial" w:cs="Arial"/>
          <w:color w:val="000000" w:themeColor="text1"/>
          <w:sz w:val="24"/>
          <w:szCs w:val="24"/>
        </w:rPr>
      </w:pPr>
      <w:bookmarkStart w:id="13" w:name="_Toc225852096"/>
      <w:r w:rsidRPr="006B2F06">
        <w:rPr>
          <w:rFonts w:ascii="Arial" w:hAnsi="Arial" w:cs="Arial"/>
          <w:color w:val="000000" w:themeColor="text1"/>
          <w:sz w:val="24"/>
          <w:szCs w:val="24"/>
        </w:rPr>
        <w:t xml:space="preserve">3.5 </w:t>
      </w:r>
      <w:r w:rsidR="00551F66" w:rsidRPr="006B2F06">
        <w:rPr>
          <w:rFonts w:ascii="Arial" w:hAnsi="Arial" w:cs="Arial"/>
          <w:color w:val="000000" w:themeColor="text1"/>
          <w:sz w:val="24"/>
          <w:szCs w:val="24"/>
        </w:rPr>
        <w:t>Critical Evaluation</w:t>
      </w:r>
      <w:bookmarkEnd w:id="13"/>
    </w:p>
    <w:p w14:paraId="77D83D22" w14:textId="77777777" w:rsidR="00551F66" w:rsidRPr="006B2F06" w:rsidRDefault="00551F66" w:rsidP="006B2F06">
      <w:pPr>
        <w:spacing w:line="360" w:lineRule="auto"/>
        <w:jc w:val="both"/>
        <w:rPr>
          <w:rFonts w:ascii="Arial" w:hAnsi="Arial" w:cs="Arial"/>
          <w:color w:val="000000" w:themeColor="text1"/>
        </w:rPr>
      </w:pPr>
    </w:p>
    <w:p w14:paraId="67CEE404" w14:textId="106CDB0B" w:rsidR="00A93279" w:rsidRPr="006B2F06" w:rsidRDefault="00551F66" w:rsidP="006B2F06">
      <w:pPr>
        <w:spacing w:line="360" w:lineRule="auto"/>
        <w:jc w:val="both"/>
        <w:rPr>
          <w:rFonts w:ascii="Arial" w:hAnsi="Arial" w:cs="Arial"/>
          <w:color w:val="000000" w:themeColor="text1"/>
        </w:rPr>
      </w:pPr>
      <w:r w:rsidRPr="006B2F06">
        <w:rPr>
          <w:rFonts w:ascii="Arial" w:hAnsi="Arial" w:cs="Arial"/>
          <w:color w:val="000000" w:themeColor="text1"/>
        </w:rPr>
        <w:t xml:space="preserve">While Microsoft possesses strong internal capabilities, challenges remain. Azure faces intense competition from AWS, which maintains a larger market share (Gartner, 2023). Microsoft’s reliance on enterprise customers exposes it to economic cycles and regulatory scrutiny </w:t>
      </w:r>
      <w:r w:rsidRPr="006B2F06">
        <w:rPr>
          <w:rFonts w:ascii="Arial" w:hAnsi="Arial" w:cs="Arial"/>
          <w:color w:val="000000" w:themeColor="text1"/>
        </w:rPr>
        <w:lastRenderedPageBreak/>
        <w:t>(Financial Times, 2023). Additionally, integrating large acquisitions such as Activision Blizzard presents cultural and operational risks (Nikkei Asia, 2023).</w:t>
      </w:r>
    </w:p>
    <w:p w14:paraId="3944D509" w14:textId="77777777" w:rsidR="00115D18" w:rsidRPr="006B2F06" w:rsidRDefault="00115D18" w:rsidP="006B2F06">
      <w:pPr>
        <w:spacing w:line="360" w:lineRule="auto"/>
        <w:jc w:val="both"/>
        <w:rPr>
          <w:rFonts w:ascii="Arial" w:hAnsi="Arial" w:cs="Arial"/>
          <w:color w:val="000000" w:themeColor="text1"/>
        </w:rPr>
      </w:pPr>
    </w:p>
    <w:p w14:paraId="3B9615F1" w14:textId="7EEA1661" w:rsidR="00A93279" w:rsidRPr="006B2F06" w:rsidRDefault="000856B3" w:rsidP="006B2F06">
      <w:pPr>
        <w:spacing w:line="360" w:lineRule="auto"/>
        <w:jc w:val="both"/>
        <w:rPr>
          <w:rFonts w:ascii="Arial" w:hAnsi="Arial" w:cs="Arial"/>
          <w:color w:val="000000" w:themeColor="text1"/>
        </w:rPr>
      </w:pPr>
      <w:r w:rsidRPr="006B2F06">
        <w:rPr>
          <w:rFonts w:ascii="Arial" w:hAnsi="Arial" w:cs="Arial"/>
          <w:color w:val="000000" w:themeColor="text1"/>
        </w:rPr>
        <w:t>Therefore, Microsoft possesses several VRIO resources that provide sustained competitive advantage, particularly in cloud infrastructure, AI capabilities, and brand equity.</w:t>
      </w:r>
    </w:p>
    <w:p w14:paraId="6627BD1F" w14:textId="77777777" w:rsidR="00B44918" w:rsidRPr="006B2F06" w:rsidRDefault="00B44918" w:rsidP="006B2F06">
      <w:pPr>
        <w:spacing w:line="360" w:lineRule="auto"/>
        <w:jc w:val="both"/>
        <w:rPr>
          <w:rFonts w:ascii="Arial" w:hAnsi="Arial" w:cs="Arial"/>
          <w:b/>
          <w:bCs/>
          <w:color w:val="000000" w:themeColor="text1"/>
        </w:rPr>
      </w:pPr>
    </w:p>
    <w:p w14:paraId="4C27BF05" w14:textId="3B46484E" w:rsidR="00A93279" w:rsidRPr="006B2F06" w:rsidRDefault="00B44918" w:rsidP="006B2F06">
      <w:pPr>
        <w:pStyle w:val="Heading1"/>
        <w:spacing w:line="360" w:lineRule="auto"/>
        <w:rPr>
          <w:rFonts w:ascii="Arial" w:hAnsi="Arial" w:cs="Arial"/>
          <w:color w:val="000000" w:themeColor="text1"/>
          <w:sz w:val="24"/>
          <w:szCs w:val="24"/>
        </w:rPr>
      </w:pPr>
      <w:bookmarkStart w:id="14" w:name="_Toc225852097"/>
      <w:r w:rsidRPr="006B2F06">
        <w:rPr>
          <w:rFonts w:ascii="Arial" w:hAnsi="Arial" w:cs="Arial"/>
          <w:color w:val="000000" w:themeColor="text1"/>
          <w:sz w:val="24"/>
          <w:szCs w:val="24"/>
        </w:rPr>
        <w:t xml:space="preserve">4 </w:t>
      </w:r>
      <w:r w:rsidR="00A93279" w:rsidRPr="006B2F06">
        <w:rPr>
          <w:rFonts w:ascii="Arial" w:hAnsi="Arial" w:cs="Arial"/>
          <w:color w:val="000000" w:themeColor="text1"/>
          <w:sz w:val="24"/>
          <w:szCs w:val="24"/>
        </w:rPr>
        <w:t>CSR and Sustainability Objectives of Microsoft</w:t>
      </w:r>
      <w:bookmarkEnd w:id="14"/>
    </w:p>
    <w:p w14:paraId="2BD7EF05" w14:textId="3C885D41"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Corporate Social Responsibility (CSR) and sustainability have become central pillars of Microsoft’s global strategy, reflecting increasing stakeholder expectations, regulatory pressures, and the strategic importance of environmental and social governance (ESG) in the technology sector (OECD, 2023; Financial Times, 2023). Microsoft positions CSR not as a peripheral activity but as a core strategic driver aligned with its mission to “empower every person and organisation on the planet to achieve more” (Microsoft, 2023).</w:t>
      </w:r>
    </w:p>
    <w:p w14:paraId="15F9623E" w14:textId="77777777" w:rsidR="00A93279" w:rsidRPr="006B2F06" w:rsidRDefault="00A93279" w:rsidP="006B2F06">
      <w:pPr>
        <w:spacing w:line="360" w:lineRule="auto"/>
        <w:jc w:val="both"/>
        <w:rPr>
          <w:rFonts w:ascii="Arial" w:hAnsi="Arial" w:cs="Arial"/>
          <w:color w:val="000000" w:themeColor="text1"/>
        </w:rPr>
      </w:pPr>
    </w:p>
    <w:p w14:paraId="1B3AACAF" w14:textId="6382B058" w:rsidR="00A93279" w:rsidRPr="006B2F06" w:rsidRDefault="00B44918" w:rsidP="006B2F06">
      <w:pPr>
        <w:pStyle w:val="Heading2"/>
        <w:spacing w:line="360" w:lineRule="auto"/>
        <w:rPr>
          <w:rFonts w:ascii="Arial" w:hAnsi="Arial" w:cs="Arial"/>
          <w:color w:val="000000" w:themeColor="text1"/>
          <w:sz w:val="24"/>
          <w:szCs w:val="24"/>
        </w:rPr>
      </w:pPr>
      <w:bookmarkStart w:id="15" w:name="_Toc225852098"/>
      <w:r w:rsidRPr="006B2F06">
        <w:rPr>
          <w:rFonts w:ascii="Arial" w:hAnsi="Arial" w:cs="Arial"/>
          <w:color w:val="000000" w:themeColor="text1"/>
          <w:sz w:val="24"/>
          <w:szCs w:val="24"/>
        </w:rPr>
        <w:t xml:space="preserve">4.1 </w:t>
      </w:r>
      <w:r w:rsidR="00A93279" w:rsidRPr="006B2F06">
        <w:rPr>
          <w:rFonts w:ascii="Arial" w:hAnsi="Arial" w:cs="Arial"/>
          <w:color w:val="000000" w:themeColor="text1"/>
          <w:sz w:val="24"/>
          <w:szCs w:val="24"/>
        </w:rPr>
        <w:t>Environmental Sustainability</w:t>
      </w:r>
      <w:bookmarkEnd w:id="15"/>
    </w:p>
    <w:p w14:paraId="34FF65FB" w14:textId="77777777" w:rsidR="00A93279" w:rsidRPr="006B2F06" w:rsidRDefault="00A93279" w:rsidP="006B2F06">
      <w:pPr>
        <w:spacing w:line="360" w:lineRule="auto"/>
        <w:jc w:val="both"/>
        <w:rPr>
          <w:rFonts w:ascii="Arial" w:hAnsi="Arial" w:cs="Arial"/>
          <w:color w:val="000000" w:themeColor="text1"/>
        </w:rPr>
      </w:pPr>
    </w:p>
    <w:p w14:paraId="44F80EB2"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 has set some of the most ambitious environmental commitments in the technology industry. The company aims to become carbon negative by 2030, eliminate all historical emissions by 2050, and transition all data centres to 100% renewable energy by 2025 (Microsoft, 2023). These commitments respond to growing environmental concerns about the carbon footprint of cloud computing and data</w:t>
      </w:r>
      <w:r w:rsidRPr="006B2F06">
        <w:rPr>
          <w:rFonts w:ascii="Cambria Math" w:hAnsi="Cambria Math" w:cs="Cambria Math"/>
          <w:color w:val="000000" w:themeColor="text1"/>
        </w:rPr>
        <w:t>‑</w:t>
      </w:r>
      <w:r w:rsidRPr="006B2F06">
        <w:rPr>
          <w:rFonts w:ascii="Arial" w:hAnsi="Arial" w:cs="Arial"/>
          <w:color w:val="000000" w:themeColor="text1"/>
        </w:rPr>
        <w:t>centre energy consumption (European Commission, 2023). Microsoft’s investment in carbon</w:t>
      </w:r>
      <w:r w:rsidRPr="006B2F06">
        <w:rPr>
          <w:rFonts w:ascii="Cambria Math" w:hAnsi="Cambria Math" w:cs="Cambria Math"/>
          <w:color w:val="000000" w:themeColor="text1"/>
        </w:rPr>
        <w:t>‑</w:t>
      </w:r>
      <w:r w:rsidRPr="006B2F06">
        <w:rPr>
          <w:rFonts w:ascii="Arial" w:hAnsi="Arial" w:cs="Arial"/>
          <w:color w:val="000000" w:themeColor="text1"/>
        </w:rPr>
        <w:t>removal technologies and circular</w:t>
      </w:r>
      <w:r w:rsidRPr="006B2F06">
        <w:rPr>
          <w:rFonts w:ascii="Cambria Math" w:hAnsi="Cambria Math" w:cs="Cambria Math"/>
          <w:color w:val="000000" w:themeColor="text1"/>
        </w:rPr>
        <w:t>‑</w:t>
      </w:r>
      <w:r w:rsidRPr="006B2F06">
        <w:rPr>
          <w:rFonts w:ascii="Arial" w:hAnsi="Arial" w:cs="Arial"/>
          <w:color w:val="000000" w:themeColor="text1"/>
        </w:rPr>
        <w:t>economy initiatives — such as using recycled materials in Surface devices — demonstrates a proactive approach to environmental stewardship (Financial Times, 2023). This aligns with global sustainability frameworks and enhances Microsoft’s competitive differentiation in enterprise markets increasingly focused on ESG compliance (McKinsey &amp; Company, 2023).</w:t>
      </w:r>
    </w:p>
    <w:p w14:paraId="7B58AB8F" w14:textId="77777777" w:rsidR="00A93279" w:rsidRPr="006B2F06" w:rsidRDefault="00A93279" w:rsidP="006B2F06">
      <w:pPr>
        <w:spacing w:line="360" w:lineRule="auto"/>
        <w:jc w:val="both"/>
        <w:rPr>
          <w:rFonts w:ascii="Arial" w:hAnsi="Arial" w:cs="Arial"/>
          <w:color w:val="000000" w:themeColor="text1"/>
        </w:rPr>
      </w:pPr>
    </w:p>
    <w:p w14:paraId="13BA988B" w14:textId="663C948B" w:rsidR="00A93279" w:rsidRPr="006B2F06" w:rsidRDefault="00B44918" w:rsidP="006B2F06">
      <w:pPr>
        <w:pStyle w:val="Heading2"/>
        <w:spacing w:line="360" w:lineRule="auto"/>
        <w:rPr>
          <w:rFonts w:ascii="Arial" w:hAnsi="Arial" w:cs="Arial"/>
          <w:color w:val="000000" w:themeColor="text1"/>
          <w:sz w:val="24"/>
          <w:szCs w:val="24"/>
        </w:rPr>
      </w:pPr>
      <w:bookmarkStart w:id="16" w:name="_Toc225852099"/>
      <w:r w:rsidRPr="006B2F06">
        <w:rPr>
          <w:rFonts w:ascii="Arial" w:hAnsi="Arial" w:cs="Arial"/>
          <w:color w:val="000000" w:themeColor="text1"/>
          <w:sz w:val="24"/>
          <w:szCs w:val="24"/>
        </w:rPr>
        <w:t xml:space="preserve">4.2 </w:t>
      </w:r>
      <w:r w:rsidR="00A93279" w:rsidRPr="006B2F06">
        <w:rPr>
          <w:rFonts w:ascii="Arial" w:hAnsi="Arial" w:cs="Arial"/>
          <w:color w:val="000000" w:themeColor="text1"/>
          <w:sz w:val="24"/>
          <w:szCs w:val="24"/>
        </w:rPr>
        <w:t>Social Responsibility</w:t>
      </w:r>
      <w:bookmarkEnd w:id="16"/>
    </w:p>
    <w:p w14:paraId="787ACF41" w14:textId="77777777" w:rsidR="00A93279" w:rsidRPr="006B2F06" w:rsidRDefault="00A93279" w:rsidP="006B2F06">
      <w:pPr>
        <w:spacing w:line="360" w:lineRule="auto"/>
        <w:jc w:val="both"/>
        <w:rPr>
          <w:rFonts w:ascii="Arial" w:hAnsi="Arial" w:cs="Arial"/>
          <w:color w:val="000000" w:themeColor="text1"/>
        </w:rPr>
      </w:pPr>
    </w:p>
    <w:p w14:paraId="5CCF0A95" w14:textId="7A93D995"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lastRenderedPageBreak/>
        <w:t>Microsoft’s social initiatives focus on digital inclusion, ethical AI, and workforce development. The Airband Initiative, which aims to expand broadband access to underserved communities, reflects Microsoft’s commitment to reducing the global digital divide (OECD, 2023). Ethical AI governance is another critical area, with Microsoft implementing a Responsible AI Framework to address concerns about bias, transparency, and accountability (Hofstede, 2011; Microsoft, 2023). These initiatives strengthen stakeholder trust and mitigate reputational risks associated with AI deployment (The Economist, 2023).</w:t>
      </w:r>
    </w:p>
    <w:p w14:paraId="61970968" w14:textId="77777777" w:rsidR="00115D18" w:rsidRPr="006B2F06" w:rsidRDefault="00115D18" w:rsidP="006B2F06">
      <w:pPr>
        <w:spacing w:line="360" w:lineRule="auto"/>
        <w:jc w:val="both"/>
        <w:rPr>
          <w:rFonts w:ascii="Arial" w:hAnsi="Arial" w:cs="Arial"/>
          <w:color w:val="000000" w:themeColor="text1"/>
        </w:rPr>
      </w:pPr>
    </w:p>
    <w:p w14:paraId="1D9E2C92" w14:textId="4826AD13" w:rsidR="00A93279" w:rsidRPr="006B2F06" w:rsidRDefault="00B44918" w:rsidP="006B2F06">
      <w:pPr>
        <w:pStyle w:val="Heading2"/>
        <w:spacing w:line="360" w:lineRule="auto"/>
        <w:rPr>
          <w:rFonts w:ascii="Arial" w:hAnsi="Arial" w:cs="Arial"/>
          <w:color w:val="000000" w:themeColor="text1"/>
          <w:sz w:val="24"/>
          <w:szCs w:val="24"/>
        </w:rPr>
      </w:pPr>
      <w:bookmarkStart w:id="17" w:name="_Toc225852100"/>
      <w:r w:rsidRPr="006B2F06">
        <w:rPr>
          <w:rFonts w:ascii="Arial" w:hAnsi="Arial" w:cs="Arial"/>
          <w:color w:val="000000" w:themeColor="text1"/>
          <w:sz w:val="24"/>
          <w:szCs w:val="24"/>
        </w:rPr>
        <w:t xml:space="preserve">4.3 </w:t>
      </w:r>
      <w:r w:rsidR="00A93279" w:rsidRPr="006B2F06">
        <w:rPr>
          <w:rFonts w:ascii="Arial" w:hAnsi="Arial" w:cs="Arial"/>
          <w:color w:val="000000" w:themeColor="text1"/>
          <w:sz w:val="24"/>
          <w:szCs w:val="24"/>
        </w:rPr>
        <w:t>Governance and Ethical Conduct</w:t>
      </w:r>
      <w:bookmarkEnd w:id="17"/>
    </w:p>
    <w:p w14:paraId="5820AB0A" w14:textId="77777777" w:rsidR="00A93279" w:rsidRPr="006B2F06" w:rsidRDefault="00A93279" w:rsidP="006B2F06">
      <w:pPr>
        <w:spacing w:line="360" w:lineRule="auto"/>
        <w:jc w:val="both"/>
        <w:rPr>
          <w:rFonts w:ascii="Arial" w:hAnsi="Arial" w:cs="Arial"/>
          <w:color w:val="000000" w:themeColor="text1"/>
        </w:rPr>
      </w:pPr>
    </w:p>
    <w:p w14:paraId="784E7BD7"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governance practices emphasise transparency, compliance, and ethical conduct. The company adheres to strict data</w:t>
      </w:r>
      <w:r w:rsidRPr="006B2F06">
        <w:rPr>
          <w:rFonts w:ascii="Cambria Math" w:hAnsi="Cambria Math" w:cs="Cambria Math"/>
          <w:color w:val="000000" w:themeColor="text1"/>
        </w:rPr>
        <w:t>‑</w:t>
      </w:r>
      <w:r w:rsidRPr="006B2F06">
        <w:rPr>
          <w:rFonts w:ascii="Arial" w:hAnsi="Arial" w:cs="Arial"/>
          <w:color w:val="000000" w:themeColor="text1"/>
        </w:rPr>
        <w:t>protection standards, including GDPR and CCPA, and maintains robust internal controls to manage cybersecurity risks (European Commission, 2023). Strong governance enhances Microsoft’s legitimacy in global markets and supports long</w:t>
      </w:r>
      <w:r w:rsidRPr="006B2F06">
        <w:rPr>
          <w:rFonts w:ascii="Cambria Math" w:hAnsi="Cambria Math" w:cs="Cambria Math"/>
          <w:color w:val="000000" w:themeColor="text1"/>
        </w:rPr>
        <w:t>‑</w:t>
      </w:r>
      <w:r w:rsidRPr="006B2F06">
        <w:rPr>
          <w:rFonts w:ascii="Arial" w:hAnsi="Arial" w:cs="Arial"/>
          <w:color w:val="000000" w:themeColor="text1"/>
        </w:rPr>
        <w:t>term strategic resilience (Johnson, Whittington and Scholes, 2020).</w:t>
      </w:r>
    </w:p>
    <w:p w14:paraId="75F1E5CE" w14:textId="77777777" w:rsidR="00A93279" w:rsidRPr="006B2F06" w:rsidRDefault="00A93279" w:rsidP="006B2F06">
      <w:pPr>
        <w:spacing w:line="360" w:lineRule="auto"/>
        <w:jc w:val="both"/>
        <w:rPr>
          <w:rFonts w:ascii="Arial" w:hAnsi="Arial" w:cs="Arial"/>
          <w:color w:val="000000" w:themeColor="text1"/>
        </w:rPr>
      </w:pPr>
    </w:p>
    <w:p w14:paraId="5C0A1608" w14:textId="5E9D1FE9" w:rsidR="00A93279" w:rsidRPr="006B2F06" w:rsidRDefault="00B44918" w:rsidP="006B2F06">
      <w:pPr>
        <w:pStyle w:val="Heading2"/>
        <w:spacing w:line="360" w:lineRule="auto"/>
        <w:rPr>
          <w:rFonts w:ascii="Arial" w:hAnsi="Arial" w:cs="Arial"/>
          <w:color w:val="000000" w:themeColor="text1"/>
          <w:sz w:val="24"/>
          <w:szCs w:val="24"/>
        </w:rPr>
      </w:pPr>
      <w:bookmarkStart w:id="18" w:name="_Toc225852101"/>
      <w:r w:rsidRPr="006B2F06">
        <w:rPr>
          <w:rFonts w:ascii="Arial" w:hAnsi="Arial" w:cs="Arial"/>
          <w:color w:val="000000" w:themeColor="text1"/>
          <w:sz w:val="24"/>
          <w:szCs w:val="24"/>
        </w:rPr>
        <w:t xml:space="preserve">4.4 </w:t>
      </w:r>
      <w:r w:rsidR="00A93279" w:rsidRPr="006B2F06">
        <w:rPr>
          <w:rFonts w:ascii="Arial" w:hAnsi="Arial" w:cs="Arial"/>
          <w:color w:val="000000" w:themeColor="text1"/>
          <w:sz w:val="24"/>
          <w:szCs w:val="24"/>
        </w:rPr>
        <w:t>Critical Evaluation</w:t>
      </w:r>
      <w:bookmarkEnd w:id="18"/>
    </w:p>
    <w:p w14:paraId="09FC170A" w14:textId="77777777" w:rsidR="00A93279" w:rsidRPr="006B2F06" w:rsidRDefault="00A93279" w:rsidP="006B2F06">
      <w:pPr>
        <w:spacing w:line="360" w:lineRule="auto"/>
        <w:jc w:val="both"/>
        <w:rPr>
          <w:rFonts w:ascii="Arial" w:hAnsi="Arial" w:cs="Arial"/>
          <w:color w:val="000000" w:themeColor="text1"/>
        </w:rPr>
      </w:pPr>
    </w:p>
    <w:p w14:paraId="7E6D734D" w14:textId="289F8B6E"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While Microsoft’s CSR strategy is comprehensive, critics argue that the company’s environmental impact remains significant due to the scale of its cloud infrastructure (Financial Times, 2023). Additionally, concerns persist regarding labour practices in global supply chains and the ethical implications of AI partnerships (The Economist, 2023). Nonetheless, Microsoft’s CSR initiatives demonstrate a strong alignment between sustainability objectives and strategic business goals, reinforcing its competitive advantage in a rapidly evolving global environment.</w:t>
      </w:r>
    </w:p>
    <w:p w14:paraId="56445ED6" w14:textId="77777777" w:rsidR="00A93279" w:rsidRPr="006B2F06" w:rsidRDefault="00A93279" w:rsidP="006B2F06">
      <w:pPr>
        <w:spacing w:line="360" w:lineRule="auto"/>
        <w:jc w:val="both"/>
        <w:rPr>
          <w:rFonts w:ascii="Arial" w:hAnsi="Arial" w:cs="Arial"/>
          <w:color w:val="000000" w:themeColor="text1"/>
        </w:rPr>
      </w:pPr>
    </w:p>
    <w:p w14:paraId="47ED3ED1" w14:textId="14E01FB4" w:rsidR="00A93279" w:rsidRPr="006B2F06" w:rsidRDefault="00B44918" w:rsidP="006B2F06">
      <w:pPr>
        <w:pStyle w:val="Heading1"/>
        <w:spacing w:line="360" w:lineRule="auto"/>
        <w:rPr>
          <w:rFonts w:ascii="Arial" w:hAnsi="Arial" w:cs="Arial"/>
          <w:color w:val="000000" w:themeColor="text1"/>
          <w:sz w:val="24"/>
          <w:szCs w:val="24"/>
        </w:rPr>
      </w:pPr>
      <w:bookmarkStart w:id="19" w:name="_Toc225852102"/>
      <w:r w:rsidRPr="006B2F06">
        <w:rPr>
          <w:rFonts w:ascii="Arial" w:hAnsi="Arial" w:cs="Arial"/>
          <w:color w:val="000000" w:themeColor="text1"/>
          <w:sz w:val="24"/>
          <w:szCs w:val="24"/>
        </w:rPr>
        <w:lastRenderedPageBreak/>
        <w:t xml:space="preserve">5 </w:t>
      </w:r>
      <w:r w:rsidR="00A93279" w:rsidRPr="006B2F06">
        <w:rPr>
          <w:rFonts w:ascii="Arial" w:hAnsi="Arial" w:cs="Arial"/>
          <w:color w:val="000000" w:themeColor="text1"/>
          <w:sz w:val="24"/>
          <w:szCs w:val="24"/>
        </w:rPr>
        <w:t>Balanced Scorecard (BSC) Analysis of Microsoft</w:t>
      </w:r>
      <w:bookmarkEnd w:id="19"/>
      <w:r w:rsidR="00A93279" w:rsidRPr="006B2F06">
        <w:rPr>
          <w:rFonts w:ascii="Arial" w:hAnsi="Arial" w:cs="Arial"/>
          <w:color w:val="000000" w:themeColor="text1"/>
          <w:sz w:val="24"/>
          <w:szCs w:val="24"/>
        </w:rPr>
        <w:t xml:space="preserve"> </w:t>
      </w:r>
    </w:p>
    <w:p w14:paraId="586264AA" w14:textId="45D3E001" w:rsidR="006B2F06" w:rsidRPr="006B2F06" w:rsidRDefault="006B2F06" w:rsidP="006B2F06">
      <w:pPr>
        <w:spacing w:line="360" w:lineRule="auto"/>
        <w:rPr>
          <w:rFonts w:ascii="Arial" w:hAnsi="Arial" w:cs="Arial"/>
        </w:rPr>
      </w:pPr>
      <w:r w:rsidRPr="006B2F06">
        <w:rPr>
          <w:rFonts w:ascii="Arial" w:hAnsi="Arial" w:cs="Arial"/>
        </w:rPr>
        <w:drawing>
          <wp:inline distT="0" distB="0" distL="0" distR="0" wp14:anchorId="6C455F13" wp14:editId="68E299C0">
            <wp:extent cx="6399530" cy="4660265"/>
            <wp:effectExtent l="0" t="0" r="1270" b="6985"/>
            <wp:docPr id="254720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720594" name=""/>
                    <pic:cNvPicPr/>
                  </pic:nvPicPr>
                  <pic:blipFill>
                    <a:blip r:embed="rId9"/>
                    <a:stretch>
                      <a:fillRect/>
                    </a:stretch>
                  </pic:blipFill>
                  <pic:spPr>
                    <a:xfrm>
                      <a:off x="0" y="0"/>
                      <a:ext cx="6399530" cy="4660265"/>
                    </a:xfrm>
                    <a:prstGeom prst="rect">
                      <a:avLst/>
                    </a:prstGeom>
                  </pic:spPr>
                </pic:pic>
              </a:graphicData>
            </a:graphic>
          </wp:inline>
        </w:drawing>
      </w:r>
    </w:p>
    <w:p w14:paraId="738FBCDA" w14:textId="5FA01179" w:rsidR="00A93279" w:rsidRPr="006B2F06" w:rsidRDefault="006B2F06" w:rsidP="006B2F06">
      <w:pPr>
        <w:spacing w:line="360" w:lineRule="auto"/>
        <w:jc w:val="center"/>
        <w:rPr>
          <w:rFonts w:ascii="Arial" w:hAnsi="Arial" w:cs="Arial"/>
          <w:b/>
          <w:bCs/>
          <w:color w:val="000000" w:themeColor="text1"/>
        </w:rPr>
      </w:pPr>
      <w:r w:rsidRPr="006B2F06">
        <w:rPr>
          <w:rFonts w:ascii="Arial" w:hAnsi="Arial" w:cs="Arial"/>
          <w:b/>
          <w:bCs/>
        </w:rPr>
        <w:t xml:space="preserve">Figure </w:t>
      </w:r>
      <w:r w:rsidRPr="006B2F06">
        <w:rPr>
          <w:rFonts w:ascii="Arial" w:hAnsi="Arial" w:cs="Arial"/>
          <w:b/>
          <w:bCs/>
        </w:rPr>
        <w:t>3</w:t>
      </w:r>
      <w:r w:rsidRPr="006B2F06">
        <w:rPr>
          <w:rFonts w:ascii="Arial" w:hAnsi="Arial" w:cs="Arial"/>
          <w:b/>
          <w:bCs/>
        </w:rPr>
        <w:t xml:space="preserve">: </w:t>
      </w:r>
      <w:r w:rsidRPr="006B2F06">
        <w:rPr>
          <w:rFonts w:ascii="Arial" w:hAnsi="Arial" w:cs="Arial"/>
          <w:b/>
          <w:bCs/>
          <w:color w:val="000000" w:themeColor="text1"/>
        </w:rPr>
        <w:t>Balanced Scorecard Diagram</w:t>
      </w:r>
    </w:p>
    <w:p w14:paraId="6C4CEABB" w14:textId="7804AED3"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The Balanced Scorecard (BSC), developed by Kaplan and Norton (1992), provides a multidimensional framework for evaluating organisational performance across four perspectives: Financial, Customer, Internal Business Processes, and Learning &amp; Growth. Applying the BSC to Microsoft reveals how the company aligns strategic objectives with measurable performance indicators to sustain competitive advantage in the global technology industry.</w:t>
      </w:r>
      <w:r w:rsidR="00DC25E0" w:rsidRPr="006B2F06">
        <w:rPr>
          <w:rFonts w:ascii="Arial" w:hAnsi="Arial" w:cs="Arial"/>
          <w:color w:val="000000" w:themeColor="text1"/>
        </w:rPr>
        <w:t xml:space="preserve"> However, the strong emphasis on financial and growth metrics may overlook emerging risks related to AI ethics and regulatory challenges.</w:t>
      </w:r>
    </w:p>
    <w:p w14:paraId="753681F9" w14:textId="55667E94" w:rsidR="00A93279" w:rsidRPr="006B2F06" w:rsidRDefault="00A93279" w:rsidP="006B2F06">
      <w:pPr>
        <w:spacing w:line="360" w:lineRule="auto"/>
        <w:jc w:val="both"/>
        <w:rPr>
          <w:rFonts w:ascii="Arial" w:hAnsi="Arial" w:cs="Arial"/>
          <w:color w:val="000000" w:themeColor="text1"/>
        </w:rPr>
      </w:pPr>
    </w:p>
    <w:p w14:paraId="4725300F" w14:textId="70184447" w:rsidR="00A93279" w:rsidRPr="006B2F06" w:rsidRDefault="00B44918" w:rsidP="006B2F06">
      <w:pPr>
        <w:pStyle w:val="Heading2"/>
        <w:spacing w:line="360" w:lineRule="auto"/>
        <w:rPr>
          <w:rFonts w:ascii="Arial" w:hAnsi="Arial" w:cs="Arial"/>
          <w:color w:val="000000" w:themeColor="text1"/>
          <w:sz w:val="24"/>
          <w:szCs w:val="24"/>
        </w:rPr>
      </w:pPr>
      <w:bookmarkStart w:id="20" w:name="_Toc225852103"/>
      <w:r w:rsidRPr="006B2F06">
        <w:rPr>
          <w:rFonts w:ascii="Arial" w:hAnsi="Arial" w:cs="Arial"/>
          <w:color w:val="000000" w:themeColor="text1"/>
          <w:sz w:val="24"/>
          <w:szCs w:val="24"/>
        </w:rPr>
        <w:t xml:space="preserve">5.1 </w:t>
      </w:r>
      <w:r w:rsidR="00A93279" w:rsidRPr="006B2F06">
        <w:rPr>
          <w:rFonts w:ascii="Arial" w:hAnsi="Arial" w:cs="Arial"/>
          <w:color w:val="000000" w:themeColor="text1"/>
          <w:sz w:val="24"/>
          <w:szCs w:val="24"/>
        </w:rPr>
        <w:t>Financial Perspective</w:t>
      </w:r>
      <w:bookmarkEnd w:id="20"/>
    </w:p>
    <w:p w14:paraId="78B17A00" w14:textId="77777777" w:rsidR="00A93279" w:rsidRPr="006B2F06" w:rsidRDefault="00A93279" w:rsidP="006B2F06">
      <w:pPr>
        <w:spacing w:line="360" w:lineRule="auto"/>
        <w:jc w:val="both"/>
        <w:rPr>
          <w:rFonts w:ascii="Arial" w:hAnsi="Arial" w:cs="Arial"/>
          <w:color w:val="000000" w:themeColor="text1"/>
        </w:rPr>
      </w:pPr>
    </w:p>
    <w:p w14:paraId="4BA247F0"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The financial perspective evaluates Microsoft’s ability to generate long</w:t>
      </w:r>
      <w:r w:rsidRPr="006B2F06">
        <w:rPr>
          <w:rFonts w:ascii="Cambria Math" w:hAnsi="Cambria Math" w:cs="Cambria Math"/>
          <w:color w:val="000000" w:themeColor="text1"/>
        </w:rPr>
        <w:t>‑</w:t>
      </w:r>
      <w:r w:rsidRPr="006B2F06">
        <w:rPr>
          <w:rFonts w:ascii="Arial" w:hAnsi="Arial" w:cs="Arial"/>
          <w:color w:val="000000" w:themeColor="text1"/>
        </w:rPr>
        <w:t xml:space="preserve">term shareholder value. Microsoft’s financial strategy focuses on revenue diversification, cloud growth, and operational </w:t>
      </w:r>
      <w:r w:rsidRPr="006B2F06">
        <w:rPr>
          <w:rFonts w:ascii="Arial" w:hAnsi="Arial" w:cs="Arial"/>
          <w:color w:val="000000" w:themeColor="text1"/>
        </w:rPr>
        <w:lastRenderedPageBreak/>
        <w:t>efficiency (Financial Times, 2023). Azure remains a key revenue driver, with the global cloud market expanding due to digital transformation and enterprise migration to cloud infrastructure (Gartner, 2023). Subscription</w:t>
      </w:r>
      <w:r w:rsidRPr="006B2F06">
        <w:rPr>
          <w:rFonts w:ascii="Cambria Math" w:hAnsi="Cambria Math" w:cs="Cambria Math"/>
          <w:color w:val="000000" w:themeColor="text1"/>
        </w:rPr>
        <w:t>‑</w:t>
      </w:r>
      <w:r w:rsidRPr="006B2F06">
        <w:rPr>
          <w:rFonts w:ascii="Arial" w:hAnsi="Arial" w:cs="Arial"/>
          <w:color w:val="000000" w:themeColor="text1"/>
        </w:rPr>
        <w:t>based models such as Microsoft 365 and Dynamics 365 provide recurring revenue streams, reducing reliance on cyclical hardware sales (Kotler and Keller, 2022).</w:t>
      </w:r>
    </w:p>
    <w:p w14:paraId="2BAE986E" w14:textId="77777777" w:rsidR="00A93279" w:rsidRPr="006B2F06" w:rsidRDefault="00A93279" w:rsidP="006B2F06">
      <w:pPr>
        <w:spacing w:line="360" w:lineRule="auto"/>
        <w:jc w:val="both"/>
        <w:rPr>
          <w:rFonts w:ascii="Arial" w:hAnsi="Arial" w:cs="Arial"/>
          <w:color w:val="000000" w:themeColor="text1"/>
        </w:rPr>
      </w:pPr>
    </w:p>
    <w:p w14:paraId="641A906C"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Key Financial Objectives</w:t>
      </w:r>
    </w:p>
    <w:p w14:paraId="6A235E9E" w14:textId="77777777" w:rsidR="00A93279" w:rsidRPr="006B2F06" w:rsidRDefault="00A93279" w:rsidP="006B2F06">
      <w:pPr>
        <w:spacing w:line="360" w:lineRule="auto"/>
        <w:jc w:val="both"/>
        <w:rPr>
          <w:rFonts w:ascii="Arial" w:hAnsi="Arial" w:cs="Arial"/>
          <w:color w:val="000000" w:themeColor="text1"/>
        </w:rPr>
      </w:pPr>
    </w:p>
    <w:p w14:paraId="69F1B600"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Increase cloud revenue and market share</w:t>
      </w:r>
    </w:p>
    <w:p w14:paraId="78E01FB3"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Improve operating margins</w:t>
      </w:r>
    </w:p>
    <w:p w14:paraId="492CFFFA"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Enhance shareholder returns through dividends and buybacks</w:t>
      </w:r>
    </w:p>
    <w:p w14:paraId="60FE7669" w14:textId="77777777" w:rsidR="00A93279" w:rsidRPr="006B2F06" w:rsidRDefault="00A93279" w:rsidP="006B2F06">
      <w:pPr>
        <w:spacing w:line="360" w:lineRule="auto"/>
        <w:jc w:val="both"/>
        <w:rPr>
          <w:rFonts w:ascii="Arial" w:hAnsi="Arial" w:cs="Arial"/>
          <w:color w:val="000000" w:themeColor="text1"/>
        </w:rPr>
      </w:pPr>
    </w:p>
    <w:p w14:paraId="1D118A51"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KPIs</w:t>
      </w:r>
    </w:p>
    <w:p w14:paraId="44F3F5AE" w14:textId="77777777" w:rsidR="00A93279" w:rsidRPr="006B2F06" w:rsidRDefault="00A93279" w:rsidP="006B2F06">
      <w:pPr>
        <w:spacing w:line="360" w:lineRule="auto"/>
        <w:jc w:val="both"/>
        <w:rPr>
          <w:rFonts w:ascii="Arial" w:hAnsi="Arial" w:cs="Arial"/>
          <w:color w:val="000000" w:themeColor="text1"/>
        </w:rPr>
      </w:pPr>
    </w:p>
    <w:p w14:paraId="5E24ED26"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Azure revenue growth rate</w:t>
      </w:r>
    </w:p>
    <w:p w14:paraId="49AABBF2"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Operating margin percentage</w:t>
      </w:r>
    </w:p>
    <w:p w14:paraId="35F91765"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Earnings per share (EPS)</w:t>
      </w:r>
    </w:p>
    <w:p w14:paraId="3003476C"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Return on invested capital (ROIC)</w:t>
      </w:r>
    </w:p>
    <w:p w14:paraId="5968C029" w14:textId="77777777" w:rsidR="00A93279" w:rsidRPr="006B2F06" w:rsidRDefault="00A93279" w:rsidP="006B2F06">
      <w:pPr>
        <w:spacing w:line="360" w:lineRule="auto"/>
        <w:jc w:val="both"/>
        <w:rPr>
          <w:rFonts w:ascii="Arial" w:hAnsi="Arial" w:cs="Arial"/>
          <w:color w:val="000000" w:themeColor="text1"/>
        </w:rPr>
      </w:pPr>
    </w:p>
    <w:p w14:paraId="22A0D5AA"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Targets</w:t>
      </w:r>
    </w:p>
    <w:p w14:paraId="0F319C66" w14:textId="77777777" w:rsidR="00A93279" w:rsidRPr="006B2F06" w:rsidRDefault="00A93279" w:rsidP="006B2F06">
      <w:pPr>
        <w:spacing w:line="360" w:lineRule="auto"/>
        <w:jc w:val="both"/>
        <w:rPr>
          <w:rFonts w:ascii="Arial" w:hAnsi="Arial" w:cs="Arial"/>
          <w:color w:val="000000" w:themeColor="text1"/>
        </w:rPr>
      </w:pPr>
    </w:p>
    <w:p w14:paraId="7D49AD06"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Double</w:t>
      </w:r>
      <w:r w:rsidRPr="006B2F06">
        <w:rPr>
          <w:rFonts w:ascii="Cambria Math" w:hAnsi="Cambria Math" w:cs="Cambria Math"/>
          <w:color w:val="000000" w:themeColor="text1"/>
        </w:rPr>
        <w:t>‑</w:t>
      </w:r>
      <w:r w:rsidRPr="006B2F06">
        <w:rPr>
          <w:rFonts w:ascii="Arial" w:hAnsi="Arial" w:cs="Arial"/>
          <w:color w:val="000000" w:themeColor="text1"/>
        </w:rPr>
        <w:t>digit annual cloud revenue growth (McKinsey &amp; Company, 2023)</w:t>
      </w:r>
    </w:p>
    <w:p w14:paraId="62485229" w14:textId="414549D0"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Maintain operating margins above 40% (Statista, 2023)</w:t>
      </w:r>
    </w:p>
    <w:p w14:paraId="0F9F43EE" w14:textId="77777777" w:rsidR="00A93279" w:rsidRPr="006B2F06" w:rsidRDefault="00A93279" w:rsidP="006B2F06">
      <w:pPr>
        <w:spacing w:line="360" w:lineRule="auto"/>
        <w:jc w:val="both"/>
        <w:rPr>
          <w:rFonts w:ascii="Arial" w:hAnsi="Arial" w:cs="Arial"/>
          <w:color w:val="000000" w:themeColor="text1"/>
        </w:rPr>
      </w:pPr>
    </w:p>
    <w:p w14:paraId="0B84EBA7"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Initiatives</w:t>
      </w:r>
    </w:p>
    <w:p w14:paraId="055129B5" w14:textId="77777777" w:rsidR="00A93279" w:rsidRPr="006B2F06" w:rsidRDefault="00A93279" w:rsidP="006B2F06">
      <w:pPr>
        <w:spacing w:line="360" w:lineRule="auto"/>
        <w:jc w:val="both"/>
        <w:rPr>
          <w:rFonts w:ascii="Arial" w:hAnsi="Arial" w:cs="Arial"/>
          <w:color w:val="000000" w:themeColor="text1"/>
        </w:rPr>
      </w:pPr>
    </w:p>
    <w:p w14:paraId="15B9B589"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lastRenderedPageBreak/>
        <w:t>• Expansion of global data</w:t>
      </w:r>
      <w:r w:rsidRPr="006B2F06">
        <w:rPr>
          <w:rFonts w:ascii="Cambria Math" w:hAnsi="Cambria Math" w:cs="Cambria Math"/>
          <w:color w:val="000000" w:themeColor="text1"/>
        </w:rPr>
        <w:t>‑</w:t>
      </w:r>
      <w:r w:rsidRPr="006B2F06">
        <w:rPr>
          <w:rFonts w:ascii="Arial" w:hAnsi="Arial" w:cs="Arial"/>
          <w:color w:val="000000" w:themeColor="text1"/>
        </w:rPr>
        <w:t>centre regions</w:t>
      </w:r>
    </w:p>
    <w:p w14:paraId="107605C4"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Strategic acquisitions (e.g., Activision Blizzard, LinkedIn) to diversify revenue (Nikkei Asia, 2023)</w:t>
      </w:r>
    </w:p>
    <w:p w14:paraId="00A1A575" w14:textId="51848594" w:rsidR="00A93279" w:rsidRPr="006B2F06" w:rsidRDefault="00A93279" w:rsidP="006B2F06">
      <w:pPr>
        <w:spacing w:line="360" w:lineRule="auto"/>
        <w:jc w:val="both"/>
        <w:rPr>
          <w:rFonts w:ascii="Arial" w:hAnsi="Arial" w:cs="Arial"/>
          <w:color w:val="000000" w:themeColor="text1"/>
        </w:rPr>
      </w:pPr>
    </w:p>
    <w:p w14:paraId="54552A95"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strong financial performance demonstrates effective alignment between strategic investments and long</w:t>
      </w:r>
      <w:r w:rsidRPr="006B2F06">
        <w:rPr>
          <w:rFonts w:ascii="Cambria Math" w:hAnsi="Cambria Math" w:cs="Cambria Math"/>
          <w:color w:val="000000" w:themeColor="text1"/>
        </w:rPr>
        <w:t>‑</w:t>
      </w:r>
      <w:r w:rsidRPr="006B2F06">
        <w:rPr>
          <w:rFonts w:ascii="Arial" w:hAnsi="Arial" w:cs="Arial"/>
          <w:color w:val="000000" w:themeColor="text1"/>
        </w:rPr>
        <w:t>term value creation.</w:t>
      </w:r>
    </w:p>
    <w:p w14:paraId="7609FA39" w14:textId="24C4E0A3" w:rsidR="00A93279" w:rsidRPr="006B2F06" w:rsidRDefault="00A93279" w:rsidP="006B2F06">
      <w:pPr>
        <w:spacing w:line="360" w:lineRule="auto"/>
        <w:jc w:val="both"/>
        <w:rPr>
          <w:rFonts w:ascii="Arial" w:hAnsi="Arial" w:cs="Arial"/>
          <w:color w:val="000000" w:themeColor="text1"/>
        </w:rPr>
      </w:pPr>
    </w:p>
    <w:p w14:paraId="77D16214" w14:textId="644A5DC0" w:rsidR="00A93279" w:rsidRPr="006B2F06" w:rsidRDefault="00B44918" w:rsidP="006B2F06">
      <w:pPr>
        <w:pStyle w:val="Heading2"/>
        <w:spacing w:line="360" w:lineRule="auto"/>
        <w:rPr>
          <w:rFonts w:ascii="Arial" w:hAnsi="Arial" w:cs="Arial"/>
          <w:color w:val="000000" w:themeColor="text1"/>
          <w:sz w:val="24"/>
          <w:szCs w:val="24"/>
        </w:rPr>
      </w:pPr>
      <w:bookmarkStart w:id="21" w:name="_Toc225852104"/>
      <w:r w:rsidRPr="006B2F06">
        <w:rPr>
          <w:rFonts w:ascii="Arial" w:hAnsi="Arial" w:cs="Arial"/>
          <w:color w:val="000000" w:themeColor="text1"/>
          <w:sz w:val="24"/>
          <w:szCs w:val="24"/>
        </w:rPr>
        <w:t xml:space="preserve">5.2 </w:t>
      </w:r>
      <w:r w:rsidR="00A93279" w:rsidRPr="006B2F06">
        <w:rPr>
          <w:rFonts w:ascii="Arial" w:hAnsi="Arial" w:cs="Arial"/>
          <w:color w:val="000000" w:themeColor="text1"/>
          <w:sz w:val="24"/>
          <w:szCs w:val="24"/>
        </w:rPr>
        <w:t>Customer Perspective</w:t>
      </w:r>
      <w:bookmarkEnd w:id="21"/>
    </w:p>
    <w:p w14:paraId="36AC7F65" w14:textId="77777777" w:rsidR="00A93279" w:rsidRPr="006B2F06" w:rsidRDefault="00A93279" w:rsidP="006B2F06">
      <w:pPr>
        <w:spacing w:line="360" w:lineRule="auto"/>
        <w:jc w:val="both"/>
        <w:rPr>
          <w:rFonts w:ascii="Arial" w:hAnsi="Arial" w:cs="Arial"/>
          <w:color w:val="000000" w:themeColor="text1"/>
        </w:rPr>
      </w:pPr>
    </w:p>
    <w:p w14:paraId="12A00F59"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xml:space="preserve">The customer perspective assesses Microsoft’s ability to deliver value to its diverse customer base, including enterprises, governments, developers, and consumers. Customer expectations increasingly focus on reliability, security, AI integration, and seamless digital experiences (de </w:t>
      </w:r>
      <w:proofErr w:type="spellStart"/>
      <w:r w:rsidRPr="006B2F06">
        <w:rPr>
          <w:rFonts w:ascii="Arial" w:hAnsi="Arial" w:cs="Arial"/>
          <w:color w:val="000000" w:themeColor="text1"/>
        </w:rPr>
        <w:t>Mooij</w:t>
      </w:r>
      <w:proofErr w:type="spellEnd"/>
      <w:r w:rsidRPr="006B2F06">
        <w:rPr>
          <w:rFonts w:ascii="Arial" w:hAnsi="Arial" w:cs="Arial"/>
          <w:color w:val="000000" w:themeColor="text1"/>
        </w:rPr>
        <w:t>, 2019).</w:t>
      </w:r>
    </w:p>
    <w:p w14:paraId="21799204" w14:textId="77777777" w:rsidR="00A93279" w:rsidRPr="006B2F06" w:rsidRDefault="00A93279" w:rsidP="006B2F06">
      <w:pPr>
        <w:spacing w:line="360" w:lineRule="auto"/>
        <w:jc w:val="both"/>
        <w:rPr>
          <w:rFonts w:ascii="Arial" w:hAnsi="Arial" w:cs="Arial"/>
          <w:color w:val="000000" w:themeColor="text1"/>
        </w:rPr>
      </w:pPr>
    </w:p>
    <w:p w14:paraId="4FE35E45"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Key Customer Objectives</w:t>
      </w:r>
    </w:p>
    <w:p w14:paraId="60A46D75" w14:textId="77777777" w:rsidR="00A93279" w:rsidRPr="006B2F06" w:rsidRDefault="00A93279" w:rsidP="006B2F06">
      <w:pPr>
        <w:spacing w:line="360" w:lineRule="auto"/>
        <w:jc w:val="both"/>
        <w:rPr>
          <w:rFonts w:ascii="Arial" w:hAnsi="Arial" w:cs="Arial"/>
          <w:color w:val="000000" w:themeColor="text1"/>
        </w:rPr>
      </w:pPr>
    </w:p>
    <w:p w14:paraId="1F080D07"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Enhance customer satisfaction and retention</w:t>
      </w:r>
    </w:p>
    <w:p w14:paraId="12E8921F"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Strengthen enterprise relationships</w:t>
      </w:r>
    </w:p>
    <w:p w14:paraId="1F3F74A0" w14:textId="2B407FE3"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Improve product accessibility and user experience</w:t>
      </w:r>
    </w:p>
    <w:p w14:paraId="0A836C02" w14:textId="77777777" w:rsidR="00115D18" w:rsidRPr="006B2F06" w:rsidRDefault="00115D18" w:rsidP="006B2F06">
      <w:pPr>
        <w:spacing w:line="360" w:lineRule="auto"/>
        <w:jc w:val="both"/>
        <w:rPr>
          <w:rFonts w:ascii="Arial" w:hAnsi="Arial" w:cs="Arial"/>
          <w:b/>
          <w:bCs/>
          <w:color w:val="000000" w:themeColor="text1"/>
        </w:rPr>
      </w:pPr>
    </w:p>
    <w:p w14:paraId="6069F365" w14:textId="7A50D835"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KPIs</w:t>
      </w:r>
    </w:p>
    <w:p w14:paraId="5BAB43CB" w14:textId="77777777" w:rsidR="00A93279" w:rsidRPr="006B2F06" w:rsidRDefault="00A93279" w:rsidP="006B2F06">
      <w:pPr>
        <w:spacing w:line="360" w:lineRule="auto"/>
        <w:jc w:val="both"/>
        <w:rPr>
          <w:rFonts w:ascii="Arial" w:hAnsi="Arial" w:cs="Arial"/>
          <w:color w:val="000000" w:themeColor="text1"/>
        </w:rPr>
      </w:pPr>
    </w:p>
    <w:p w14:paraId="545499A9"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Net Promoter Score (NPS)</w:t>
      </w:r>
    </w:p>
    <w:p w14:paraId="4C97DD35"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Customer retention rate for Microsoft 365</w:t>
      </w:r>
    </w:p>
    <w:p w14:paraId="790E1AE9"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Azure enterprise adoption rate</w:t>
      </w:r>
    </w:p>
    <w:p w14:paraId="5FAB2BF2" w14:textId="77584DC6"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Customer satisfaction scores (CSAT)</w:t>
      </w:r>
    </w:p>
    <w:p w14:paraId="269E42A8" w14:textId="77777777" w:rsidR="00A93279" w:rsidRPr="006B2F06" w:rsidRDefault="00A93279" w:rsidP="006B2F06">
      <w:pPr>
        <w:spacing w:line="360" w:lineRule="auto"/>
        <w:jc w:val="both"/>
        <w:rPr>
          <w:rFonts w:ascii="Arial" w:hAnsi="Arial" w:cs="Arial"/>
          <w:color w:val="000000" w:themeColor="text1"/>
        </w:rPr>
      </w:pPr>
    </w:p>
    <w:p w14:paraId="375B56C3"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lastRenderedPageBreak/>
        <w:t>Targets</w:t>
      </w:r>
    </w:p>
    <w:p w14:paraId="461C47EA" w14:textId="77777777" w:rsidR="00A93279" w:rsidRPr="006B2F06" w:rsidRDefault="00A93279" w:rsidP="006B2F06">
      <w:pPr>
        <w:spacing w:line="360" w:lineRule="auto"/>
        <w:jc w:val="both"/>
        <w:rPr>
          <w:rFonts w:ascii="Arial" w:hAnsi="Arial" w:cs="Arial"/>
          <w:color w:val="000000" w:themeColor="text1"/>
        </w:rPr>
      </w:pPr>
    </w:p>
    <w:p w14:paraId="45FFA404"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Increase enterprise cloud adoption globally</w:t>
      </w:r>
    </w:p>
    <w:p w14:paraId="7B43F648"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Improve NPS across all major product categories (Gartner, 2023)</w:t>
      </w:r>
    </w:p>
    <w:p w14:paraId="7725C0A7" w14:textId="1281118E" w:rsidR="00A93279" w:rsidRPr="006B2F06" w:rsidRDefault="00A93279" w:rsidP="006B2F06">
      <w:pPr>
        <w:spacing w:line="360" w:lineRule="auto"/>
        <w:jc w:val="both"/>
        <w:rPr>
          <w:rFonts w:ascii="Arial" w:hAnsi="Arial" w:cs="Arial"/>
          <w:color w:val="000000" w:themeColor="text1"/>
        </w:rPr>
      </w:pPr>
    </w:p>
    <w:p w14:paraId="7E5CB9FB"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Initiatives</w:t>
      </w:r>
    </w:p>
    <w:p w14:paraId="4657C101" w14:textId="77777777" w:rsidR="00A93279" w:rsidRPr="006B2F06" w:rsidRDefault="00A93279" w:rsidP="006B2F06">
      <w:pPr>
        <w:spacing w:line="360" w:lineRule="auto"/>
        <w:jc w:val="both"/>
        <w:rPr>
          <w:rFonts w:ascii="Arial" w:hAnsi="Arial" w:cs="Arial"/>
          <w:color w:val="000000" w:themeColor="text1"/>
        </w:rPr>
      </w:pPr>
    </w:p>
    <w:p w14:paraId="2F940FB7"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Integration of AI features into Microsoft 365 and Azure (Financial Times, 2023)</w:t>
      </w:r>
    </w:p>
    <w:p w14:paraId="5E2BBCD7"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Expansion of cybersecurity offerings to address rising threats (OECD, 2023)</w:t>
      </w:r>
    </w:p>
    <w:p w14:paraId="4EF86A62"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Airband Initiative to expand digital access in underserved regions</w:t>
      </w:r>
    </w:p>
    <w:p w14:paraId="0768A3BC" w14:textId="77777777" w:rsidR="00A93279" w:rsidRPr="006B2F06" w:rsidRDefault="00A93279" w:rsidP="006B2F06">
      <w:pPr>
        <w:spacing w:line="360" w:lineRule="auto"/>
        <w:jc w:val="both"/>
        <w:rPr>
          <w:rFonts w:ascii="Arial" w:hAnsi="Arial" w:cs="Arial"/>
          <w:color w:val="000000" w:themeColor="text1"/>
        </w:rPr>
      </w:pPr>
    </w:p>
    <w:p w14:paraId="545E22FC"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customer</w:t>
      </w:r>
      <w:r w:rsidRPr="006B2F06">
        <w:rPr>
          <w:rFonts w:ascii="Cambria Math" w:hAnsi="Cambria Math" w:cs="Cambria Math"/>
          <w:color w:val="000000" w:themeColor="text1"/>
        </w:rPr>
        <w:t>‑</w:t>
      </w:r>
      <w:r w:rsidRPr="006B2F06">
        <w:rPr>
          <w:rFonts w:ascii="Arial" w:hAnsi="Arial" w:cs="Arial"/>
          <w:color w:val="000000" w:themeColor="text1"/>
        </w:rPr>
        <w:t>centric strategy strengthens loyalty and differentiates its ecosystem from competitors such as AWS and Google Cloud.</w:t>
      </w:r>
    </w:p>
    <w:p w14:paraId="24976E85" w14:textId="31DC0196" w:rsidR="00A93279" w:rsidRPr="006B2F06" w:rsidRDefault="00A93279" w:rsidP="006B2F06">
      <w:pPr>
        <w:spacing w:line="360" w:lineRule="auto"/>
        <w:jc w:val="both"/>
        <w:rPr>
          <w:rFonts w:ascii="Arial" w:hAnsi="Arial" w:cs="Arial"/>
          <w:color w:val="000000" w:themeColor="text1"/>
        </w:rPr>
      </w:pPr>
    </w:p>
    <w:p w14:paraId="6077B17E" w14:textId="13AC65D5" w:rsidR="00A93279" w:rsidRPr="006B2F06" w:rsidRDefault="00B44918" w:rsidP="006B2F06">
      <w:pPr>
        <w:pStyle w:val="Heading2"/>
        <w:spacing w:line="360" w:lineRule="auto"/>
        <w:rPr>
          <w:rFonts w:ascii="Arial" w:hAnsi="Arial" w:cs="Arial"/>
          <w:color w:val="000000" w:themeColor="text1"/>
          <w:sz w:val="24"/>
          <w:szCs w:val="24"/>
        </w:rPr>
      </w:pPr>
      <w:bookmarkStart w:id="22" w:name="_Toc225852105"/>
      <w:r w:rsidRPr="006B2F06">
        <w:rPr>
          <w:rFonts w:ascii="Arial" w:hAnsi="Arial" w:cs="Arial"/>
          <w:color w:val="000000" w:themeColor="text1"/>
          <w:sz w:val="24"/>
          <w:szCs w:val="24"/>
        </w:rPr>
        <w:t xml:space="preserve">5.3 </w:t>
      </w:r>
      <w:r w:rsidR="00A93279" w:rsidRPr="006B2F06">
        <w:rPr>
          <w:rFonts w:ascii="Arial" w:hAnsi="Arial" w:cs="Arial"/>
          <w:color w:val="000000" w:themeColor="text1"/>
          <w:sz w:val="24"/>
          <w:szCs w:val="24"/>
        </w:rPr>
        <w:t>Internal Business Processes Perspective</w:t>
      </w:r>
      <w:bookmarkEnd w:id="22"/>
    </w:p>
    <w:p w14:paraId="6AE10C0F" w14:textId="77777777" w:rsidR="00A93279" w:rsidRPr="006B2F06" w:rsidRDefault="00A93279" w:rsidP="006B2F06">
      <w:pPr>
        <w:spacing w:line="360" w:lineRule="auto"/>
        <w:jc w:val="both"/>
        <w:rPr>
          <w:rFonts w:ascii="Arial" w:hAnsi="Arial" w:cs="Arial"/>
          <w:color w:val="000000" w:themeColor="text1"/>
        </w:rPr>
      </w:pPr>
    </w:p>
    <w:p w14:paraId="56987AC2"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This perspective evaluates Microsoft’s internal capabilities to innovate, deliver value, and maintain operational excellence. Microsoft’s internal processes focus on cloud infrastructure, product development, cybersecurity, and acquisition integration (Porter, 2008).</w:t>
      </w:r>
    </w:p>
    <w:p w14:paraId="32AA401D" w14:textId="77777777" w:rsidR="00A93279" w:rsidRPr="006B2F06" w:rsidRDefault="00A93279" w:rsidP="006B2F06">
      <w:pPr>
        <w:spacing w:line="360" w:lineRule="auto"/>
        <w:jc w:val="both"/>
        <w:rPr>
          <w:rFonts w:ascii="Arial" w:hAnsi="Arial" w:cs="Arial"/>
          <w:color w:val="000000" w:themeColor="text1"/>
        </w:rPr>
      </w:pPr>
    </w:p>
    <w:p w14:paraId="486A77FE"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Key Internal Objectives</w:t>
      </w:r>
    </w:p>
    <w:p w14:paraId="378A34D9" w14:textId="77777777" w:rsidR="00A93279" w:rsidRPr="006B2F06" w:rsidRDefault="00A93279" w:rsidP="006B2F06">
      <w:pPr>
        <w:spacing w:line="360" w:lineRule="auto"/>
        <w:jc w:val="both"/>
        <w:rPr>
          <w:rFonts w:ascii="Arial" w:hAnsi="Arial" w:cs="Arial"/>
          <w:color w:val="000000" w:themeColor="text1"/>
        </w:rPr>
      </w:pPr>
    </w:p>
    <w:p w14:paraId="4C1A400C"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Accelerate innovation in cloud and AI</w:t>
      </w:r>
    </w:p>
    <w:p w14:paraId="2617F6AF"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Strengthen cybersecurity and data governance</w:t>
      </w:r>
    </w:p>
    <w:p w14:paraId="005F67C0"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Improve operational efficiency across global supply chains</w:t>
      </w:r>
    </w:p>
    <w:p w14:paraId="671BF1DC"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Enhance integration of acquired companies</w:t>
      </w:r>
    </w:p>
    <w:p w14:paraId="318EE6E7" w14:textId="4AB089B7" w:rsidR="00A93279" w:rsidRPr="006B2F06" w:rsidRDefault="00A93279" w:rsidP="006B2F06">
      <w:pPr>
        <w:spacing w:line="360" w:lineRule="auto"/>
        <w:jc w:val="both"/>
        <w:rPr>
          <w:rFonts w:ascii="Arial" w:hAnsi="Arial" w:cs="Arial"/>
          <w:color w:val="000000" w:themeColor="text1"/>
        </w:rPr>
      </w:pPr>
    </w:p>
    <w:p w14:paraId="523CECCE"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KPIs</w:t>
      </w:r>
    </w:p>
    <w:p w14:paraId="06558038" w14:textId="77777777" w:rsidR="00A93279" w:rsidRPr="006B2F06" w:rsidRDefault="00A93279" w:rsidP="006B2F06">
      <w:pPr>
        <w:spacing w:line="360" w:lineRule="auto"/>
        <w:jc w:val="both"/>
        <w:rPr>
          <w:rFonts w:ascii="Arial" w:hAnsi="Arial" w:cs="Arial"/>
          <w:color w:val="000000" w:themeColor="text1"/>
        </w:rPr>
      </w:pPr>
    </w:p>
    <w:p w14:paraId="19248E9B"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R&amp;D expenditure as a percentage of revenue</w:t>
      </w:r>
    </w:p>
    <w:p w14:paraId="2A7F94DF"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Number of AI features deployed across products</w:t>
      </w:r>
    </w:p>
    <w:p w14:paraId="7B7EEA34"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Cybersecurity incident response time</w:t>
      </w:r>
    </w:p>
    <w:p w14:paraId="4EEBB9C3"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Time</w:t>
      </w:r>
      <w:r w:rsidRPr="006B2F06">
        <w:rPr>
          <w:rFonts w:ascii="Cambria Math" w:hAnsi="Cambria Math" w:cs="Cambria Math"/>
          <w:color w:val="000000" w:themeColor="text1"/>
        </w:rPr>
        <w:t>‑</w:t>
      </w:r>
      <w:r w:rsidRPr="006B2F06">
        <w:rPr>
          <w:rFonts w:ascii="Arial" w:hAnsi="Arial" w:cs="Arial"/>
          <w:color w:val="000000" w:themeColor="text1"/>
        </w:rPr>
        <w:t>to</w:t>
      </w:r>
      <w:r w:rsidRPr="006B2F06">
        <w:rPr>
          <w:rFonts w:ascii="Cambria Math" w:hAnsi="Cambria Math" w:cs="Cambria Math"/>
          <w:color w:val="000000" w:themeColor="text1"/>
        </w:rPr>
        <w:t>‑</w:t>
      </w:r>
      <w:r w:rsidRPr="006B2F06">
        <w:rPr>
          <w:rFonts w:ascii="Arial" w:hAnsi="Arial" w:cs="Arial"/>
          <w:color w:val="000000" w:themeColor="text1"/>
        </w:rPr>
        <w:t>market for new cloud services</w:t>
      </w:r>
    </w:p>
    <w:p w14:paraId="3D5774CC" w14:textId="1E303B1A" w:rsidR="00A93279" w:rsidRPr="006B2F06" w:rsidRDefault="00A93279" w:rsidP="006B2F06">
      <w:pPr>
        <w:spacing w:line="360" w:lineRule="auto"/>
        <w:jc w:val="both"/>
        <w:rPr>
          <w:rFonts w:ascii="Arial" w:hAnsi="Arial" w:cs="Arial"/>
          <w:color w:val="000000" w:themeColor="text1"/>
        </w:rPr>
      </w:pPr>
    </w:p>
    <w:p w14:paraId="5F2892A5"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Targets</w:t>
      </w:r>
    </w:p>
    <w:p w14:paraId="328EAA4B" w14:textId="77777777" w:rsidR="00A93279" w:rsidRPr="006B2F06" w:rsidRDefault="00A93279" w:rsidP="006B2F06">
      <w:pPr>
        <w:spacing w:line="360" w:lineRule="auto"/>
        <w:jc w:val="both"/>
        <w:rPr>
          <w:rFonts w:ascii="Arial" w:hAnsi="Arial" w:cs="Arial"/>
          <w:color w:val="000000" w:themeColor="text1"/>
        </w:rPr>
      </w:pPr>
    </w:p>
    <w:p w14:paraId="2627DDBC"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Maintain R&amp;D spending above $20 billion annually (OECD, 2023)</w:t>
      </w:r>
    </w:p>
    <w:p w14:paraId="62722AA5"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Reduce cybersecurity vulnerabilities across cloud infrastructure</w:t>
      </w:r>
    </w:p>
    <w:p w14:paraId="782B1599" w14:textId="77777777" w:rsidR="00A93279" w:rsidRPr="006B2F06" w:rsidRDefault="00A93279" w:rsidP="006B2F06">
      <w:pPr>
        <w:spacing w:line="360" w:lineRule="auto"/>
        <w:jc w:val="both"/>
        <w:rPr>
          <w:rFonts w:ascii="Arial" w:hAnsi="Arial" w:cs="Arial"/>
          <w:color w:val="000000" w:themeColor="text1"/>
        </w:rPr>
      </w:pPr>
    </w:p>
    <w:p w14:paraId="27E88C8A"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Initiatives</w:t>
      </w:r>
    </w:p>
    <w:p w14:paraId="1F644AA6" w14:textId="77777777" w:rsidR="00A93279" w:rsidRPr="006B2F06" w:rsidRDefault="00A93279" w:rsidP="006B2F06">
      <w:pPr>
        <w:spacing w:line="360" w:lineRule="auto"/>
        <w:jc w:val="both"/>
        <w:rPr>
          <w:rFonts w:ascii="Arial" w:hAnsi="Arial" w:cs="Arial"/>
          <w:color w:val="000000" w:themeColor="text1"/>
        </w:rPr>
      </w:pPr>
    </w:p>
    <w:p w14:paraId="659084D7"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Investment in Azure Quantum and AI research (The Economist, 2023)</w:t>
      </w:r>
    </w:p>
    <w:p w14:paraId="74451155"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Strengthening global data</w:t>
      </w:r>
      <w:r w:rsidRPr="006B2F06">
        <w:rPr>
          <w:rFonts w:ascii="Cambria Math" w:hAnsi="Cambria Math" w:cs="Cambria Math"/>
          <w:color w:val="000000" w:themeColor="text1"/>
        </w:rPr>
        <w:t>‑</w:t>
      </w:r>
      <w:r w:rsidRPr="006B2F06">
        <w:rPr>
          <w:rFonts w:ascii="Arial" w:hAnsi="Arial" w:cs="Arial"/>
          <w:color w:val="000000" w:themeColor="text1"/>
        </w:rPr>
        <w:t>centre security</w:t>
      </w:r>
    </w:p>
    <w:p w14:paraId="18B6D2EE"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Streamlining supply chain sustainability practices (Financial Times, 2023)</w:t>
      </w:r>
    </w:p>
    <w:p w14:paraId="3BF6C7E4" w14:textId="33C2F03C" w:rsidR="00A93279" w:rsidRPr="006B2F06" w:rsidRDefault="00A93279" w:rsidP="006B2F06">
      <w:pPr>
        <w:spacing w:line="360" w:lineRule="auto"/>
        <w:jc w:val="both"/>
        <w:rPr>
          <w:rFonts w:ascii="Arial" w:hAnsi="Arial" w:cs="Arial"/>
          <w:color w:val="000000" w:themeColor="text1"/>
        </w:rPr>
      </w:pPr>
    </w:p>
    <w:p w14:paraId="055F3B24"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strong internal processes support rapid innovation and operational resilience, reinforcing its competitive advantage.</w:t>
      </w:r>
    </w:p>
    <w:p w14:paraId="5F7232C1" w14:textId="10AAAAC4" w:rsidR="00A93279" w:rsidRPr="006B2F06" w:rsidRDefault="00A93279" w:rsidP="006B2F06">
      <w:pPr>
        <w:spacing w:line="360" w:lineRule="auto"/>
        <w:jc w:val="both"/>
        <w:rPr>
          <w:rFonts w:ascii="Arial" w:hAnsi="Arial" w:cs="Arial"/>
          <w:color w:val="000000" w:themeColor="text1"/>
        </w:rPr>
      </w:pPr>
    </w:p>
    <w:p w14:paraId="16EBA334" w14:textId="62A82D41" w:rsidR="00A93279" w:rsidRPr="006B2F06" w:rsidRDefault="00B44918" w:rsidP="006B2F06">
      <w:pPr>
        <w:pStyle w:val="Heading2"/>
        <w:spacing w:line="360" w:lineRule="auto"/>
        <w:rPr>
          <w:rFonts w:ascii="Arial" w:hAnsi="Arial" w:cs="Arial"/>
          <w:color w:val="000000" w:themeColor="text1"/>
          <w:sz w:val="24"/>
          <w:szCs w:val="24"/>
        </w:rPr>
      </w:pPr>
      <w:bookmarkStart w:id="23" w:name="_Toc225852106"/>
      <w:r w:rsidRPr="006B2F06">
        <w:rPr>
          <w:rFonts w:ascii="Arial" w:hAnsi="Arial" w:cs="Arial"/>
          <w:color w:val="000000" w:themeColor="text1"/>
          <w:sz w:val="24"/>
          <w:szCs w:val="24"/>
        </w:rPr>
        <w:t xml:space="preserve">5.4 </w:t>
      </w:r>
      <w:r w:rsidR="00A93279" w:rsidRPr="006B2F06">
        <w:rPr>
          <w:rFonts w:ascii="Arial" w:hAnsi="Arial" w:cs="Arial"/>
          <w:color w:val="000000" w:themeColor="text1"/>
          <w:sz w:val="24"/>
          <w:szCs w:val="24"/>
        </w:rPr>
        <w:t>Learning &amp; Growth Perspective</w:t>
      </w:r>
      <w:bookmarkEnd w:id="23"/>
    </w:p>
    <w:p w14:paraId="68E0ADF2" w14:textId="77777777" w:rsidR="00A93279" w:rsidRPr="006B2F06" w:rsidRDefault="00A93279" w:rsidP="006B2F06">
      <w:pPr>
        <w:spacing w:line="360" w:lineRule="auto"/>
        <w:jc w:val="both"/>
        <w:rPr>
          <w:rFonts w:ascii="Arial" w:hAnsi="Arial" w:cs="Arial"/>
          <w:color w:val="000000" w:themeColor="text1"/>
        </w:rPr>
      </w:pPr>
    </w:p>
    <w:p w14:paraId="5FA77E0F" w14:textId="2233E09B"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lastRenderedPageBreak/>
        <w:t>The learning and growth perspective focuses on human capital, organisational culture, and technological capabilities. Microsoft’s cultural transformation under Satya Nadella emphasises collaboration, empathy, and continuous learning (Vance, 2015).</w:t>
      </w:r>
    </w:p>
    <w:p w14:paraId="18801025" w14:textId="77777777" w:rsidR="00A93279" w:rsidRPr="006B2F06" w:rsidRDefault="00A93279" w:rsidP="006B2F06">
      <w:pPr>
        <w:spacing w:line="360" w:lineRule="auto"/>
        <w:jc w:val="both"/>
        <w:rPr>
          <w:rFonts w:ascii="Arial" w:hAnsi="Arial" w:cs="Arial"/>
          <w:color w:val="000000" w:themeColor="text1"/>
        </w:rPr>
      </w:pPr>
    </w:p>
    <w:p w14:paraId="0E39325E"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Key Learning &amp; Growth Objectives</w:t>
      </w:r>
    </w:p>
    <w:p w14:paraId="434DE8E9" w14:textId="77777777" w:rsidR="00A93279" w:rsidRPr="006B2F06" w:rsidRDefault="00A93279" w:rsidP="006B2F06">
      <w:pPr>
        <w:spacing w:line="360" w:lineRule="auto"/>
        <w:jc w:val="both"/>
        <w:rPr>
          <w:rFonts w:ascii="Arial" w:hAnsi="Arial" w:cs="Arial"/>
          <w:color w:val="000000" w:themeColor="text1"/>
        </w:rPr>
      </w:pPr>
    </w:p>
    <w:p w14:paraId="1EED054B"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Develop employee skills in AI, cloud, and cybersecurity</w:t>
      </w:r>
    </w:p>
    <w:p w14:paraId="05F0CF23"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Foster a culture of innovation and inclusion</w:t>
      </w:r>
    </w:p>
    <w:p w14:paraId="024730BC"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Strengthen leadership capabilities</w:t>
      </w:r>
    </w:p>
    <w:p w14:paraId="00254690"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Enhance organisational agility</w:t>
      </w:r>
    </w:p>
    <w:p w14:paraId="65EA93C7" w14:textId="67495A3F" w:rsidR="00A93279" w:rsidRPr="006B2F06" w:rsidRDefault="00A93279" w:rsidP="006B2F06">
      <w:pPr>
        <w:spacing w:line="360" w:lineRule="auto"/>
        <w:jc w:val="both"/>
        <w:rPr>
          <w:rFonts w:ascii="Arial" w:hAnsi="Arial" w:cs="Arial"/>
          <w:color w:val="000000" w:themeColor="text1"/>
        </w:rPr>
      </w:pPr>
    </w:p>
    <w:p w14:paraId="73343333"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KPIs</w:t>
      </w:r>
    </w:p>
    <w:p w14:paraId="349D19AC" w14:textId="77777777" w:rsidR="00A93279" w:rsidRPr="006B2F06" w:rsidRDefault="00A93279" w:rsidP="006B2F06">
      <w:pPr>
        <w:spacing w:line="360" w:lineRule="auto"/>
        <w:jc w:val="both"/>
        <w:rPr>
          <w:rFonts w:ascii="Arial" w:hAnsi="Arial" w:cs="Arial"/>
          <w:color w:val="000000" w:themeColor="text1"/>
        </w:rPr>
      </w:pPr>
    </w:p>
    <w:p w14:paraId="09EEB5ED"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Employee engagement scores</w:t>
      </w:r>
    </w:p>
    <w:p w14:paraId="25C601CB"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Training hours per employee</w:t>
      </w:r>
    </w:p>
    <w:p w14:paraId="383F812B"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Diversity and inclusion metrics</w:t>
      </w:r>
    </w:p>
    <w:p w14:paraId="774B1FD7"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Innovation output (patents filed, new product features)</w:t>
      </w:r>
    </w:p>
    <w:p w14:paraId="711EDE2B" w14:textId="6C6D896E" w:rsidR="00A93279" w:rsidRPr="006B2F06" w:rsidRDefault="00A93279" w:rsidP="006B2F06">
      <w:pPr>
        <w:spacing w:line="360" w:lineRule="auto"/>
        <w:jc w:val="both"/>
        <w:rPr>
          <w:rFonts w:ascii="Arial" w:hAnsi="Arial" w:cs="Arial"/>
          <w:color w:val="000000" w:themeColor="text1"/>
        </w:rPr>
      </w:pPr>
    </w:p>
    <w:p w14:paraId="428B7541" w14:textId="77777777" w:rsidR="00A93279" w:rsidRPr="006B2F06" w:rsidRDefault="00A93279" w:rsidP="006B2F06">
      <w:pPr>
        <w:spacing w:line="360" w:lineRule="auto"/>
        <w:jc w:val="both"/>
        <w:rPr>
          <w:rFonts w:ascii="Arial" w:hAnsi="Arial" w:cs="Arial"/>
          <w:color w:val="000000" w:themeColor="text1"/>
        </w:rPr>
      </w:pPr>
    </w:p>
    <w:p w14:paraId="49894F3F" w14:textId="77777777" w:rsidR="00A93279" w:rsidRPr="006B2F06" w:rsidRDefault="00A93279" w:rsidP="006B2F06">
      <w:pPr>
        <w:spacing w:line="360" w:lineRule="auto"/>
        <w:jc w:val="both"/>
        <w:rPr>
          <w:rFonts w:ascii="Arial" w:hAnsi="Arial" w:cs="Arial"/>
          <w:color w:val="000000" w:themeColor="text1"/>
        </w:rPr>
      </w:pPr>
    </w:p>
    <w:p w14:paraId="483E0E75"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Targets</w:t>
      </w:r>
    </w:p>
    <w:p w14:paraId="0FBD7BA5" w14:textId="77777777" w:rsidR="00A93279" w:rsidRPr="006B2F06" w:rsidRDefault="00A93279" w:rsidP="006B2F06">
      <w:pPr>
        <w:spacing w:line="360" w:lineRule="auto"/>
        <w:jc w:val="both"/>
        <w:rPr>
          <w:rFonts w:ascii="Arial" w:hAnsi="Arial" w:cs="Arial"/>
          <w:color w:val="000000" w:themeColor="text1"/>
        </w:rPr>
      </w:pPr>
    </w:p>
    <w:p w14:paraId="733D13F3"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Increase workforce diversity across leadership roles (Hines and Bruce, 2020)</w:t>
      </w:r>
    </w:p>
    <w:p w14:paraId="09333529"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Expand global training programmes in AI and cloud technologies</w:t>
      </w:r>
    </w:p>
    <w:p w14:paraId="0C8B1E52" w14:textId="77777777" w:rsidR="00A93279" w:rsidRPr="006B2F06" w:rsidRDefault="00A93279" w:rsidP="006B2F06">
      <w:pPr>
        <w:spacing w:line="360" w:lineRule="auto"/>
        <w:jc w:val="both"/>
        <w:rPr>
          <w:rFonts w:ascii="Arial" w:hAnsi="Arial" w:cs="Arial"/>
          <w:color w:val="000000" w:themeColor="text1"/>
        </w:rPr>
      </w:pPr>
    </w:p>
    <w:p w14:paraId="17CEE840"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Initiatives</w:t>
      </w:r>
    </w:p>
    <w:p w14:paraId="77B09FD6" w14:textId="77777777" w:rsidR="00A93279" w:rsidRPr="006B2F06" w:rsidRDefault="00A93279" w:rsidP="006B2F06">
      <w:pPr>
        <w:spacing w:line="360" w:lineRule="auto"/>
        <w:jc w:val="both"/>
        <w:rPr>
          <w:rFonts w:ascii="Arial" w:hAnsi="Arial" w:cs="Arial"/>
          <w:color w:val="000000" w:themeColor="text1"/>
        </w:rPr>
      </w:pPr>
    </w:p>
    <w:p w14:paraId="4DF0C49C"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Microsoft Learn and global upskilling programmes</w:t>
      </w:r>
    </w:p>
    <w:p w14:paraId="28B375DB"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Leadership development initiatives</w:t>
      </w:r>
    </w:p>
    <w:p w14:paraId="07BD1C97"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Investment in inclusive workplace practices (Hofstede, 2011)</w:t>
      </w:r>
    </w:p>
    <w:p w14:paraId="4D347008" w14:textId="77777777" w:rsidR="00A93279" w:rsidRPr="006B2F06" w:rsidRDefault="00A93279" w:rsidP="006B2F06">
      <w:pPr>
        <w:spacing w:line="360" w:lineRule="auto"/>
        <w:jc w:val="both"/>
        <w:rPr>
          <w:rFonts w:ascii="Arial" w:hAnsi="Arial" w:cs="Arial"/>
          <w:color w:val="000000" w:themeColor="text1"/>
        </w:rPr>
      </w:pPr>
    </w:p>
    <w:p w14:paraId="6FBAAEF5"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focus on learning and growth ensures long</w:t>
      </w:r>
      <w:r w:rsidRPr="006B2F06">
        <w:rPr>
          <w:rFonts w:ascii="Cambria Math" w:hAnsi="Cambria Math" w:cs="Cambria Math"/>
          <w:color w:val="000000" w:themeColor="text1"/>
        </w:rPr>
        <w:t>‑</w:t>
      </w:r>
      <w:r w:rsidRPr="006B2F06">
        <w:rPr>
          <w:rFonts w:ascii="Arial" w:hAnsi="Arial" w:cs="Arial"/>
          <w:color w:val="000000" w:themeColor="text1"/>
        </w:rPr>
        <w:t>term innovation capacity and strategic adaptability.</w:t>
      </w:r>
    </w:p>
    <w:p w14:paraId="67D6D4DA" w14:textId="77777777" w:rsidR="00A93279" w:rsidRPr="006B2F06" w:rsidRDefault="00A93279" w:rsidP="006B2F06">
      <w:pPr>
        <w:spacing w:line="360" w:lineRule="auto"/>
        <w:jc w:val="both"/>
        <w:rPr>
          <w:rFonts w:ascii="Arial" w:hAnsi="Arial" w:cs="Arial"/>
          <w:color w:val="000000" w:themeColor="text1"/>
        </w:rPr>
      </w:pPr>
    </w:p>
    <w:p w14:paraId="720B4784" w14:textId="52162810" w:rsidR="00A93279" w:rsidRPr="006B2F06" w:rsidRDefault="00B44918" w:rsidP="006B2F06">
      <w:pPr>
        <w:pStyle w:val="Heading2"/>
        <w:spacing w:line="360" w:lineRule="auto"/>
        <w:rPr>
          <w:rFonts w:ascii="Arial" w:hAnsi="Arial" w:cs="Arial"/>
          <w:color w:val="000000" w:themeColor="text1"/>
          <w:sz w:val="24"/>
          <w:szCs w:val="24"/>
        </w:rPr>
      </w:pPr>
      <w:bookmarkStart w:id="24" w:name="_Toc225852107"/>
      <w:r w:rsidRPr="006B2F06">
        <w:rPr>
          <w:rFonts w:ascii="Arial" w:hAnsi="Arial" w:cs="Arial"/>
          <w:color w:val="000000" w:themeColor="text1"/>
          <w:sz w:val="24"/>
          <w:szCs w:val="24"/>
        </w:rPr>
        <w:t xml:space="preserve">5.5 </w:t>
      </w:r>
      <w:r w:rsidR="00A93279" w:rsidRPr="006B2F06">
        <w:rPr>
          <w:rFonts w:ascii="Arial" w:hAnsi="Arial" w:cs="Arial"/>
          <w:color w:val="000000" w:themeColor="text1"/>
          <w:sz w:val="24"/>
          <w:szCs w:val="24"/>
        </w:rPr>
        <w:t>Critical Evaluation</w:t>
      </w:r>
      <w:bookmarkEnd w:id="24"/>
    </w:p>
    <w:p w14:paraId="35C37F73" w14:textId="77777777" w:rsidR="00A93279" w:rsidRPr="006B2F06" w:rsidRDefault="00A93279" w:rsidP="006B2F06">
      <w:pPr>
        <w:spacing w:line="360" w:lineRule="auto"/>
        <w:jc w:val="both"/>
        <w:rPr>
          <w:rFonts w:ascii="Arial" w:hAnsi="Arial" w:cs="Arial"/>
          <w:color w:val="000000" w:themeColor="text1"/>
        </w:rPr>
      </w:pPr>
    </w:p>
    <w:p w14:paraId="02BCC787" w14:textId="27FD3938"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While Microsoft’s Balanced Scorecard demonstrates strong alignment between strategy and performance, challenges remain. The company faces intense competition in cloud and AI markets, requiring continuous innovation and investment (Gartner, 2023). Additionally, integrating large acquisitions poses cultural and operational risks (Nikkei Asia, 2023). Nonetheless, Microsoft’s BSC framework effectively supports strategic execution and long</w:t>
      </w:r>
      <w:r w:rsidRPr="006B2F06">
        <w:rPr>
          <w:rFonts w:ascii="Cambria Math" w:hAnsi="Cambria Math" w:cs="Cambria Math"/>
          <w:color w:val="000000" w:themeColor="text1"/>
        </w:rPr>
        <w:t>‑</w:t>
      </w:r>
      <w:r w:rsidRPr="006B2F06">
        <w:rPr>
          <w:rFonts w:ascii="Arial" w:hAnsi="Arial" w:cs="Arial"/>
          <w:color w:val="000000" w:themeColor="text1"/>
        </w:rPr>
        <w:t>term value creation.</w:t>
      </w:r>
    </w:p>
    <w:p w14:paraId="0E8F8798" w14:textId="77777777" w:rsidR="00A93279" w:rsidRPr="006B2F06" w:rsidRDefault="00A93279" w:rsidP="006B2F06">
      <w:pPr>
        <w:spacing w:line="360" w:lineRule="auto"/>
        <w:jc w:val="both"/>
        <w:rPr>
          <w:rFonts w:ascii="Arial" w:hAnsi="Arial" w:cs="Arial"/>
          <w:color w:val="000000" w:themeColor="text1"/>
        </w:rPr>
      </w:pPr>
    </w:p>
    <w:p w14:paraId="7B36D2C7" w14:textId="25454CD9" w:rsidR="00A93279" w:rsidRPr="006B2F06" w:rsidRDefault="00B44918" w:rsidP="006B2F06">
      <w:pPr>
        <w:pStyle w:val="Heading1"/>
        <w:spacing w:line="360" w:lineRule="auto"/>
        <w:rPr>
          <w:rFonts w:ascii="Arial" w:hAnsi="Arial" w:cs="Arial"/>
          <w:color w:val="000000" w:themeColor="text1"/>
          <w:sz w:val="24"/>
          <w:szCs w:val="24"/>
        </w:rPr>
      </w:pPr>
      <w:bookmarkStart w:id="25" w:name="_Toc225852108"/>
      <w:r w:rsidRPr="006B2F06">
        <w:rPr>
          <w:rFonts w:ascii="Arial" w:hAnsi="Arial" w:cs="Arial"/>
          <w:color w:val="000000" w:themeColor="text1"/>
          <w:sz w:val="24"/>
          <w:szCs w:val="24"/>
        </w:rPr>
        <w:t xml:space="preserve">6 </w:t>
      </w:r>
      <w:r w:rsidR="00A93279" w:rsidRPr="006B2F06">
        <w:rPr>
          <w:rFonts w:ascii="Arial" w:hAnsi="Arial" w:cs="Arial"/>
          <w:color w:val="000000" w:themeColor="text1"/>
          <w:sz w:val="24"/>
          <w:szCs w:val="24"/>
        </w:rPr>
        <w:t>Strategic Choices and Implementation</w:t>
      </w:r>
      <w:bookmarkEnd w:id="25"/>
      <w:r w:rsidR="00A93279" w:rsidRPr="006B2F06">
        <w:rPr>
          <w:rFonts w:ascii="Arial" w:hAnsi="Arial" w:cs="Arial"/>
          <w:color w:val="000000" w:themeColor="text1"/>
          <w:sz w:val="24"/>
          <w:szCs w:val="24"/>
        </w:rPr>
        <w:t xml:space="preserve"> </w:t>
      </w:r>
    </w:p>
    <w:p w14:paraId="0141203F" w14:textId="77777777" w:rsidR="00A93279" w:rsidRPr="006B2F06" w:rsidRDefault="00A93279" w:rsidP="006B2F06">
      <w:pPr>
        <w:spacing w:line="360" w:lineRule="auto"/>
        <w:jc w:val="both"/>
        <w:rPr>
          <w:rFonts w:ascii="Arial" w:hAnsi="Arial" w:cs="Arial"/>
          <w:color w:val="000000" w:themeColor="text1"/>
        </w:rPr>
      </w:pPr>
    </w:p>
    <w:p w14:paraId="3A7EBF6B" w14:textId="05A6073D"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strategic choices operate at both the business level and corporate level, reflecting its diversified global operations and long</w:t>
      </w:r>
      <w:r w:rsidRPr="006B2F06">
        <w:rPr>
          <w:rFonts w:ascii="Cambria Math" w:hAnsi="Cambria Math" w:cs="Cambria Math"/>
          <w:color w:val="000000" w:themeColor="text1"/>
        </w:rPr>
        <w:t>‑</w:t>
      </w:r>
      <w:r w:rsidRPr="006B2F06">
        <w:rPr>
          <w:rFonts w:ascii="Arial" w:hAnsi="Arial" w:cs="Arial"/>
          <w:color w:val="000000" w:themeColor="text1"/>
        </w:rPr>
        <w:t>term ambition to lead in cloud computing, AI, and enterprise digital transformation. A critical evaluation of Microsoft’s strategic choices demonstrates how the company positions itself for sustained competitive advantage while navigating intense competition, regulatory pressures, and rapid technological change (Porter, 2008; Johnson, Whittington and Scholes, 2020).</w:t>
      </w:r>
      <w:r w:rsidR="00DC25E0" w:rsidRPr="006B2F06">
        <w:rPr>
          <w:rFonts w:ascii="Arial" w:hAnsi="Arial" w:cs="Arial"/>
          <w:color w:val="000000" w:themeColor="text1"/>
        </w:rPr>
        <w:t xml:space="preserve"> Microsoft follows a differentiation strategy driven by ecosystem integration and AI innovation; however, increasing technological convergence may reduce the sustainability of this advantage.</w:t>
      </w:r>
    </w:p>
    <w:p w14:paraId="3D6ACE27" w14:textId="77777777" w:rsidR="00A93279" w:rsidRPr="006B2F06" w:rsidRDefault="00A93279" w:rsidP="006B2F06">
      <w:pPr>
        <w:pStyle w:val="Heading2"/>
        <w:spacing w:line="360" w:lineRule="auto"/>
        <w:rPr>
          <w:rFonts w:ascii="Arial" w:hAnsi="Arial" w:cs="Arial"/>
          <w:color w:val="000000" w:themeColor="text1"/>
          <w:sz w:val="24"/>
          <w:szCs w:val="24"/>
        </w:rPr>
      </w:pPr>
    </w:p>
    <w:p w14:paraId="0791CC8C" w14:textId="7B705B6D" w:rsidR="00A93279" w:rsidRPr="006B2F06" w:rsidRDefault="00B44918" w:rsidP="006B2F06">
      <w:pPr>
        <w:pStyle w:val="Heading2"/>
        <w:spacing w:line="360" w:lineRule="auto"/>
        <w:rPr>
          <w:rFonts w:ascii="Arial" w:hAnsi="Arial" w:cs="Arial"/>
          <w:color w:val="000000" w:themeColor="text1"/>
          <w:sz w:val="24"/>
          <w:szCs w:val="24"/>
        </w:rPr>
      </w:pPr>
      <w:bookmarkStart w:id="26" w:name="_Toc225852109"/>
      <w:r w:rsidRPr="006B2F06">
        <w:rPr>
          <w:rFonts w:ascii="Arial" w:hAnsi="Arial" w:cs="Arial"/>
          <w:color w:val="000000" w:themeColor="text1"/>
          <w:sz w:val="24"/>
          <w:szCs w:val="24"/>
        </w:rPr>
        <w:t xml:space="preserve">6.1 </w:t>
      </w:r>
      <w:r w:rsidR="00A93279" w:rsidRPr="006B2F06">
        <w:rPr>
          <w:rFonts w:ascii="Arial" w:hAnsi="Arial" w:cs="Arial"/>
          <w:color w:val="000000" w:themeColor="text1"/>
          <w:sz w:val="24"/>
          <w:szCs w:val="24"/>
        </w:rPr>
        <w:t>Business</w:t>
      </w:r>
      <w:r w:rsidR="00A93279" w:rsidRPr="006B2F06">
        <w:rPr>
          <w:rFonts w:ascii="Cambria Math" w:hAnsi="Cambria Math" w:cs="Cambria Math"/>
          <w:color w:val="000000" w:themeColor="text1"/>
          <w:sz w:val="24"/>
          <w:szCs w:val="24"/>
        </w:rPr>
        <w:t>‑</w:t>
      </w:r>
      <w:r w:rsidR="00A93279" w:rsidRPr="006B2F06">
        <w:rPr>
          <w:rFonts w:ascii="Arial" w:hAnsi="Arial" w:cs="Arial"/>
          <w:color w:val="000000" w:themeColor="text1"/>
          <w:sz w:val="24"/>
          <w:szCs w:val="24"/>
        </w:rPr>
        <w:t>Level Strategy</w:t>
      </w:r>
      <w:bookmarkEnd w:id="26"/>
    </w:p>
    <w:p w14:paraId="7F60BA4C" w14:textId="77777777" w:rsidR="00A93279" w:rsidRPr="006B2F06" w:rsidRDefault="00A93279" w:rsidP="006B2F06">
      <w:pPr>
        <w:spacing w:line="360" w:lineRule="auto"/>
        <w:jc w:val="both"/>
        <w:rPr>
          <w:rFonts w:ascii="Arial" w:hAnsi="Arial" w:cs="Arial"/>
          <w:color w:val="000000" w:themeColor="text1"/>
        </w:rPr>
      </w:pPr>
    </w:p>
    <w:p w14:paraId="3CD7F297"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 primarily pursues a differentiation strategy, supported by innovation, ecosystem integration, and premium value creation. Porter’s (1985) generic strategies emphasise differentiation as a means of achieving competitive advantage through unique value propositions. Microsoft differentiates itself through:</w:t>
      </w:r>
    </w:p>
    <w:p w14:paraId="438263CC" w14:textId="77777777" w:rsidR="00A93279" w:rsidRPr="006B2F06" w:rsidRDefault="00A93279" w:rsidP="006B2F06">
      <w:pPr>
        <w:spacing w:line="360" w:lineRule="auto"/>
        <w:jc w:val="both"/>
        <w:rPr>
          <w:rFonts w:ascii="Arial" w:hAnsi="Arial" w:cs="Arial"/>
          <w:color w:val="000000" w:themeColor="text1"/>
        </w:rPr>
      </w:pPr>
    </w:p>
    <w:p w14:paraId="7C3B53E2"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A. Integrated Ecosystem</w:t>
      </w:r>
    </w:p>
    <w:p w14:paraId="0B0E0FF2" w14:textId="77777777" w:rsidR="00A93279" w:rsidRPr="006B2F06" w:rsidRDefault="00A93279" w:rsidP="006B2F06">
      <w:pPr>
        <w:spacing w:line="360" w:lineRule="auto"/>
        <w:jc w:val="both"/>
        <w:rPr>
          <w:rFonts w:ascii="Arial" w:hAnsi="Arial" w:cs="Arial"/>
          <w:color w:val="000000" w:themeColor="text1"/>
        </w:rPr>
      </w:pPr>
    </w:p>
    <w:p w14:paraId="358680B8"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ecosystem — combining Windows, Microsoft 365, Azure, LinkedIn, GitHub, and Xbox — creates high switching costs and enhances customer lock</w:t>
      </w:r>
      <w:r w:rsidRPr="006B2F06">
        <w:rPr>
          <w:rFonts w:ascii="Cambria Math" w:hAnsi="Cambria Math" w:cs="Cambria Math"/>
          <w:color w:val="000000" w:themeColor="text1"/>
        </w:rPr>
        <w:t>‑</w:t>
      </w:r>
      <w:r w:rsidRPr="006B2F06">
        <w:rPr>
          <w:rFonts w:ascii="Arial" w:hAnsi="Arial" w:cs="Arial"/>
          <w:color w:val="000000" w:themeColor="text1"/>
        </w:rPr>
        <w:t>in (Gartner, 2023). This integration differentiates Microsoft from AWS, which lacks a comparable productivity suite, and from Google, which lacks enterprise depth (McKinsey &amp; Company, 2023).</w:t>
      </w:r>
    </w:p>
    <w:p w14:paraId="0404E977" w14:textId="77777777" w:rsidR="00A93279" w:rsidRPr="006B2F06" w:rsidRDefault="00A93279" w:rsidP="006B2F06">
      <w:pPr>
        <w:spacing w:line="360" w:lineRule="auto"/>
        <w:jc w:val="both"/>
        <w:rPr>
          <w:rFonts w:ascii="Arial" w:hAnsi="Arial" w:cs="Arial"/>
          <w:color w:val="000000" w:themeColor="text1"/>
        </w:rPr>
      </w:pPr>
    </w:p>
    <w:p w14:paraId="4B7D2CCF"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B. AI</w:t>
      </w:r>
      <w:r w:rsidRPr="006B2F06">
        <w:rPr>
          <w:rFonts w:ascii="Cambria Math" w:hAnsi="Cambria Math" w:cs="Cambria Math"/>
          <w:b/>
          <w:bCs/>
          <w:color w:val="000000" w:themeColor="text1"/>
        </w:rPr>
        <w:t>‑</w:t>
      </w:r>
      <w:r w:rsidRPr="006B2F06">
        <w:rPr>
          <w:rFonts w:ascii="Arial" w:hAnsi="Arial" w:cs="Arial"/>
          <w:b/>
          <w:bCs/>
          <w:color w:val="000000" w:themeColor="text1"/>
        </w:rPr>
        <w:t>Driven Innovation</w:t>
      </w:r>
    </w:p>
    <w:p w14:paraId="1C2CCBFB" w14:textId="77777777" w:rsidR="00A93279" w:rsidRPr="006B2F06" w:rsidRDefault="00A93279" w:rsidP="006B2F06">
      <w:pPr>
        <w:spacing w:line="360" w:lineRule="auto"/>
        <w:jc w:val="both"/>
        <w:rPr>
          <w:rFonts w:ascii="Arial" w:hAnsi="Arial" w:cs="Arial"/>
          <w:color w:val="000000" w:themeColor="text1"/>
        </w:rPr>
      </w:pPr>
    </w:p>
    <w:p w14:paraId="7D9A1A4C"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partnership with OpenAI strengthens its differentiation strategy by embedding advanced AI capabilities across Azure and Microsoft 365 (Financial Times, 2023). This aligns with industry trends toward AI</w:t>
      </w:r>
      <w:r w:rsidRPr="006B2F06">
        <w:rPr>
          <w:rFonts w:ascii="Cambria Math" w:hAnsi="Cambria Math" w:cs="Cambria Math"/>
          <w:color w:val="000000" w:themeColor="text1"/>
        </w:rPr>
        <w:t>‑</w:t>
      </w:r>
      <w:r w:rsidRPr="006B2F06">
        <w:rPr>
          <w:rFonts w:ascii="Arial" w:hAnsi="Arial" w:cs="Arial"/>
          <w:color w:val="000000" w:themeColor="text1"/>
        </w:rPr>
        <w:t>enabled productivity and automation (OECD, 2023).</w:t>
      </w:r>
    </w:p>
    <w:p w14:paraId="1BEFC5B4" w14:textId="77777777" w:rsidR="00A93279" w:rsidRPr="006B2F06" w:rsidRDefault="00A93279" w:rsidP="006B2F06">
      <w:pPr>
        <w:spacing w:line="360" w:lineRule="auto"/>
        <w:jc w:val="both"/>
        <w:rPr>
          <w:rFonts w:ascii="Arial" w:hAnsi="Arial" w:cs="Arial"/>
          <w:color w:val="000000" w:themeColor="text1"/>
        </w:rPr>
      </w:pPr>
    </w:p>
    <w:p w14:paraId="7E0A1151" w14:textId="77777777" w:rsidR="00A93279" w:rsidRPr="006B2F06" w:rsidRDefault="00A93279" w:rsidP="006B2F06">
      <w:pPr>
        <w:spacing w:line="360" w:lineRule="auto"/>
        <w:jc w:val="both"/>
        <w:rPr>
          <w:rFonts w:ascii="Arial" w:hAnsi="Arial" w:cs="Arial"/>
          <w:color w:val="000000" w:themeColor="text1"/>
        </w:rPr>
      </w:pPr>
    </w:p>
    <w:p w14:paraId="58805A0A"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C. Enterprise</w:t>
      </w:r>
      <w:r w:rsidRPr="006B2F06">
        <w:rPr>
          <w:rFonts w:ascii="Cambria Math" w:hAnsi="Cambria Math" w:cs="Cambria Math"/>
          <w:b/>
          <w:bCs/>
          <w:color w:val="000000" w:themeColor="text1"/>
        </w:rPr>
        <w:t>‑</w:t>
      </w:r>
      <w:r w:rsidRPr="006B2F06">
        <w:rPr>
          <w:rFonts w:ascii="Arial" w:hAnsi="Arial" w:cs="Arial"/>
          <w:b/>
          <w:bCs/>
          <w:color w:val="000000" w:themeColor="text1"/>
        </w:rPr>
        <w:t>Focused Value Proposition</w:t>
      </w:r>
    </w:p>
    <w:p w14:paraId="4F0B0EB1" w14:textId="77777777" w:rsidR="00A93279" w:rsidRPr="006B2F06" w:rsidRDefault="00A93279" w:rsidP="006B2F06">
      <w:pPr>
        <w:spacing w:line="360" w:lineRule="auto"/>
        <w:jc w:val="both"/>
        <w:rPr>
          <w:rFonts w:ascii="Arial" w:hAnsi="Arial" w:cs="Arial"/>
          <w:color w:val="000000" w:themeColor="text1"/>
        </w:rPr>
      </w:pPr>
    </w:p>
    <w:p w14:paraId="763F8D11"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strong enterprise relationships and compliance</w:t>
      </w:r>
      <w:r w:rsidRPr="006B2F06">
        <w:rPr>
          <w:rFonts w:ascii="Cambria Math" w:hAnsi="Cambria Math" w:cs="Cambria Math"/>
          <w:color w:val="000000" w:themeColor="text1"/>
        </w:rPr>
        <w:t>‑</w:t>
      </w:r>
      <w:r w:rsidRPr="006B2F06">
        <w:rPr>
          <w:rFonts w:ascii="Arial" w:hAnsi="Arial" w:cs="Arial"/>
          <w:color w:val="000000" w:themeColor="text1"/>
        </w:rPr>
        <w:t>focused cloud services differentiate it in regulated industries such as finance, healthcare, and government (European Commission, 2023).</w:t>
      </w:r>
    </w:p>
    <w:p w14:paraId="7F13AD2C" w14:textId="77777777" w:rsidR="00A93279" w:rsidRPr="006B2F06" w:rsidRDefault="00A93279" w:rsidP="006B2F06">
      <w:pPr>
        <w:spacing w:line="360" w:lineRule="auto"/>
        <w:jc w:val="both"/>
        <w:rPr>
          <w:rFonts w:ascii="Arial" w:hAnsi="Arial" w:cs="Arial"/>
          <w:color w:val="000000" w:themeColor="text1"/>
        </w:rPr>
      </w:pPr>
    </w:p>
    <w:p w14:paraId="30E775AF"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lastRenderedPageBreak/>
        <w:t>Critical Evaluation</w:t>
      </w:r>
    </w:p>
    <w:p w14:paraId="3A9A886D" w14:textId="77777777" w:rsidR="00A93279" w:rsidRPr="006B2F06" w:rsidRDefault="00A93279" w:rsidP="006B2F06">
      <w:pPr>
        <w:spacing w:line="360" w:lineRule="auto"/>
        <w:jc w:val="both"/>
        <w:rPr>
          <w:rFonts w:ascii="Arial" w:hAnsi="Arial" w:cs="Arial"/>
          <w:color w:val="000000" w:themeColor="text1"/>
        </w:rPr>
      </w:pPr>
    </w:p>
    <w:p w14:paraId="55708CDF"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While differentiation strengthens Microsoft’s competitive position, it requires continuous innovation and high R&amp;D investment. Competitors such as AWS and Google Cloud also innovate rapidly, reducing the sustainability of differentiation advantages (The Economist, 2023).</w:t>
      </w:r>
    </w:p>
    <w:p w14:paraId="59D92798" w14:textId="77777777" w:rsidR="00A93279" w:rsidRPr="006B2F06" w:rsidRDefault="00A93279" w:rsidP="006B2F06">
      <w:pPr>
        <w:spacing w:line="360" w:lineRule="auto"/>
        <w:jc w:val="both"/>
        <w:rPr>
          <w:rFonts w:ascii="Arial" w:hAnsi="Arial" w:cs="Arial"/>
          <w:color w:val="000000" w:themeColor="text1"/>
        </w:rPr>
      </w:pPr>
    </w:p>
    <w:p w14:paraId="2D97622F" w14:textId="2915C25D" w:rsidR="00A93279" w:rsidRPr="006B2F06" w:rsidRDefault="00B37DF9" w:rsidP="006B2F06">
      <w:pPr>
        <w:pStyle w:val="Heading2"/>
        <w:spacing w:line="360" w:lineRule="auto"/>
        <w:rPr>
          <w:rFonts w:ascii="Arial" w:hAnsi="Arial" w:cs="Arial"/>
          <w:color w:val="000000" w:themeColor="text1"/>
          <w:sz w:val="24"/>
          <w:szCs w:val="24"/>
        </w:rPr>
      </w:pPr>
      <w:bookmarkStart w:id="27" w:name="_Toc225852110"/>
      <w:r w:rsidRPr="006B2F06">
        <w:rPr>
          <w:rFonts w:ascii="Arial" w:hAnsi="Arial" w:cs="Arial"/>
          <w:color w:val="000000" w:themeColor="text1"/>
          <w:sz w:val="24"/>
          <w:szCs w:val="24"/>
        </w:rPr>
        <w:t>6.2</w:t>
      </w:r>
      <w:r w:rsidR="00A93279" w:rsidRPr="006B2F06">
        <w:rPr>
          <w:rFonts w:ascii="Arial" w:hAnsi="Arial" w:cs="Arial"/>
          <w:color w:val="000000" w:themeColor="text1"/>
          <w:sz w:val="24"/>
          <w:szCs w:val="24"/>
        </w:rPr>
        <w:t xml:space="preserve"> Corporate</w:t>
      </w:r>
      <w:r w:rsidR="00A93279" w:rsidRPr="006B2F06">
        <w:rPr>
          <w:rFonts w:ascii="Cambria Math" w:hAnsi="Cambria Math" w:cs="Cambria Math"/>
          <w:color w:val="000000" w:themeColor="text1"/>
          <w:sz w:val="24"/>
          <w:szCs w:val="24"/>
        </w:rPr>
        <w:t>‑</w:t>
      </w:r>
      <w:r w:rsidR="00A93279" w:rsidRPr="006B2F06">
        <w:rPr>
          <w:rFonts w:ascii="Arial" w:hAnsi="Arial" w:cs="Arial"/>
          <w:color w:val="000000" w:themeColor="text1"/>
          <w:sz w:val="24"/>
          <w:szCs w:val="24"/>
        </w:rPr>
        <w:t>Level Strategy</w:t>
      </w:r>
      <w:bookmarkEnd w:id="27"/>
    </w:p>
    <w:p w14:paraId="239E6DC2" w14:textId="77777777" w:rsidR="00A93279" w:rsidRPr="006B2F06" w:rsidRDefault="00A93279" w:rsidP="006B2F06">
      <w:pPr>
        <w:spacing w:line="360" w:lineRule="auto"/>
        <w:jc w:val="both"/>
        <w:rPr>
          <w:rFonts w:ascii="Arial" w:hAnsi="Arial" w:cs="Arial"/>
          <w:color w:val="000000" w:themeColor="text1"/>
        </w:rPr>
      </w:pPr>
    </w:p>
    <w:p w14:paraId="0FE5664C"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At the corporate level, Microsoft pursues related diversification, expanding into complementary markets that reinforce its core capabilities (Ansoff, 1957). Key elements include:</w:t>
      </w:r>
    </w:p>
    <w:p w14:paraId="6E923BA3" w14:textId="77777777" w:rsidR="00A93279" w:rsidRPr="006B2F06" w:rsidRDefault="00A93279" w:rsidP="006B2F06">
      <w:pPr>
        <w:spacing w:line="360" w:lineRule="auto"/>
        <w:jc w:val="both"/>
        <w:rPr>
          <w:rFonts w:ascii="Arial" w:hAnsi="Arial" w:cs="Arial"/>
          <w:color w:val="000000" w:themeColor="text1"/>
        </w:rPr>
      </w:pPr>
    </w:p>
    <w:p w14:paraId="7B06C7BC"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A. Strategic Acquisitions</w:t>
      </w:r>
    </w:p>
    <w:p w14:paraId="4E296A50" w14:textId="77777777" w:rsidR="00A93279" w:rsidRPr="006B2F06" w:rsidRDefault="00A93279" w:rsidP="006B2F06">
      <w:pPr>
        <w:spacing w:line="360" w:lineRule="auto"/>
        <w:jc w:val="both"/>
        <w:rPr>
          <w:rFonts w:ascii="Arial" w:hAnsi="Arial" w:cs="Arial"/>
          <w:color w:val="000000" w:themeColor="text1"/>
        </w:rPr>
      </w:pPr>
    </w:p>
    <w:p w14:paraId="25E05203"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acquisitions — LinkedIn (2016), GitHub (2018), Nuance (2021), and Activision Blizzard (2023) — enhance its capabilities in cloud, AI, gaming, and enterprise solutions (Nikkei Asia, 2023). These acquisitions align with Microsoft’s long</w:t>
      </w:r>
      <w:r w:rsidRPr="006B2F06">
        <w:rPr>
          <w:rFonts w:ascii="Cambria Math" w:hAnsi="Cambria Math" w:cs="Cambria Math"/>
          <w:color w:val="000000" w:themeColor="text1"/>
        </w:rPr>
        <w:t>‑</w:t>
      </w:r>
      <w:r w:rsidRPr="006B2F06">
        <w:rPr>
          <w:rFonts w:ascii="Arial" w:hAnsi="Arial" w:cs="Arial"/>
          <w:color w:val="000000" w:themeColor="text1"/>
        </w:rPr>
        <w:t>term strategy to expand its digital ecosystem and strengthen competitive positioning (Financial Times, 2023).</w:t>
      </w:r>
    </w:p>
    <w:p w14:paraId="29B6F37D" w14:textId="77777777" w:rsidR="00A93279" w:rsidRPr="006B2F06" w:rsidRDefault="00A93279" w:rsidP="006B2F06">
      <w:pPr>
        <w:spacing w:line="360" w:lineRule="auto"/>
        <w:jc w:val="both"/>
        <w:rPr>
          <w:rFonts w:ascii="Arial" w:hAnsi="Arial" w:cs="Arial"/>
          <w:color w:val="000000" w:themeColor="text1"/>
        </w:rPr>
      </w:pPr>
    </w:p>
    <w:p w14:paraId="6AA7D74D"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B. Cloud</w:t>
      </w:r>
      <w:r w:rsidRPr="006B2F06">
        <w:rPr>
          <w:rFonts w:ascii="Cambria Math" w:hAnsi="Cambria Math" w:cs="Cambria Math"/>
          <w:b/>
          <w:bCs/>
          <w:color w:val="000000" w:themeColor="text1"/>
        </w:rPr>
        <w:t>‑</w:t>
      </w:r>
      <w:r w:rsidRPr="006B2F06">
        <w:rPr>
          <w:rFonts w:ascii="Arial" w:hAnsi="Arial" w:cs="Arial"/>
          <w:b/>
          <w:bCs/>
          <w:color w:val="000000" w:themeColor="text1"/>
        </w:rPr>
        <w:t>First, Mobile</w:t>
      </w:r>
      <w:r w:rsidRPr="006B2F06">
        <w:rPr>
          <w:rFonts w:ascii="Cambria Math" w:hAnsi="Cambria Math" w:cs="Cambria Math"/>
          <w:b/>
          <w:bCs/>
          <w:color w:val="000000" w:themeColor="text1"/>
        </w:rPr>
        <w:t>‑</w:t>
      </w:r>
      <w:r w:rsidRPr="006B2F06">
        <w:rPr>
          <w:rFonts w:ascii="Arial" w:hAnsi="Arial" w:cs="Arial"/>
          <w:b/>
          <w:bCs/>
          <w:color w:val="000000" w:themeColor="text1"/>
        </w:rPr>
        <w:t>First Strategy</w:t>
      </w:r>
    </w:p>
    <w:p w14:paraId="43FB9D75" w14:textId="77777777" w:rsidR="00A93279" w:rsidRPr="006B2F06" w:rsidRDefault="00A93279" w:rsidP="006B2F06">
      <w:pPr>
        <w:spacing w:line="360" w:lineRule="auto"/>
        <w:jc w:val="both"/>
        <w:rPr>
          <w:rFonts w:ascii="Arial" w:hAnsi="Arial" w:cs="Arial"/>
          <w:color w:val="000000" w:themeColor="text1"/>
        </w:rPr>
      </w:pPr>
    </w:p>
    <w:p w14:paraId="3E99DB78" w14:textId="37764439"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Under Satya Nadella, Microsoft shifted from a Windows</w:t>
      </w:r>
      <w:r w:rsidRPr="006B2F06">
        <w:rPr>
          <w:rFonts w:ascii="Cambria Math" w:hAnsi="Cambria Math" w:cs="Cambria Math"/>
          <w:color w:val="000000" w:themeColor="text1"/>
        </w:rPr>
        <w:t>‑</w:t>
      </w:r>
      <w:r w:rsidRPr="006B2F06">
        <w:rPr>
          <w:rFonts w:ascii="Arial" w:hAnsi="Arial" w:cs="Arial"/>
          <w:color w:val="000000" w:themeColor="text1"/>
        </w:rPr>
        <w:t>centric model to a cloud</w:t>
      </w:r>
      <w:r w:rsidRPr="006B2F06">
        <w:rPr>
          <w:rFonts w:ascii="Cambria Math" w:hAnsi="Cambria Math" w:cs="Cambria Math"/>
          <w:color w:val="000000" w:themeColor="text1"/>
        </w:rPr>
        <w:t>‑</w:t>
      </w:r>
      <w:r w:rsidRPr="006B2F06">
        <w:rPr>
          <w:rFonts w:ascii="Arial" w:hAnsi="Arial" w:cs="Arial"/>
          <w:color w:val="000000" w:themeColor="text1"/>
        </w:rPr>
        <w:t>first strategy, prioritising Azure and subscription</w:t>
      </w:r>
      <w:r w:rsidRPr="006B2F06">
        <w:rPr>
          <w:rFonts w:ascii="Cambria Math" w:hAnsi="Cambria Math" w:cs="Cambria Math"/>
          <w:color w:val="000000" w:themeColor="text1"/>
        </w:rPr>
        <w:t>‑</w:t>
      </w:r>
      <w:r w:rsidRPr="006B2F06">
        <w:rPr>
          <w:rFonts w:ascii="Arial" w:hAnsi="Arial" w:cs="Arial"/>
          <w:color w:val="000000" w:themeColor="text1"/>
        </w:rPr>
        <w:t>based services (Vance, 2015). This corporate</w:t>
      </w:r>
      <w:r w:rsidRPr="006B2F06">
        <w:rPr>
          <w:rFonts w:ascii="Cambria Math" w:hAnsi="Cambria Math" w:cs="Cambria Math"/>
          <w:color w:val="000000" w:themeColor="text1"/>
        </w:rPr>
        <w:t>‑</w:t>
      </w:r>
      <w:r w:rsidRPr="006B2F06">
        <w:rPr>
          <w:rFonts w:ascii="Arial" w:hAnsi="Arial" w:cs="Arial"/>
          <w:color w:val="000000" w:themeColor="text1"/>
        </w:rPr>
        <w:t>level shift transformed Microsoft’s revenue model and improved long</w:t>
      </w:r>
      <w:r w:rsidRPr="006B2F06">
        <w:rPr>
          <w:rFonts w:ascii="Cambria Math" w:hAnsi="Cambria Math" w:cs="Cambria Math"/>
          <w:color w:val="000000" w:themeColor="text1"/>
        </w:rPr>
        <w:t>‑</w:t>
      </w:r>
      <w:r w:rsidRPr="006B2F06">
        <w:rPr>
          <w:rFonts w:ascii="Arial" w:hAnsi="Arial" w:cs="Arial"/>
          <w:color w:val="000000" w:themeColor="text1"/>
        </w:rPr>
        <w:t>term resilience (Statista, 2023).</w:t>
      </w:r>
    </w:p>
    <w:p w14:paraId="2F855898"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C. Global Expansion</w:t>
      </w:r>
    </w:p>
    <w:p w14:paraId="29A49C6E" w14:textId="77777777" w:rsidR="00A93279" w:rsidRPr="006B2F06" w:rsidRDefault="00A93279" w:rsidP="006B2F06">
      <w:pPr>
        <w:spacing w:line="360" w:lineRule="auto"/>
        <w:jc w:val="both"/>
        <w:rPr>
          <w:rFonts w:ascii="Arial" w:hAnsi="Arial" w:cs="Arial"/>
          <w:color w:val="000000" w:themeColor="text1"/>
        </w:rPr>
      </w:pPr>
    </w:p>
    <w:p w14:paraId="2B12004E"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 continues to expand Azure data centres globally, responding to data</w:t>
      </w:r>
      <w:r w:rsidRPr="006B2F06">
        <w:rPr>
          <w:rFonts w:ascii="Cambria Math" w:hAnsi="Cambria Math" w:cs="Cambria Math"/>
          <w:color w:val="000000" w:themeColor="text1"/>
        </w:rPr>
        <w:t>‑</w:t>
      </w:r>
      <w:r w:rsidRPr="006B2F06">
        <w:rPr>
          <w:rFonts w:ascii="Arial" w:hAnsi="Arial" w:cs="Arial"/>
          <w:color w:val="000000" w:themeColor="text1"/>
        </w:rPr>
        <w:t>sovereignty laws and increasing demand for localised cloud services (OECD, 2023). This supports international competitiveness and strengthens Microsoft’s global footprint.</w:t>
      </w:r>
    </w:p>
    <w:p w14:paraId="6CA269BB" w14:textId="77777777" w:rsidR="00A93279" w:rsidRPr="006B2F06" w:rsidRDefault="00A93279" w:rsidP="006B2F06">
      <w:pPr>
        <w:spacing w:line="360" w:lineRule="auto"/>
        <w:jc w:val="both"/>
        <w:rPr>
          <w:rFonts w:ascii="Arial" w:hAnsi="Arial" w:cs="Arial"/>
          <w:color w:val="000000" w:themeColor="text1"/>
        </w:rPr>
      </w:pPr>
    </w:p>
    <w:p w14:paraId="2DBF0A05"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Critical Evaluation</w:t>
      </w:r>
    </w:p>
    <w:p w14:paraId="14F028A0" w14:textId="77777777" w:rsidR="00A93279" w:rsidRPr="006B2F06" w:rsidRDefault="00A93279" w:rsidP="006B2F06">
      <w:pPr>
        <w:spacing w:line="360" w:lineRule="auto"/>
        <w:jc w:val="both"/>
        <w:rPr>
          <w:rFonts w:ascii="Arial" w:hAnsi="Arial" w:cs="Arial"/>
          <w:color w:val="000000" w:themeColor="text1"/>
        </w:rPr>
      </w:pPr>
    </w:p>
    <w:p w14:paraId="5C534E8D"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Diversification increases complexity and integration risk. The Activision Blizzard acquisition faced regulatory scrutiny, highlighting the challenges of expanding into adjacent markets (European Commission, 2023). Additionally, diversification into gaming and social platforms exposes Microsoft to reputational and regulatory risks (The Economist, 2023).</w:t>
      </w:r>
    </w:p>
    <w:p w14:paraId="02F95B8E" w14:textId="77777777" w:rsidR="00A93279" w:rsidRPr="006B2F06" w:rsidRDefault="00A93279" w:rsidP="006B2F06">
      <w:pPr>
        <w:spacing w:line="360" w:lineRule="auto"/>
        <w:jc w:val="both"/>
        <w:rPr>
          <w:rFonts w:ascii="Arial" w:hAnsi="Arial" w:cs="Arial"/>
          <w:color w:val="000000" w:themeColor="text1"/>
        </w:rPr>
      </w:pPr>
    </w:p>
    <w:p w14:paraId="68B7CDD9" w14:textId="77777777" w:rsidR="00DC25E0" w:rsidRPr="006B2F06" w:rsidRDefault="00DC25E0" w:rsidP="006B2F06">
      <w:pPr>
        <w:pStyle w:val="Heading2"/>
        <w:spacing w:line="360" w:lineRule="auto"/>
        <w:rPr>
          <w:rFonts w:ascii="Arial" w:hAnsi="Arial" w:cs="Arial"/>
          <w:color w:val="000000" w:themeColor="text1"/>
          <w:sz w:val="24"/>
          <w:szCs w:val="24"/>
        </w:rPr>
      </w:pPr>
    </w:p>
    <w:p w14:paraId="19F5D155" w14:textId="77777777" w:rsidR="00DC25E0" w:rsidRPr="006B2F06" w:rsidRDefault="00DC25E0" w:rsidP="006B2F06">
      <w:pPr>
        <w:spacing w:line="360" w:lineRule="auto"/>
        <w:rPr>
          <w:rFonts w:ascii="Arial" w:hAnsi="Arial" w:cs="Arial"/>
          <w:color w:val="000000" w:themeColor="text1"/>
        </w:rPr>
      </w:pPr>
    </w:p>
    <w:p w14:paraId="0A4C444E" w14:textId="6842E0D2" w:rsidR="00A93279" w:rsidRPr="006B2F06" w:rsidRDefault="00B37DF9" w:rsidP="006B2F06">
      <w:pPr>
        <w:pStyle w:val="Heading2"/>
        <w:spacing w:line="360" w:lineRule="auto"/>
        <w:rPr>
          <w:rFonts w:ascii="Arial" w:hAnsi="Arial" w:cs="Arial"/>
          <w:color w:val="000000" w:themeColor="text1"/>
          <w:sz w:val="24"/>
          <w:szCs w:val="24"/>
        </w:rPr>
      </w:pPr>
      <w:bookmarkStart w:id="28" w:name="_Toc225852111"/>
      <w:r w:rsidRPr="006B2F06">
        <w:rPr>
          <w:rFonts w:ascii="Arial" w:hAnsi="Arial" w:cs="Arial"/>
          <w:color w:val="000000" w:themeColor="text1"/>
          <w:sz w:val="24"/>
          <w:szCs w:val="24"/>
        </w:rPr>
        <w:t xml:space="preserve">6.3 </w:t>
      </w:r>
      <w:r w:rsidR="00A93279" w:rsidRPr="006B2F06">
        <w:rPr>
          <w:rFonts w:ascii="Arial" w:hAnsi="Arial" w:cs="Arial"/>
          <w:color w:val="000000" w:themeColor="text1"/>
          <w:sz w:val="24"/>
          <w:szCs w:val="24"/>
        </w:rPr>
        <w:t>Change Management and Strategic Implementation</w:t>
      </w:r>
      <w:bookmarkEnd w:id="28"/>
    </w:p>
    <w:p w14:paraId="2AE52CB8" w14:textId="77777777" w:rsidR="00A93279" w:rsidRPr="006B2F06" w:rsidRDefault="00A93279" w:rsidP="006B2F06">
      <w:pPr>
        <w:spacing w:line="360" w:lineRule="auto"/>
        <w:jc w:val="both"/>
        <w:rPr>
          <w:rFonts w:ascii="Arial" w:hAnsi="Arial" w:cs="Arial"/>
          <w:color w:val="000000" w:themeColor="text1"/>
        </w:rPr>
      </w:pPr>
    </w:p>
    <w:p w14:paraId="34F15427"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strategic transformation under Satya Nadella is widely regarded as one of the most successful corporate turnarounds of the past decade (Financial Times, 2023). Nadella’s leadership emphasised cultural renewal, collaboration, and a growth mindset, aligning with Kotter’s (1996) principles of effective change management.</w:t>
      </w:r>
    </w:p>
    <w:p w14:paraId="293636AF" w14:textId="77777777" w:rsidR="00A93279" w:rsidRPr="006B2F06" w:rsidRDefault="00A93279" w:rsidP="006B2F06">
      <w:pPr>
        <w:spacing w:line="360" w:lineRule="auto"/>
        <w:jc w:val="both"/>
        <w:rPr>
          <w:rFonts w:ascii="Arial" w:hAnsi="Arial" w:cs="Arial"/>
          <w:color w:val="000000" w:themeColor="text1"/>
        </w:rPr>
      </w:pPr>
    </w:p>
    <w:p w14:paraId="1FDC9B3D"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A. Cultural Transformation</w:t>
      </w:r>
    </w:p>
    <w:p w14:paraId="6D3C2775" w14:textId="77777777" w:rsidR="00A93279" w:rsidRPr="006B2F06" w:rsidRDefault="00A93279" w:rsidP="006B2F06">
      <w:pPr>
        <w:spacing w:line="360" w:lineRule="auto"/>
        <w:jc w:val="both"/>
        <w:rPr>
          <w:rFonts w:ascii="Arial" w:hAnsi="Arial" w:cs="Arial"/>
          <w:color w:val="000000" w:themeColor="text1"/>
        </w:rPr>
      </w:pPr>
    </w:p>
    <w:p w14:paraId="37C2AB77"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Nadella shifted Microsoft from a competitive, siloed culture to one focused on learning, empathy, and innovation (Vance, 2015). This cultural change improved employee engagement and accelerated innovation (Hines and Bruce, 2020).</w:t>
      </w:r>
    </w:p>
    <w:p w14:paraId="21C69C41" w14:textId="77777777" w:rsidR="00A93279" w:rsidRPr="006B2F06" w:rsidRDefault="00A93279" w:rsidP="006B2F06">
      <w:pPr>
        <w:spacing w:line="360" w:lineRule="auto"/>
        <w:jc w:val="both"/>
        <w:rPr>
          <w:rFonts w:ascii="Arial" w:hAnsi="Arial" w:cs="Arial"/>
          <w:color w:val="000000" w:themeColor="text1"/>
        </w:rPr>
      </w:pPr>
    </w:p>
    <w:p w14:paraId="2A426A9D" w14:textId="77777777" w:rsidR="00054B1E" w:rsidRPr="006B2F06" w:rsidRDefault="00054B1E" w:rsidP="006B2F06">
      <w:pPr>
        <w:spacing w:line="360" w:lineRule="auto"/>
        <w:jc w:val="both"/>
        <w:rPr>
          <w:rFonts w:ascii="Arial" w:hAnsi="Arial" w:cs="Arial"/>
          <w:color w:val="000000" w:themeColor="text1"/>
        </w:rPr>
      </w:pPr>
    </w:p>
    <w:p w14:paraId="26E7A143" w14:textId="77777777" w:rsidR="00054B1E" w:rsidRPr="006B2F06" w:rsidRDefault="00054B1E" w:rsidP="006B2F06">
      <w:pPr>
        <w:spacing w:line="360" w:lineRule="auto"/>
        <w:jc w:val="both"/>
        <w:rPr>
          <w:rFonts w:ascii="Arial" w:hAnsi="Arial" w:cs="Arial"/>
          <w:color w:val="000000" w:themeColor="text1"/>
        </w:rPr>
      </w:pPr>
    </w:p>
    <w:p w14:paraId="172CA6E3"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B. Agile Strategic Execution</w:t>
      </w:r>
    </w:p>
    <w:p w14:paraId="270B19B9" w14:textId="77777777" w:rsidR="00A93279" w:rsidRPr="006B2F06" w:rsidRDefault="00A93279" w:rsidP="006B2F06">
      <w:pPr>
        <w:spacing w:line="360" w:lineRule="auto"/>
        <w:jc w:val="both"/>
        <w:rPr>
          <w:rFonts w:ascii="Arial" w:hAnsi="Arial" w:cs="Arial"/>
          <w:color w:val="000000" w:themeColor="text1"/>
        </w:rPr>
      </w:pPr>
    </w:p>
    <w:p w14:paraId="6FE69E14"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lastRenderedPageBreak/>
        <w:t>Microsoft adopted agile development practices, enabling faster product cycles and improved responsiveness to market changes (McKinsey &amp; Company, 2023). This agility supports rapid deployment of cloud and AI services.</w:t>
      </w:r>
    </w:p>
    <w:p w14:paraId="7D4B573A" w14:textId="77777777" w:rsidR="00A93279" w:rsidRPr="006B2F06" w:rsidRDefault="00A93279" w:rsidP="006B2F06">
      <w:pPr>
        <w:spacing w:line="360" w:lineRule="auto"/>
        <w:jc w:val="both"/>
        <w:rPr>
          <w:rFonts w:ascii="Arial" w:hAnsi="Arial" w:cs="Arial"/>
          <w:color w:val="000000" w:themeColor="text1"/>
        </w:rPr>
      </w:pPr>
    </w:p>
    <w:p w14:paraId="4E5E56E9" w14:textId="77777777"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C. Implementation Challenges</w:t>
      </w:r>
    </w:p>
    <w:p w14:paraId="143918D1" w14:textId="77777777" w:rsidR="00A93279" w:rsidRPr="006B2F06" w:rsidRDefault="00A93279" w:rsidP="006B2F06">
      <w:pPr>
        <w:spacing w:line="360" w:lineRule="auto"/>
        <w:jc w:val="both"/>
        <w:rPr>
          <w:rFonts w:ascii="Arial" w:hAnsi="Arial" w:cs="Arial"/>
          <w:color w:val="000000" w:themeColor="text1"/>
        </w:rPr>
      </w:pPr>
    </w:p>
    <w:p w14:paraId="6D79BA2D"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Despite successful transformation, challenges remain:</w:t>
      </w:r>
    </w:p>
    <w:p w14:paraId="71E84FA6" w14:textId="77777777" w:rsidR="00A93279" w:rsidRPr="006B2F06" w:rsidRDefault="00A93279" w:rsidP="006B2F06">
      <w:pPr>
        <w:spacing w:line="360" w:lineRule="auto"/>
        <w:jc w:val="both"/>
        <w:rPr>
          <w:rFonts w:ascii="Arial" w:hAnsi="Arial" w:cs="Arial"/>
          <w:color w:val="000000" w:themeColor="text1"/>
        </w:rPr>
      </w:pPr>
    </w:p>
    <w:p w14:paraId="78448485"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Integrating large acquisitions such as Activision Blizzard (Nikkei Asia, 2023)</w:t>
      </w:r>
    </w:p>
    <w:p w14:paraId="779CCDD6"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Managing global regulatory compliance (European Commission, 2023)</w:t>
      </w:r>
    </w:p>
    <w:p w14:paraId="55917DC2"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Balancing innovation with ethical AI governance (OECD, 2023)</w:t>
      </w:r>
    </w:p>
    <w:p w14:paraId="201E7E4C" w14:textId="77777777" w:rsidR="00A93279" w:rsidRPr="006B2F06" w:rsidRDefault="00A93279" w:rsidP="006B2F06">
      <w:pPr>
        <w:spacing w:line="360" w:lineRule="auto"/>
        <w:jc w:val="both"/>
        <w:rPr>
          <w:rFonts w:ascii="Arial" w:hAnsi="Arial" w:cs="Arial"/>
          <w:color w:val="000000" w:themeColor="text1"/>
        </w:rPr>
      </w:pPr>
    </w:p>
    <w:p w14:paraId="3DD74888" w14:textId="6D1029BF" w:rsidR="00A93279" w:rsidRPr="006B2F06" w:rsidRDefault="00A93279" w:rsidP="006B2F06">
      <w:pPr>
        <w:spacing w:line="360" w:lineRule="auto"/>
        <w:jc w:val="both"/>
        <w:rPr>
          <w:rFonts w:ascii="Arial" w:hAnsi="Arial" w:cs="Arial"/>
          <w:b/>
          <w:bCs/>
          <w:color w:val="000000" w:themeColor="text1"/>
        </w:rPr>
      </w:pPr>
      <w:r w:rsidRPr="006B2F06">
        <w:rPr>
          <w:rFonts w:ascii="Arial" w:hAnsi="Arial" w:cs="Arial"/>
          <w:b/>
          <w:bCs/>
          <w:color w:val="000000" w:themeColor="text1"/>
        </w:rPr>
        <w:t>Critical Evaluation</w:t>
      </w:r>
    </w:p>
    <w:p w14:paraId="07065B88" w14:textId="77777777" w:rsidR="00A93279" w:rsidRPr="006B2F06" w:rsidRDefault="00A93279" w:rsidP="006B2F06">
      <w:pPr>
        <w:spacing w:line="360" w:lineRule="auto"/>
        <w:jc w:val="both"/>
        <w:rPr>
          <w:rFonts w:ascii="Arial" w:hAnsi="Arial" w:cs="Arial"/>
          <w:color w:val="000000" w:themeColor="text1"/>
        </w:rPr>
      </w:pPr>
    </w:p>
    <w:p w14:paraId="5A0653F0" w14:textId="302C31B2"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change management has been effective, but sustaining momentum requires continuous cultural reinforcement and strategic alignment. The company must balance innovation with regulatory compliance and ethical considerations to maintain long</w:t>
      </w:r>
      <w:r w:rsidRPr="006B2F06">
        <w:rPr>
          <w:rFonts w:ascii="Cambria Math" w:hAnsi="Cambria Math" w:cs="Cambria Math"/>
          <w:color w:val="000000" w:themeColor="text1"/>
        </w:rPr>
        <w:t>‑</w:t>
      </w:r>
      <w:r w:rsidRPr="006B2F06">
        <w:rPr>
          <w:rFonts w:ascii="Arial" w:hAnsi="Arial" w:cs="Arial"/>
          <w:color w:val="000000" w:themeColor="text1"/>
        </w:rPr>
        <w:t>term legitimacy (Johnson, Whittington and Scholes, 2020).</w:t>
      </w:r>
    </w:p>
    <w:p w14:paraId="53B0420A" w14:textId="77777777" w:rsidR="00B76A7F" w:rsidRPr="006B2F06" w:rsidRDefault="00B76A7F" w:rsidP="006B2F06">
      <w:pPr>
        <w:spacing w:line="360" w:lineRule="auto"/>
        <w:jc w:val="both"/>
        <w:rPr>
          <w:rFonts w:ascii="Arial" w:hAnsi="Arial" w:cs="Arial"/>
          <w:color w:val="000000" w:themeColor="text1"/>
        </w:rPr>
      </w:pPr>
    </w:p>
    <w:p w14:paraId="68FBFBC3" w14:textId="6873A2AA" w:rsidR="00A93279" w:rsidRPr="006B2F06" w:rsidRDefault="00B37DF9" w:rsidP="006B2F06">
      <w:pPr>
        <w:pStyle w:val="Heading1"/>
        <w:spacing w:line="360" w:lineRule="auto"/>
        <w:rPr>
          <w:rFonts w:ascii="Arial" w:hAnsi="Arial" w:cs="Arial"/>
          <w:color w:val="000000" w:themeColor="text1"/>
          <w:sz w:val="24"/>
          <w:szCs w:val="24"/>
        </w:rPr>
      </w:pPr>
      <w:bookmarkStart w:id="29" w:name="_Toc225852112"/>
      <w:r w:rsidRPr="006B2F06">
        <w:rPr>
          <w:rFonts w:ascii="Arial" w:hAnsi="Arial" w:cs="Arial"/>
          <w:color w:val="000000" w:themeColor="text1"/>
          <w:sz w:val="24"/>
          <w:szCs w:val="24"/>
        </w:rPr>
        <w:lastRenderedPageBreak/>
        <w:t xml:space="preserve">7 </w:t>
      </w:r>
      <w:r w:rsidR="00A93279" w:rsidRPr="006B2F06">
        <w:rPr>
          <w:rFonts w:ascii="Arial" w:hAnsi="Arial" w:cs="Arial"/>
          <w:color w:val="000000" w:themeColor="text1"/>
          <w:sz w:val="24"/>
          <w:szCs w:val="24"/>
        </w:rPr>
        <w:t>Strategic Evaluation and Recommendations</w:t>
      </w:r>
      <w:bookmarkEnd w:id="29"/>
    </w:p>
    <w:p w14:paraId="19001496" w14:textId="09D5AFFE" w:rsidR="00AF27ED" w:rsidRPr="006B2F06" w:rsidRDefault="00AF27ED" w:rsidP="006B2F06">
      <w:pPr>
        <w:spacing w:line="360" w:lineRule="auto"/>
        <w:rPr>
          <w:rFonts w:ascii="Arial" w:hAnsi="Arial" w:cs="Arial"/>
        </w:rPr>
      </w:pPr>
      <w:r w:rsidRPr="006B2F06">
        <w:rPr>
          <w:rFonts w:ascii="Arial" w:hAnsi="Arial" w:cs="Arial"/>
        </w:rPr>
        <w:drawing>
          <wp:inline distT="0" distB="0" distL="0" distR="0" wp14:anchorId="65CD69C7" wp14:editId="145FF493">
            <wp:extent cx="5578323" cy="4861981"/>
            <wp:effectExtent l="0" t="0" r="3810" b="0"/>
            <wp:docPr id="1816306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306525" name=""/>
                    <pic:cNvPicPr/>
                  </pic:nvPicPr>
                  <pic:blipFill>
                    <a:blip r:embed="rId10"/>
                    <a:stretch>
                      <a:fillRect/>
                    </a:stretch>
                  </pic:blipFill>
                  <pic:spPr>
                    <a:xfrm>
                      <a:off x="0" y="0"/>
                      <a:ext cx="5578323" cy="4861981"/>
                    </a:xfrm>
                    <a:prstGeom prst="rect">
                      <a:avLst/>
                    </a:prstGeom>
                  </pic:spPr>
                </pic:pic>
              </a:graphicData>
            </a:graphic>
          </wp:inline>
        </w:drawing>
      </w:r>
    </w:p>
    <w:p w14:paraId="04ED80DB" w14:textId="0F45445A" w:rsidR="00AF27ED" w:rsidRPr="006B2F06" w:rsidRDefault="006B2F06" w:rsidP="006B2F06">
      <w:pPr>
        <w:spacing w:line="360" w:lineRule="auto"/>
        <w:jc w:val="center"/>
        <w:rPr>
          <w:rFonts w:ascii="Arial" w:hAnsi="Arial" w:cs="Arial"/>
          <w:b/>
          <w:bCs/>
        </w:rPr>
      </w:pPr>
      <w:r w:rsidRPr="006B2F06">
        <w:rPr>
          <w:rFonts w:ascii="Arial" w:hAnsi="Arial" w:cs="Arial"/>
          <w:b/>
          <w:bCs/>
        </w:rPr>
        <w:t xml:space="preserve">Figure </w:t>
      </w:r>
      <w:r w:rsidRPr="006B2F06">
        <w:rPr>
          <w:rFonts w:ascii="Arial" w:hAnsi="Arial" w:cs="Arial"/>
          <w:b/>
          <w:bCs/>
        </w:rPr>
        <w:t>4</w:t>
      </w:r>
      <w:r w:rsidRPr="006B2F06">
        <w:rPr>
          <w:rFonts w:ascii="Arial" w:hAnsi="Arial" w:cs="Arial"/>
          <w:b/>
          <w:bCs/>
        </w:rPr>
        <w:t>:</w:t>
      </w:r>
      <w:r w:rsidRPr="006B2F06">
        <w:rPr>
          <w:rFonts w:ascii="Arial" w:hAnsi="Arial" w:cs="Arial"/>
          <w:b/>
          <w:bCs/>
        </w:rPr>
        <w:t xml:space="preserve"> </w:t>
      </w:r>
      <w:r w:rsidRPr="006B2F06">
        <w:rPr>
          <w:rFonts w:ascii="Arial" w:hAnsi="Arial" w:cs="Arial"/>
          <w:b/>
          <w:bCs/>
        </w:rPr>
        <w:t>Ansoff Matrix</w:t>
      </w:r>
    </w:p>
    <w:p w14:paraId="25F655E9" w14:textId="77777777" w:rsidR="00A93279" w:rsidRPr="006B2F06" w:rsidRDefault="00A93279" w:rsidP="006B2F06">
      <w:pPr>
        <w:spacing w:line="360" w:lineRule="auto"/>
        <w:jc w:val="both"/>
        <w:rPr>
          <w:rFonts w:ascii="Arial" w:hAnsi="Arial" w:cs="Arial"/>
          <w:color w:val="000000" w:themeColor="text1"/>
        </w:rPr>
      </w:pPr>
    </w:p>
    <w:p w14:paraId="764A9EF6"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Microsoft’s strategic position can be critically evaluated using SWOT, Ansoff’s Matrix, and the BCG framework to assess its competitive strengths, vulnerabilities, and future strategic options. This integrated evaluation highlights how Microsoft can sustain long</w:t>
      </w:r>
      <w:r w:rsidRPr="006B2F06">
        <w:rPr>
          <w:rFonts w:ascii="Cambria Math" w:hAnsi="Cambria Math" w:cs="Cambria Math"/>
          <w:color w:val="000000" w:themeColor="text1"/>
        </w:rPr>
        <w:t>‑</w:t>
      </w:r>
      <w:r w:rsidRPr="006B2F06">
        <w:rPr>
          <w:rFonts w:ascii="Arial" w:hAnsi="Arial" w:cs="Arial"/>
          <w:color w:val="000000" w:themeColor="text1"/>
        </w:rPr>
        <w:t>term advantage in an increasingly competitive global technology landscape.</w:t>
      </w:r>
    </w:p>
    <w:p w14:paraId="27C142F9" w14:textId="77777777" w:rsidR="00A93279" w:rsidRPr="006B2F06" w:rsidRDefault="00A93279" w:rsidP="006B2F06">
      <w:pPr>
        <w:spacing w:line="360" w:lineRule="auto"/>
        <w:jc w:val="both"/>
        <w:rPr>
          <w:rFonts w:ascii="Arial" w:hAnsi="Arial" w:cs="Arial"/>
          <w:color w:val="000000" w:themeColor="text1"/>
        </w:rPr>
      </w:pPr>
    </w:p>
    <w:p w14:paraId="3C330AD2"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xml:space="preserve">Microsoft’s strengths lie in its diversified ecosystem, strong brand equity, and dominant position in cloud computing and enterprise software. Azure’s rapid growth, combined with Microsoft 365’s subscription model, provides stable recurring revenue and high switching costs (Gartner, 2023; McKinsey &amp; Company, 2023). The company’s partnership with OpenAI further strengthens its innovation capabilities, enabling advanced AI integration across cloud and productivity platforms (Financial Times, 2023). Additionally, Microsoft’s strong financial resources and global </w:t>
      </w:r>
      <w:r w:rsidRPr="006B2F06">
        <w:rPr>
          <w:rFonts w:ascii="Arial" w:hAnsi="Arial" w:cs="Arial"/>
          <w:color w:val="000000" w:themeColor="text1"/>
        </w:rPr>
        <w:lastRenderedPageBreak/>
        <w:t>data</w:t>
      </w:r>
      <w:r w:rsidRPr="006B2F06">
        <w:rPr>
          <w:rFonts w:ascii="Cambria Math" w:hAnsi="Cambria Math" w:cs="Cambria Math"/>
          <w:color w:val="000000" w:themeColor="text1"/>
        </w:rPr>
        <w:t>‑</w:t>
      </w:r>
      <w:r w:rsidRPr="006B2F06">
        <w:rPr>
          <w:rFonts w:ascii="Arial" w:hAnsi="Arial" w:cs="Arial"/>
          <w:color w:val="000000" w:themeColor="text1"/>
        </w:rPr>
        <w:t>centre infrastructure support large</w:t>
      </w:r>
      <w:r w:rsidRPr="006B2F06">
        <w:rPr>
          <w:rFonts w:ascii="Cambria Math" w:hAnsi="Cambria Math" w:cs="Cambria Math"/>
          <w:color w:val="000000" w:themeColor="text1"/>
        </w:rPr>
        <w:t>‑</w:t>
      </w:r>
      <w:r w:rsidRPr="006B2F06">
        <w:rPr>
          <w:rFonts w:ascii="Arial" w:hAnsi="Arial" w:cs="Arial"/>
          <w:color w:val="000000" w:themeColor="text1"/>
        </w:rPr>
        <w:t>scale investment and international expansion (OECD, 2023).</w:t>
      </w:r>
    </w:p>
    <w:p w14:paraId="0D32F541" w14:textId="77777777" w:rsidR="00A93279" w:rsidRPr="006B2F06" w:rsidRDefault="00A93279" w:rsidP="006B2F06">
      <w:pPr>
        <w:spacing w:line="360" w:lineRule="auto"/>
        <w:jc w:val="both"/>
        <w:rPr>
          <w:rFonts w:ascii="Arial" w:hAnsi="Arial" w:cs="Arial"/>
          <w:color w:val="000000" w:themeColor="text1"/>
        </w:rPr>
      </w:pPr>
    </w:p>
    <w:p w14:paraId="76F785B8"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However, Microsoft faces several weaknesses. Despite strong cloud performance, Azure remains second to AWS, which maintains a larger global market share (Gartner, 2023). The company also faces reputational risks related to cybersecurity incidents and ethical concerns surrounding AI deployment (The Economist, 2023). Integration challenges associated with large acquisitions, such as Activision Blizzard, create operational and cultural risks (Nikkei Asia, 2023). Furthermore, Microsoft’s reliance on enterprise customers exposes it to fluctuations in corporate IT spending during economic downturns (Financial Times, 2023).</w:t>
      </w:r>
    </w:p>
    <w:p w14:paraId="10D1CC26" w14:textId="77777777" w:rsidR="00A93279" w:rsidRPr="006B2F06" w:rsidRDefault="00A93279" w:rsidP="006B2F06">
      <w:pPr>
        <w:spacing w:line="360" w:lineRule="auto"/>
        <w:jc w:val="both"/>
        <w:rPr>
          <w:rFonts w:ascii="Arial" w:hAnsi="Arial" w:cs="Arial"/>
          <w:color w:val="000000" w:themeColor="text1"/>
        </w:rPr>
      </w:pPr>
    </w:p>
    <w:p w14:paraId="5B917B49" w14:textId="5AD464F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 xml:space="preserve">Externally, Microsoft benefits from opportunities in AI, cloud adoption, cybersecurity demand, and digital transformation across emerging markets. Governments and enterprises increasingly require secure, compliant cloud solutions, aligning with Microsoft’s strengths in regulated industries (European Commission, 2023). The global shift toward hybrid work continues to drive demand for collaboration tools and cloud infrastructure (de </w:t>
      </w:r>
      <w:proofErr w:type="spellStart"/>
      <w:r w:rsidRPr="006B2F06">
        <w:rPr>
          <w:rFonts w:ascii="Arial" w:hAnsi="Arial" w:cs="Arial"/>
          <w:color w:val="000000" w:themeColor="text1"/>
        </w:rPr>
        <w:t>Mooij</w:t>
      </w:r>
      <w:proofErr w:type="spellEnd"/>
      <w:r w:rsidRPr="006B2F06">
        <w:rPr>
          <w:rFonts w:ascii="Arial" w:hAnsi="Arial" w:cs="Arial"/>
          <w:color w:val="000000" w:themeColor="text1"/>
        </w:rPr>
        <w:t>, 2019).</w:t>
      </w:r>
    </w:p>
    <w:p w14:paraId="7733832C" w14:textId="77777777" w:rsidR="00A93279" w:rsidRPr="006B2F06" w:rsidRDefault="00A93279" w:rsidP="006B2F06">
      <w:pPr>
        <w:spacing w:line="360" w:lineRule="auto"/>
        <w:jc w:val="both"/>
        <w:rPr>
          <w:rFonts w:ascii="Arial" w:hAnsi="Arial" w:cs="Arial"/>
          <w:color w:val="000000" w:themeColor="text1"/>
        </w:rPr>
      </w:pPr>
    </w:p>
    <w:p w14:paraId="0E3C1F28" w14:textId="3885AAE4"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Threats include intensifying competition from AWS, Google Cloud, and emerging AI</w:t>
      </w:r>
      <w:r w:rsidRPr="006B2F06">
        <w:rPr>
          <w:rFonts w:ascii="Cambria Math" w:hAnsi="Cambria Math" w:cs="Cambria Math"/>
          <w:color w:val="000000" w:themeColor="text1"/>
        </w:rPr>
        <w:t>‑</w:t>
      </w:r>
      <w:r w:rsidRPr="006B2F06">
        <w:rPr>
          <w:rFonts w:ascii="Arial" w:hAnsi="Arial" w:cs="Arial"/>
          <w:color w:val="000000" w:themeColor="text1"/>
        </w:rPr>
        <w:t>driven platforms. Regulatory scrutiny, particularly in the EU and US, poses risks to Microsoft’s acquisition strategy and platform dominance (European Commission, 2023). Geopolitical tensions and data</w:t>
      </w:r>
      <w:r w:rsidRPr="006B2F06">
        <w:rPr>
          <w:rFonts w:ascii="Cambria Math" w:hAnsi="Cambria Math" w:cs="Cambria Math"/>
          <w:color w:val="000000" w:themeColor="text1"/>
        </w:rPr>
        <w:t>‑</w:t>
      </w:r>
      <w:r w:rsidRPr="006B2F06">
        <w:rPr>
          <w:rFonts w:ascii="Arial" w:hAnsi="Arial" w:cs="Arial"/>
          <w:color w:val="000000" w:themeColor="text1"/>
        </w:rPr>
        <w:t>sovereignty laws complicate global cloud expansion (OECD, 2023).</w:t>
      </w:r>
    </w:p>
    <w:p w14:paraId="3383F1DC" w14:textId="77777777" w:rsidR="00A93279" w:rsidRPr="006B2F06" w:rsidRDefault="00A93279" w:rsidP="006B2F06">
      <w:pPr>
        <w:spacing w:line="360" w:lineRule="auto"/>
        <w:jc w:val="both"/>
        <w:rPr>
          <w:rFonts w:ascii="Arial" w:hAnsi="Arial" w:cs="Arial"/>
          <w:color w:val="000000" w:themeColor="text1"/>
        </w:rPr>
      </w:pPr>
    </w:p>
    <w:p w14:paraId="67E264D4"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Using Ansoff’s Matrix, Microsoft’s current strategy reflects a combination of market penetration (expanding Azure adoption), product development (AI</w:t>
      </w:r>
      <w:r w:rsidRPr="006B2F06">
        <w:rPr>
          <w:rFonts w:ascii="Cambria Math" w:hAnsi="Cambria Math" w:cs="Cambria Math"/>
          <w:color w:val="000000" w:themeColor="text1"/>
        </w:rPr>
        <w:t>‑</w:t>
      </w:r>
      <w:r w:rsidRPr="006B2F06">
        <w:rPr>
          <w:rFonts w:ascii="Arial" w:hAnsi="Arial" w:cs="Arial"/>
          <w:color w:val="000000" w:themeColor="text1"/>
        </w:rPr>
        <w:t>enhanced Microsoft 365), and diversification (gaming, cybersecurity, quantum computing). Diversification into gaming and AI strengthens long</w:t>
      </w:r>
      <w:r w:rsidRPr="006B2F06">
        <w:rPr>
          <w:rFonts w:ascii="Cambria Math" w:hAnsi="Cambria Math" w:cs="Cambria Math"/>
          <w:color w:val="000000" w:themeColor="text1"/>
        </w:rPr>
        <w:t>‑</w:t>
      </w:r>
      <w:r w:rsidRPr="006B2F06">
        <w:rPr>
          <w:rFonts w:ascii="Arial" w:hAnsi="Arial" w:cs="Arial"/>
          <w:color w:val="000000" w:themeColor="text1"/>
        </w:rPr>
        <w:t>term growth potential but increases regulatory and operational complexity (Financial Times, 2023).</w:t>
      </w:r>
    </w:p>
    <w:p w14:paraId="73430609" w14:textId="3D52D0B4" w:rsidR="00A93279" w:rsidRPr="006B2F06" w:rsidRDefault="006B2F06" w:rsidP="006B2F06">
      <w:pPr>
        <w:spacing w:line="360" w:lineRule="auto"/>
        <w:jc w:val="both"/>
        <w:rPr>
          <w:rFonts w:ascii="Arial" w:hAnsi="Arial" w:cs="Arial"/>
          <w:color w:val="000000" w:themeColor="text1"/>
        </w:rPr>
      </w:pPr>
      <w:r w:rsidRPr="006B2F06">
        <w:rPr>
          <w:rFonts w:ascii="Arial" w:hAnsi="Arial" w:cs="Arial"/>
          <w:color w:val="000000" w:themeColor="text1"/>
        </w:rPr>
        <w:lastRenderedPageBreak/>
        <w:drawing>
          <wp:inline distT="0" distB="0" distL="0" distR="0" wp14:anchorId="2D1D65DB" wp14:editId="09854C5B">
            <wp:extent cx="6399530" cy="4713605"/>
            <wp:effectExtent l="0" t="0" r="1270" b="0"/>
            <wp:docPr id="1113893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93445" name=""/>
                    <pic:cNvPicPr/>
                  </pic:nvPicPr>
                  <pic:blipFill>
                    <a:blip r:embed="rId11"/>
                    <a:stretch>
                      <a:fillRect/>
                    </a:stretch>
                  </pic:blipFill>
                  <pic:spPr>
                    <a:xfrm>
                      <a:off x="0" y="0"/>
                      <a:ext cx="6399530" cy="4713605"/>
                    </a:xfrm>
                    <a:prstGeom prst="rect">
                      <a:avLst/>
                    </a:prstGeom>
                  </pic:spPr>
                </pic:pic>
              </a:graphicData>
            </a:graphic>
          </wp:inline>
        </w:drawing>
      </w:r>
    </w:p>
    <w:p w14:paraId="729D2A8D" w14:textId="7464FF50" w:rsidR="006B2F06" w:rsidRPr="006B2F06" w:rsidRDefault="006B2F06" w:rsidP="006B2F06">
      <w:pPr>
        <w:spacing w:line="360" w:lineRule="auto"/>
        <w:jc w:val="center"/>
        <w:rPr>
          <w:rFonts w:ascii="Arial" w:hAnsi="Arial" w:cs="Arial"/>
          <w:b/>
          <w:bCs/>
          <w:color w:val="000000" w:themeColor="text1"/>
        </w:rPr>
      </w:pPr>
      <w:r w:rsidRPr="006B2F06">
        <w:rPr>
          <w:rFonts w:ascii="Arial" w:hAnsi="Arial" w:cs="Arial"/>
          <w:b/>
          <w:bCs/>
        </w:rPr>
        <w:t xml:space="preserve">Figure </w:t>
      </w:r>
      <w:r w:rsidRPr="006B2F06">
        <w:rPr>
          <w:rFonts w:ascii="Arial" w:hAnsi="Arial" w:cs="Arial"/>
          <w:b/>
          <w:bCs/>
        </w:rPr>
        <w:t xml:space="preserve">5: </w:t>
      </w:r>
      <w:r w:rsidRPr="006B2F06">
        <w:rPr>
          <w:rFonts w:ascii="Arial" w:hAnsi="Arial" w:cs="Arial"/>
          <w:b/>
          <w:bCs/>
          <w:color w:val="000000" w:themeColor="text1"/>
        </w:rPr>
        <w:t>BCG Matrix</w:t>
      </w:r>
    </w:p>
    <w:p w14:paraId="6C10BC56" w14:textId="77777777" w:rsidR="006B2F06" w:rsidRPr="006B2F06" w:rsidRDefault="006B2F06" w:rsidP="006B2F06">
      <w:pPr>
        <w:spacing w:line="360" w:lineRule="auto"/>
        <w:jc w:val="center"/>
        <w:rPr>
          <w:rFonts w:ascii="Arial" w:hAnsi="Arial" w:cs="Arial"/>
          <w:b/>
          <w:bCs/>
          <w:color w:val="000000" w:themeColor="text1"/>
        </w:rPr>
      </w:pPr>
    </w:p>
    <w:p w14:paraId="6D4B6C1F" w14:textId="77777777" w:rsidR="00A93279" w:rsidRPr="006B2F06" w:rsidRDefault="00A93279" w:rsidP="006B2F06">
      <w:pPr>
        <w:spacing w:line="360" w:lineRule="auto"/>
        <w:jc w:val="both"/>
        <w:rPr>
          <w:rFonts w:ascii="Arial" w:hAnsi="Arial" w:cs="Arial"/>
          <w:color w:val="000000" w:themeColor="text1"/>
        </w:rPr>
      </w:pPr>
      <w:r w:rsidRPr="006B2F06">
        <w:rPr>
          <w:rFonts w:ascii="Arial" w:hAnsi="Arial" w:cs="Arial"/>
          <w:color w:val="000000" w:themeColor="text1"/>
        </w:rPr>
        <w:t>The BCG Matrix positions Azure and Microsoft 365 as Stars, generating high growth and strong market share. Windows and Office legacy products function as Cash Cows, providing stable revenue. Xbox and gaming assets represent Question Marks, with high growth potential but intense competition. Hardware products such as Surface remain Dogs, with limited differentiation and modest profitability (Statista, 2023).</w:t>
      </w:r>
    </w:p>
    <w:p w14:paraId="017FCDFD" w14:textId="77777777" w:rsidR="00A93279" w:rsidRPr="006B2F06" w:rsidRDefault="00A93279" w:rsidP="006B2F06">
      <w:pPr>
        <w:spacing w:line="360" w:lineRule="auto"/>
        <w:jc w:val="both"/>
        <w:rPr>
          <w:rFonts w:ascii="Arial" w:hAnsi="Arial" w:cs="Arial"/>
          <w:color w:val="000000" w:themeColor="text1"/>
        </w:rPr>
      </w:pPr>
    </w:p>
    <w:p w14:paraId="1F0E059B" w14:textId="19DAB7C0" w:rsidR="00A93279" w:rsidRPr="006B2F06" w:rsidRDefault="00B37DF9" w:rsidP="006B2F06">
      <w:pPr>
        <w:pStyle w:val="Heading2"/>
        <w:spacing w:line="360" w:lineRule="auto"/>
        <w:rPr>
          <w:rFonts w:ascii="Arial" w:hAnsi="Arial" w:cs="Arial"/>
          <w:color w:val="000000" w:themeColor="text1"/>
          <w:sz w:val="24"/>
          <w:szCs w:val="24"/>
        </w:rPr>
      </w:pPr>
      <w:bookmarkStart w:id="30" w:name="_Toc225852113"/>
      <w:r w:rsidRPr="006B2F06">
        <w:rPr>
          <w:rFonts w:ascii="Arial" w:hAnsi="Arial" w:cs="Arial"/>
          <w:color w:val="000000" w:themeColor="text1"/>
          <w:sz w:val="24"/>
          <w:szCs w:val="24"/>
        </w:rPr>
        <w:t xml:space="preserve">7.1 </w:t>
      </w:r>
      <w:r w:rsidR="00A93279" w:rsidRPr="006B2F06">
        <w:rPr>
          <w:rFonts w:ascii="Arial" w:hAnsi="Arial" w:cs="Arial"/>
          <w:color w:val="000000" w:themeColor="text1"/>
          <w:sz w:val="24"/>
          <w:szCs w:val="24"/>
        </w:rPr>
        <w:t>Recommendations</w:t>
      </w:r>
      <w:bookmarkEnd w:id="30"/>
    </w:p>
    <w:p w14:paraId="77F9C29B" w14:textId="1C38F160" w:rsidR="00A93279" w:rsidRPr="006B2F06" w:rsidRDefault="00DC25E0" w:rsidP="006B2F06">
      <w:pPr>
        <w:tabs>
          <w:tab w:val="left" w:pos="1080"/>
        </w:tabs>
        <w:spacing w:line="360" w:lineRule="auto"/>
        <w:jc w:val="both"/>
        <w:rPr>
          <w:rFonts w:ascii="Arial" w:hAnsi="Arial" w:cs="Arial"/>
          <w:color w:val="000000" w:themeColor="text1"/>
        </w:rPr>
      </w:pPr>
      <w:r w:rsidRPr="006B2F06">
        <w:rPr>
          <w:rFonts w:ascii="Arial" w:hAnsi="Arial" w:cs="Arial"/>
          <w:color w:val="000000" w:themeColor="text1"/>
        </w:rPr>
        <w:t xml:space="preserve">Microsoft should deepen AI integration across Azure by developing industry-specific solutions to enhance differentiation and increase switching costs The company should also invest in AI-driven cybersecurity systems to strengthen enterprise trust and reduce risk exposure. Additionally, Microsoft must improve post-acquisition integration processes to minimise </w:t>
      </w:r>
      <w:r w:rsidRPr="006B2F06">
        <w:rPr>
          <w:rFonts w:ascii="Arial" w:hAnsi="Arial" w:cs="Arial"/>
          <w:color w:val="000000" w:themeColor="text1"/>
        </w:rPr>
        <w:lastRenderedPageBreak/>
        <w:t>operational inefficiencies and maximise strategic value. Finally, expanding sustainable data centre infrastructure will support long-term regulatory compliance and ESG positioning.</w:t>
      </w:r>
    </w:p>
    <w:p w14:paraId="042BDDFE" w14:textId="77777777" w:rsidR="00701D8A" w:rsidRPr="006B2F06" w:rsidRDefault="00701D8A" w:rsidP="006B2F06">
      <w:pPr>
        <w:spacing w:line="360" w:lineRule="auto"/>
        <w:jc w:val="both"/>
        <w:rPr>
          <w:rFonts w:ascii="Arial" w:hAnsi="Arial" w:cs="Arial"/>
          <w:color w:val="000000" w:themeColor="text1"/>
        </w:rPr>
      </w:pPr>
    </w:p>
    <w:p w14:paraId="508C962C" w14:textId="511CCF77" w:rsidR="00701D8A" w:rsidRPr="006B2F06" w:rsidRDefault="00B37DF9" w:rsidP="006B2F06">
      <w:pPr>
        <w:pStyle w:val="Heading1"/>
        <w:spacing w:line="360" w:lineRule="auto"/>
        <w:rPr>
          <w:rFonts w:ascii="Arial" w:hAnsi="Arial" w:cs="Arial"/>
          <w:b/>
          <w:bCs/>
          <w:color w:val="000000" w:themeColor="text1"/>
          <w:sz w:val="24"/>
          <w:szCs w:val="24"/>
        </w:rPr>
      </w:pPr>
      <w:bookmarkStart w:id="31" w:name="_Toc225852114"/>
      <w:r w:rsidRPr="006B2F06">
        <w:rPr>
          <w:rFonts w:ascii="Arial" w:hAnsi="Arial" w:cs="Arial"/>
          <w:b/>
          <w:bCs/>
          <w:color w:val="000000" w:themeColor="text1"/>
          <w:sz w:val="24"/>
          <w:szCs w:val="24"/>
        </w:rPr>
        <w:t xml:space="preserve">8 </w:t>
      </w:r>
      <w:r w:rsidR="00701D8A" w:rsidRPr="006B2F06">
        <w:rPr>
          <w:rFonts w:ascii="Arial" w:hAnsi="Arial" w:cs="Arial"/>
          <w:b/>
          <w:bCs/>
          <w:color w:val="000000" w:themeColor="text1"/>
          <w:sz w:val="24"/>
          <w:szCs w:val="24"/>
        </w:rPr>
        <w:t>Reflection on the Strategic Management Project</w:t>
      </w:r>
      <w:bookmarkEnd w:id="31"/>
    </w:p>
    <w:p w14:paraId="3C69FCA3" w14:textId="77777777" w:rsidR="00701D8A" w:rsidRPr="006B2F06" w:rsidRDefault="00701D8A" w:rsidP="006B2F06">
      <w:pPr>
        <w:spacing w:line="360" w:lineRule="auto"/>
        <w:jc w:val="both"/>
        <w:rPr>
          <w:rFonts w:ascii="Arial" w:hAnsi="Arial" w:cs="Arial"/>
          <w:color w:val="000000" w:themeColor="text1"/>
        </w:rPr>
      </w:pPr>
    </w:p>
    <w:p w14:paraId="490DCD36" w14:textId="7CDDFBA3"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Gibbs’ (1988) Reflective Cycle provides a structured and systematic framework for evaluating learning experiences. Applying this model to the strategic management project on Microsoft enables a deeper understanding of how my analytical, research, and critical</w:t>
      </w:r>
      <w:r w:rsidRPr="006B2F06">
        <w:rPr>
          <w:rFonts w:ascii="Cambria Math" w:hAnsi="Cambria Math" w:cs="Cambria Math"/>
          <w:color w:val="000000" w:themeColor="text1"/>
        </w:rPr>
        <w:t>‑</w:t>
      </w:r>
      <w:r w:rsidRPr="006B2F06">
        <w:rPr>
          <w:rFonts w:ascii="Arial" w:hAnsi="Arial" w:cs="Arial"/>
          <w:color w:val="000000" w:themeColor="text1"/>
        </w:rPr>
        <w:t>thinking skills developed throughout the process. This reflection considers the six stages of Gibbs’ model: description, feelings, evaluation, analysis, conclusion, and action plan.</w:t>
      </w:r>
      <w:r w:rsidR="00DC25E0" w:rsidRPr="006B2F06">
        <w:rPr>
          <w:rFonts w:ascii="Arial" w:hAnsi="Arial" w:cs="Arial"/>
          <w:color w:val="000000" w:themeColor="text1"/>
        </w:rPr>
        <w:t xml:space="preserve"> One limitation of this project was an over-reliance on consultancy reports rather than peer-reviewed academic sources, which may affect analytical depth.</w:t>
      </w:r>
    </w:p>
    <w:p w14:paraId="2B9EDB0F" w14:textId="4E877A62" w:rsidR="00701D8A" w:rsidRPr="006B2F06" w:rsidRDefault="00701D8A" w:rsidP="006B2F06">
      <w:pPr>
        <w:spacing w:line="360" w:lineRule="auto"/>
        <w:jc w:val="both"/>
        <w:rPr>
          <w:rFonts w:ascii="Arial" w:hAnsi="Arial" w:cs="Arial"/>
          <w:color w:val="000000" w:themeColor="text1"/>
        </w:rPr>
      </w:pPr>
    </w:p>
    <w:p w14:paraId="0846A059" w14:textId="2223C08E" w:rsidR="00701D8A" w:rsidRPr="006B2F06" w:rsidRDefault="00B37DF9" w:rsidP="006B2F06">
      <w:pPr>
        <w:pStyle w:val="Heading2"/>
        <w:spacing w:line="360" w:lineRule="auto"/>
        <w:rPr>
          <w:rFonts w:ascii="Arial" w:hAnsi="Arial" w:cs="Arial"/>
          <w:b/>
          <w:bCs/>
          <w:color w:val="000000" w:themeColor="text1"/>
          <w:sz w:val="24"/>
          <w:szCs w:val="24"/>
        </w:rPr>
      </w:pPr>
      <w:bookmarkStart w:id="32" w:name="_Toc225852115"/>
      <w:r w:rsidRPr="006B2F06">
        <w:rPr>
          <w:rFonts w:ascii="Arial" w:hAnsi="Arial" w:cs="Arial"/>
          <w:b/>
          <w:bCs/>
          <w:color w:val="000000" w:themeColor="text1"/>
          <w:sz w:val="24"/>
          <w:szCs w:val="24"/>
        </w:rPr>
        <w:t xml:space="preserve">8.1 </w:t>
      </w:r>
      <w:r w:rsidR="00701D8A" w:rsidRPr="006B2F06">
        <w:rPr>
          <w:rFonts w:ascii="Arial" w:hAnsi="Arial" w:cs="Arial"/>
          <w:b/>
          <w:bCs/>
          <w:color w:val="000000" w:themeColor="text1"/>
          <w:sz w:val="24"/>
          <w:szCs w:val="24"/>
        </w:rPr>
        <w:t>Description</w:t>
      </w:r>
      <w:bookmarkEnd w:id="32"/>
    </w:p>
    <w:p w14:paraId="18823E44" w14:textId="77777777" w:rsidR="00701D8A" w:rsidRPr="006B2F06" w:rsidRDefault="00701D8A" w:rsidP="006B2F06">
      <w:pPr>
        <w:spacing w:line="360" w:lineRule="auto"/>
        <w:jc w:val="both"/>
        <w:rPr>
          <w:rFonts w:ascii="Arial" w:hAnsi="Arial" w:cs="Arial"/>
          <w:color w:val="000000" w:themeColor="text1"/>
        </w:rPr>
      </w:pPr>
    </w:p>
    <w:p w14:paraId="579B7890"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The task required me to conduct a comprehensive strategic analysis of Microsoft, a global technology leader. This involved applying multiple strategic frameworks, including PESTEL, VRIO, the Balanced Scorecard, SWOT, Ansoff’s Matrix, and the BCG Matrix. I also had to integrate real</w:t>
      </w:r>
      <w:r w:rsidRPr="006B2F06">
        <w:rPr>
          <w:rFonts w:ascii="Cambria Math" w:hAnsi="Cambria Math" w:cs="Cambria Math"/>
          <w:color w:val="000000" w:themeColor="text1"/>
        </w:rPr>
        <w:t>‑</w:t>
      </w:r>
      <w:r w:rsidRPr="006B2F06">
        <w:rPr>
          <w:rFonts w:ascii="Arial" w:hAnsi="Arial" w:cs="Arial"/>
          <w:color w:val="000000" w:themeColor="text1"/>
        </w:rPr>
        <w:t>world data from credible sources such as Gartner, McKinsey, the Financial Times, OECD, and Statista. The assignment demanded a critical evaluation of Microsoft’s internal capabilities, external environment, and strategic choices, culminating in evidence</w:t>
      </w:r>
      <w:r w:rsidRPr="006B2F06">
        <w:rPr>
          <w:rFonts w:ascii="Cambria Math" w:hAnsi="Cambria Math" w:cs="Cambria Math"/>
          <w:color w:val="000000" w:themeColor="text1"/>
        </w:rPr>
        <w:t>‑</w:t>
      </w:r>
      <w:r w:rsidRPr="006B2F06">
        <w:rPr>
          <w:rFonts w:ascii="Arial" w:hAnsi="Arial" w:cs="Arial"/>
          <w:color w:val="000000" w:themeColor="text1"/>
        </w:rPr>
        <w:t>based recommendations for future strategic direction. Completing this project required extensive research, synthesis of complex information, and the ability to apply theoretical models to a real multinational corporation.</w:t>
      </w:r>
    </w:p>
    <w:p w14:paraId="1C50656F" w14:textId="57CDB860" w:rsidR="00701D8A" w:rsidRPr="006B2F06" w:rsidRDefault="00701D8A" w:rsidP="006B2F06">
      <w:pPr>
        <w:spacing w:line="360" w:lineRule="auto"/>
        <w:jc w:val="both"/>
        <w:rPr>
          <w:rFonts w:ascii="Arial" w:hAnsi="Arial" w:cs="Arial"/>
          <w:color w:val="000000" w:themeColor="text1"/>
        </w:rPr>
      </w:pPr>
    </w:p>
    <w:p w14:paraId="53501E1A" w14:textId="69170175" w:rsidR="00701D8A" w:rsidRPr="006B2F06" w:rsidRDefault="00B37DF9" w:rsidP="006B2F06">
      <w:pPr>
        <w:pStyle w:val="Heading2"/>
        <w:spacing w:line="360" w:lineRule="auto"/>
        <w:rPr>
          <w:rFonts w:ascii="Arial" w:hAnsi="Arial" w:cs="Arial"/>
          <w:b/>
          <w:bCs/>
          <w:color w:val="000000" w:themeColor="text1"/>
          <w:sz w:val="24"/>
          <w:szCs w:val="24"/>
        </w:rPr>
      </w:pPr>
      <w:bookmarkStart w:id="33" w:name="_Toc225852116"/>
      <w:r w:rsidRPr="006B2F06">
        <w:rPr>
          <w:rFonts w:ascii="Arial" w:hAnsi="Arial" w:cs="Arial"/>
          <w:b/>
          <w:bCs/>
          <w:color w:val="000000" w:themeColor="text1"/>
          <w:sz w:val="24"/>
          <w:szCs w:val="24"/>
        </w:rPr>
        <w:t xml:space="preserve">8.2 </w:t>
      </w:r>
      <w:r w:rsidR="00701D8A" w:rsidRPr="006B2F06">
        <w:rPr>
          <w:rFonts w:ascii="Arial" w:hAnsi="Arial" w:cs="Arial"/>
          <w:b/>
          <w:bCs/>
          <w:color w:val="000000" w:themeColor="text1"/>
          <w:sz w:val="24"/>
          <w:szCs w:val="24"/>
        </w:rPr>
        <w:t>Feelings</w:t>
      </w:r>
      <w:bookmarkEnd w:id="33"/>
    </w:p>
    <w:p w14:paraId="439FAFED" w14:textId="77777777" w:rsidR="00701D8A" w:rsidRPr="006B2F06" w:rsidRDefault="00701D8A" w:rsidP="006B2F06">
      <w:pPr>
        <w:spacing w:line="360" w:lineRule="auto"/>
        <w:jc w:val="both"/>
        <w:rPr>
          <w:rFonts w:ascii="Arial" w:hAnsi="Arial" w:cs="Arial"/>
          <w:color w:val="000000" w:themeColor="text1"/>
        </w:rPr>
      </w:pPr>
    </w:p>
    <w:p w14:paraId="602CE0D3"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At the outset, I felt a mixture of confidence and apprehension. I was confident because Microsoft is a well</w:t>
      </w:r>
      <w:r w:rsidRPr="006B2F06">
        <w:rPr>
          <w:rFonts w:ascii="Cambria Math" w:hAnsi="Cambria Math" w:cs="Cambria Math"/>
          <w:color w:val="000000" w:themeColor="text1"/>
        </w:rPr>
        <w:t>‑</w:t>
      </w:r>
      <w:r w:rsidRPr="006B2F06">
        <w:rPr>
          <w:rFonts w:ascii="Arial" w:hAnsi="Arial" w:cs="Arial"/>
          <w:color w:val="000000" w:themeColor="text1"/>
        </w:rPr>
        <w:t xml:space="preserve">documented organisation with abundant publicly available data, which I believed would make the research process more manageable. However, I also felt apprehensive due to the </w:t>
      </w:r>
      <w:r w:rsidRPr="006B2F06">
        <w:rPr>
          <w:rFonts w:ascii="Arial" w:hAnsi="Arial" w:cs="Arial"/>
          <w:color w:val="000000" w:themeColor="text1"/>
        </w:rPr>
        <w:lastRenderedPageBreak/>
        <w:t>breadth of the task. The requirement to integrate multiple frameworks and maintain a critical, analytical tone throughout felt challenging. I was particularly concerned about avoiding descriptive writing, as strategic analysis can easily become a summary of models rather than a critical evaluation.</w:t>
      </w:r>
    </w:p>
    <w:p w14:paraId="34B9F4AA" w14:textId="77777777" w:rsidR="00701D8A" w:rsidRPr="006B2F06" w:rsidRDefault="00701D8A" w:rsidP="006B2F06">
      <w:pPr>
        <w:spacing w:line="360" w:lineRule="auto"/>
        <w:jc w:val="both"/>
        <w:rPr>
          <w:rFonts w:ascii="Arial" w:hAnsi="Arial" w:cs="Arial"/>
          <w:color w:val="000000" w:themeColor="text1"/>
        </w:rPr>
      </w:pPr>
    </w:p>
    <w:p w14:paraId="5CEBFAD1"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As I progressed, my confidence grew. I found the research process engaging, especially when identifying connections between Microsoft’s internal strengths and external pressures. The more I read, the more comfortable I became with applying strategic frameworks in a nuanced way. By the end of the project, I felt a strong sense of achievement. The process not only deepened my understanding of strategic management but also improved my ability to think critically and synthesise information effectively.</w:t>
      </w:r>
    </w:p>
    <w:p w14:paraId="4D25124F" w14:textId="03960634" w:rsidR="00701D8A" w:rsidRPr="006B2F06" w:rsidRDefault="00701D8A" w:rsidP="006B2F06">
      <w:pPr>
        <w:spacing w:line="360" w:lineRule="auto"/>
        <w:jc w:val="both"/>
        <w:rPr>
          <w:rFonts w:ascii="Arial" w:hAnsi="Arial" w:cs="Arial"/>
          <w:color w:val="000000" w:themeColor="text1"/>
        </w:rPr>
      </w:pPr>
    </w:p>
    <w:p w14:paraId="223C2E7A" w14:textId="6EB2BB9E" w:rsidR="00701D8A" w:rsidRPr="006B2F06" w:rsidRDefault="00B37DF9" w:rsidP="006B2F06">
      <w:pPr>
        <w:pStyle w:val="Heading2"/>
        <w:spacing w:line="360" w:lineRule="auto"/>
        <w:rPr>
          <w:rFonts w:ascii="Arial" w:hAnsi="Arial" w:cs="Arial"/>
          <w:color w:val="000000" w:themeColor="text1"/>
          <w:sz w:val="24"/>
          <w:szCs w:val="24"/>
        </w:rPr>
      </w:pPr>
      <w:bookmarkStart w:id="34" w:name="_Toc225852117"/>
      <w:r w:rsidRPr="006B2F06">
        <w:rPr>
          <w:rFonts w:ascii="Arial" w:hAnsi="Arial" w:cs="Arial"/>
          <w:color w:val="000000" w:themeColor="text1"/>
          <w:sz w:val="24"/>
          <w:szCs w:val="24"/>
        </w:rPr>
        <w:t xml:space="preserve">8.3 </w:t>
      </w:r>
      <w:r w:rsidR="00701D8A" w:rsidRPr="006B2F06">
        <w:rPr>
          <w:rFonts w:ascii="Arial" w:hAnsi="Arial" w:cs="Arial"/>
          <w:color w:val="000000" w:themeColor="text1"/>
          <w:sz w:val="24"/>
          <w:szCs w:val="24"/>
        </w:rPr>
        <w:t>Evaluation</w:t>
      </w:r>
      <w:bookmarkEnd w:id="34"/>
    </w:p>
    <w:p w14:paraId="79CFC69F" w14:textId="77777777" w:rsidR="00701D8A" w:rsidRPr="006B2F06" w:rsidRDefault="00701D8A" w:rsidP="006B2F06">
      <w:pPr>
        <w:spacing w:line="360" w:lineRule="auto"/>
        <w:jc w:val="both"/>
        <w:rPr>
          <w:rFonts w:ascii="Arial" w:hAnsi="Arial" w:cs="Arial"/>
          <w:color w:val="000000" w:themeColor="text1"/>
        </w:rPr>
      </w:pPr>
    </w:p>
    <w:p w14:paraId="3303CCD4"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Several aspects of the project went well. First, the availability of high</w:t>
      </w:r>
      <w:r w:rsidRPr="006B2F06">
        <w:rPr>
          <w:rFonts w:ascii="Cambria Math" w:hAnsi="Cambria Math" w:cs="Cambria Math"/>
          <w:color w:val="000000" w:themeColor="text1"/>
        </w:rPr>
        <w:t>‑</w:t>
      </w:r>
      <w:r w:rsidRPr="006B2F06">
        <w:rPr>
          <w:rFonts w:ascii="Arial" w:hAnsi="Arial" w:cs="Arial"/>
          <w:color w:val="000000" w:themeColor="text1"/>
        </w:rPr>
        <w:t>quality, credible sources significantly strengthened the analysis. Reports from Gartner, McKinsey, and the Financial Times provided robust evidence to support arguments, enhancing the academic rigour of the work. Second, Microsoft’s strategic clarity under Satya Nadella made it easier to evaluate the company’s direction, particularly its cloud</w:t>
      </w:r>
      <w:r w:rsidRPr="006B2F06">
        <w:rPr>
          <w:rFonts w:ascii="Cambria Math" w:hAnsi="Cambria Math" w:cs="Cambria Math"/>
          <w:color w:val="000000" w:themeColor="text1"/>
        </w:rPr>
        <w:t>‑</w:t>
      </w:r>
      <w:r w:rsidRPr="006B2F06">
        <w:rPr>
          <w:rFonts w:ascii="Arial" w:hAnsi="Arial" w:cs="Arial"/>
          <w:color w:val="000000" w:themeColor="text1"/>
        </w:rPr>
        <w:t>first and AI</w:t>
      </w:r>
      <w:r w:rsidRPr="006B2F06">
        <w:rPr>
          <w:rFonts w:ascii="Cambria Math" w:hAnsi="Cambria Math" w:cs="Cambria Math"/>
          <w:color w:val="000000" w:themeColor="text1"/>
        </w:rPr>
        <w:t>‑</w:t>
      </w:r>
      <w:r w:rsidRPr="006B2F06">
        <w:rPr>
          <w:rFonts w:ascii="Arial" w:hAnsi="Arial" w:cs="Arial"/>
          <w:color w:val="000000" w:themeColor="text1"/>
        </w:rPr>
        <w:t>driven strategy. Third, using multiple frameworks allowed me to examine Microsoft from different perspectives, improving the depth and richness of the analysis.</w:t>
      </w:r>
    </w:p>
    <w:p w14:paraId="33D5BFA7" w14:textId="77777777" w:rsidR="00701D8A" w:rsidRPr="006B2F06" w:rsidRDefault="00701D8A" w:rsidP="006B2F06">
      <w:pPr>
        <w:spacing w:line="360" w:lineRule="auto"/>
        <w:jc w:val="both"/>
        <w:rPr>
          <w:rFonts w:ascii="Arial" w:hAnsi="Arial" w:cs="Arial"/>
          <w:color w:val="000000" w:themeColor="text1"/>
        </w:rPr>
      </w:pPr>
    </w:p>
    <w:p w14:paraId="2A262CF5"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However, there were also challenges. One difficulty was managing the volume of information. Microsoft is a vast organisation with operations across cloud computing, software, gaming, AI, and hardware. Selecting the most relevant information required careful judgement. Another challenge was maintaining a critical tone. Strategic models such as PESTEL and VRIO can easily lead to descriptive writing if not applied thoughtfully. I had to consciously push myself to evaluate the implications of each finding rather than simply present information. Time management was another issue; synthesising large amounts of data into coherent, concise insights required more time than I initially anticipated.</w:t>
      </w:r>
    </w:p>
    <w:p w14:paraId="15976AD4" w14:textId="77777777" w:rsidR="00701D8A" w:rsidRPr="006B2F06" w:rsidRDefault="00701D8A" w:rsidP="006B2F06">
      <w:pPr>
        <w:spacing w:line="360" w:lineRule="auto"/>
        <w:jc w:val="both"/>
        <w:rPr>
          <w:rFonts w:ascii="Arial" w:hAnsi="Arial" w:cs="Arial"/>
          <w:color w:val="000000" w:themeColor="text1"/>
        </w:rPr>
      </w:pPr>
    </w:p>
    <w:p w14:paraId="04DD7FD8" w14:textId="1A894976" w:rsidR="00701D8A" w:rsidRPr="006B2F06" w:rsidRDefault="00B37DF9" w:rsidP="006B2F06">
      <w:pPr>
        <w:pStyle w:val="Heading2"/>
        <w:spacing w:line="360" w:lineRule="auto"/>
        <w:rPr>
          <w:rFonts w:ascii="Arial" w:hAnsi="Arial" w:cs="Arial"/>
          <w:color w:val="000000" w:themeColor="text1"/>
          <w:sz w:val="24"/>
          <w:szCs w:val="24"/>
        </w:rPr>
      </w:pPr>
      <w:bookmarkStart w:id="35" w:name="_Toc225852118"/>
      <w:r w:rsidRPr="006B2F06">
        <w:rPr>
          <w:rFonts w:ascii="Arial" w:hAnsi="Arial" w:cs="Arial"/>
          <w:color w:val="000000" w:themeColor="text1"/>
          <w:sz w:val="24"/>
          <w:szCs w:val="24"/>
        </w:rPr>
        <w:lastRenderedPageBreak/>
        <w:t xml:space="preserve">8.4 </w:t>
      </w:r>
      <w:r w:rsidR="00701D8A" w:rsidRPr="006B2F06">
        <w:rPr>
          <w:rFonts w:ascii="Arial" w:hAnsi="Arial" w:cs="Arial"/>
          <w:color w:val="000000" w:themeColor="text1"/>
          <w:sz w:val="24"/>
          <w:szCs w:val="24"/>
        </w:rPr>
        <w:t>Analysis</w:t>
      </w:r>
      <w:bookmarkEnd w:id="35"/>
    </w:p>
    <w:p w14:paraId="407E2163" w14:textId="77777777" w:rsidR="00701D8A" w:rsidRPr="006B2F06" w:rsidRDefault="00701D8A" w:rsidP="006B2F06">
      <w:pPr>
        <w:spacing w:line="360" w:lineRule="auto"/>
        <w:jc w:val="both"/>
        <w:rPr>
          <w:rFonts w:ascii="Arial" w:hAnsi="Arial" w:cs="Arial"/>
          <w:color w:val="000000" w:themeColor="text1"/>
        </w:rPr>
      </w:pPr>
    </w:p>
    <w:p w14:paraId="41D3BB57"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This project significantly enhanced my understanding of strategic management theory and practice. Applying PESTEL helped me appreciate how external forces—such as regulation, geopolitical tensions, and technological change—shape corporate strategy. For example, analysing political and legal factors highlighted how data</w:t>
      </w:r>
      <w:r w:rsidRPr="006B2F06">
        <w:rPr>
          <w:rFonts w:ascii="Cambria Math" w:hAnsi="Cambria Math" w:cs="Cambria Math"/>
          <w:color w:val="000000" w:themeColor="text1"/>
        </w:rPr>
        <w:t>‑</w:t>
      </w:r>
      <w:r w:rsidRPr="006B2F06">
        <w:rPr>
          <w:rFonts w:ascii="Arial" w:hAnsi="Arial" w:cs="Arial"/>
          <w:color w:val="000000" w:themeColor="text1"/>
        </w:rPr>
        <w:t>sovereignty laws and antitrust scrutiny influence Microsoft’s global expansion. This reinforced the importance of understanding the broader institutional environment in which multinational corporations operate.</w:t>
      </w:r>
    </w:p>
    <w:p w14:paraId="72C6D36A" w14:textId="77777777" w:rsidR="00701D8A" w:rsidRPr="006B2F06" w:rsidRDefault="00701D8A" w:rsidP="006B2F06">
      <w:pPr>
        <w:spacing w:line="360" w:lineRule="auto"/>
        <w:jc w:val="both"/>
        <w:rPr>
          <w:rFonts w:ascii="Arial" w:hAnsi="Arial" w:cs="Arial"/>
          <w:color w:val="000000" w:themeColor="text1"/>
        </w:rPr>
      </w:pPr>
    </w:p>
    <w:p w14:paraId="50A98F67"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The VRIO analysis deepened my understanding of competitive advantage by highlighting the importance of intangible assets such as brand equity, organisational culture, and intellectual property. Microsoft’s partnership with OpenAI, for instance, demonstrated how rare and valuable capabilities can strengthen differentiation in a competitive market. The Balanced Scorecard helped me understand how organisations translate strategy into measurable performance indicators, linking financial performance with customer satisfaction, internal processes, and learning and growth.</w:t>
      </w:r>
    </w:p>
    <w:p w14:paraId="13EF530A" w14:textId="77777777" w:rsidR="00701D8A" w:rsidRPr="006B2F06" w:rsidRDefault="00701D8A" w:rsidP="006B2F06">
      <w:pPr>
        <w:spacing w:line="360" w:lineRule="auto"/>
        <w:jc w:val="both"/>
        <w:rPr>
          <w:rFonts w:ascii="Arial" w:hAnsi="Arial" w:cs="Arial"/>
          <w:color w:val="000000" w:themeColor="text1"/>
        </w:rPr>
      </w:pPr>
    </w:p>
    <w:p w14:paraId="5F515A55"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Using SWOT, Ansoff’s Matrix, and the BCG Matrix allowed me to evaluate Microsoft’s strategic options more holistically. These frameworks revealed that while Microsoft has strong competitive advantages, it also faces significant threats, including regulatory scrutiny and intense competition from AWS and Google Cloud. This reinforced the idea that even highly successful companies must continuously adapt to maintain strategic relevance.</w:t>
      </w:r>
    </w:p>
    <w:p w14:paraId="4F035575" w14:textId="77777777" w:rsidR="00701D8A" w:rsidRPr="006B2F06" w:rsidRDefault="00701D8A" w:rsidP="006B2F06">
      <w:pPr>
        <w:spacing w:line="360" w:lineRule="auto"/>
        <w:jc w:val="both"/>
        <w:rPr>
          <w:rFonts w:ascii="Arial" w:hAnsi="Arial" w:cs="Arial"/>
          <w:color w:val="000000" w:themeColor="text1"/>
        </w:rPr>
      </w:pPr>
    </w:p>
    <w:p w14:paraId="4DF23688"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The project also improved my academic skills. I became more confident in evaluating sources, integrating evidence, and constructing arguments supported by theory. I learned how to synthesise complex information and present it in a structured, analytical manner. Additionally, the project strengthened my ability to think critically about the limitations of strategic frameworks and the importance of contextual understanding.</w:t>
      </w:r>
    </w:p>
    <w:p w14:paraId="74037D54" w14:textId="197720BA" w:rsidR="00701D8A" w:rsidRPr="006B2F06" w:rsidRDefault="00701D8A" w:rsidP="006B2F06">
      <w:pPr>
        <w:spacing w:line="360" w:lineRule="auto"/>
        <w:jc w:val="both"/>
        <w:rPr>
          <w:rFonts w:ascii="Arial" w:hAnsi="Arial" w:cs="Arial"/>
          <w:color w:val="000000" w:themeColor="text1"/>
        </w:rPr>
      </w:pPr>
    </w:p>
    <w:p w14:paraId="25C5D572" w14:textId="7EF135BD" w:rsidR="00701D8A" w:rsidRPr="006B2F06" w:rsidRDefault="00B37DF9" w:rsidP="006B2F06">
      <w:pPr>
        <w:pStyle w:val="Heading2"/>
        <w:spacing w:line="360" w:lineRule="auto"/>
        <w:rPr>
          <w:rFonts w:ascii="Arial" w:hAnsi="Arial" w:cs="Arial"/>
          <w:color w:val="000000" w:themeColor="text1"/>
          <w:sz w:val="24"/>
          <w:szCs w:val="24"/>
        </w:rPr>
      </w:pPr>
      <w:bookmarkStart w:id="36" w:name="_Toc225852119"/>
      <w:r w:rsidRPr="006B2F06">
        <w:rPr>
          <w:rFonts w:ascii="Arial" w:hAnsi="Arial" w:cs="Arial"/>
          <w:color w:val="000000" w:themeColor="text1"/>
          <w:sz w:val="24"/>
          <w:szCs w:val="24"/>
        </w:rPr>
        <w:t xml:space="preserve">8.5 </w:t>
      </w:r>
      <w:r w:rsidR="00701D8A" w:rsidRPr="006B2F06">
        <w:rPr>
          <w:rFonts w:ascii="Arial" w:hAnsi="Arial" w:cs="Arial"/>
          <w:color w:val="000000" w:themeColor="text1"/>
          <w:sz w:val="24"/>
          <w:szCs w:val="24"/>
        </w:rPr>
        <w:t>Conclusion</w:t>
      </w:r>
      <w:bookmarkEnd w:id="36"/>
    </w:p>
    <w:p w14:paraId="319A3C79" w14:textId="77777777" w:rsidR="00701D8A" w:rsidRPr="006B2F06" w:rsidRDefault="00701D8A" w:rsidP="006B2F06">
      <w:pPr>
        <w:spacing w:line="360" w:lineRule="auto"/>
        <w:jc w:val="both"/>
        <w:rPr>
          <w:rFonts w:ascii="Arial" w:hAnsi="Arial" w:cs="Arial"/>
          <w:color w:val="000000" w:themeColor="text1"/>
        </w:rPr>
      </w:pPr>
    </w:p>
    <w:p w14:paraId="050EC16E"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lastRenderedPageBreak/>
        <w:t>Overall, the project was a valuable learning experience that strengthened both my theoretical knowledge and practical analytical skills. I learned how to apply strategic models critically, how to synthesise complex information, and how to evaluate a company’s strategic position using real</w:t>
      </w:r>
      <w:r w:rsidRPr="006B2F06">
        <w:rPr>
          <w:rFonts w:ascii="Cambria Math" w:hAnsi="Cambria Math" w:cs="Cambria Math"/>
          <w:color w:val="000000" w:themeColor="text1"/>
        </w:rPr>
        <w:t>‑</w:t>
      </w:r>
      <w:r w:rsidRPr="006B2F06">
        <w:rPr>
          <w:rFonts w:ascii="Arial" w:hAnsi="Arial" w:cs="Arial"/>
          <w:color w:val="000000" w:themeColor="text1"/>
        </w:rPr>
        <w:t>world evidence. The project also improved my ability to write in a critical, analytical tone, which is essential for postgraduate</w:t>
      </w:r>
      <w:r w:rsidRPr="006B2F06">
        <w:rPr>
          <w:rFonts w:ascii="Cambria Math" w:hAnsi="Cambria Math" w:cs="Cambria Math"/>
          <w:color w:val="000000" w:themeColor="text1"/>
        </w:rPr>
        <w:t>‑</w:t>
      </w:r>
      <w:r w:rsidRPr="006B2F06">
        <w:rPr>
          <w:rFonts w:ascii="Arial" w:hAnsi="Arial" w:cs="Arial"/>
          <w:color w:val="000000" w:themeColor="text1"/>
        </w:rPr>
        <w:t>level work. If I were to repeat the task, I would begin the research process earlier to allow more time for deeper reading and refinement of arguments. I would also aim to incorporate more peer</w:t>
      </w:r>
      <w:r w:rsidRPr="006B2F06">
        <w:rPr>
          <w:rFonts w:ascii="Cambria Math" w:hAnsi="Cambria Math" w:cs="Cambria Math"/>
          <w:color w:val="000000" w:themeColor="text1"/>
        </w:rPr>
        <w:t>‑</w:t>
      </w:r>
      <w:r w:rsidRPr="006B2F06">
        <w:rPr>
          <w:rFonts w:ascii="Arial" w:hAnsi="Arial" w:cs="Arial"/>
          <w:color w:val="000000" w:themeColor="text1"/>
        </w:rPr>
        <w:t>reviewed academic sources to further strengthen the theoretical foundation of the analysis.</w:t>
      </w:r>
    </w:p>
    <w:p w14:paraId="205BE15A" w14:textId="03D75459" w:rsidR="00701D8A" w:rsidRPr="006B2F06" w:rsidRDefault="00701D8A" w:rsidP="006B2F06">
      <w:pPr>
        <w:spacing w:line="360" w:lineRule="auto"/>
        <w:jc w:val="both"/>
        <w:rPr>
          <w:rFonts w:ascii="Arial" w:hAnsi="Arial" w:cs="Arial"/>
          <w:color w:val="000000" w:themeColor="text1"/>
        </w:rPr>
      </w:pPr>
    </w:p>
    <w:p w14:paraId="1A4DDDFE" w14:textId="77777777" w:rsidR="00701D8A" w:rsidRPr="006B2F06" w:rsidRDefault="00701D8A" w:rsidP="006B2F06">
      <w:pPr>
        <w:spacing w:line="360" w:lineRule="auto"/>
        <w:jc w:val="both"/>
        <w:rPr>
          <w:rFonts w:ascii="Arial" w:hAnsi="Arial" w:cs="Arial"/>
          <w:color w:val="000000" w:themeColor="text1"/>
        </w:rPr>
      </w:pPr>
    </w:p>
    <w:p w14:paraId="7FE0FDE0" w14:textId="319CC0C2" w:rsidR="00701D8A" w:rsidRPr="006B2F06" w:rsidRDefault="00B37DF9" w:rsidP="006B2F06">
      <w:pPr>
        <w:pStyle w:val="Heading2"/>
        <w:spacing w:line="360" w:lineRule="auto"/>
        <w:rPr>
          <w:rFonts w:ascii="Arial" w:hAnsi="Arial" w:cs="Arial"/>
          <w:color w:val="000000" w:themeColor="text1"/>
          <w:sz w:val="24"/>
          <w:szCs w:val="24"/>
        </w:rPr>
      </w:pPr>
      <w:bookmarkStart w:id="37" w:name="_Toc225852120"/>
      <w:r w:rsidRPr="006B2F06">
        <w:rPr>
          <w:rFonts w:ascii="Arial" w:hAnsi="Arial" w:cs="Arial"/>
          <w:color w:val="000000" w:themeColor="text1"/>
          <w:sz w:val="24"/>
          <w:szCs w:val="24"/>
        </w:rPr>
        <w:t xml:space="preserve">8.6 </w:t>
      </w:r>
      <w:r w:rsidR="00701D8A" w:rsidRPr="006B2F06">
        <w:rPr>
          <w:rFonts w:ascii="Arial" w:hAnsi="Arial" w:cs="Arial"/>
          <w:color w:val="000000" w:themeColor="text1"/>
          <w:sz w:val="24"/>
          <w:szCs w:val="24"/>
        </w:rPr>
        <w:t>Action Plan</w:t>
      </w:r>
      <w:bookmarkEnd w:id="37"/>
    </w:p>
    <w:p w14:paraId="757885D0" w14:textId="77777777" w:rsidR="00701D8A" w:rsidRPr="006B2F06" w:rsidRDefault="00701D8A" w:rsidP="006B2F06">
      <w:pPr>
        <w:spacing w:line="360" w:lineRule="auto"/>
        <w:jc w:val="both"/>
        <w:rPr>
          <w:rFonts w:ascii="Arial" w:hAnsi="Arial" w:cs="Arial"/>
          <w:color w:val="000000" w:themeColor="text1"/>
        </w:rPr>
      </w:pPr>
    </w:p>
    <w:p w14:paraId="2BB27E1D"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To improve future performance, I plan to:</w:t>
      </w:r>
    </w:p>
    <w:p w14:paraId="799CFA9E" w14:textId="77777777" w:rsidR="00701D8A" w:rsidRPr="006B2F06" w:rsidRDefault="00701D8A" w:rsidP="006B2F06">
      <w:pPr>
        <w:spacing w:line="360" w:lineRule="auto"/>
        <w:jc w:val="both"/>
        <w:rPr>
          <w:rFonts w:ascii="Arial" w:hAnsi="Arial" w:cs="Arial"/>
          <w:color w:val="000000" w:themeColor="text1"/>
        </w:rPr>
      </w:pPr>
    </w:p>
    <w:p w14:paraId="164788AC"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 Develop deeper familiarity with strategic frameworks by reading more academic literature on competitive advantage, corporate strategy, and organisational change.</w:t>
      </w:r>
    </w:p>
    <w:p w14:paraId="5152D8F8"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 Enhance my critical writing skills by practising evaluation rather than description and reviewing high</w:t>
      </w:r>
      <w:r w:rsidRPr="006B2F06">
        <w:rPr>
          <w:rFonts w:ascii="Cambria Math" w:hAnsi="Cambria Math" w:cs="Cambria Math"/>
          <w:color w:val="000000" w:themeColor="text1"/>
        </w:rPr>
        <w:t>‑</w:t>
      </w:r>
      <w:r w:rsidRPr="006B2F06">
        <w:rPr>
          <w:rFonts w:ascii="Arial" w:hAnsi="Arial" w:cs="Arial"/>
          <w:color w:val="000000" w:themeColor="text1"/>
        </w:rPr>
        <w:t>grade academic essays for structure and tone.</w:t>
      </w:r>
    </w:p>
    <w:p w14:paraId="725A7B8E"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 Improve time management by allocating specific periods for research, writing, and editing.</w:t>
      </w:r>
    </w:p>
    <w:p w14:paraId="1442F225"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 Expand my understanding of technology markets, particularly cloud computing and AI, to strengthen future analyses of digital firms.</w:t>
      </w:r>
    </w:p>
    <w:p w14:paraId="67503D25"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 Seek feedback from peers or tutors to identify areas for improvement in argumentation and structure.</w:t>
      </w:r>
    </w:p>
    <w:p w14:paraId="0C46AE21" w14:textId="77777777"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 Strengthen my ability to integrate theory and practice by analysing more case studies of multinational corporations.</w:t>
      </w:r>
    </w:p>
    <w:p w14:paraId="32E336F0" w14:textId="0E5056F9" w:rsidR="00701D8A" w:rsidRPr="006B2F06" w:rsidRDefault="00701D8A" w:rsidP="006B2F06">
      <w:pPr>
        <w:spacing w:line="360" w:lineRule="auto"/>
        <w:jc w:val="both"/>
        <w:rPr>
          <w:rFonts w:ascii="Arial" w:hAnsi="Arial" w:cs="Arial"/>
          <w:color w:val="000000" w:themeColor="text1"/>
        </w:rPr>
      </w:pPr>
    </w:p>
    <w:p w14:paraId="3BE71BA8" w14:textId="6B0B9CF0" w:rsidR="00701D8A" w:rsidRPr="006B2F06" w:rsidRDefault="00701D8A" w:rsidP="006B2F06">
      <w:pPr>
        <w:spacing w:line="360" w:lineRule="auto"/>
        <w:jc w:val="both"/>
        <w:rPr>
          <w:rFonts w:ascii="Arial" w:hAnsi="Arial" w:cs="Arial"/>
          <w:color w:val="000000" w:themeColor="text1"/>
        </w:rPr>
      </w:pPr>
      <w:r w:rsidRPr="006B2F06">
        <w:rPr>
          <w:rFonts w:ascii="Arial" w:hAnsi="Arial" w:cs="Arial"/>
          <w:color w:val="000000" w:themeColor="text1"/>
        </w:rPr>
        <w:t>By following this action plan, I aim to further strengthen my analytical capabilities and produce even higher</w:t>
      </w:r>
      <w:r w:rsidRPr="006B2F06">
        <w:rPr>
          <w:rFonts w:ascii="Cambria Math" w:hAnsi="Cambria Math" w:cs="Cambria Math"/>
          <w:color w:val="000000" w:themeColor="text1"/>
        </w:rPr>
        <w:t>‑</w:t>
      </w:r>
      <w:r w:rsidRPr="006B2F06">
        <w:rPr>
          <w:rFonts w:ascii="Arial" w:hAnsi="Arial" w:cs="Arial"/>
          <w:color w:val="000000" w:themeColor="text1"/>
        </w:rPr>
        <w:t>quality strategic evaluations in future assignments.</w:t>
      </w:r>
    </w:p>
    <w:p w14:paraId="4A1F5CE8" w14:textId="44D0992D" w:rsidR="00B76A7F" w:rsidRDefault="00B76A7F" w:rsidP="006B2F06">
      <w:pPr>
        <w:pStyle w:val="Heading1"/>
        <w:spacing w:line="360" w:lineRule="auto"/>
        <w:rPr>
          <w:rFonts w:ascii="Arial" w:hAnsi="Arial" w:cs="Arial"/>
          <w:color w:val="000000" w:themeColor="text1"/>
          <w:sz w:val="24"/>
          <w:szCs w:val="24"/>
        </w:rPr>
      </w:pPr>
      <w:bookmarkStart w:id="38" w:name="_Toc225852121"/>
    </w:p>
    <w:p w14:paraId="0AEF4B8F" w14:textId="77777777" w:rsidR="00CB48F4" w:rsidRPr="00CB48F4" w:rsidRDefault="00CB48F4" w:rsidP="00CB48F4"/>
    <w:p w14:paraId="07B355C7" w14:textId="2CFB9211" w:rsidR="00971FC4" w:rsidRPr="006B2F06" w:rsidRDefault="00B76A7F" w:rsidP="006B2F06">
      <w:pPr>
        <w:pStyle w:val="Heading1"/>
        <w:spacing w:line="360" w:lineRule="auto"/>
        <w:rPr>
          <w:rFonts w:ascii="Arial" w:hAnsi="Arial" w:cs="Arial"/>
          <w:b/>
          <w:bCs/>
          <w:color w:val="000000" w:themeColor="text1"/>
          <w:sz w:val="24"/>
          <w:szCs w:val="24"/>
        </w:rPr>
      </w:pPr>
      <w:r w:rsidRPr="006B2F06">
        <w:rPr>
          <w:rFonts w:ascii="Arial" w:hAnsi="Arial" w:cs="Arial"/>
          <w:b/>
          <w:bCs/>
          <w:color w:val="000000" w:themeColor="text1"/>
          <w:sz w:val="24"/>
          <w:szCs w:val="24"/>
        </w:rPr>
        <w:t xml:space="preserve">9 </w:t>
      </w:r>
      <w:r w:rsidR="00971FC4" w:rsidRPr="006B2F06">
        <w:rPr>
          <w:rFonts w:ascii="Arial" w:hAnsi="Arial" w:cs="Arial"/>
          <w:b/>
          <w:bCs/>
          <w:color w:val="000000" w:themeColor="text1"/>
          <w:sz w:val="24"/>
          <w:szCs w:val="24"/>
        </w:rPr>
        <w:t>Ref</w:t>
      </w:r>
      <w:r w:rsidR="00B37DF9" w:rsidRPr="006B2F06">
        <w:rPr>
          <w:rFonts w:ascii="Arial" w:hAnsi="Arial" w:cs="Arial"/>
          <w:b/>
          <w:bCs/>
          <w:color w:val="000000" w:themeColor="text1"/>
          <w:sz w:val="24"/>
          <w:szCs w:val="24"/>
        </w:rPr>
        <w:t>erences</w:t>
      </w:r>
      <w:bookmarkEnd w:id="38"/>
    </w:p>
    <w:p w14:paraId="1219A1CF" w14:textId="77777777" w:rsidR="00971FC4" w:rsidRPr="006B2F06" w:rsidRDefault="00971FC4" w:rsidP="006B2F06">
      <w:pPr>
        <w:spacing w:line="360" w:lineRule="auto"/>
        <w:jc w:val="both"/>
        <w:rPr>
          <w:rFonts w:ascii="Arial" w:hAnsi="Arial" w:cs="Arial"/>
          <w:color w:val="000000" w:themeColor="text1"/>
        </w:rPr>
      </w:pPr>
    </w:p>
    <w:p w14:paraId="178C0B87" w14:textId="6E31CDDC"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Barney, J. (1991) ‘Firm resources and sustained competitive advantage’, </w:t>
      </w:r>
      <w:r w:rsidRPr="006B2F06">
        <w:rPr>
          <w:rFonts w:ascii="Arial" w:hAnsi="Arial" w:cs="Arial"/>
          <w:i/>
          <w:iCs/>
          <w:color w:val="000000" w:themeColor="text1"/>
        </w:rPr>
        <w:t>Journal of Management</w:t>
      </w:r>
      <w:r w:rsidRPr="006B2F06">
        <w:rPr>
          <w:rFonts w:ascii="Arial" w:hAnsi="Arial" w:cs="Arial"/>
          <w:color w:val="000000" w:themeColor="text1"/>
        </w:rPr>
        <w:t xml:space="preserve">, 17(1), pp. 99–120. Available at: </w:t>
      </w:r>
      <w:hyperlink r:id="rId12" w:tgtFrame="_new" w:history="1">
        <w:r w:rsidRPr="006B2F06">
          <w:rPr>
            <w:rStyle w:val="Hyperlink"/>
            <w:rFonts w:ascii="Arial" w:hAnsi="Arial" w:cs="Arial"/>
            <w:color w:val="000000" w:themeColor="text1"/>
          </w:rPr>
          <w:t>https://doi.org/10.1177/014920639101700108</w:t>
        </w:r>
      </w:hyperlink>
      <w:r w:rsidRPr="006B2F06">
        <w:rPr>
          <w:rFonts w:ascii="Arial" w:hAnsi="Arial" w:cs="Arial"/>
          <w:color w:val="000000" w:themeColor="text1"/>
        </w:rPr>
        <w:t xml:space="preserve"> (Accessed: 20 March 2026).</w:t>
      </w:r>
    </w:p>
    <w:p w14:paraId="1A205825" w14:textId="77777777" w:rsidR="001F54A7" w:rsidRPr="006B2F06" w:rsidRDefault="001F54A7" w:rsidP="006B2F06">
      <w:pPr>
        <w:spacing w:line="360" w:lineRule="auto"/>
        <w:rPr>
          <w:rFonts w:ascii="Arial" w:hAnsi="Arial" w:cs="Arial"/>
          <w:color w:val="000000" w:themeColor="text1"/>
        </w:rPr>
      </w:pPr>
    </w:p>
    <w:p w14:paraId="72A30A5D" w14:textId="2831D0B4"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Bain &amp; Company (2023) </w:t>
      </w:r>
      <w:r w:rsidRPr="006B2F06">
        <w:rPr>
          <w:rFonts w:ascii="Arial" w:hAnsi="Arial" w:cs="Arial"/>
          <w:i/>
          <w:iCs/>
          <w:color w:val="000000" w:themeColor="text1"/>
        </w:rPr>
        <w:t>Global Technology Report</w:t>
      </w:r>
      <w:r w:rsidRPr="006B2F06">
        <w:rPr>
          <w:rFonts w:ascii="Arial" w:hAnsi="Arial" w:cs="Arial"/>
          <w:color w:val="000000" w:themeColor="text1"/>
        </w:rPr>
        <w:t xml:space="preserve">. Available at: </w:t>
      </w:r>
      <w:hyperlink r:id="rId13" w:tgtFrame="_new" w:history="1">
        <w:r w:rsidRPr="006B2F06">
          <w:rPr>
            <w:rStyle w:val="Hyperlink"/>
            <w:rFonts w:ascii="Arial" w:hAnsi="Arial" w:cs="Arial"/>
            <w:color w:val="000000" w:themeColor="text1"/>
          </w:rPr>
          <w:t>https://www.bain.com/insights</w:t>
        </w:r>
      </w:hyperlink>
      <w:r w:rsidRPr="006B2F06">
        <w:rPr>
          <w:rFonts w:ascii="Arial" w:hAnsi="Arial" w:cs="Arial"/>
          <w:color w:val="000000" w:themeColor="text1"/>
        </w:rPr>
        <w:t xml:space="preserve"> (Accessed: 20 March 2026).</w:t>
      </w:r>
    </w:p>
    <w:p w14:paraId="31D4CD62" w14:textId="77777777" w:rsidR="001F54A7" w:rsidRPr="006B2F06" w:rsidRDefault="001F54A7" w:rsidP="006B2F06">
      <w:pPr>
        <w:spacing w:line="360" w:lineRule="auto"/>
        <w:rPr>
          <w:rFonts w:ascii="Arial" w:hAnsi="Arial" w:cs="Arial"/>
          <w:color w:val="000000" w:themeColor="text1"/>
        </w:rPr>
      </w:pPr>
    </w:p>
    <w:p w14:paraId="73D18732" w14:textId="65E2333E"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Cusumano, M. and Selby, R. (1995) </w:t>
      </w:r>
      <w:r w:rsidRPr="006B2F06">
        <w:rPr>
          <w:rFonts w:ascii="Arial" w:hAnsi="Arial" w:cs="Arial"/>
          <w:i/>
          <w:iCs/>
          <w:color w:val="000000" w:themeColor="text1"/>
        </w:rPr>
        <w:t>Microsoft Secrets: How the World’s Most Powerful Software Company Creates Technology, Shapes Markets and Manages People</w:t>
      </w:r>
      <w:r w:rsidRPr="006B2F06">
        <w:rPr>
          <w:rFonts w:ascii="Arial" w:hAnsi="Arial" w:cs="Arial"/>
          <w:color w:val="000000" w:themeColor="text1"/>
        </w:rPr>
        <w:t>. New York: Free Press.</w:t>
      </w:r>
    </w:p>
    <w:p w14:paraId="34958C41" w14:textId="77777777" w:rsidR="001F54A7" w:rsidRPr="006B2F06" w:rsidRDefault="001F54A7" w:rsidP="006B2F06">
      <w:pPr>
        <w:spacing w:line="360" w:lineRule="auto"/>
        <w:rPr>
          <w:rFonts w:ascii="Arial" w:hAnsi="Arial" w:cs="Arial"/>
          <w:color w:val="000000" w:themeColor="text1"/>
        </w:rPr>
      </w:pPr>
    </w:p>
    <w:p w14:paraId="483C7B48" w14:textId="4BD7E5BE"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de </w:t>
      </w:r>
      <w:proofErr w:type="spellStart"/>
      <w:r w:rsidRPr="006B2F06">
        <w:rPr>
          <w:rFonts w:ascii="Arial" w:hAnsi="Arial" w:cs="Arial"/>
          <w:color w:val="000000" w:themeColor="text1"/>
        </w:rPr>
        <w:t>Mooij</w:t>
      </w:r>
      <w:proofErr w:type="spellEnd"/>
      <w:r w:rsidRPr="006B2F06">
        <w:rPr>
          <w:rFonts w:ascii="Arial" w:hAnsi="Arial" w:cs="Arial"/>
          <w:color w:val="000000" w:themeColor="text1"/>
        </w:rPr>
        <w:t xml:space="preserve">, M. (2019) </w:t>
      </w:r>
      <w:r w:rsidRPr="006B2F06">
        <w:rPr>
          <w:rFonts w:ascii="Arial" w:hAnsi="Arial" w:cs="Arial"/>
          <w:i/>
          <w:iCs/>
          <w:color w:val="000000" w:themeColor="text1"/>
        </w:rPr>
        <w:t>Global Marketing and Advertising: Understanding Cultural Paradoxes</w:t>
      </w:r>
      <w:r w:rsidRPr="006B2F06">
        <w:rPr>
          <w:rFonts w:ascii="Arial" w:hAnsi="Arial" w:cs="Arial"/>
          <w:color w:val="000000" w:themeColor="text1"/>
        </w:rPr>
        <w:t xml:space="preserve">. 5th </w:t>
      </w:r>
      <w:proofErr w:type="spellStart"/>
      <w:r w:rsidRPr="006B2F06">
        <w:rPr>
          <w:rFonts w:ascii="Arial" w:hAnsi="Arial" w:cs="Arial"/>
          <w:color w:val="000000" w:themeColor="text1"/>
        </w:rPr>
        <w:t>edn</w:t>
      </w:r>
      <w:proofErr w:type="spellEnd"/>
      <w:r w:rsidRPr="006B2F06">
        <w:rPr>
          <w:rFonts w:ascii="Arial" w:hAnsi="Arial" w:cs="Arial"/>
          <w:color w:val="000000" w:themeColor="text1"/>
        </w:rPr>
        <w:t>. London: Sage.</w:t>
      </w:r>
    </w:p>
    <w:p w14:paraId="73449225" w14:textId="77777777" w:rsidR="001F54A7" w:rsidRPr="006B2F06" w:rsidRDefault="001F54A7" w:rsidP="006B2F06">
      <w:pPr>
        <w:spacing w:line="360" w:lineRule="auto"/>
        <w:rPr>
          <w:rFonts w:ascii="Arial" w:hAnsi="Arial" w:cs="Arial"/>
          <w:color w:val="000000" w:themeColor="text1"/>
        </w:rPr>
      </w:pPr>
    </w:p>
    <w:p w14:paraId="53524535" w14:textId="68327878"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European Commission (2023) </w:t>
      </w:r>
      <w:r w:rsidRPr="006B2F06">
        <w:rPr>
          <w:rFonts w:ascii="Arial" w:hAnsi="Arial" w:cs="Arial"/>
          <w:i/>
          <w:iCs/>
          <w:color w:val="000000" w:themeColor="text1"/>
        </w:rPr>
        <w:t>Digital Markets Act (DMA)</w:t>
      </w:r>
      <w:r w:rsidRPr="006B2F06">
        <w:rPr>
          <w:rFonts w:ascii="Arial" w:hAnsi="Arial" w:cs="Arial"/>
          <w:color w:val="000000" w:themeColor="text1"/>
        </w:rPr>
        <w:t xml:space="preserve">. Available at: </w:t>
      </w:r>
      <w:hyperlink r:id="rId14" w:tgtFrame="_new" w:history="1">
        <w:r w:rsidRPr="006B2F06">
          <w:rPr>
            <w:rStyle w:val="Hyperlink"/>
            <w:rFonts w:ascii="Arial" w:hAnsi="Arial" w:cs="Arial"/>
            <w:color w:val="000000" w:themeColor="text1"/>
          </w:rPr>
          <w:t>https://digital-strategy.ec.europa.eu/en/policies/digital-markets-act</w:t>
        </w:r>
      </w:hyperlink>
      <w:r w:rsidRPr="006B2F06">
        <w:rPr>
          <w:rFonts w:ascii="Arial" w:hAnsi="Arial" w:cs="Arial"/>
          <w:color w:val="000000" w:themeColor="text1"/>
        </w:rPr>
        <w:t xml:space="preserve"> (Accessed: 20 March 2026).</w:t>
      </w:r>
    </w:p>
    <w:p w14:paraId="3EF11A74" w14:textId="77777777" w:rsidR="001F54A7" w:rsidRPr="006B2F06" w:rsidRDefault="001F54A7" w:rsidP="006B2F06">
      <w:pPr>
        <w:spacing w:line="360" w:lineRule="auto"/>
        <w:rPr>
          <w:rFonts w:ascii="Arial" w:hAnsi="Arial" w:cs="Arial"/>
          <w:color w:val="000000" w:themeColor="text1"/>
        </w:rPr>
      </w:pPr>
    </w:p>
    <w:p w14:paraId="1635EA1B" w14:textId="28A78DA1"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Financial Times (2023) </w:t>
      </w:r>
      <w:r w:rsidRPr="006B2F06">
        <w:rPr>
          <w:rFonts w:ascii="Arial" w:hAnsi="Arial" w:cs="Arial"/>
          <w:i/>
          <w:iCs/>
          <w:color w:val="000000" w:themeColor="text1"/>
        </w:rPr>
        <w:t>Microsoft’s AI strategy and global expansion</w:t>
      </w:r>
      <w:r w:rsidRPr="006B2F06">
        <w:rPr>
          <w:rFonts w:ascii="Arial" w:hAnsi="Arial" w:cs="Arial"/>
          <w:color w:val="000000" w:themeColor="text1"/>
        </w:rPr>
        <w:t xml:space="preserve">. Available at: </w:t>
      </w:r>
      <w:hyperlink r:id="rId15" w:tgtFrame="_new" w:history="1">
        <w:r w:rsidRPr="006B2F06">
          <w:rPr>
            <w:rStyle w:val="Hyperlink"/>
            <w:rFonts w:ascii="Arial" w:hAnsi="Arial" w:cs="Arial"/>
            <w:color w:val="000000" w:themeColor="text1"/>
          </w:rPr>
          <w:t>https://www.ft.com/companies/technology</w:t>
        </w:r>
      </w:hyperlink>
      <w:r w:rsidRPr="006B2F06">
        <w:rPr>
          <w:rFonts w:ascii="Arial" w:hAnsi="Arial" w:cs="Arial"/>
          <w:color w:val="000000" w:themeColor="text1"/>
        </w:rPr>
        <w:t xml:space="preserve"> (Accessed: 20 March 2026).</w:t>
      </w:r>
    </w:p>
    <w:p w14:paraId="40758A21" w14:textId="77777777" w:rsidR="001F54A7" w:rsidRPr="006B2F06" w:rsidRDefault="001F54A7" w:rsidP="006B2F06">
      <w:pPr>
        <w:spacing w:line="360" w:lineRule="auto"/>
        <w:rPr>
          <w:rFonts w:ascii="Arial" w:hAnsi="Arial" w:cs="Arial"/>
          <w:color w:val="000000" w:themeColor="text1"/>
        </w:rPr>
      </w:pPr>
    </w:p>
    <w:p w14:paraId="2D62DE35" w14:textId="42909A20"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Gartner (2023) </w:t>
      </w:r>
      <w:r w:rsidRPr="006B2F06">
        <w:rPr>
          <w:rFonts w:ascii="Arial" w:hAnsi="Arial" w:cs="Arial"/>
          <w:i/>
          <w:iCs/>
          <w:color w:val="000000" w:themeColor="text1"/>
        </w:rPr>
        <w:t>Cloud infrastructure and platform services market share</w:t>
      </w:r>
      <w:r w:rsidRPr="006B2F06">
        <w:rPr>
          <w:rFonts w:ascii="Arial" w:hAnsi="Arial" w:cs="Arial"/>
          <w:color w:val="000000" w:themeColor="text1"/>
        </w:rPr>
        <w:t xml:space="preserve">. Available at: </w:t>
      </w:r>
      <w:hyperlink r:id="rId16" w:tgtFrame="_new" w:history="1">
        <w:r w:rsidRPr="006B2F06">
          <w:rPr>
            <w:rStyle w:val="Hyperlink"/>
            <w:rFonts w:ascii="Arial" w:hAnsi="Arial" w:cs="Arial"/>
            <w:color w:val="000000" w:themeColor="text1"/>
          </w:rPr>
          <w:t>https://www.gartner.com/en</w:t>
        </w:r>
      </w:hyperlink>
      <w:r w:rsidRPr="006B2F06">
        <w:rPr>
          <w:rFonts w:ascii="Arial" w:hAnsi="Arial" w:cs="Arial"/>
          <w:color w:val="000000" w:themeColor="text1"/>
        </w:rPr>
        <w:t xml:space="preserve"> (Accessed: 20 March 2026).</w:t>
      </w:r>
    </w:p>
    <w:p w14:paraId="6ACEB3C4" w14:textId="77777777" w:rsidR="001F54A7" w:rsidRPr="006B2F06" w:rsidRDefault="001F54A7" w:rsidP="006B2F06">
      <w:pPr>
        <w:spacing w:line="360" w:lineRule="auto"/>
        <w:rPr>
          <w:rFonts w:ascii="Arial" w:hAnsi="Arial" w:cs="Arial"/>
          <w:color w:val="000000" w:themeColor="text1"/>
        </w:rPr>
      </w:pPr>
    </w:p>
    <w:p w14:paraId="44F36D46" w14:textId="7840D8EB"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lastRenderedPageBreak/>
        <w:t xml:space="preserve">Gibbs, G. (1988) </w:t>
      </w:r>
      <w:r w:rsidRPr="006B2F06">
        <w:rPr>
          <w:rFonts w:ascii="Arial" w:hAnsi="Arial" w:cs="Arial"/>
          <w:i/>
          <w:iCs/>
          <w:color w:val="000000" w:themeColor="text1"/>
        </w:rPr>
        <w:t>Learning by Doing: A Guide to Teaching and Learning Methods</w:t>
      </w:r>
      <w:r w:rsidRPr="006B2F06">
        <w:rPr>
          <w:rFonts w:ascii="Arial" w:hAnsi="Arial" w:cs="Arial"/>
          <w:color w:val="000000" w:themeColor="text1"/>
        </w:rPr>
        <w:t>. Oxford: Oxford Polytechnic.</w:t>
      </w:r>
    </w:p>
    <w:p w14:paraId="46D2F81D" w14:textId="77777777" w:rsidR="001F54A7" w:rsidRPr="006B2F06" w:rsidRDefault="001F54A7" w:rsidP="006B2F06">
      <w:pPr>
        <w:spacing w:line="360" w:lineRule="auto"/>
        <w:rPr>
          <w:rFonts w:ascii="Arial" w:hAnsi="Arial" w:cs="Arial"/>
          <w:color w:val="000000" w:themeColor="text1"/>
        </w:rPr>
      </w:pPr>
    </w:p>
    <w:p w14:paraId="49B3DDFC" w14:textId="16D364E9"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Hines, T. and Bruce, M. (2020) </w:t>
      </w:r>
      <w:r w:rsidRPr="006B2F06">
        <w:rPr>
          <w:rFonts w:ascii="Arial" w:hAnsi="Arial" w:cs="Arial"/>
          <w:i/>
          <w:iCs/>
          <w:color w:val="000000" w:themeColor="text1"/>
        </w:rPr>
        <w:t>Fashion Marketing: Contemporary Issues</w:t>
      </w:r>
      <w:r w:rsidRPr="006B2F06">
        <w:rPr>
          <w:rFonts w:ascii="Arial" w:hAnsi="Arial" w:cs="Arial"/>
          <w:color w:val="000000" w:themeColor="text1"/>
        </w:rPr>
        <w:t>. London: Routledge.</w:t>
      </w:r>
    </w:p>
    <w:p w14:paraId="6457A177" w14:textId="77777777" w:rsidR="001F54A7" w:rsidRPr="006B2F06" w:rsidRDefault="001F54A7" w:rsidP="006B2F06">
      <w:pPr>
        <w:spacing w:line="360" w:lineRule="auto"/>
        <w:rPr>
          <w:rFonts w:ascii="Arial" w:hAnsi="Arial" w:cs="Arial"/>
          <w:color w:val="000000" w:themeColor="text1"/>
        </w:rPr>
      </w:pPr>
    </w:p>
    <w:p w14:paraId="1457F84C" w14:textId="26855697"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Hofstede, G. (2011) ‘</w:t>
      </w:r>
      <w:proofErr w:type="spellStart"/>
      <w:r w:rsidRPr="006B2F06">
        <w:rPr>
          <w:rFonts w:ascii="Arial" w:hAnsi="Arial" w:cs="Arial"/>
          <w:color w:val="000000" w:themeColor="text1"/>
        </w:rPr>
        <w:t>Dimensionalizing</w:t>
      </w:r>
      <w:proofErr w:type="spellEnd"/>
      <w:r w:rsidRPr="006B2F06">
        <w:rPr>
          <w:rFonts w:ascii="Arial" w:hAnsi="Arial" w:cs="Arial"/>
          <w:color w:val="000000" w:themeColor="text1"/>
        </w:rPr>
        <w:t xml:space="preserve"> cultures: The Hofstede model in context’, </w:t>
      </w:r>
      <w:r w:rsidRPr="006B2F06">
        <w:rPr>
          <w:rFonts w:ascii="Arial" w:hAnsi="Arial" w:cs="Arial"/>
          <w:i/>
          <w:iCs/>
          <w:color w:val="000000" w:themeColor="text1"/>
        </w:rPr>
        <w:t>Online Readings in Psychology and Culture</w:t>
      </w:r>
      <w:r w:rsidRPr="006B2F06">
        <w:rPr>
          <w:rFonts w:ascii="Arial" w:hAnsi="Arial" w:cs="Arial"/>
          <w:color w:val="000000" w:themeColor="text1"/>
        </w:rPr>
        <w:t xml:space="preserve">, 2(1). Available at: </w:t>
      </w:r>
      <w:hyperlink r:id="rId17" w:tgtFrame="_new" w:history="1">
        <w:r w:rsidRPr="006B2F06">
          <w:rPr>
            <w:rStyle w:val="Hyperlink"/>
            <w:rFonts w:ascii="Arial" w:hAnsi="Arial" w:cs="Arial"/>
            <w:color w:val="000000" w:themeColor="text1"/>
          </w:rPr>
          <w:t>https://doi.org/10.9707/2307-0919.1014</w:t>
        </w:r>
      </w:hyperlink>
      <w:r w:rsidRPr="006B2F06">
        <w:rPr>
          <w:rFonts w:ascii="Arial" w:hAnsi="Arial" w:cs="Arial"/>
          <w:color w:val="000000" w:themeColor="text1"/>
        </w:rPr>
        <w:t xml:space="preserve"> (Accessed: 20 March 2026).</w:t>
      </w:r>
    </w:p>
    <w:p w14:paraId="1F99C087" w14:textId="77777777" w:rsidR="001F54A7" w:rsidRPr="006B2F06" w:rsidRDefault="001F54A7" w:rsidP="006B2F06">
      <w:pPr>
        <w:spacing w:line="360" w:lineRule="auto"/>
        <w:rPr>
          <w:rFonts w:ascii="Arial" w:hAnsi="Arial" w:cs="Arial"/>
          <w:color w:val="000000" w:themeColor="text1"/>
        </w:rPr>
      </w:pPr>
    </w:p>
    <w:p w14:paraId="0DDD36BB" w14:textId="10DA3E6E"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Johnson, G., Whittington, R. and Scholes, K. (2020) </w:t>
      </w:r>
      <w:r w:rsidRPr="006B2F06">
        <w:rPr>
          <w:rFonts w:ascii="Arial" w:hAnsi="Arial" w:cs="Arial"/>
          <w:i/>
          <w:iCs/>
          <w:color w:val="000000" w:themeColor="text1"/>
        </w:rPr>
        <w:t>Exploring Strategy</w:t>
      </w:r>
      <w:r w:rsidRPr="006B2F06">
        <w:rPr>
          <w:rFonts w:ascii="Arial" w:hAnsi="Arial" w:cs="Arial"/>
          <w:color w:val="000000" w:themeColor="text1"/>
        </w:rPr>
        <w:t xml:space="preserve">. 12th </w:t>
      </w:r>
      <w:proofErr w:type="spellStart"/>
      <w:r w:rsidRPr="006B2F06">
        <w:rPr>
          <w:rFonts w:ascii="Arial" w:hAnsi="Arial" w:cs="Arial"/>
          <w:color w:val="000000" w:themeColor="text1"/>
        </w:rPr>
        <w:t>edn</w:t>
      </w:r>
      <w:proofErr w:type="spellEnd"/>
      <w:r w:rsidRPr="006B2F06">
        <w:rPr>
          <w:rFonts w:ascii="Arial" w:hAnsi="Arial" w:cs="Arial"/>
          <w:color w:val="000000" w:themeColor="text1"/>
        </w:rPr>
        <w:t>. Harlow: Pearson.</w:t>
      </w:r>
    </w:p>
    <w:p w14:paraId="6FBCE9A0" w14:textId="77777777" w:rsidR="001F54A7" w:rsidRPr="006B2F06" w:rsidRDefault="001F54A7" w:rsidP="006B2F06">
      <w:pPr>
        <w:spacing w:line="360" w:lineRule="auto"/>
        <w:rPr>
          <w:rFonts w:ascii="Arial" w:hAnsi="Arial" w:cs="Arial"/>
          <w:color w:val="000000" w:themeColor="text1"/>
        </w:rPr>
      </w:pPr>
    </w:p>
    <w:p w14:paraId="7A896378" w14:textId="687BC838"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Kapferer, J.N. (2021) </w:t>
      </w:r>
      <w:r w:rsidRPr="006B2F06">
        <w:rPr>
          <w:rFonts w:ascii="Arial" w:hAnsi="Arial" w:cs="Arial"/>
          <w:i/>
          <w:iCs/>
          <w:color w:val="000000" w:themeColor="text1"/>
        </w:rPr>
        <w:t>The New Strategic Brand Management</w:t>
      </w:r>
      <w:r w:rsidRPr="006B2F06">
        <w:rPr>
          <w:rFonts w:ascii="Arial" w:hAnsi="Arial" w:cs="Arial"/>
          <w:color w:val="000000" w:themeColor="text1"/>
        </w:rPr>
        <w:t xml:space="preserve">. 6th </w:t>
      </w:r>
      <w:proofErr w:type="spellStart"/>
      <w:r w:rsidRPr="006B2F06">
        <w:rPr>
          <w:rFonts w:ascii="Arial" w:hAnsi="Arial" w:cs="Arial"/>
          <w:color w:val="000000" w:themeColor="text1"/>
        </w:rPr>
        <w:t>edn</w:t>
      </w:r>
      <w:proofErr w:type="spellEnd"/>
      <w:r w:rsidRPr="006B2F06">
        <w:rPr>
          <w:rFonts w:ascii="Arial" w:hAnsi="Arial" w:cs="Arial"/>
          <w:color w:val="000000" w:themeColor="text1"/>
        </w:rPr>
        <w:t>. London: Kogan Page.</w:t>
      </w:r>
    </w:p>
    <w:p w14:paraId="7FCE01BE" w14:textId="77777777" w:rsidR="001F54A7" w:rsidRPr="006B2F06" w:rsidRDefault="001F54A7" w:rsidP="006B2F06">
      <w:pPr>
        <w:spacing w:line="360" w:lineRule="auto"/>
        <w:rPr>
          <w:rFonts w:ascii="Arial" w:hAnsi="Arial" w:cs="Arial"/>
          <w:color w:val="000000" w:themeColor="text1"/>
        </w:rPr>
      </w:pPr>
    </w:p>
    <w:p w14:paraId="03B9F400" w14:textId="3D5BA4CC"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Kapferer, J.N. and Bastien, V. (2017) </w:t>
      </w:r>
      <w:r w:rsidRPr="006B2F06">
        <w:rPr>
          <w:rFonts w:ascii="Arial" w:hAnsi="Arial" w:cs="Arial"/>
          <w:i/>
          <w:iCs/>
          <w:color w:val="000000" w:themeColor="text1"/>
        </w:rPr>
        <w:t>The Luxury Strategy</w:t>
      </w:r>
      <w:r w:rsidRPr="006B2F06">
        <w:rPr>
          <w:rFonts w:ascii="Arial" w:hAnsi="Arial" w:cs="Arial"/>
          <w:color w:val="000000" w:themeColor="text1"/>
        </w:rPr>
        <w:t xml:space="preserve">. 2nd </w:t>
      </w:r>
      <w:proofErr w:type="spellStart"/>
      <w:r w:rsidRPr="006B2F06">
        <w:rPr>
          <w:rFonts w:ascii="Arial" w:hAnsi="Arial" w:cs="Arial"/>
          <w:color w:val="000000" w:themeColor="text1"/>
        </w:rPr>
        <w:t>edn</w:t>
      </w:r>
      <w:proofErr w:type="spellEnd"/>
      <w:r w:rsidRPr="006B2F06">
        <w:rPr>
          <w:rFonts w:ascii="Arial" w:hAnsi="Arial" w:cs="Arial"/>
          <w:color w:val="000000" w:themeColor="text1"/>
        </w:rPr>
        <w:t>. London: Kogan Page.</w:t>
      </w:r>
    </w:p>
    <w:p w14:paraId="506FD731" w14:textId="77777777" w:rsidR="001F54A7" w:rsidRPr="006B2F06" w:rsidRDefault="001F54A7" w:rsidP="006B2F06">
      <w:pPr>
        <w:spacing w:line="360" w:lineRule="auto"/>
        <w:rPr>
          <w:rFonts w:ascii="Arial" w:hAnsi="Arial" w:cs="Arial"/>
          <w:color w:val="000000" w:themeColor="text1"/>
        </w:rPr>
      </w:pPr>
    </w:p>
    <w:p w14:paraId="0FD24BCA" w14:textId="1D25DBD9"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Kotler, P. and Keller, K. (2022) </w:t>
      </w:r>
      <w:r w:rsidRPr="006B2F06">
        <w:rPr>
          <w:rFonts w:ascii="Arial" w:hAnsi="Arial" w:cs="Arial"/>
          <w:i/>
          <w:iCs/>
          <w:color w:val="000000" w:themeColor="text1"/>
        </w:rPr>
        <w:t>Marketing Management</w:t>
      </w:r>
      <w:r w:rsidRPr="006B2F06">
        <w:rPr>
          <w:rFonts w:ascii="Arial" w:hAnsi="Arial" w:cs="Arial"/>
          <w:color w:val="000000" w:themeColor="text1"/>
        </w:rPr>
        <w:t xml:space="preserve">. 16th </w:t>
      </w:r>
      <w:proofErr w:type="spellStart"/>
      <w:r w:rsidRPr="006B2F06">
        <w:rPr>
          <w:rFonts w:ascii="Arial" w:hAnsi="Arial" w:cs="Arial"/>
          <w:color w:val="000000" w:themeColor="text1"/>
        </w:rPr>
        <w:t>edn</w:t>
      </w:r>
      <w:proofErr w:type="spellEnd"/>
      <w:r w:rsidRPr="006B2F06">
        <w:rPr>
          <w:rFonts w:ascii="Arial" w:hAnsi="Arial" w:cs="Arial"/>
          <w:color w:val="000000" w:themeColor="text1"/>
        </w:rPr>
        <w:t>. Harlow: Pearson.</w:t>
      </w:r>
    </w:p>
    <w:p w14:paraId="14FE0DBA" w14:textId="77777777" w:rsidR="001F54A7" w:rsidRPr="006B2F06" w:rsidRDefault="001F54A7" w:rsidP="006B2F06">
      <w:pPr>
        <w:spacing w:line="360" w:lineRule="auto"/>
        <w:rPr>
          <w:rFonts w:ascii="Arial" w:hAnsi="Arial" w:cs="Arial"/>
          <w:color w:val="000000" w:themeColor="text1"/>
        </w:rPr>
      </w:pPr>
    </w:p>
    <w:p w14:paraId="11B2492C" w14:textId="6D9F57F4"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McKinsey &amp; Company (2023) </w:t>
      </w:r>
      <w:r w:rsidRPr="006B2F06">
        <w:rPr>
          <w:rFonts w:ascii="Arial" w:hAnsi="Arial" w:cs="Arial"/>
          <w:i/>
          <w:iCs/>
          <w:color w:val="000000" w:themeColor="text1"/>
        </w:rPr>
        <w:t>State of Cloud 2023</w:t>
      </w:r>
      <w:r w:rsidRPr="006B2F06">
        <w:rPr>
          <w:rFonts w:ascii="Arial" w:hAnsi="Arial" w:cs="Arial"/>
          <w:color w:val="000000" w:themeColor="text1"/>
        </w:rPr>
        <w:t xml:space="preserve">. Available at: </w:t>
      </w:r>
      <w:hyperlink r:id="rId18" w:tgtFrame="_new" w:history="1">
        <w:r w:rsidRPr="006B2F06">
          <w:rPr>
            <w:rStyle w:val="Hyperlink"/>
            <w:rFonts w:ascii="Arial" w:hAnsi="Arial" w:cs="Arial"/>
            <w:color w:val="000000" w:themeColor="text1"/>
          </w:rPr>
          <w:t>https://www.mckinsey.com</w:t>
        </w:r>
      </w:hyperlink>
      <w:r w:rsidRPr="006B2F06">
        <w:rPr>
          <w:rFonts w:ascii="Arial" w:hAnsi="Arial" w:cs="Arial"/>
          <w:color w:val="000000" w:themeColor="text1"/>
        </w:rPr>
        <w:t xml:space="preserve"> (Accessed: 20 March 2026).</w:t>
      </w:r>
    </w:p>
    <w:p w14:paraId="3B5C094B" w14:textId="77777777" w:rsidR="001F54A7" w:rsidRPr="006B2F06" w:rsidRDefault="001F54A7" w:rsidP="006B2F06">
      <w:pPr>
        <w:spacing w:line="360" w:lineRule="auto"/>
        <w:rPr>
          <w:rFonts w:ascii="Arial" w:hAnsi="Arial" w:cs="Arial"/>
          <w:color w:val="000000" w:themeColor="text1"/>
        </w:rPr>
      </w:pPr>
    </w:p>
    <w:p w14:paraId="7FADC6B7" w14:textId="71614334"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Microsoft (2023a) </w:t>
      </w:r>
      <w:r w:rsidRPr="006B2F06">
        <w:rPr>
          <w:rFonts w:ascii="Arial" w:hAnsi="Arial" w:cs="Arial"/>
          <w:i/>
          <w:iCs/>
          <w:color w:val="000000" w:themeColor="text1"/>
        </w:rPr>
        <w:t>Annual Report and Form 10-K</w:t>
      </w:r>
      <w:r w:rsidRPr="006B2F06">
        <w:rPr>
          <w:rFonts w:ascii="Arial" w:hAnsi="Arial" w:cs="Arial"/>
          <w:color w:val="000000" w:themeColor="text1"/>
        </w:rPr>
        <w:t xml:space="preserve">. Available at: </w:t>
      </w:r>
      <w:hyperlink r:id="rId19" w:tgtFrame="_new" w:history="1">
        <w:r w:rsidRPr="006B2F06">
          <w:rPr>
            <w:rStyle w:val="Hyperlink"/>
            <w:rFonts w:ascii="Arial" w:hAnsi="Arial" w:cs="Arial"/>
            <w:color w:val="000000" w:themeColor="text1"/>
          </w:rPr>
          <w:t>https://www.microsoft.com/investor</w:t>
        </w:r>
      </w:hyperlink>
      <w:r w:rsidRPr="006B2F06">
        <w:rPr>
          <w:rFonts w:ascii="Arial" w:hAnsi="Arial" w:cs="Arial"/>
          <w:color w:val="000000" w:themeColor="text1"/>
        </w:rPr>
        <w:t xml:space="preserve"> (Accessed: 20 March 2026).</w:t>
      </w:r>
    </w:p>
    <w:p w14:paraId="49341FE8" w14:textId="77777777" w:rsidR="001F54A7" w:rsidRPr="006B2F06" w:rsidRDefault="001F54A7" w:rsidP="006B2F06">
      <w:pPr>
        <w:spacing w:line="360" w:lineRule="auto"/>
        <w:rPr>
          <w:rFonts w:ascii="Arial" w:hAnsi="Arial" w:cs="Arial"/>
          <w:color w:val="000000" w:themeColor="text1"/>
        </w:rPr>
      </w:pPr>
    </w:p>
    <w:p w14:paraId="48AD615A" w14:textId="54DD4F32"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Microsoft (2023b) </w:t>
      </w:r>
      <w:r w:rsidRPr="006B2F06">
        <w:rPr>
          <w:rFonts w:ascii="Arial" w:hAnsi="Arial" w:cs="Arial"/>
          <w:i/>
          <w:iCs/>
          <w:color w:val="000000" w:themeColor="text1"/>
        </w:rPr>
        <w:t>Sustainability Report</w:t>
      </w:r>
      <w:r w:rsidRPr="006B2F06">
        <w:rPr>
          <w:rFonts w:ascii="Arial" w:hAnsi="Arial" w:cs="Arial"/>
          <w:color w:val="000000" w:themeColor="text1"/>
        </w:rPr>
        <w:t xml:space="preserve">. Available at: </w:t>
      </w:r>
      <w:hyperlink r:id="rId20" w:tgtFrame="_new" w:history="1">
        <w:r w:rsidRPr="006B2F06">
          <w:rPr>
            <w:rStyle w:val="Hyperlink"/>
            <w:rFonts w:ascii="Arial" w:hAnsi="Arial" w:cs="Arial"/>
            <w:color w:val="000000" w:themeColor="text1"/>
          </w:rPr>
          <w:t>https://www.microsoft.com/sustainability</w:t>
        </w:r>
      </w:hyperlink>
      <w:r w:rsidRPr="006B2F06">
        <w:rPr>
          <w:rFonts w:ascii="Arial" w:hAnsi="Arial" w:cs="Arial"/>
          <w:color w:val="000000" w:themeColor="text1"/>
        </w:rPr>
        <w:t xml:space="preserve"> (Accessed: 20 March 2026).</w:t>
      </w:r>
    </w:p>
    <w:p w14:paraId="254D5528" w14:textId="77777777" w:rsidR="001F54A7" w:rsidRPr="006B2F06" w:rsidRDefault="001F54A7" w:rsidP="006B2F06">
      <w:pPr>
        <w:spacing w:line="360" w:lineRule="auto"/>
        <w:rPr>
          <w:rFonts w:ascii="Arial" w:hAnsi="Arial" w:cs="Arial"/>
          <w:color w:val="000000" w:themeColor="text1"/>
        </w:rPr>
      </w:pPr>
    </w:p>
    <w:p w14:paraId="3E7C91BD" w14:textId="1F8CE30E"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lastRenderedPageBreak/>
        <w:t>Microsoft (2023c)</w:t>
      </w:r>
      <w:r w:rsidR="00356D15" w:rsidRPr="006B2F06">
        <w:rPr>
          <w:rFonts w:ascii="Arial" w:hAnsi="Arial" w:cs="Arial"/>
          <w:color w:val="000000" w:themeColor="text1"/>
        </w:rPr>
        <w:t xml:space="preserve"> </w:t>
      </w:r>
      <w:r w:rsidRPr="006B2F06">
        <w:rPr>
          <w:rFonts w:ascii="Arial" w:hAnsi="Arial" w:cs="Arial"/>
          <w:i/>
          <w:iCs/>
          <w:color w:val="000000" w:themeColor="text1"/>
        </w:rPr>
        <w:t>Responsible AI Standard</w:t>
      </w:r>
      <w:r w:rsidRPr="006B2F06">
        <w:rPr>
          <w:rFonts w:ascii="Arial" w:hAnsi="Arial" w:cs="Arial"/>
          <w:color w:val="000000" w:themeColor="text1"/>
        </w:rPr>
        <w:t xml:space="preserve">. Available at: </w:t>
      </w:r>
      <w:hyperlink r:id="rId21" w:tgtFrame="_new" w:history="1">
        <w:r w:rsidRPr="006B2F06">
          <w:rPr>
            <w:rStyle w:val="Hyperlink"/>
            <w:rFonts w:ascii="Arial" w:hAnsi="Arial" w:cs="Arial"/>
            <w:color w:val="000000" w:themeColor="text1"/>
          </w:rPr>
          <w:t>https://www.microsoft.com/ai/responsible-ai</w:t>
        </w:r>
      </w:hyperlink>
      <w:r w:rsidRPr="006B2F06">
        <w:rPr>
          <w:rFonts w:ascii="Arial" w:hAnsi="Arial" w:cs="Arial"/>
          <w:color w:val="000000" w:themeColor="text1"/>
        </w:rPr>
        <w:t xml:space="preserve"> (Accessed: 20 March 2026).</w:t>
      </w:r>
    </w:p>
    <w:p w14:paraId="06296978" w14:textId="77777777" w:rsidR="001F54A7" w:rsidRPr="006B2F06" w:rsidRDefault="001F54A7" w:rsidP="006B2F06">
      <w:pPr>
        <w:spacing w:line="360" w:lineRule="auto"/>
        <w:rPr>
          <w:rFonts w:ascii="Arial" w:hAnsi="Arial" w:cs="Arial"/>
          <w:color w:val="000000" w:themeColor="text1"/>
        </w:rPr>
      </w:pPr>
    </w:p>
    <w:p w14:paraId="4BEFC38B" w14:textId="22C8A332"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Nikkei Asia (2023) </w:t>
      </w:r>
      <w:r w:rsidRPr="006B2F06">
        <w:rPr>
          <w:rFonts w:ascii="Arial" w:hAnsi="Arial" w:cs="Arial"/>
          <w:i/>
          <w:iCs/>
          <w:color w:val="000000" w:themeColor="text1"/>
        </w:rPr>
        <w:t>Regulatory challenges in Microsoft’s Activision acquisition</w:t>
      </w:r>
      <w:r w:rsidRPr="006B2F06">
        <w:rPr>
          <w:rFonts w:ascii="Arial" w:hAnsi="Arial" w:cs="Arial"/>
          <w:color w:val="000000" w:themeColor="text1"/>
        </w:rPr>
        <w:t xml:space="preserve">. Available at: </w:t>
      </w:r>
      <w:hyperlink r:id="rId22" w:tgtFrame="_new" w:history="1">
        <w:r w:rsidRPr="006B2F06">
          <w:rPr>
            <w:rStyle w:val="Hyperlink"/>
            <w:rFonts w:ascii="Arial" w:hAnsi="Arial" w:cs="Arial"/>
            <w:color w:val="000000" w:themeColor="text1"/>
          </w:rPr>
          <w:t>https://asia.nikkei.com</w:t>
        </w:r>
      </w:hyperlink>
      <w:r w:rsidRPr="006B2F06">
        <w:rPr>
          <w:rFonts w:ascii="Arial" w:hAnsi="Arial" w:cs="Arial"/>
          <w:color w:val="000000" w:themeColor="text1"/>
        </w:rPr>
        <w:t xml:space="preserve"> (Accessed: 20 March 2026).</w:t>
      </w:r>
    </w:p>
    <w:p w14:paraId="0A73A7AC" w14:textId="77777777" w:rsidR="00E27867" w:rsidRPr="006B2F06" w:rsidRDefault="00E27867" w:rsidP="006B2F06">
      <w:pPr>
        <w:spacing w:line="360" w:lineRule="auto"/>
        <w:rPr>
          <w:rFonts w:ascii="Arial" w:hAnsi="Arial" w:cs="Arial"/>
          <w:color w:val="000000" w:themeColor="text1"/>
        </w:rPr>
      </w:pPr>
    </w:p>
    <w:p w14:paraId="482D9B10" w14:textId="77777777"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OECD (2023) </w:t>
      </w:r>
      <w:r w:rsidRPr="006B2F06">
        <w:rPr>
          <w:rFonts w:ascii="Arial" w:hAnsi="Arial" w:cs="Arial"/>
          <w:i/>
          <w:iCs/>
          <w:color w:val="000000" w:themeColor="text1"/>
        </w:rPr>
        <w:t>Digital Economy Outlook</w:t>
      </w:r>
      <w:r w:rsidRPr="006B2F06">
        <w:rPr>
          <w:rFonts w:ascii="Arial" w:hAnsi="Arial" w:cs="Arial"/>
          <w:color w:val="000000" w:themeColor="text1"/>
        </w:rPr>
        <w:t xml:space="preserve">. Available at: </w:t>
      </w:r>
      <w:hyperlink r:id="rId23" w:tgtFrame="_new" w:history="1">
        <w:r w:rsidRPr="006B2F06">
          <w:rPr>
            <w:rStyle w:val="Hyperlink"/>
            <w:rFonts w:ascii="Arial" w:hAnsi="Arial" w:cs="Arial"/>
            <w:color w:val="000000" w:themeColor="text1"/>
          </w:rPr>
          <w:t>https://www.oecd.org/digital</w:t>
        </w:r>
      </w:hyperlink>
      <w:r w:rsidRPr="006B2F06">
        <w:rPr>
          <w:rFonts w:ascii="Arial" w:hAnsi="Arial" w:cs="Arial"/>
          <w:color w:val="000000" w:themeColor="text1"/>
        </w:rPr>
        <w:t xml:space="preserve"> (Accessed: 20 March 2026).</w:t>
      </w:r>
    </w:p>
    <w:p w14:paraId="41FB5670" w14:textId="77777777" w:rsidR="001F54A7" w:rsidRPr="006B2F06" w:rsidRDefault="001F54A7" w:rsidP="006B2F06">
      <w:pPr>
        <w:spacing w:line="360" w:lineRule="auto"/>
        <w:rPr>
          <w:rFonts w:ascii="Arial" w:hAnsi="Arial" w:cs="Arial"/>
          <w:color w:val="000000" w:themeColor="text1"/>
        </w:rPr>
      </w:pPr>
    </w:p>
    <w:p w14:paraId="18A2A06A" w14:textId="7DBFCBD3"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Porter, M. (1985) </w:t>
      </w:r>
      <w:r w:rsidRPr="006B2F06">
        <w:rPr>
          <w:rFonts w:ascii="Arial" w:hAnsi="Arial" w:cs="Arial"/>
          <w:i/>
          <w:iCs/>
          <w:color w:val="000000" w:themeColor="text1"/>
        </w:rPr>
        <w:t>Competitive Advantage</w:t>
      </w:r>
      <w:r w:rsidRPr="006B2F06">
        <w:rPr>
          <w:rFonts w:ascii="Arial" w:hAnsi="Arial" w:cs="Arial"/>
          <w:color w:val="000000" w:themeColor="text1"/>
        </w:rPr>
        <w:t>. New York: Free Press.</w:t>
      </w:r>
    </w:p>
    <w:p w14:paraId="60A5F9A5" w14:textId="77777777" w:rsidR="001F54A7" w:rsidRPr="006B2F06" w:rsidRDefault="001F54A7" w:rsidP="006B2F06">
      <w:pPr>
        <w:spacing w:line="360" w:lineRule="auto"/>
        <w:rPr>
          <w:rFonts w:ascii="Arial" w:hAnsi="Arial" w:cs="Arial"/>
          <w:color w:val="000000" w:themeColor="text1"/>
        </w:rPr>
      </w:pPr>
    </w:p>
    <w:p w14:paraId="31F0AFB1" w14:textId="7AEF40A3"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Porter, M. (2008) ‘The five competitive forces that shape strategy’, </w:t>
      </w:r>
      <w:r w:rsidRPr="006B2F06">
        <w:rPr>
          <w:rFonts w:ascii="Arial" w:hAnsi="Arial" w:cs="Arial"/>
          <w:i/>
          <w:iCs/>
          <w:color w:val="000000" w:themeColor="text1"/>
        </w:rPr>
        <w:t>Harvard Business Review</w:t>
      </w:r>
      <w:r w:rsidRPr="006B2F06">
        <w:rPr>
          <w:rFonts w:ascii="Arial" w:hAnsi="Arial" w:cs="Arial"/>
          <w:color w:val="000000" w:themeColor="text1"/>
        </w:rPr>
        <w:t xml:space="preserve">, 86(1), pp. 78–93. Available at: </w:t>
      </w:r>
      <w:hyperlink r:id="rId24" w:tgtFrame="_new" w:history="1">
        <w:r w:rsidRPr="006B2F06">
          <w:rPr>
            <w:rStyle w:val="Hyperlink"/>
            <w:rFonts w:ascii="Arial" w:hAnsi="Arial" w:cs="Arial"/>
            <w:color w:val="000000" w:themeColor="text1"/>
          </w:rPr>
          <w:t>https://hbr.org/2008/01/the-five-competitive-forces-that-shape-strategy</w:t>
        </w:r>
      </w:hyperlink>
      <w:r w:rsidRPr="006B2F06">
        <w:rPr>
          <w:rFonts w:ascii="Arial" w:hAnsi="Arial" w:cs="Arial"/>
          <w:color w:val="000000" w:themeColor="text1"/>
        </w:rPr>
        <w:t xml:space="preserve"> (Accessed: 20 March 2026).</w:t>
      </w:r>
    </w:p>
    <w:p w14:paraId="0761D358" w14:textId="77777777" w:rsidR="001F54A7" w:rsidRPr="006B2F06" w:rsidRDefault="001F54A7" w:rsidP="006B2F06">
      <w:pPr>
        <w:spacing w:line="360" w:lineRule="auto"/>
        <w:rPr>
          <w:rFonts w:ascii="Arial" w:hAnsi="Arial" w:cs="Arial"/>
          <w:color w:val="000000" w:themeColor="text1"/>
        </w:rPr>
      </w:pPr>
    </w:p>
    <w:p w14:paraId="7990E114" w14:textId="724CCD03"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Prahalad, C.K. and Hamel, G. (1990) ‘The core competence of the corporation’, </w:t>
      </w:r>
      <w:r w:rsidRPr="006B2F06">
        <w:rPr>
          <w:rFonts w:ascii="Arial" w:hAnsi="Arial" w:cs="Arial"/>
          <w:i/>
          <w:iCs/>
          <w:color w:val="000000" w:themeColor="text1"/>
        </w:rPr>
        <w:t>Harvard Business Review</w:t>
      </w:r>
      <w:r w:rsidRPr="006B2F06">
        <w:rPr>
          <w:rFonts w:ascii="Arial" w:hAnsi="Arial" w:cs="Arial"/>
          <w:color w:val="000000" w:themeColor="text1"/>
        </w:rPr>
        <w:t xml:space="preserve">, 68(3), pp. 79–91. Available at: </w:t>
      </w:r>
      <w:hyperlink r:id="rId25" w:tgtFrame="_new" w:history="1">
        <w:r w:rsidRPr="006B2F06">
          <w:rPr>
            <w:rStyle w:val="Hyperlink"/>
            <w:rFonts w:ascii="Arial" w:hAnsi="Arial" w:cs="Arial"/>
            <w:color w:val="000000" w:themeColor="text1"/>
          </w:rPr>
          <w:t>https://hbr.org/1990/05/the-core-competence-of-the-corporation</w:t>
        </w:r>
      </w:hyperlink>
      <w:r w:rsidRPr="006B2F06">
        <w:rPr>
          <w:rFonts w:ascii="Arial" w:hAnsi="Arial" w:cs="Arial"/>
          <w:color w:val="000000" w:themeColor="text1"/>
        </w:rPr>
        <w:t xml:space="preserve"> (Accessed: 20 March 2026).</w:t>
      </w:r>
    </w:p>
    <w:p w14:paraId="3E8D74E9" w14:textId="77777777" w:rsidR="001F54A7" w:rsidRPr="006B2F06" w:rsidRDefault="001F54A7" w:rsidP="006B2F06">
      <w:pPr>
        <w:spacing w:line="360" w:lineRule="auto"/>
        <w:rPr>
          <w:rFonts w:ascii="Arial" w:hAnsi="Arial" w:cs="Arial"/>
          <w:color w:val="000000" w:themeColor="text1"/>
        </w:rPr>
      </w:pPr>
    </w:p>
    <w:p w14:paraId="4617BCEB" w14:textId="4EF59622"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Statista (2023) </w:t>
      </w:r>
      <w:r w:rsidRPr="006B2F06">
        <w:rPr>
          <w:rFonts w:ascii="Arial" w:hAnsi="Arial" w:cs="Arial"/>
          <w:i/>
          <w:iCs/>
          <w:color w:val="000000" w:themeColor="text1"/>
        </w:rPr>
        <w:t>Microsoft: Company data and market insights</w:t>
      </w:r>
      <w:r w:rsidRPr="006B2F06">
        <w:rPr>
          <w:rFonts w:ascii="Arial" w:hAnsi="Arial" w:cs="Arial"/>
          <w:color w:val="000000" w:themeColor="text1"/>
        </w:rPr>
        <w:t xml:space="preserve">. Available at: </w:t>
      </w:r>
      <w:hyperlink r:id="rId26" w:tgtFrame="_new" w:history="1">
        <w:r w:rsidRPr="006B2F06">
          <w:rPr>
            <w:rStyle w:val="Hyperlink"/>
            <w:rFonts w:ascii="Arial" w:hAnsi="Arial" w:cs="Arial"/>
            <w:color w:val="000000" w:themeColor="text1"/>
          </w:rPr>
          <w:t>https://www.statista.com</w:t>
        </w:r>
      </w:hyperlink>
      <w:r w:rsidRPr="006B2F06">
        <w:rPr>
          <w:rFonts w:ascii="Arial" w:hAnsi="Arial" w:cs="Arial"/>
          <w:color w:val="000000" w:themeColor="text1"/>
        </w:rPr>
        <w:t xml:space="preserve"> (Accessed: 20 March 2026).</w:t>
      </w:r>
    </w:p>
    <w:p w14:paraId="2B98DF76" w14:textId="77777777" w:rsidR="001F54A7" w:rsidRPr="006B2F06" w:rsidRDefault="001F54A7" w:rsidP="006B2F06">
      <w:pPr>
        <w:spacing w:line="360" w:lineRule="auto"/>
        <w:rPr>
          <w:rFonts w:ascii="Arial" w:hAnsi="Arial" w:cs="Arial"/>
          <w:color w:val="000000" w:themeColor="text1"/>
        </w:rPr>
      </w:pPr>
    </w:p>
    <w:p w14:paraId="17B75891" w14:textId="53CAF153"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The Economist (2023) </w:t>
      </w:r>
      <w:r w:rsidRPr="006B2F06">
        <w:rPr>
          <w:rFonts w:ascii="Arial" w:hAnsi="Arial" w:cs="Arial"/>
          <w:i/>
          <w:iCs/>
          <w:color w:val="000000" w:themeColor="text1"/>
        </w:rPr>
        <w:t>Big tech regulation and AI ethics</w:t>
      </w:r>
      <w:r w:rsidRPr="006B2F06">
        <w:rPr>
          <w:rFonts w:ascii="Arial" w:hAnsi="Arial" w:cs="Arial"/>
          <w:color w:val="000000" w:themeColor="text1"/>
        </w:rPr>
        <w:t xml:space="preserve">. Available at: </w:t>
      </w:r>
      <w:hyperlink r:id="rId27" w:tgtFrame="_new" w:history="1">
        <w:r w:rsidRPr="006B2F06">
          <w:rPr>
            <w:rStyle w:val="Hyperlink"/>
            <w:rFonts w:ascii="Arial" w:hAnsi="Arial" w:cs="Arial"/>
            <w:color w:val="000000" w:themeColor="text1"/>
          </w:rPr>
          <w:t>https://www.economist.com</w:t>
        </w:r>
      </w:hyperlink>
      <w:r w:rsidRPr="006B2F06">
        <w:rPr>
          <w:rFonts w:ascii="Arial" w:hAnsi="Arial" w:cs="Arial"/>
          <w:color w:val="000000" w:themeColor="text1"/>
        </w:rPr>
        <w:t xml:space="preserve"> (Accessed: 20 March 2026).</w:t>
      </w:r>
    </w:p>
    <w:p w14:paraId="72259DF2" w14:textId="77777777" w:rsidR="001F54A7" w:rsidRPr="006B2F06" w:rsidRDefault="001F54A7" w:rsidP="006B2F06">
      <w:pPr>
        <w:spacing w:line="360" w:lineRule="auto"/>
        <w:rPr>
          <w:rFonts w:ascii="Arial" w:hAnsi="Arial" w:cs="Arial"/>
          <w:color w:val="000000" w:themeColor="text1"/>
        </w:rPr>
      </w:pPr>
    </w:p>
    <w:p w14:paraId="6FCD7A4E" w14:textId="57BB86A8"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t xml:space="preserve">Vance, A. (2015) </w:t>
      </w:r>
      <w:r w:rsidRPr="006B2F06">
        <w:rPr>
          <w:rFonts w:ascii="Arial" w:hAnsi="Arial" w:cs="Arial"/>
          <w:i/>
          <w:iCs/>
          <w:color w:val="000000" w:themeColor="text1"/>
        </w:rPr>
        <w:t>Satya Nadella and Microsoft’s cultural transformation</w:t>
      </w:r>
      <w:r w:rsidRPr="006B2F06">
        <w:rPr>
          <w:rFonts w:ascii="Arial" w:hAnsi="Arial" w:cs="Arial"/>
          <w:color w:val="000000" w:themeColor="text1"/>
        </w:rPr>
        <w:t xml:space="preserve">. Bloomberg Technology. Available at: </w:t>
      </w:r>
      <w:hyperlink r:id="rId28" w:tgtFrame="_new" w:history="1">
        <w:r w:rsidRPr="006B2F06">
          <w:rPr>
            <w:rStyle w:val="Hyperlink"/>
            <w:rFonts w:ascii="Arial" w:hAnsi="Arial" w:cs="Arial"/>
            <w:color w:val="000000" w:themeColor="text1"/>
          </w:rPr>
          <w:t>https://www.bloomberg.com</w:t>
        </w:r>
      </w:hyperlink>
      <w:r w:rsidRPr="006B2F06">
        <w:rPr>
          <w:rFonts w:ascii="Arial" w:hAnsi="Arial" w:cs="Arial"/>
          <w:color w:val="000000" w:themeColor="text1"/>
        </w:rPr>
        <w:t xml:space="preserve"> (Accessed: 20 March 2026).</w:t>
      </w:r>
      <w:r w:rsidR="00C9794A" w:rsidRPr="006B2F06">
        <w:rPr>
          <w:rFonts w:ascii="Arial" w:hAnsi="Arial" w:cs="Arial"/>
          <w:color w:val="000000" w:themeColor="text1"/>
        </w:rPr>
        <w:t xml:space="preserve"> </w:t>
      </w:r>
    </w:p>
    <w:p w14:paraId="525B16D6" w14:textId="77777777" w:rsidR="001F54A7" w:rsidRPr="006B2F06" w:rsidRDefault="001F54A7" w:rsidP="006B2F06">
      <w:pPr>
        <w:spacing w:line="360" w:lineRule="auto"/>
        <w:rPr>
          <w:rFonts w:ascii="Arial" w:hAnsi="Arial" w:cs="Arial"/>
          <w:color w:val="000000" w:themeColor="text1"/>
        </w:rPr>
      </w:pPr>
    </w:p>
    <w:p w14:paraId="3520EA0E" w14:textId="2829457A" w:rsidR="001F54A7" w:rsidRPr="006B2F06" w:rsidRDefault="001F54A7" w:rsidP="006B2F06">
      <w:pPr>
        <w:spacing w:line="360" w:lineRule="auto"/>
        <w:rPr>
          <w:rFonts w:ascii="Arial" w:hAnsi="Arial" w:cs="Arial"/>
          <w:color w:val="000000" w:themeColor="text1"/>
        </w:rPr>
      </w:pPr>
      <w:r w:rsidRPr="006B2F06">
        <w:rPr>
          <w:rFonts w:ascii="Arial" w:hAnsi="Arial" w:cs="Arial"/>
          <w:color w:val="000000" w:themeColor="text1"/>
        </w:rPr>
        <w:lastRenderedPageBreak/>
        <w:t xml:space="preserve">World Bank (2023) </w:t>
      </w:r>
      <w:r w:rsidRPr="006B2F06">
        <w:rPr>
          <w:rFonts w:ascii="Arial" w:hAnsi="Arial" w:cs="Arial"/>
          <w:i/>
          <w:iCs/>
          <w:color w:val="000000" w:themeColor="text1"/>
        </w:rPr>
        <w:t>Digital development overview</w:t>
      </w:r>
      <w:r w:rsidRPr="006B2F06">
        <w:rPr>
          <w:rFonts w:ascii="Arial" w:hAnsi="Arial" w:cs="Arial"/>
          <w:color w:val="000000" w:themeColor="text1"/>
        </w:rPr>
        <w:t xml:space="preserve">. Available at: </w:t>
      </w:r>
      <w:hyperlink r:id="rId29" w:tgtFrame="_new" w:history="1">
        <w:r w:rsidRPr="006B2F06">
          <w:rPr>
            <w:rStyle w:val="Hyperlink"/>
            <w:rFonts w:ascii="Arial" w:hAnsi="Arial" w:cs="Arial"/>
            <w:color w:val="000000" w:themeColor="text1"/>
          </w:rPr>
          <w:t>https://www.worldbank.org/en/topic/digitaldevelopment</w:t>
        </w:r>
      </w:hyperlink>
      <w:r w:rsidRPr="006B2F06">
        <w:rPr>
          <w:rFonts w:ascii="Arial" w:hAnsi="Arial" w:cs="Arial"/>
          <w:color w:val="000000" w:themeColor="text1"/>
        </w:rPr>
        <w:t xml:space="preserve"> (Accessed: 20 March 2026).</w:t>
      </w:r>
    </w:p>
    <w:p w14:paraId="5753D888" w14:textId="77777777" w:rsidR="006B2F06" w:rsidRPr="006B2F06" w:rsidRDefault="006B2F06">
      <w:pPr>
        <w:spacing w:line="360" w:lineRule="auto"/>
        <w:rPr>
          <w:rFonts w:ascii="Arial" w:hAnsi="Arial" w:cs="Arial"/>
          <w:color w:val="000000" w:themeColor="text1"/>
        </w:rPr>
      </w:pPr>
    </w:p>
    <w:sectPr w:rsidR="006B2F06" w:rsidRPr="006B2F06" w:rsidSect="00B54659">
      <w:pgSz w:w="11920" w:h="16850"/>
      <w:pgMar w:top="1260" w:right="992" w:bottom="1160" w:left="850" w:header="0" w:footer="981"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B2618"/>
    <w:multiLevelType w:val="multilevel"/>
    <w:tmpl w:val="41A82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8579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oNotDisplayPageBoundaries/>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E69"/>
    <w:rsid w:val="00054B1E"/>
    <w:rsid w:val="000856B3"/>
    <w:rsid w:val="000F62B8"/>
    <w:rsid w:val="00115D18"/>
    <w:rsid w:val="00126648"/>
    <w:rsid w:val="001A7E7C"/>
    <w:rsid w:val="001F54A7"/>
    <w:rsid w:val="002800E7"/>
    <w:rsid w:val="00346296"/>
    <w:rsid w:val="00356D15"/>
    <w:rsid w:val="005173A7"/>
    <w:rsid w:val="00551F66"/>
    <w:rsid w:val="006B2F06"/>
    <w:rsid w:val="00701D8A"/>
    <w:rsid w:val="0076132D"/>
    <w:rsid w:val="00854015"/>
    <w:rsid w:val="0089399B"/>
    <w:rsid w:val="008E68D5"/>
    <w:rsid w:val="00971FC4"/>
    <w:rsid w:val="00A036ED"/>
    <w:rsid w:val="00A93279"/>
    <w:rsid w:val="00AC6F99"/>
    <w:rsid w:val="00AF27ED"/>
    <w:rsid w:val="00B37DF9"/>
    <w:rsid w:val="00B44918"/>
    <w:rsid w:val="00B54659"/>
    <w:rsid w:val="00B76A7F"/>
    <w:rsid w:val="00BC22D5"/>
    <w:rsid w:val="00C239E2"/>
    <w:rsid w:val="00C9794A"/>
    <w:rsid w:val="00CB48F4"/>
    <w:rsid w:val="00DC25E0"/>
    <w:rsid w:val="00DE6555"/>
    <w:rsid w:val="00E27867"/>
    <w:rsid w:val="00E43E69"/>
    <w:rsid w:val="00FA29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093AE"/>
  <w15:chartTrackingRefBased/>
  <w15:docId w15:val="{D54FAC3D-F2F3-4F67-B507-C09A45240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E69"/>
    <w:pPr>
      <w:spacing w:line="278" w:lineRule="auto"/>
    </w:pPr>
    <w:rPr>
      <w:sz w:val="24"/>
      <w:szCs w:val="24"/>
    </w:rPr>
  </w:style>
  <w:style w:type="paragraph" w:styleId="Heading1">
    <w:name w:val="heading 1"/>
    <w:basedOn w:val="Normal"/>
    <w:next w:val="Normal"/>
    <w:link w:val="Heading1Char"/>
    <w:uiPriority w:val="9"/>
    <w:qFormat/>
    <w:rsid w:val="00E43E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43E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3E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3E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3E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3E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E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E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E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E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43E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3E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3E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3E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3E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E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E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E69"/>
    <w:rPr>
      <w:rFonts w:eastAsiaTheme="majorEastAsia" w:cstheme="majorBidi"/>
      <w:color w:val="272727" w:themeColor="text1" w:themeTint="D8"/>
    </w:rPr>
  </w:style>
  <w:style w:type="paragraph" w:styleId="Title">
    <w:name w:val="Title"/>
    <w:basedOn w:val="Normal"/>
    <w:next w:val="Normal"/>
    <w:link w:val="TitleChar"/>
    <w:uiPriority w:val="10"/>
    <w:qFormat/>
    <w:rsid w:val="00E43E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E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E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E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E69"/>
    <w:pPr>
      <w:spacing w:before="160"/>
      <w:jc w:val="center"/>
    </w:pPr>
    <w:rPr>
      <w:i/>
      <w:iCs/>
      <w:color w:val="404040" w:themeColor="text1" w:themeTint="BF"/>
    </w:rPr>
  </w:style>
  <w:style w:type="character" w:customStyle="1" w:styleId="QuoteChar">
    <w:name w:val="Quote Char"/>
    <w:basedOn w:val="DefaultParagraphFont"/>
    <w:link w:val="Quote"/>
    <w:uiPriority w:val="29"/>
    <w:rsid w:val="00E43E69"/>
    <w:rPr>
      <w:i/>
      <w:iCs/>
      <w:color w:val="404040" w:themeColor="text1" w:themeTint="BF"/>
    </w:rPr>
  </w:style>
  <w:style w:type="paragraph" w:styleId="ListParagraph">
    <w:name w:val="List Paragraph"/>
    <w:basedOn w:val="Normal"/>
    <w:uiPriority w:val="34"/>
    <w:qFormat/>
    <w:rsid w:val="00E43E69"/>
    <w:pPr>
      <w:ind w:left="720"/>
      <w:contextualSpacing/>
    </w:pPr>
  </w:style>
  <w:style w:type="character" w:styleId="IntenseEmphasis">
    <w:name w:val="Intense Emphasis"/>
    <w:basedOn w:val="DefaultParagraphFont"/>
    <w:uiPriority w:val="21"/>
    <w:qFormat/>
    <w:rsid w:val="00E43E69"/>
    <w:rPr>
      <w:i/>
      <w:iCs/>
      <w:color w:val="2F5496" w:themeColor="accent1" w:themeShade="BF"/>
    </w:rPr>
  </w:style>
  <w:style w:type="paragraph" w:styleId="IntenseQuote">
    <w:name w:val="Intense Quote"/>
    <w:basedOn w:val="Normal"/>
    <w:next w:val="Normal"/>
    <w:link w:val="IntenseQuoteChar"/>
    <w:uiPriority w:val="30"/>
    <w:qFormat/>
    <w:rsid w:val="00E43E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3E69"/>
    <w:rPr>
      <w:i/>
      <w:iCs/>
      <w:color w:val="2F5496" w:themeColor="accent1" w:themeShade="BF"/>
    </w:rPr>
  </w:style>
  <w:style w:type="character" w:styleId="IntenseReference">
    <w:name w:val="Intense Reference"/>
    <w:basedOn w:val="DefaultParagraphFont"/>
    <w:uiPriority w:val="32"/>
    <w:qFormat/>
    <w:rsid w:val="00E43E69"/>
    <w:rPr>
      <w:b/>
      <w:bCs/>
      <w:smallCaps/>
      <w:color w:val="2F5496" w:themeColor="accent1" w:themeShade="BF"/>
      <w:spacing w:val="5"/>
    </w:rPr>
  </w:style>
  <w:style w:type="paragraph" w:styleId="TOC1">
    <w:name w:val="toc 1"/>
    <w:basedOn w:val="Normal"/>
    <w:next w:val="Normal"/>
    <w:autoRedefine/>
    <w:uiPriority w:val="39"/>
    <w:unhideWhenUsed/>
    <w:rsid w:val="00B37DF9"/>
    <w:pPr>
      <w:tabs>
        <w:tab w:val="right" w:leader="dot" w:pos="9016"/>
      </w:tabs>
      <w:spacing w:after="100" w:line="360" w:lineRule="auto"/>
      <w:jc w:val="center"/>
    </w:pPr>
    <w:rPr>
      <w:rFonts w:ascii="Times New Roman" w:hAnsi="Times New Roman" w:cs="Times New Roman"/>
      <w:b/>
      <w:bCs/>
      <w:noProof/>
      <w:sz w:val="28"/>
      <w:szCs w:val="28"/>
    </w:rPr>
  </w:style>
  <w:style w:type="character" w:styleId="Hyperlink">
    <w:name w:val="Hyperlink"/>
    <w:basedOn w:val="DefaultParagraphFont"/>
    <w:uiPriority w:val="99"/>
    <w:unhideWhenUsed/>
    <w:rsid w:val="001F54A7"/>
    <w:rPr>
      <w:color w:val="0563C1" w:themeColor="hyperlink"/>
      <w:u w:val="single"/>
    </w:rPr>
  </w:style>
  <w:style w:type="character" w:styleId="UnresolvedMention">
    <w:name w:val="Unresolved Mention"/>
    <w:basedOn w:val="DefaultParagraphFont"/>
    <w:uiPriority w:val="99"/>
    <w:semiHidden/>
    <w:unhideWhenUsed/>
    <w:rsid w:val="001F54A7"/>
    <w:rPr>
      <w:color w:val="605E5C"/>
      <w:shd w:val="clear" w:color="auto" w:fill="E1DFDD"/>
    </w:rPr>
  </w:style>
  <w:style w:type="paragraph" w:styleId="TOCHeading">
    <w:name w:val="TOC Heading"/>
    <w:basedOn w:val="Heading1"/>
    <w:next w:val="Normal"/>
    <w:uiPriority w:val="39"/>
    <w:unhideWhenUsed/>
    <w:qFormat/>
    <w:rsid w:val="00B37DF9"/>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B37DF9"/>
    <w:pPr>
      <w:spacing w:after="100"/>
      <w:ind w:left="240"/>
    </w:pPr>
  </w:style>
  <w:style w:type="character" w:styleId="FollowedHyperlink">
    <w:name w:val="FollowedHyperlink"/>
    <w:basedOn w:val="DefaultParagraphFont"/>
    <w:uiPriority w:val="99"/>
    <w:semiHidden/>
    <w:unhideWhenUsed/>
    <w:rsid w:val="00E278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ain.com/insights" TargetMode="External"/><Relationship Id="rId18" Type="http://schemas.openxmlformats.org/officeDocument/2006/relationships/hyperlink" Target="https://www.mckinsey.com" TargetMode="External"/><Relationship Id="rId26" Type="http://schemas.openxmlformats.org/officeDocument/2006/relationships/hyperlink" Target="https://www.statista.com" TargetMode="External"/><Relationship Id="rId3" Type="http://schemas.openxmlformats.org/officeDocument/2006/relationships/styles" Target="styles.xml"/><Relationship Id="rId21" Type="http://schemas.openxmlformats.org/officeDocument/2006/relationships/hyperlink" Target="https://www.microsoft.com/ai/responsible-ai" TargetMode="External"/><Relationship Id="rId7" Type="http://schemas.openxmlformats.org/officeDocument/2006/relationships/image" Target="media/image2.png"/><Relationship Id="rId12" Type="http://schemas.openxmlformats.org/officeDocument/2006/relationships/hyperlink" Target="https://doi.org/10.1177/014920639101700108" TargetMode="External"/><Relationship Id="rId17" Type="http://schemas.openxmlformats.org/officeDocument/2006/relationships/hyperlink" Target="https://doi.org/10.9707/2307-0919.1014" TargetMode="External"/><Relationship Id="rId25" Type="http://schemas.openxmlformats.org/officeDocument/2006/relationships/hyperlink" Target="https://hbr.org/1990/05/the-core-competence-of-the-corporation" TargetMode="External"/><Relationship Id="rId2" Type="http://schemas.openxmlformats.org/officeDocument/2006/relationships/numbering" Target="numbering.xml"/><Relationship Id="rId16" Type="http://schemas.openxmlformats.org/officeDocument/2006/relationships/hyperlink" Target="https://www.gartner.com/en" TargetMode="External"/><Relationship Id="rId20" Type="http://schemas.openxmlformats.org/officeDocument/2006/relationships/hyperlink" Target="https://www.microsoft.com/sustainability" TargetMode="External"/><Relationship Id="rId29" Type="http://schemas.openxmlformats.org/officeDocument/2006/relationships/hyperlink" Target="https://www.worldbank.org/en/topic/digitaldevelopment"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hbr.org/2008/01/the-five-competitive-forces-that-shape-strategy" TargetMode="External"/><Relationship Id="rId5" Type="http://schemas.openxmlformats.org/officeDocument/2006/relationships/webSettings" Target="webSettings.xml"/><Relationship Id="rId15" Type="http://schemas.openxmlformats.org/officeDocument/2006/relationships/hyperlink" Target="https://www.ft.com/companies/technology" TargetMode="External"/><Relationship Id="rId23" Type="http://schemas.openxmlformats.org/officeDocument/2006/relationships/hyperlink" Target="https://www.oecd.org/digital" TargetMode="External"/><Relationship Id="rId28" Type="http://schemas.openxmlformats.org/officeDocument/2006/relationships/hyperlink" Target="https://www.bloomberg.com" TargetMode="External"/><Relationship Id="rId10" Type="http://schemas.openxmlformats.org/officeDocument/2006/relationships/image" Target="media/image5.png"/><Relationship Id="rId19" Type="http://schemas.openxmlformats.org/officeDocument/2006/relationships/hyperlink" Target="https://www.microsoft.com/investo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igital-strategy.ec.europa.eu/en/policies/digital-markets-act" TargetMode="External"/><Relationship Id="rId22" Type="http://schemas.openxmlformats.org/officeDocument/2006/relationships/hyperlink" Target="https://asia.nikkei.com" TargetMode="External"/><Relationship Id="rId27" Type="http://schemas.openxmlformats.org/officeDocument/2006/relationships/hyperlink" Target="https://www.economist.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A0213-DCF7-4BEF-A430-942EAFC36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39</Pages>
  <Words>7828</Words>
  <Characters>44626</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KRUNAL CHAUHAN</dc:creator>
  <cp:keywords/>
  <dc:description/>
  <cp:lastModifiedBy>Bhargav Khunt</cp:lastModifiedBy>
  <cp:revision>14</cp:revision>
  <dcterms:created xsi:type="dcterms:W3CDTF">2026-03-28T06:14:00Z</dcterms:created>
  <dcterms:modified xsi:type="dcterms:W3CDTF">2026-04-01T10:28:00Z</dcterms:modified>
</cp:coreProperties>
</file>