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6309346"/>
        <w:docPartObj>
          <w:docPartGallery w:val="Cover Pages"/>
          <w:docPartUnique/>
        </w:docPartObj>
      </w:sdtPr>
      <w:sdtEndPr/>
      <w:sdtContent>
        <w:p w14:paraId="42684BAE" w14:textId="4B0B941D" w:rsidR="00B3680D" w:rsidRDefault="00B3680D"/>
        <w:p w14:paraId="238CA2D3" w14:textId="57995D35" w:rsidR="00B3680D" w:rsidRDefault="00B3680D">
          <w:r>
            <w:rPr>
              <w:noProof/>
            </w:rPr>
            <mc:AlternateContent>
              <mc:Choice Requires="wps">
                <w:drawing>
                  <wp:anchor distT="0" distB="0" distL="182880" distR="182880" simplePos="0" relativeHeight="251660288" behindDoc="0" locked="0" layoutInCell="1" allowOverlap="1" wp14:anchorId="587496F4" wp14:editId="0BCFEE1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E7C95E" w14:textId="3058E9FE" w:rsidR="00B3680D" w:rsidRDefault="00AA329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310BD" w:rsidRPr="001310BD">
                                      <w:rPr>
                                        <w:color w:val="4472C4" w:themeColor="accent1"/>
                                        <w:sz w:val="72"/>
                                        <w:szCs w:val="72"/>
                                      </w:rPr>
                                      <w:t xml:space="preserve">Diverse Adaptation Strategies </w:t>
                                    </w:r>
                                    <w:r w:rsidR="001310BD">
                                      <w:rPr>
                                        <w:color w:val="4472C4" w:themeColor="accent1"/>
                                        <w:sz w:val="72"/>
                                        <w:szCs w:val="72"/>
                                      </w:rPr>
                                      <w:t xml:space="preserve">: </w:t>
                                    </w:r>
                                    <w:r w:rsidR="001310BD" w:rsidRPr="001310BD">
                                      <w:rPr>
                                        <w:color w:val="4472C4" w:themeColor="accent1"/>
                                        <w:sz w:val="72"/>
                                        <w:szCs w:val="72"/>
                                      </w:rPr>
                                      <w:t>Individual Report</w:t>
                                    </w:r>
                                  </w:sdtContent>
                                </w:sdt>
                              </w:p>
                              <w:sdt>
                                <w:sdtPr>
                                  <w:rPr>
                                    <w:rFonts w:ascii="Cambria body" w:hAnsi="Cambria body"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C250C38" w14:textId="6F4BCDFF" w:rsidR="00B3680D" w:rsidRDefault="00C07FED">
                                    <w:pPr>
                                      <w:pStyle w:val="NoSpacing"/>
                                      <w:spacing w:before="40" w:after="40"/>
                                      <w:rPr>
                                        <w:caps/>
                                        <w:color w:val="1F4E79" w:themeColor="accent5" w:themeShade="80"/>
                                        <w:sz w:val="28"/>
                                        <w:szCs w:val="28"/>
                                      </w:rPr>
                                    </w:pPr>
                                    <w:r w:rsidRPr="00C07FED">
                                      <w:rPr>
                                        <w:rFonts w:ascii="Cambria body" w:hAnsi="Cambria body" w:cs="Arial"/>
                                        <w:b/>
                                      </w:rPr>
                                      <w:t>Marketing Fundamentals</w:t>
                                    </w:r>
                                    <w:r>
                                      <w:rPr>
                                        <w:rFonts w:ascii="Cambria body" w:hAnsi="Cambria body" w:cs="Arial"/>
                                        <w:b/>
                                      </w:rPr>
                                      <w:t xml:space="preserve"> </w:t>
                                    </w:r>
                                    <w:r w:rsidRPr="00B66B59">
                                      <w:rPr>
                                        <w:rFonts w:ascii="Cambria body" w:hAnsi="Cambria body" w:cs="Arial"/>
                                        <w:b/>
                                      </w:rPr>
                                      <w:t>LCBB4004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5282F5" w14:textId="6291EFAC" w:rsidR="00B3680D" w:rsidRDefault="00C07FED">
                                    <w:pPr>
                                      <w:pStyle w:val="NoSpacing"/>
                                      <w:spacing w:before="80" w:after="40"/>
                                      <w:rPr>
                                        <w:caps/>
                                        <w:color w:val="5B9BD5" w:themeColor="accent5"/>
                                        <w:sz w:val="24"/>
                                        <w:szCs w:val="24"/>
                                      </w:rPr>
                                    </w:pPr>
                                    <w:r>
                                      <w:rPr>
                                        <w:caps/>
                                        <w:color w:val="5B9BD5" w:themeColor="accent5"/>
                                        <w:sz w:val="24"/>
                                        <w:szCs w:val="24"/>
                                      </w:rPr>
                                      <w:t>Vishan Bianca Elena</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87496F4"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9E7C95E" w14:textId="3058E9FE" w:rsidR="00B3680D" w:rsidRDefault="001310B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310BD">
                                <w:rPr>
                                  <w:color w:val="4472C4" w:themeColor="accent1"/>
                                  <w:sz w:val="72"/>
                                  <w:szCs w:val="72"/>
                                </w:rPr>
                                <w:t xml:space="preserve">Diverse Adaptation Strategies </w:t>
                              </w:r>
                              <w:r>
                                <w:rPr>
                                  <w:color w:val="4472C4" w:themeColor="accent1"/>
                                  <w:sz w:val="72"/>
                                  <w:szCs w:val="72"/>
                                </w:rPr>
                                <w:t xml:space="preserve">: </w:t>
                              </w:r>
                              <w:r w:rsidRPr="001310BD">
                                <w:rPr>
                                  <w:color w:val="4472C4" w:themeColor="accent1"/>
                                  <w:sz w:val="72"/>
                                  <w:szCs w:val="72"/>
                                </w:rPr>
                                <w:t>Individual Report</w:t>
                              </w:r>
                            </w:sdtContent>
                          </w:sdt>
                        </w:p>
                        <w:sdt>
                          <w:sdtPr>
                            <w:rPr>
                              <w:rFonts w:ascii="Cambria body" w:hAnsi="Cambria body"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C250C38" w14:textId="6F4BCDFF" w:rsidR="00B3680D" w:rsidRDefault="00C07FED">
                              <w:pPr>
                                <w:pStyle w:val="NoSpacing"/>
                                <w:spacing w:before="40" w:after="40"/>
                                <w:rPr>
                                  <w:caps/>
                                  <w:color w:val="1F4E79" w:themeColor="accent5" w:themeShade="80"/>
                                  <w:sz w:val="28"/>
                                  <w:szCs w:val="28"/>
                                </w:rPr>
                              </w:pPr>
                              <w:r w:rsidRPr="00C07FED">
                                <w:rPr>
                                  <w:rFonts w:ascii="Cambria body" w:hAnsi="Cambria body" w:cs="Arial"/>
                                  <w:b/>
                                </w:rPr>
                                <w:t>Marketing Fundamentals</w:t>
                              </w:r>
                              <w:r>
                                <w:rPr>
                                  <w:rFonts w:ascii="Cambria body" w:hAnsi="Cambria body" w:cs="Arial"/>
                                  <w:b/>
                                </w:rPr>
                                <w:t xml:space="preserve"> </w:t>
                              </w:r>
                              <w:r w:rsidRPr="00B66B59">
                                <w:rPr>
                                  <w:rFonts w:ascii="Cambria body" w:hAnsi="Cambria body" w:cs="Arial"/>
                                  <w:b/>
                                </w:rPr>
                                <w:t>LCBB4004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5282F5" w14:textId="6291EFAC" w:rsidR="00B3680D" w:rsidRDefault="00C07FED">
                              <w:pPr>
                                <w:pStyle w:val="NoSpacing"/>
                                <w:spacing w:before="80" w:after="40"/>
                                <w:rPr>
                                  <w:caps/>
                                  <w:color w:val="5B9BD5" w:themeColor="accent5"/>
                                  <w:sz w:val="24"/>
                                  <w:szCs w:val="24"/>
                                </w:rPr>
                              </w:pPr>
                              <w:r>
                                <w:rPr>
                                  <w:caps/>
                                  <w:color w:val="5B9BD5" w:themeColor="accent5"/>
                                  <w:sz w:val="24"/>
                                  <w:szCs w:val="24"/>
                                </w:rPr>
                                <w:t>Vishan Bianca Elena</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2EE1EA8" wp14:editId="441AEA3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415114AC" w14:textId="3E24367B" w:rsidR="00B3680D" w:rsidRDefault="00E44628">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EE1EA8"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15114AC" w14:textId="3E24367B" w:rsidR="00B3680D" w:rsidRDefault="00E44628">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162738106"/>
        <w:docPartObj>
          <w:docPartGallery w:val="Table of Contents"/>
          <w:docPartUnique/>
        </w:docPartObj>
      </w:sdtPr>
      <w:sdtEndPr>
        <w:rPr>
          <w:b/>
          <w:bCs/>
          <w:noProof/>
        </w:rPr>
      </w:sdtEndPr>
      <w:sdtContent>
        <w:p w14:paraId="3696CE88" w14:textId="5D94705A" w:rsidR="00165F55" w:rsidRDefault="00165F55">
          <w:pPr>
            <w:pStyle w:val="TOCHeading"/>
          </w:pPr>
          <w:r>
            <w:t>Table of Contents</w:t>
          </w:r>
        </w:p>
        <w:p w14:paraId="01238D58" w14:textId="4AA36654" w:rsidR="00B12AD2" w:rsidRDefault="00165F5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8530826" w:history="1">
            <w:r w:rsidR="00B12AD2" w:rsidRPr="00F93F96">
              <w:rPr>
                <w:rStyle w:val="Hyperlink"/>
                <w:rFonts w:ascii="Times New Roman" w:hAnsi="Times New Roman" w:cs="Times New Roman"/>
                <w:noProof/>
              </w:rPr>
              <w:t>Introduction:</w:t>
            </w:r>
            <w:r w:rsidR="00B12AD2">
              <w:rPr>
                <w:noProof/>
                <w:webHidden/>
              </w:rPr>
              <w:tab/>
            </w:r>
            <w:r w:rsidR="00B12AD2">
              <w:rPr>
                <w:noProof/>
                <w:webHidden/>
              </w:rPr>
              <w:fldChar w:fldCharType="begin"/>
            </w:r>
            <w:r w:rsidR="00B12AD2">
              <w:rPr>
                <w:noProof/>
                <w:webHidden/>
              </w:rPr>
              <w:instrText xml:space="preserve"> PAGEREF _Toc138530826 \h </w:instrText>
            </w:r>
            <w:r w:rsidR="00B12AD2">
              <w:rPr>
                <w:noProof/>
                <w:webHidden/>
              </w:rPr>
            </w:r>
            <w:r w:rsidR="00B12AD2">
              <w:rPr>
                <w:noProof/>
                <w:webHidden/>
              </w:rPr>
              <w:fldChar w:fldCharType="separate"/>
            </w:r>
            <w:r w:rsidR="00B12AD2">
              <w:rPr>
                <w:noProof/>
                <w:webHidden/>
              </w:rPr>
              <w:t>2</w:t>
            </w:r>
            <w:r w:rsidR="00B12AD2">
              <w:rPr>
                <w:noProof/>
                <w:webHidden/>
              </w:rPr>
              <w:fldChar w:fldCharType="end"/>
            </w:r>
          </w:hyperlink>
        </w:p>
        <w:p w14:paraId="4BF22031" w14:textId="657B7A9B" w:rsidR="00B12AD2" w:rsidRDefault="00AA329E">
          <w:pPr>
            <w:pStyle w:val="TOC1"/>
            <w:tabs>
              <w:tab w:val="right" w:leader="dot" w:pos="9016"/>
            </w:tabs>
            <w:rPr>
              <w:rFonts w:eastAsiaTheme="minorEastAsia"/>
              <w:noProof/>
              <w:lang w:eastAsia="en-GB"/>
            </w:rPr>
          </w:pPr>
          <w:hyperlink w:anchor="_Toc138530827" w:history="1">
            <w:r w:rsidR="00B12AD2" w:rsidRPr="00F93F96">
              <w:rPr>
                <w:rStyle w:val="Hyperlink"/>
                <w:rFonts w:ascii="Times New Roman" w:hAnsi="Times New Roman" w:cs="Times New Roman"/>
                <w:noProof/>
              </w:rPr>
              <w:t>SWOT Analysis:</w:t>
            </w:r>
            <w:r w:rsidR="00B12AD2">
              <w:rPr>
                <w:noProof/>
                <w:webHidden/>
              </w:rPr>
              <w:tab/>
            </w:r>
            <w:r w:rsidR="00B12AD2">
              <w:rPr>
                <w:noProof/>
                <w:webHidden/>
              </w:rPr>
              <w:fldChar w:fldCharType="begin"/>
            </w:r>
            <w:r w:rsidR="00B12AD2">
              <w:rPr>
                <w:noProof/>
                <w:webHidden/>
              </w:rPr>
              <w:instrText xml:space="preserve"> PAGEREF _Toc138530827 \h </w:instrText>
            </w:r>
            <w:r w:rsidR="00B12AD2">
              <w:rPr>
                <w:noProof/>
                <w:webHidden/>
              </w:rPr>
            </w:r>
            <w:r w:rsidR="00B12AD2">
              <w:rPr>
                <w:noProof/>
                <w:webHidden/>
              </w:rPr>
              <w:fldChar w:fldCharType="separate"/>
            </w:r>
            <w:r w:rsidR="00B12AD2">
              <w:rPr>
                <w:noProof/>
                <w:webHidden/>
              </w:rPr>
              <w:t>2</w:t>
            </w:r>
            <w:r w:rsidR="00B12AD2">
              <w:rPr>
                <w:noProof/>
                <w:webHidden/>
              </w:rPr>
              <w:fldChar w:fldCharType="end"/>
            </w:r>
          </w:hyperlink>
        </w:p>
        <w:p w14:paraId="22C9CC9F" w14:textId="5D406015" w:rsidR="00B12AD2" w:rsidRDefault="00AA329E">
          <w:pPr>
            <w:pStyle w:val="TOC1"/>
            <w:tabs>
              <w:tab w:val="right" w:leader="dot" w:pos="9016"/>
            </w:tabs>
            <w:rPr>
              <w:rFonts w:eastAsiaTheme="minorEastAsia"/>
              <w:noProof/>
              <w:lang w:eastAsia="en-GB"/>
            </w:rPr>
          </w:pPr>
          <w:hyperlink w:anchor="_Toc138530828" w:history="1">
            <w:r w:rsidR="00B12AD2" w:rsidRPr="00F93F96">
              <w:rPr>
                <w:rStyle w:val="Hyperlink"/>
                <w:rFonts w:ascii="Times New Roman" w:hAnsi="Times New Roman" w:cs="Times New Roman"/>
                <w:noProof/>
              </w:rPr>
              <w:t>PESTLE  Analysis:</w:t>
            </w:r>
            <w:r w:rsidR="00B12AD2">
              <w:rPr>
                <w:noProof/>
                <w:webHidden/>
              </w:rPr>
              <w:tab/>
            </w:r>
            <w:r w:rsidR="00B12AD2">
              <w:rPr>
                <w:noProof/>
                <w:webHidden/>
              </w:rPr>
              <w:fldChar w:fldCharType="begin"/>
            </w:r>
            <w:r w:rsidR="00B12AD2">
              <w:rPr>
                <w:noProof/>
                <w:webHidden/>
              </w:rPr>
              <w:instrText xml:space="preserve"> PAGEREF _Toc138530828 \h </w:instrText>
            </w:r>
            <w:r w:rsidR="00B12AD2">
              <w:rPr>
                <w:noProof/>
                <w:webHidden/>
              </w:rPr>
            </w:r>
            <w:r w:rsidR="00B12AD2">
              <w:rPr>
                <w:noProof/>
                <w:webHidden/>
              </w:rPr>
              <w:fldChar w:fldCharType="separate"/>
            </w:r>
            <w:r w:rsidR="00B12AD2">
              <w:rPr>
                <w:noProof/>
                <w:webHidden/>
              </w:rPr>
              <w:t>2</w:t>
            </w:r>
            <w:r w:rsidR="00B12AD2">
              <w:rPr>
                <w:noProof/>
                <w:webHidden/>
              </w:rPr>
              <w:fldChar w:fldCharType="end"/>
            </w:r>
          </w:hyperlink>
        </w:p>
        <w:p w14:paraId="32BBC661" w14:textId="3062FBD8" w:rsidR="00B12AD2" w:rsidRDefault="00AA329E">
          <w:pPr>
            <w:pStyle w:val="TOC1"/>
            <w:tabs>
              <w:tab w:val="right" w:leader="dot" w:pos="9016"/>
            </w:tabs>
            <w:rPr>
              <w:rFonts w:eastAsiaTheme="minorEastAsia"/>
              <w:noProof/>
              <w:lang w:eastAsia="en-GB"/>
            </w:rPr>
          </w:pPr>
          <w:hyperlink w:anchor="_Toc138530829" w:history="1">
            <w:r w:rsidR="00B12AD2" w:rsidRPr="00F93F96">
              <w:rPr>
                <w:rStyle w:val="Hyperlink"/>
                <w:rFonts w:ascii="Times New Roman" w:hAnsi="Times New Roman" w:cs="Times New Roman"/>
                <w:noProof/>
              </w:rPr>
              <w:t>Strategy Development:</w:t>
            </w:r>
            <w:r w:rsidR="00B12AD2">
              <w:rPr>
                <w:noProof/>
                <w:webHidden/>
              </w:rPr>
              <w:tab/>
            </w:r>
            <w:r w:rsidR="00B12AD2">
              <w:rPr>
                <w:noProof/>
                <w:webHidden/>
              </w:rPr>
              <w:fldChar w:fldCharType="begin"/>
            </w:r>
            <w:r w:rsidR="00B12AD2">
              <w:rPr>
                <w:noProof/>
                <w:webHidden/>
              </w:rPr>
              <w:instrText xml:space="preserve"> PAGEREF _Toc138530829 \h </w:instrText>
            </w:r>
            <w:r w:rsidR="00B12AD2">
              <w:rPr>
                <w:noProof/>
                <w:webHidden/>
              </w:rPr>
            </w:r>
            <w:r w:rsidR="00B12AD2">
              <w:rPr>
                <w:noProof/>
                <w:webHidden/>
              </w:rPr>
              <w:fldChar w:fldCharType="separate"/>
            </w:r>
            <w:r w:rsidR="00B12AD2">
              <w:rPr>
                <w:noProof/>
                <w:webHidden/>
              </w:rPr>
              <w:t>4</w:t>
            </w:r>
            <w:r w:rsidR="00B12AD2">
              <w:rPr>
                <w:noProof/>
                <w:webHidden/>
              </w:rPr>
              <w:fldChar w:fldCharType="end"/>
            </w:r>
          </w:hyperlink>
        </w:p>
        <w:p w14:paraId="68B6502D" w14:textId="093CC899" w:rsidR="00B12AD2" w:rsidRDefault="00AA329E">
          <w:pPr>
            <w:pStyle w:val="TOC1"/>
            <w:tabs>
              <w:tab w:val="right" w:leader="dot" w:pos="9016"/>
            </w:tabs>
            <w:rPr>
              <w:rFonts w:eastAsiaTheme="minorEastAsia"/>
              <w:noProof/>
              <w:lang w:eastAsia="en-GB"/>
            </w:rPr>
          </w:pPr>
          <w:hyperlink w:anchor="_Toc138530830" w:history="1">
            <w:r w:rsidR="00B12AD2" w:rsidRPr="00F93F96">
              <w:rPr>
                <w:rStyle w:val="Hyperlink"/>
                <w:rFonts w:ascii="Times New Roman" w:hAnsi="Times New Roman" w:cs="Times New Roman"/>
                <w:noProof/>
              </w:rPr>
              <w:t>Conclusion:</w:t>
            </w:r>
            <w:r w:rsidR="00B12AD2">
              <w:rPr>
                <w:noProof/>
                <w:webHidden/>
              </w:rPr>
              <w:tab/>
            </w:r>
            <w:r w:rsidR="00B12AD2">
              <w:rPr>
                <w:noProof/>
                <w:webHidden/>
              </w:rPr>
              <w:fldChar w:fldCharType="begin"/>
            </w:r>
            <w:r w:rsidR="00B12AD2">
              <w:rPr>
                <w:noProof/>
                <w:webHidden/>
              </w:rPr>
              <w:instrText xml:space="preserve"> PAGEREF _Toc138530830 \h </w:instrText>
            </w:r>
            <w:r w:rsidR="00B12AD2">
              <w:rPr>
                <w:noProof/>
                <w:webHidden/>
              </w:rPr>
            </w:r>
            <w:r w:rsidR="00B12AD2">
              <w:rPr>
                <w:noProof/>
                <w:webHidden/>
              </w:rPr>
              <w:fldChar w:fldCharType="separate"/>
            </w:r>
            <w:r w:rsidR="00B12AD2">
              <w:rPr>
                <w:noProof/>
                <w:webHidden/>
              </w:rPr>
              <w:t>5</w:t>
            </w:r>
            <w:r w:rsidR="00B12AD2">
              <w:rPr>
                <w:noProof/>
                <w:webHidden/>
              </w:rPr>
              <w:fldChar w:fldCharType="end"/>
            </w:r>
          </w:hyperlink>
        </w:p>
        <w:p w14:paraId="352EBF7E" w14:textId="27003221" w:rsidR="00B12AD2" w:rsidRDefault="00AA329E">
          <w:pPr>
            <w:pStyle w:val="TOC1"/>
            <w:tabs>
              <w:tab w:val="right" w:leader="dot" w:pos="9016"/>
            </w:tabs>
            <w:rPr>
              <w:rFonts w:eastAsiaTheme="minorEastAsia"/>
              <w:noProof/>
              <w:lang w:eastAsia="en-GB"/>
            </w:rPr>
          </w:pPr>
          <w:hyperlink w:anchor="_Toc138530831" w:history="1">
            <w:r w:rsidR="00B12AD2" w:rsidRPr="00F93F96">
              <w:rPr>
                <w:rStyle w:val="Hyperlink"/>
                <w:noProof/>
              </w:rPr>
              <w:t>References</w:t>
            </w:r>
            <w:r w:rsidR="00B12AD2">
              <w:rPr>
                <w:noProof/>
                <w:webHidden/>
              </w:rPr>
              <w:tab/>
            </w:r>
            <w:r w:rsidR="00B12AD2">
              <w:rPr>
                <w:noProof/>
                <w:webHidden/>
              </w:rPr>
              <w:fldChar w:fldCharType="begin"/>
            </w:r>
            <w:r w:rsidR="00B12AD2">
              <w:rPr>
                <w:noProof/>
                <w:webHidden/>
              </w:rPr>
              <w:instrText xml:space="preserve"> PAGEREF _Toc138530831 \h </w:instrText>
            </w:r>
            <w:r w:rsidR="00B12AD2">
              <w:rPr>
                <w:noProof/>
                <w:webHidden/>
              </w:rPr>
            </w:r>
            <w:r w:rsidR="00B12AD2">
              <w:rPr>
                <w:noProof/>
                <w:webHidden/>
              </w:rPr>
              <w:fldChar w:fldCharType="separate"/>
            </w:r>
            <w:r w:rsidR="00B12AD2">
              <w:rPr>
                <w:noProof/>
                <w:webHidden/>
              </w:rPr>
              <w:t>5</w:t>
            </w:r>
            <w:r w:rsidR="00B12AD2">
              <w:rPr>
                <w:noProof/>
                <w:webHidden/>
              </w:rPr>
              <w:fldChar w:fldCharType="end"/>
            </w:r>
          </w:hyperlink>
        </w:p>
        <w:p w14:paraId="527E1657" w14:textId="5D7502E3" w:rsidR="00165F55" w:rsidRDefault="00165F55">
          <w:r>
            <w:rPr>
              <w:b/>
              <w:bCs/>
              <w:noProof/>
            </w:rPr>
            <w:fldChar w:fldCharType="end"/>
          </w:r>
        </w:p>
      </w:sdtContent>
    </w:sdt>
    <w:p w14:paraId="0C7BB353" w14:textId="54AAF488" w:rsidR="00530254" w:rsidRDefault="00530254"/>
    <w:p w14:paraId="6A784162" w14:textId="2271385A" w:rsidR="00B3680D" w:rsidRDefault="00B3680D">
      <w:r>
        <w:br w:type="page"/>
      </w:r>
    </w:p>
    <w:p w14:paraId="6CCEC29C" w14:textId="77777777" w:rsidR="00077D4B" w:rsidRPr="00B12AD2" w:rsidRDefault="00077D4B" w:rsidP="00B12AD2">
      <w:pPr>
        <w:pStyle w:val="Heading1"/>
        <w:jc w:val="both"/>
        <w:rPr>
          <w:rFonts w:ascii="Times New Roman" w:hAnsi="Times New Roman" w:cs="Times New Roman"/>
          <w:sz w:val="22"/>
          <w:szCs w:val="22"/>
        </w:rPr>
      </w:pPr>
      <w:bookmarkStart w:id="0" w:name="_Toc138530826"/>
      <w:r w:rsidRPr="00B12AD2">
        <w:rPr>
          <w:rFonts w:ascii="Times New Roman" w:hAnsi="Times New Roman" w:cs="Times New Roman"/>
          <w:sz w:val="22"/>
          <w:szCs w:val="22"/>
        </w:rPr>
        <w:t>Introduction:</w:t>
      </w:r>
      <w:bookmarkEnd w:id="0"/>
    </w:p>
    <w:p w14:paraId="363FC31F" w14:textId="2D882BE5" w:rsidR="00255DAC" w:rsidRPr="00B12AD2" w:rsidRDefault="00077D4B" w:rsidP="00B12AD2">
      <w:pPr>
        <w:jc w:val="both"/>
        <w:rPr>
          <w:rFonts w:ascii="Times New Roman" w:hAnsi="Times New Roman" w:cs="Times New Roman"/>
        </w:rPr>
      </w:pPr>
      <w:r w:rsidRPr="00B12AD2">
        <w:rPr>
          <w:rFonts w:ascii="Times New Roman" w:hAnsi="Times New Roman" w:cs="Times New Roman"/>
        </w:rPr>
        <w:t>Base on the case study of</w:t>
      </w:r>
      <w:r w:rsidR="00956041" w:rsidRPr="00B12AD2">
        <w:rPr>
          <w:rFonts w:ascii="Times New Roman" w:hAnsi="Times New Roman" w:cs="Times New Roman"/>
        </w:rPr>
        <w:t xml:space="preserve"> ‘DIVERSE ADAPTATION STRATEGIES HELPED LOCAL FOOD PRODUCERS COPE WITH INITIAL CHALLENGES OF THE COVID-19 PANDEMIC – LESSONS FROM QUEBEC, CANADA’ t</w:t>
      </w:r>
      <w:r w:rsidRPr="00B12AD2">
        <w:rPr>
          <w:rFonts w:ascii="Times New Roman" w:hAnsi="Times New Roman" w:cs="Times New Roman"/>
        </w:rPr>
        <w:t>his report outlines the stages of a marketing process that local farmers from Quebec, Canada, can follow to scan their business environment, understand the business environmental situation, and implement strategies to cope with the challenges posed by the COVID-19 pandemic. The COVID-19 pandemic has had a significant impact on the agricultural industry, necessitating adaptive strategies to ensure business continuity and resilience. By following a structured marketing process, farmers can navigate the changing landscape, identify opportunities, and effectively respond to market dynamics. This might involve conducting market research to identify new trends and consumer preferences, developing targeted marketing campaigns to reach new customers, and exploring new distribution channels to expand their reach</w:t>
      </w:r>
      <w:sdt>
        <w:sdtPr>
          <w:rPr>
            <w:rFonts w:ascii="Times New Roman" w:hAnsi="Times New Roman" w:cs="Times New Roman"/>
          </w:rPr>
          <w:id w:val="-819036150"/>
          <w:citation/>
        </w:sdtPr>
        <w:sdtEndPr/>
        <w:sdtContent>
          <w:r w:rsidR="00956041" w:rsidRPr="00B12AD2">
            <w:rPr>
              <w:rFonts w:ascii="Times New Roman" w:hAnsi="Times New Roman" w:cs="Times New Roman"/>
            </w:rPr>
            <w:fldChar w:fldCharType="begin"/>
          </w:r>
          <w:r w:rsidR="00956041" w:rsidRPr="00B12AD2">
            <w:rPr>
              <w:rFonts w:ascii="Times New Roman" w:hAnsi="Times New Roman" w:cs="Times New Roman"/>
            </w:rPr>
            <w:instrText xml:space="preserve"> CITATION Ker22 \l 2057 </w:instrText>
          </w:r>
          <w:r w:rsidR="00956041" w:rsidRPr="00B12AD2">
            <w:rPr>
              <w:rFonts w:ascii="Times New Roman" w:hAnsi="Times New Roman" w:cs="Times New Roman"/>
            </w:rPr>
            <w:fldChar w:fldCharType="separate"/>
          </w:r>
          <w:r w:rsidR="00956041" w:rsidRPr="00B12AD2">
            <w:rPr>
              <w:rFonts w:ascii="Times New Roman" w:hAnsi="Times New Roman" w:cs="Times New Roman"/>
              <w:noProof/>
            </w:rPr>
            <w:t xml:space="preserve"> (Kerstin Schreiber, 2022)</w:t>
          </w:r>
          <w:r w:rsidR="00956041" w:rsidRPr="00B12AD2">
            <w:rPr>
              <w:rFonts w:ascii="Times New Roman" w:hAnsi="Times New Roman" w:cs="Times New Roman"/>
            </w:rPr>
            <w:fldChar w:fldCharType="end"/>
          </w:r>
        </w:sdtContent>
      </w:sdt>
      <w:r w:rsidRPr="00B12AD2">
        <w:rPr>
          <w:rFonts w:ascii="Times New Roman" w:hAnsi="Times New Roman" w:cs="Times New Roman"/>
        </w:rPr>
        <w:t>.</w:t>
      </w:r>
    </w:p>
    <w:p w14:paraId="45D159D4" w14:textId="77777777" w:rsidR="00077D4B" w:rsidRPr="00B12AD2" w:rsidRDefault="00077D4B" w:rsidP="00B12AD2">
      <w:pPr>
        <w:pStyle w:val="Heading1"/>
        <w:jc w:val="both"/>
        <w:rPr>
          <w:rFonts w:ascii="Times New Roman" w:hAnsi="Times New Roman" w:cs="Times New Roman"/>
          <w:sz w:val="22"/>
          <w:szCs w:val="22"/>
        </w:rPr>
      </w:pPr>
      <w:bookmarkStart w:id="1" w:name="_Toc138530827"/>
      <w:r w:rsidRPr="00B12AD2">
        <w:rPr>
          <w:rFonts w:ascii="Times New Roman" w:hAnsi="Times New Roman" w:cs="Times New Roman"/>
          <w:sz w:val="22"/>
          <w:szCs w:val="22"/>
        </w:rPr>
        <w:t>SWOT Analysis:</w:t>
      </w:r>
      <w:bookmarkEnd w:id="1"/>
    </w:p>
    <w:p w14:paraId="6BC9D3BD" w14:textId="41A558B7" w:rsidR="00077D4B" w:rsidRPr="00B12AD2" w:rsidRDefault="008426DA" w:rsidP="00B12AD2">
      <w:pPr>
        <w:jc w:val="both"/>
        <w:rPr>
          <w:rFonts w:ascii="Times New Roman" w:hAnsi="Times New Roman" w:cs="Times New Roman"/>
        </w:rPr>
      </w:pPr>
      <w:r w:rsidRPr="00B12AD2">
        <w:rPr>
          <w:rFonts w:ascii="Times New Roman" w:hAnsi="Times New Roman" w:cs="Times New Roman"/>
        </w:rPr>
        <w:t>The first stage of this report is to be conducted a SWOT Analysis base on the case study</w:t>
      </w:r>
      <w:sdt>
        <w:sdtPr>
          <w:rPr>
            <w:rFonts w:ascii="Times New Roman" w:hAnsi="Times New Roman" w:cs="Times New Roman"/>
          </w:rPr>
          <w:id w:val="486445647"/>
          <w:citation/>
        </w:sdtPr>
        <w:sdtEndPr/>
        <w:sdtContent>
          <w:r w:rsidR="00B12AD2" w:rsidRPr="00B12AD2">
            <w:rPr>
              <w:rFonts w:ascii="Times New Roman" w:hAnsi="Times New Roman" w:cs="Times New Roman"/>
            </w:rPr>
            <w:fldChar w:fldCharType="begin"/>
          </w:r>
          <w:r w:rsidR="00B12AD2" w:rsidRPr="00B12AD2">
            <w:rPr>
              <w:rFonts w:ascii="Times New Roman" w:hAnsi="Times New Roman" w:cs="Times New Roman"/>
            </w:rPr>
            <w:instrText xml:space="preserve"> CITATION DrD09 \l 2057 </w:instrText>
          </w:r>
          <w:r w:rsidR="00B12AD2" w:rsidRPr="00B12AD2">
            <w:rPr>
              <w:rFonts w:ascii="Times New Roman" w:hAnsi="Times New Roman" w:cs="Times New Roman"/>
            </w:rPr>
            <w:fldChar w:fldCharType="separate"/>
          </w:r>
          <w:r w:rsidR="00B12AD2" w:rsidRPr="00B12AD2">
            <w:rPr>
              <w:rFonts w:ascii="Times New Roman" w:hAnsi="Times New Roman" w:cs="Times New Roman"/>
              <w:noProof/>
            </w:rPr>
            <w:t xml:space="preserve"> (Dr. Doug Leigh Ph.D., 2009)</w:t>
          </w:r>
          <w:r w:rsidR="00B12AD2" w:rsidRPr="00B12AD2">
            <w:rPr>
              <w:rFonts w:ascii="Times New Roman" w:hAnsi="Times New Roman" w:cs="Times New Roman"/>
            </w:rPr>
            <w:fldChar w:fldCharType="end"/>
          </w:r>
        </w:sdtContent>
      </w:sdt>
      <w:sdt>
        <w:sdtPr>
          <w:rPr>
            <w:rFonts w:ascii="Times New Roman" w:hAnsi="Times New Roman" w:cs="Times New Roman"/>
          </w:rPr>
          <w:id w:val="-948852199"/>
          <w:citation/>
        </w:sdtPr>
        <w:sdtEndPr/>
        <w:sdtContent>
          <w:r w:rsidR="00B12AD2" w:rsidRPr="00B12AD2">
            <w:rPr>
              <w:rFonts w:ascii="Times New Roman" w:hAnsi="Times New Roman" w:cs="Times New Roman"/>
            </w:rPr>
            <w:fldChar w:fldCharType="begin"/>
          </w:r>
          <w:r w:rsidR="00B12AD2" w:rsidRPr="00B12AD2">
            <w:rPr>
              <w:rFonts w:ascii="Times New Roman" w:hAnsi="Times New Roman" w:cs="Times New Roman"/>
            </w:rPr>
            <w:instrText xml:space="preserve"> CITATION Ker22 \l 2057 </w:instrText>
          </w:r>
          <w:r w:rsidR="00B12AD2" w:rsidRPr="00B12AD2">
            <w:rPr>
              <w:rFonts w:ascii="Times New Roman" w:hAnsi="Times New Roman" w:cs="Times New Roman"/>
            </w:rPr>
            <w:fldChar w:fldCharType="separate"/>
          </w:r>
          <w:r w:rsidR="00B12AD2" w:rsidRPr="00B12AD2">
            <w:rPr>
              <w:rFonts w:ascii="Times New Roman" w:hAnsi="Times New Roman" w:cs="Times New Roman"/>
              <w:noProof/>
            </w:rPr>
            <w:t xml:space="preserve"> (Kerstin Schreiber, 2022)</w:t>
          </w:r>
          <w:r w:rsidR="00B12AD2" w:rsidRPr="00B12AD2">
            <w:rPr>
              <w:rFonts w:ascii="Times New Roman" w:hAnsi="Times New Roman" w:cs="Times New Roman"/>
            </w:rPr>
            <w:fldChar w:fldCharType="end"/>
          </w:r>
        </w:sdtContent>
      </w:sdt>
      <w:r w:rsidRPr="00B12AD2">
        <w:rPr>
          <w:rFonts w:ascii="Times New Roman" w:hAnsi="Times New Roman" w:cs="Times New Roman"/>
        </w:rPr>
        <w:t>:</w:t>
      </w:r>
    </w:p>
    <w:tbl>
      <w:tblPr>
        <w:tblStyle w:val="TableGrid"/>
        <w:tblW w:w="0" w:type="auto"/>
        <w:tblLook w:val="04A0" w:firstRow="1" w:lastRow="0" w:firstColumn="1" w:lastColumn="0" w:noHBand="0" w:noVBand="1"/>
      </w:tblPr>
      <w:tblGrid>
        <w:gridCol w:w="4508"/>
        <w:gridCol w:w="4508"/>
      </w:tblGrid>
      <w:tr w:rsidR="008426DA" w:rsidRPr="00B12AD2" w14:paraId="7CCE11CF" w14:textId="77777777" w:rsidTr="008426DA">
        <w:tc>
          <w:tcPr>
            <w:tcW w:w="4508" w:type="dxa"/>
          </w:tcPr>
          <w:p w14:paraId="58A4074D" w14:textId="2A16D271" w:rsidR="008426DA" w:rsidRPr="00B12AD2" w:rsidRDefault="008426DA" w:rsidP="00B12AD2">
            <w:pPr>
              <w:jc w:val="both"/>
              <w:rPr>
                <w:rFonts w:ascii="Times New Roman" w:hAnsi="Times New Roman" w:cs="Times New Roman"/>
              </w:rPr>
            </w:pPr>
            <w:r w:rsidRPr="00B12AD2">
              <w:rPr>
                <w:rFonts w:ascii="Times New Roman" w:hAnsi="Times New Roman" w:cs="Times New Roman"/>
                <w:highlight w:val="green"/>
              </w:rPr>
              <w:t>Strength</w:t>
            </w:r>
          </w:p>
        </w:tc>
        <w:tc>
          <w:tcPr>
            <w:tcW w:w="4508" w:type="dxa"/>
          </w:tcPr>
          <w:p w14:paraId="27B8EFA3" w14:textId="7340EB06" w:rsidR="008426DA" w:rsidRPr="00B12AD2" w:rsidRDefault="008426DA" w:rsidP="00B12AD2">
            <w:pPr>
              <w:jc w:val="both"/>
              <w:rPr>
                <w:rFonts w:ascii="Times New Roman" w:hAnsi="Times New Roman" w:cs="Times New Roman"/>
              </w:rPr>
            </w:pPr>
            <w:r w:rsidRPr="00B12AD2">
              <w:rPr>
                <w:rFonts w:ascii="Times New Roman" w:hAnsi="Times New Roman" w:cs="Times New Roman"/>
                <w:highlight w:val="magenta"/>
              </w:rPr>
              <w:t>Weaknesses</w:t>
            </w:r>
          </w:p>
        </w:tc>
      </w:tr>
      <w:tr w:rsidR="008426DA" w:rsidRPr="00B12AD2" w14:paraId="014E3793" w14:textId="77777777" w:rsidTr="008426DA">
        <w:tc>
          <w:tcPr>
            <w:tcW w:w="4508" w:type="dxa"/>
          </w:tcPr>
          <w:p w14:paraId="03F3D9FD" w14:textId="0E01F7AD" w:rsidR="008426DA" w:rsidRPr="00B12AD2" w:rsidRDefault="008426DA" w:rsidP="00B12AD2">
            <w:pPr>
              <w:jc w:val="both"/>
              <w:rPr>
                <w:rFonts w:ascii="Times New Roman" w:hAnsi="Times New Roman" w:cs="Times New Roman"/>
              </w:rPr>
            </w:pPr>
            <w:r w:rsidRPr="00B12AD2">
              <w:rPr>
                <w:rFonts w:ascii="Times New Roman" w:hAnsi="Times New Roman" w:cs="Times New Roman"/>
              </w:rPr>
              <w:t>- The farm business in Quebec has the advantage of producing a wide range of fruits, vegetables, and fish, providing a diverse product portfolio.</w:t>
            </w:r>
          </w:p>
          <w:p w14:paraId="3CFE7216" w14:textId="7325AA06"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farm business received support from the Canadian government through programs like the Canadian Emergency Response Benefit (CERB), which helped mitigate the impact of job losses during the pandemic.</w:t>
            </w:r>
          </w:p>
          <w:p w14:paraId="088E2AFD" w14:textId="0B0798DF"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farm business has embraced technology to address the workforce shortage, utilizing essential machines and automation to improve efficiency and productivity.</w:t>
            </w:r>
          </w:p>
        </w:tc>
        <w:tc>
          <w:tcPr>
            <w:tcW w:w="4508" w:type="dxa"/>
          </w:tcPr>
          <w:p w14:paraId="2960057B" w14:textId="7FDBE712"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farm business experienced a shortage of workers, especially during the peak season, due to the challenges in accessing temporary foreign workers and high turnover rates.</w:t>
            </w:r>
          </w:p>
          <w:p w14:paraId="63BF0165" w14:textId="5707ECD3" w:rsidR="008426DA" w:rsidRPr="00B12AD2" w:rsidRDefault="008426DA" w:rsidP="00B12AD2">
            <w:pPr>
              <w:jc w:val="both"/>
              <w:rPr>
                <w:rFonts w:ascii="Times New Roman" w:hAnsi="Times New Roman" w:cs="Times New Roman"/>
              </w:rPr>
            </w:pPr>
            <w:r w:rsidRPr="00B12AD2">
              <w:rPr>
                <w:rFonts w:ascii="Times New Roman" w:hAnsi="Times New Roman" w:cs="Times New Roman"/>
              </w:rPr>
              <w:t>-</w:t>
            </w:r>
            <w:r w:rsidR="00A65763">
              <w:rPr>
                <w:rFonts w:ascii="Times New Roman" w:hAnsi="Times New Roman" w:cs="Times New Roman"/>
              </w:rPr>
              <w:t>F</w:t>
            </w:r>
            <w:r w:rsidRPr="00B12AD2">
              <w:rPr>
                <w:rFonts w:ascii="Times New Roman" w:hAnsi="Times New Roman" w:cs="Times New Roman"/>
              </w:rPr>
              <w:t>arm business is influenced by external factors such as government policies, travel restrictions, and changing consumer behaviour, which can create uncertainty and challenges in operations.</w:t>
            </w:r>
          </w:p>
          <w:p w14:paraId="5113D7E4" w14:textId="5A8DC946"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farm business may face limitations in reaching wider markets due to transportation and distribution challenges, impacting potential sales and growth opportunities.</w:t>
            </w:r>
          </w:p>
        </w:tc>
      </w:tr>
      <w:tr w:rsidR="008426DA" w:rsidRPr="00B12AD2" w14:paraId="1F7A6E20" w14:textId="77777777" w:rsidTr="008426DA">
        <w:tc>
          <w:tcPr>
            <w:tcW w:w="4508" w:type="dxa"/>
          </w:tcPr>
          <w:p w14:paraId="30B6AB8A" w14:textId="44CF18C6" w:rsidR="008426DA" w:rsidRPr="00B12AD2" w:rsidRDefault="008426DA" w:rsidP="00B12AD2">
            <w:pPr>
              <w:jc w:val="both"/>
              <w:rPr>
                <w:rFonts w:ascii="Times New Roman" w:hAnsi="Times New Roman" w:cs="Times New Roman"/>
              </w:rPr>
            </w:pPr>
            <w:r w:rsidRPr="00B12AD2">
              <w:rPr>
                <w:rFonts w:ascii="Times New Roman" w:hAnsi="Times New Roman" w:cs="Times New Roman"/>
                <w:highlight w:val="yellow"/>
              </w:rPr>
              <w:t>Opportunities</w:t>
            </w:r>
            <w:r w:rsidRPr="00B12AD2">
              <w:rPr>
                <w:rFonts w:ascii="Times New Roman" w:hAnsi="Times New Roman" w:cs="Times New Roman"/>
              </w:rPr>
              <w:t xml:space="preserve"> </w:t>
            </w:r>
          </w:p>
        </w:tc>
        <w:tc>
          <w:tcPr>
            <w:tcW w:w="4508" w:type="dxa"/>
          </w:tcPr>
          <w:p w14:paraId="6ADF9C42" w14:textId="1878A624" w:rsidR="008426DA" w:rsidRPr="00B12AD2" w:rsidRDefault="008426DA" w:rsidP="00B12AD2">
            <w:pPr>
              <w:jc w:val="both"/>
              <w:rPr>
                <w:rFonts w:ascii="Times New Roman" w:hAnsi="Times New Roman" w:cs="Times New Roman"/>
              </w:rPr>
            </w:pPr>
            <w:r w:rsidRPr="00B12AD2">
              <w:rPr>
                <w:rFonts w:ascii="Times New Roman" w:hAnsi="Times New Roman" w:cs="Times New Roman"/>
                <w:highlight w:val="red"/>
              </w:rPr>
              <w:t>Threats</w:t>
            </w:r>
            <w:r w:rsidRPr="00B12AD2">
              <w:rPr>
                <w:rFonts w:ascii="Times New Roman" w:hAnsi="Times New Roman" w:cs="Times New Roman"/>
              </w:rPr>
              <w:t xml:space="preserve"> </w:t>
            </w:r>
          </w:p>
        </w:tc>
      </w:tr>
      <w:tr w:rsidR="008426DA" w:rsidRPr="00B12AD2" w14:paraId="3C8D372E" w14:textId="77777777" w:rsidTr="008426DA">
        <w:tc>
          <w:tcPr>
            <w:tcW w:w="4508" w:type="dxa"/>
          </w:tcPr>
          <w:p w14:paraId="0B7C2485" w14:textId="182963D7"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increasing consumer preference for locally sourced and sustainable food products presents an opportunity for the farm business to meet this demand and capitalize on market trends.</w:t>
            </w:r>
          </w:p>
          <w:p w14:paraId="3491B831" w14:textId="4CE26267"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farm business can explore the expansion of online platforms and direct-to-consumer sales channels to reach a broader customer base and overcome distribution challenges.</w:t>
            </w:r>
          </w:p>
          <w:p w14:paraId="36DF9146" w14:textId="62C27030"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farm business can seek collaborations and partnerships with local restaurants, grocery stores, or food delivery services to expand their market presence and enhance distribution channels.</w:t>
            </w:r>
          </w:p>
        </w:tc>
        <w:tc>
          <w:tcPr>
            <w:tcW w:w="4508" w:type="dxa"/>
          </w:tcPr>
          <w:p w14:paraId="6277E529" w14:textId="2ADF8A73" w:rsidR="008426DA" w:rsidRPr="00B12AD2" w:rsidRDefault="008426DA" w:rsidP="00B12AD2">
            <w:pPr>
              <w:jc w:val="both"/>
              <w:rPr>
                <w:rFonts w:ascii="Times New Roman" w:hAnsi="Times New Roman" w:cs="Times New Roman"/>
              </w:rPr>
            </w:pPr>
            <w:r w:rsidRPr="00B12AD2">
              <w:rPr>
                <w:rFonts w:ascii="Times New Roman" w:hAnsi="Times New Roman" w:cs="Times New Roman"/>
              </w:rPr>
              <w:t>-Changes in government policies, regulations, and trade restrictions can pose a threat to the farm business's operations, affecting supply chains, market access, and workforce availability.</w:t>
            </w:r>
          </w:p>
          <w:p w14:paraId="2C9F45C4" w14:textId="2F29835E"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farm business is susceptible to weather-related risks, such as extreme weather events, seasonal variations, and the impact of climate change, which can affect crop yields and productivity.</w:t>
            </w:r>
          </w:p>
          <w:p w14:paraId="39D5077E" w14:textId="0FE9E6C9"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farm business may face competition from other local and international producers, requiring effective marketing strategies, differentiation, and quality control to maintain a competitive edge.</w:t>
            </w:r>
          </w:p>
        </w:tc>
      </w:tr>
    </w:tbl>
    <w:p w14:paraId="5C08C323" w14:textId="77777777" w:rsidR="008426DA" w:rsidRPr="00B12AD2" w:rsidRDefault="008426DA" w:rsidP="00B12AD2">
      <w:pPr>
        <w:pStyle w:val="Heading1"/>
        <w:jc w:val="both"/>
        <w:rPr>
          <w:rFonts w:ascii="Times New Roman" w:hAnsi="Times New Roman" w:cs="Times New Roman"/>
          <w:sz w:val="22"/>
          <w:szCs w:val="22"/>
        </w:rPr>
      </w:pPr>
      <w:bookmarkStart w:id="2" w:name="_Toc138530828"/>
      <w:r w:rsidRPr="00B12AD2">
        <w:rPr>
          <w:rFonts w:ascii="Times New Roman" w:hAnsi="Times New Roman" w:cs="Times New Roman"/>
          <w:sz w:val="22"/>
          <w:szCs w:val="22"/>
        </w:rPr>
        <w:t>PESTLE  Analysis:</w:t>
      </w:r>
      <w:bookmarkEnd w:id="2"/>
    </w:p>
    <w:p w14:paraId="5732F27A" w14:textId="484665B3" w:rsidR="008426DA" w:rsidRPr="00B12AD2" w:rsidRDefault="008426DA" w:rsidP="00B12AD2">
      <w:pPr>
        <w:jc w:val="both"/>
        <w:rPr>
          <w:rFonts w:ascii="Times New Roman" w:hAnsi="Times New Roman" w:cs="Times New Roman"/>
        </w:rPr>
      </w:pPr>
      <w:r w:rsidRPr="00B12AD2">
        <w:rPr>
          <w:rFonts w:ascii="Times New Roman" w:hAnsi="Times New Roman" w:cs="Times New Roman"/>
        </w:rPr>
        <w:t>The second stage of the marketing process involves conducting an PESTLE analysis to understand the business environment base on the SWOT Analysis and the Case Study.</w:t>
      </w:r>
    </w:p>
    <w:p w14:paraId="588D0737" w14:textId="77777777" w:rsidR="008426DA" w:rsidRPr="00B12AD2" w:rsidRDefault="008426DA" w:rsidP="00B12AD2">
      <w:pPr>
        <w:pStyle w:val="ListParagraph"/>
        <w:numPr>
          <w:ilvl w:val="0"/>
          <w:numId w:val="1"/>
        </w:numPr>
        <w:jc w:val="both"/>
        <w:rPr>
          <w:rFonts w:ascii="Times New Roman" w:hAnsi="Times New Roman" w:cs="Times New Roman"/>
        </w:rPr>
      </w:pPr>
      <w:r w:rsidRPr="00B12AD2">
        <w:rPr>
          <w:rFonts w:ascii="Times New Roman" w:hAnsi="Times New Roman" w:cs="Times New Roman"/>
        </w:rPr>
        <w:t>Political :</w:t>
      </w:r>
    </w:p>
    <w:p w14:paraId="355A9B1A" w14:textId="77777777" w:rsidR="008426DA" w:rsidRPr="00B12AD2" w:rsidRDefault="008426DA" w:rsidP="00B12AD2">
      <w:pPr>
        <w:jc w:val="both"/>
        <w:rPr>
          <w:rFonts w:ascii="Times New Roman" w:hAnsi="Times New Roman" w:cs="Times New Roman"/>
        </w:rPr>
      </w:pPr>
      <w:r w:rsidRPr="00B12AD2">
        <w:rPr>
          <w:rFonts w:ascii="Times New Roman" w:hAnsi="Times New Roman" w:cs="Times New Roman"/>
        </w:rPr>
        <w:t>One of the political factors that affect Quebec is the entry of temporary foreign workers where local farmers faced uncertainty regarding the entry of temporary foreign workers (TFW) into Canada and the timing and process for their arrival. The Ministry of Agriculture and Fisheries Québec (MAPAQ) and Immigration, Refugees and Citizenship Canada (IRCC) addressed this issue by declaring TFW as essential workers and allowing them to enter and work in Canada after completing a 2-week quarantine period. However, even with TFW in the country, there were challenges such as a high turnover rate, leading to a shortage of workers during the peak season and an excess during the slower season.</w:t>
      </w:r>
    </w:p>
    <w:p w14:paraId="6FFD1147" w14:textId="77777777" w:rsidR="008426DA" w:rsidRPr="00B12AD2" w:rsidRDefault="008426DA" w:rsidP="00B12AD2">
      <w:pPr>
        <w:pStyle w:val="ListParagraph"/>
        <w:numPr>
          <w:ilvl w:val="0"/>
          <w:numId w:val="1"/>
        </w:numPr>
        <w:jc w:val="both"/>
        <w:rPr>
          <w:rFonts w:ascii="Times New Roman" w:hAnsi="Times New Roman" w:cs="Times New Roman"/>
        </w:rPr>
      </w:pPr>
      <w:r w:rsidRPr="00B12AD2">
        <w:rPr>
          <w:rFonts w:ascii="Times New Roman" w:hAnsi="Times New Roman" w:cs="Times New Roman"/>
        </w:rPr>
        <w:t>Economic :</w:t>
      </w:r>
    </w:p>
    <w:p w14:paraId="5A8CD304" w14:textId="77777777" w:rsidR="008426DA" w:rsidRPr="00B12AD2" w:rsidRDefault="008426DA" w:rsidP="00B12AD2">
      <w:pPr>
        <w:jc w:val="both"/>
        <w:rPr>
          <w:rFonts w:ascii="Times New Roman" w:hAnsi="Times New Roman" w:cs="Times New Roman"/>
        </w:rPr>
      </w:pPr>
      <w:r w:rsidRPr="00B12AD2">
        <w:rPr>
          <w:rFonts w:ascii="Times New Roman" w:hAnsi="Times New Roman" w:cs="Times New Roman"/>
        </w:rPr>
        <w:t>According with the case study the framers from Quebec received benefits from The Canadian Emergency Response Benefit (CERB) in order to help with the loss faced of the low workforce.  It provided a payment of $2000 CAD for a four-week period to individuals across Canada who experienced job loss as a direct result of the Covid-19 pandemic. The program specifically aimed to offer support to employees working in the heavily affected entertainment and hospitality sectors.</w:t>
      </w:r>
    </w:p>
    <w:p w14:paraId="678834F7" w14:textId="77777777" w:rsidR="008426DA" w:rsidRPr="00B12AD2" w:rsidRDefault="008426DA" w:rsidP="00B12AD2">
      <w:pPr>
        <w:pStyle w:val="ListParagraph"/>
        <w:numPr>
          <w:ilvl w:val="0"/>
          <w:numId w:val="1"/>
        </w:numPr>
        <w:jc w:val="both"/>
        <w:rPr>
          <w:rFonts w:ascii="Times New Roman" w:hAnsi="Times New Roman" w:cs="Times New Roman"/>
        </w:rPr>
      </w:pPr>
      <w:r w:rsidRPr="00B12AD2">
        <w:rPr>
          <w:rFonts w:ascii="Times New Roman" w:hAnsi="Times New Roman" w:cs="Times New Roman"/>
        </w:rPr>
        <w:t>Social :</w:t>
      </w:r>
    </w:p>
    <w:p w14:paraId="6F64D2E0" w14:textId="77777777" w:rsidR="008426DA" w:rsidRPr="00B12AD2" w:rsidRDefault="008426DA" w:rsidP="00B12AD2">
      <w:pPr>
        <w:jc w:val="both"/>
        <w:rPr>
          <w:rFonts w:ascii="Times New Roman" w:hAnsi="Times New Roman" w:cs="Times New Roman"/>
        </w:rPr>
      </w:pPr>
      <w:r w:rsidRPr="00B12AD2">
        <w:rPr>
          <w:rFonts w:ascii="Times New Roman" w:hAnsi="Times New Roman" w:cs="Times New Roman"/>
        </w:rPr>
        <w:t>According with the case study there was no big changes in the demand of the Fruit; Fish or Vegetables. But it has been affected the delivery of the normal demand due to the lack of workforce.</w:t>
      </w:r>
    </w:p>
    <w:p w14:paraId="09FAD1D7" w14:textId="77777777" w:rsidR="008426DA" w:rsidRPr="00B12AD2" w:rsidRDefault="008426DA" w:rsidP="00B12AD2">
      <w:pPr>
        <w:pStyle w:val="ListParagraph"/>
        <w:numPr>
          <w:ilvl w:val="0"/>
          <w:numId w:val="1"/>
        </w:numPr>
        <w:jc w:val="both"/>
        <w:rPr>
          <w:rFonts w:ascii="Times New Roman" w:hAnsi="Times New Roman" w:cs="Times New Roman"/>
        </w:rPr>
      </w:pPr>
      <w:r w:rsidRPr="00B12AD2">
        <w:rPr>
          <w:rFonts w:ascii="Times New Roman" w:hAnsi="Times New Roman" w:cs="Times New Roman"/>
        </w:rPr>
        <w:t>Technological Environment:</w:t>
      </w:r>
    </w:p>
    <w:p w14:paraId="7650DF52" w14:textId="77777777" w:rsidR="008426DA" w:rsidRPr="00B12AD2" w:rsidRDefault="008426DA" w:rsidP="00B12AD2">
      <w:pPr>
        <w:jc w:val="both"/>
        <w:rPr>
          <w:rFonts w:ascii="Times New Roman" w:hAnsi="Times New Roman" w:cs="Times New Roman"/>
        </w:rPr>
      </w:pPr>
      <w:r w:rsidRPr="00B12AD2">
        <w:rPr>
          <w:rFonts w:ascii="Times New Roman" w:hAnsi="Times New Roman" w:cs="Times New Roman"/>
        </w:rPr>
        <w:t>Further in order to solve the problem of the lack of workforce due to the covid19, the farmers from Quebec start to embrace more the technology which help them in reducing the problem of workforce by replacing with essential machines.</w:t>
      </w:r>
    </w:p>
    <w:p w14:paraId="1794522A" w14:textId="77777777" w:rsidR="008426DA" w:rsidRPr="00B12AD2" w:rsidRDefault="008426DA" w:rsidP="00B12AD2">
      <w:pPr>
        <w:pStyle w:val="ListParagraph"/>
        <w:numPr>
          <w:ilvl w:val="0"/>
          <w:numId w:val="1"/>
        </w:numPr>
        <w:jc w:val="both"/>
        <w:rPr>
          <w:rFonts w:ascii="Times New Roman" w:hAnsi="Times New Roman" w:cs="Times New Roman"/>
        </w:rPr>
      </w:pPr>
      <w:r w:rsidRPr="00B12AD2">
        <w:rPr>
          <w:rFonts w:ascii="Times New Roman" w:hAnsi="Times New Roman" w:cs="Times New Roman"/>
        </w:rPr>
        <w:t>Legal:</w:t>
      </w:r>
    </w:p>
    <w:p w14:paraId="3020D506" w14:textId="77777777" w:rsidR="008426DA" w:rsidRPr="00B12AD2" w:rsidRDefault="008426DA" w:rsidP="00B12AD2">
      <w:pPr>
        <w:jc w:val="both"/>
        <w:rPr>
          <w:rFonts w:ascii="Times New Roman" w:hAnsi="Times New Roman" w:cs="Times New Roman"/>
        </w:rPr>
      </w:pPr>
      <w:r w:rsidRPr="00B12AD2">
        <w:rPr>
          <w:rFonts w:ascii="Times New Roman" w:hAnsi="Times New Roman" w:cs="Times New Roman"/>
        </w:rPr>
        <w:t>In March 2020, travel restrictions were implemented to reduce the risk of virus transmission. Unfortunately, these restrictions coincided with the beginning of the growing season for vegetables and fruits in Québec. As a result, local farmers faced uncertainty regarding the entry of temporary foreign workers (TFW) into Canada and the timing and process for their arrival.</w:t>
      </w:r>
    </w:p>
    <w:p w14:paraId="769910C2" w14:textId="77777777" w:rsidR="008426DA" w:rsidRPr="00B12AD2" w:rsidRDefault="008426DA" w:rsidP="00B12AD2">
      <w:pPr>
        <w:pStyle w:val="ListParagraph"/>
        <w:numPr>
          <w:ilvl w:val="0"/>
          <w:numId w:val="1"/>
        </w:numPr>
        <w:jc w:val="both"/>
        <w:rPr>
          <w:rFonts w:ascii="Times New Roman" w:hAnsi="Times New Roman" w:cs="Times New Roman"/>
        </w:rPr>
      </w:pPr>
      <w:r w:rsidRPr="00B12AD2">
        <w:rPr>
          <w:rFonts w:ascii="Times New Roman" w:hAnsi="Times New Roman" w:cs="Times New Roman"/>
        </w:rPr>
        <w:t>Environmental:</w:t>
      </w:r>
    </w:p>
    <w:p w14:paraId="6924CA8D" w14:textId="77777777" w:rsidR="008426DA" w:rsidRPr="00B12AD2" w:rsidRDefault="008426DA" w:rsidP="00B12AD2">
      <w:pPr>
        <w:jc w:val="both"/>
        <w:rPr>
          <w:rFonts w:ascii="Times New Roman" w:hAnsi="Times New Roman" w:cs="Times New Roman"/>
        </w:rPr>
      </w:pPr>
      <w:r w:rsidRPr="00B12AD2">
        <w:rPr>
          <w:rFonts w:ascii="Times New Roman" w:hAnsi="Times New Roman" w:cs="Times New Roman"/>
        </w:rPr>
        <w:t xml:space="preserve">Further on according with the case study there has been no challenges faced the environment during the covid19. Instead the place become more sustainable due </w:t>
      </w:r>
      <w:proofErr w:type="spellStart"/>
      <w:r w:rsidRPr="00B12AD2">
        <w:rPr>
          <w:rFonts w:ascii="Times New Roman" w:hAnsi="Times New Roman" w:cs="Times New Roman"/>
        </w:rPr>
        <w:t>Covid</w:t>
      </w:r>
      <w:proofErr w:type="spellEnd"/>
      <w:r w:rsidRPr="00B12AD2">
        <w:rPr>
          <w:rFonts w:ascii="Times New Roman" w:hAnsi="Times New Roman" w:cs="Times New Roman"/>
        </w:rPr>
        <w:t xml:space="preserve"> 19 as there ware the reduction of travelling in place which leaded to a decrease in the carbon footprint emissions. </w:t>
      </w:r>
    </w:p>
    <w:p w14:paraId="60E51E30" w14:textId="6027BC4E" w:rsidR="008426DA" w:rsidRPr="00B12AD2" w:rsidRDefault="00165F55" w:rsidP="00B12AD2">
      <w:pPr>
        <w:jc w:val="both"/>
        <w:rPr>
          <w:rFonts w:ascii="Times New Roman" w:hAnsi="Times New Roman" w:cs="Times New Roman"/>
        </w:rPr>
      </w:pPr>
      <w:r w:rsidRPr="00B12AD2">
        <w:rPr>
          <w:rFonts w:ascii="Times New Roman" w:hAnsi="Times New Roman" w:cs="Times New Roman"/>
        </w:rPr>
        <w:t>The PESTLE analysis further highlighted the political factors related to the entry of temporary foreign workers and the economic support received through programs like the Canadian Emergency Response Benefit. The social impact was reflected in the delivery of normal demand affected by the workforce shortage, while the technological environment saw farmers embracing technology to overcome workforce challenges. Travel restrictions implemented during the pandemic had legal implications, and the environmental impact was a reduction in carbon footprint emissions</w:t>
      </w:r>
      <w:sdt>
        <w:sdtPr>
          <w:rPr>
            <w:rFonts w:ascii="Times New Roman" w:hAnsi="Times New Roman" w:cs="Times New Roman"/>
          </w:rPr>
          <w:id w:val="-468986742"/>
          <w:citation/>
        </w:sdtPr>
        <w:sdtEndPr/>
        <w:sdtContent>
          <w:r w:rsidR="00B12AD2" w:rsidRPr="00B12AD2">
            <w:rPr>
              <w:rFonts w:ascii="Times New Roman" w:hAnsi="Times New Roman" w:cs="Times New Roman"/>
            </w:rPr>
            <w:fldChar w:fldCharType="begin"/>
          </w:r>
          <w:r w:rsidR="00B12AD2" w:rsidRPr="00B12AD2">
            <w:rPr>
              <w:rFonts w:ascii="Times New Roman" w:hAnsi="Times New Roman" w:cs="Times New Roman"/>
            </w:rPr>
            <w:instrText xml:space="preserve"> CITATION Ras20 \l 2057 </w:instrText>
          </w:r>
          <w:r w:rsidR="00B12AD2" w:rsidRPr="00B12AD2">
            <w:rPr>
              <w:rFonts w:ascii="Times New Roman" w:hAnsi="Times New Roman" w:cs="Times New Roman"/>
            </w:rPr>
            <w:fldChar w:fldCharType="separate"/>
          </w:r>
          <w:r w:rsidR="00B12AD2" w:rsidRPr="00B12AD2">
            <w:rPr>
              <w:rFonts w:ascii="Times New Roman" w:hAnsi="Times New Roman" w:cs="Times New Roman"/>
              <w:noProof/>
            </w:rPr>
            <w:t xml:space="preserve"> (Perera, 2020)</w:t>
          </w:r>
          <w:r w:rsidR="00B12AD2" w:rsidRPr="00B12AD2">
            <w:rPr>
              <w:rFonts w:ascii="Times New Roman" w:hAnsi="Times New Roman" w:cs="Times New Roman"/>
            </w:rPr>
            <w:fldChar w:fldCharType="end"/>
          </w:r>
        </w:sdtContent>
      </w:sdt>
      <w:sdt>
        <w:sdtPr>
          <w:rPr>
            <w:rFonts w:ascii="Times New Roman" w:hAnsi="Times New Roman" w:cs="Times New Roman"/>
          </w:rPr>
          <w:id w:val="1994827803"/>
          <w:citation/>
        </w:sdtPr>
        <w:sdtEndPr/>
        <w:sdtContent>
          <w:r w:rsidR="00B12AD2" w:rsidRPr="00B12AD2">
            <w:rPr>
              <w:rFonts w:ascii="Times New Roman" w:hAnsi="Times New Roman" w:cs="Times New Roman"/>
            </w:rPr>
            <w:fldChar w:fldCharType="begin"/>
          </w:r>
          <w:r w:rsidR="00B12AD2" w:rsidRPr="00B12AD2">
            <w:rPr>
              <w:rFonts w:ascii="Times New Roman" w:hAnsi="Times New Roman" w:cs="Times New Roman"/>
            </w:rPr>
            <w:instrText xml:space="preserve"> CITATION Ker22 \l 2057 </w:instrText>
          </w:r>
          <w:r w:rsidR="00B12AD2" w:rsidRPr="00B12AD2">
            <w:rPr>
              <w:rFonts w:ascii="Times New Roman" w:hAnsi="Times New Roman" w:cs="Times New Roman"/>
            </w:rPr>
            <w:fldChar w:fldCharType="separate"/>
          </w:r>
          <w:r w:rsidR="00B12AD2" w:rsidRPr="00B12AD2">
            <w:rPr>
              <w:rFonts w:ascii="Times New Roman" w:hAnsi="Times New Roman" w:cs="Times New Roman"/>
              <w:noProof/>
            </w:rPr>
            <w:t xml:space="preserve"> (Kerstin Schreiber, 2022)</w:t>
          </w:r>
          <w:r w:rsidR="00B12AD2" w:rsidRPr="00B12AD2">
            <w:rPr>
              <w:rFonts w:ascii="Times New Roman" w:hAnsi="Times New Roman" w:cs="Times New Roman"/>
            </w:rPr>
            <w:fldChar w:fldCharType="end"/>
          </w:r>
        </w:sdtContent>
      </w:sdt>
      <w:sdt>
        <w:sdtPr>
          <w:rPr>
            <w:rFonts w:ascii="Times New Roman" w:hAnsi="Times New Roman" w:cs="Times New Roman"/>
          </w:rPr>
          <w:id w:val="-956401607"/>
          <w:citation/>
        </w:sdtPr>
        <w:sdtEndPr/>
        <w:sdtContent>
          <w:r w:rsidR="00B12AD2" w:rsidRPr="00B12AD2">
            <w:rPr>
              <w:rFonts w:ascii="Times New Roman" w:hAnsi="Times New Roman" w:cs="Times New Roman"/>
            </w:rPr>
            <w:fldChar w:fldCharType="begin"/>
          </w:r>
          <w:r w:rsidR="00B12AD2" w:rsidRPr="00B12AD2">
            <w:rPr>
              <w:rFonts w:ascii="Times New Roman" w:hAnsi="Times New Roman" w:cs="Times New Roman"/>
            </w:rPr>
            <w:instrText xml:space="preserve"> CITATION TJR20 \l 2057 </w:instrText>
          </w:r>
          <w:r w:rsidR="00B12AD2" w:rsidRPr="00B12AD2">
            <w:rPr>
              <w:rFonts w:ascii="Times New Roman" w:hAnsi="Times New Roman" w:cs="Times New Roman"/>
            </w:rPr>
            <w:fldChar w:fldCharType="separate"/>
          </w:r>
          <w:r w:rsidR="00B12AD2" w:rsidRPr="00B12AD2">
            <w:rPr>
              <w:rFonts w:ascii="Times New Roman" w:hAnsi="Times New Roman" w:cs="Times New Roman"/>
              <w:noProof/>
            </w:rPr>
            <w:t xml:space="preserve"> (T.J. Richards, 2020)</w:t>
          </w:r>
          <w:r w:rsidR="00B12AD2" w:rsidRPr="00B12AD2">
            <w:rPr>
              <w:rFonts w:ascii="Times New Roman" w:hAnsi="Times New Roman" w:cs="Times New Roman"/>
            </w:rPr>
            <w:fldChar w:fldCharType="end"/>
          </w:r>
        </w:sdtContent>
      </w:sdt>
      <w:r w:rsidRPr="00B12AD2">
        <w:rPr>
          <w:rFonts w:ascii="Times New Roman" w:hAnsi="Times New Roman" w:cs="Times New Roman"/>
        </w:rPr>
        <w:t>.</w:t>
      </w:r>
    </w:p>
    <w:p w14:paraId="3D8DA910" w14:textId="77777777" w:rsidR="00B12AD2" w:rsidRPr="00B12AD2" w:rsidRDefault="00B12AD2" w:rsidP="00B12AD2"/>
    <w:p w14:paraId="38CCE170" w14:textId="4F5008A9" w:rsidR="00077D4B" w:rsidRPr="00B12AD2" w:rsidRDefault="00077D4B" w:rsidP="00B12AD2">
      <w:pPr>
        <w:pStyle w:val="Heading1"/>
        <w:jc w:val="both"/>
        <w:rPr>
          <w:rFonts w:ascii="Times New Roman" w:hAnsi="Times New Roman" w:cs="Times New Roman"/>
          <w:sz w:val="22"/>
          <w:szCs w:val="22"/>
        </w:rPr>
      </w:pPr>
      <w:bookmarkStart w:id="3" w:name="_Toc138530829"/>
      <w:r w:rsidRPr="00B12AD2">
        <w:rPr>
          <w:rFonts w:ascii="Times New Roman" w:hAnsi="Times New Roman" w:cs="Times New Roman"/>
          <w:sz w:val="22"/>
          <w:szCs w:val="22"/>
        </w:rPr>
        <w:t>Strategy Development:</w:t>
      </w:r>
      <w:bookmarkEnd w:id="3"/>
    </w:p>
    <w:p w14:paraId="1277EBE9" w14:textId="77777777" w:rsidR="00077D4B" w:rsidRPr="00B12AD2" w:rsidRDefault="00077D4B" w:rsidP="00B12AD2">
      <w:pPr>
        <w:jc w:val="both"/>
        <w:rPr>
          <w:rFonts w:ascii="Times New Roman" w:hAnsi="Times New Roman" w:cs="Times New Roman"/>
        </w:rPr>
      </w:pPr>
    </w:p>
    <w:p w14:paraId="1DA20CB5" w14:textId="4BB6B1F9" w:rsidR="00077D4B" w:rsidRPr="00B12AD2" w:rsidRDefault="00077D4B" w:rsidP="00B12AD2">
      <w:pPr>
        <w:pStyle w:val="ListParagraph"/>
        <w:numPr>
          <w:ilvl w:val="0"/>
          <w:numId w:val="2"/>
        </w:numPr>
        <w:jc w:val="both"/>
        <w:rPr>
          <w:rFonts w:ascii="Times New Roman" w:hAnsi="Times New Roman" w:cs="Times New Roman"/>
        </w:rPr>
      </w:pPr>
      <w:r w:rsidRPr="00B12AD2">
        <w:rPr>
          <w:rFonts w:ascii="Times New Roman" w:hAnsi="Times New Roman" w:cs="Times New Roman"/>
        </w:rPr>
        <w:t>Product and Market Adaptation:</w:t>
      </w:r>
    </w:p>
    <w:p w14:paraId="5C234059" w14:textId="77777777" w:rsidR="008426DA" w:rsidRPr="00B12AD2" w:rsidRDefault="008426DA" w:rsidP="00B12AD2">
      <w:pPr>
        <w:jc w:val="both"/>
        <w:rPr>
          <w:rFonts w:ascii="Times New Roman" w:hAnsi="Times New Roman" w:cs="Times New Roman"/>
          <w:u w:val="single"/>
        </w:rPr>
      </w:pPr>
      <w:r w:rsidRPr="00B12AD2">
        <w:rPr>
          <w:rFonts w:ascii="Times New Roman" w:hAnsi="Times New Roman" w:cs="Times New Roman"/>
          <w:u w:val="single"/>
        </w:rPr>
        <w:t>Identifying new market segments or niche markets:</w:t>
      </w:r>
    </w:p>
    <w:p w14:paraId="786FADF1" w14:textId="1BC76D9C" w:rsidR="008426DA" w:rsidRPr="00B12AD2" w:rsidRDefault="008426DA" w:rsidP="00B12AD2">
      <w:pPr>
        <w:jc w:val="both"/>
        <w:rPr>
          <w:rFonts w:ascii="Times New Roman" w:hAnsi="Times New Roman" w:cs="Times New Roman"/>
        </w:rPr>
      </w:pPr>
      <w:r w:rsidRPr="00B12AD2">
        <w:rPr>
          <w:rFonts w:ascii="Times New Roman" w:hAnsi="Times New Roman" w:cs="Times New Roman"/>
        </w:rPr>
        <w:t>-Health-conscious Consumers: With the growing demand for healthy and nutritious food, the farm business can target health-conscious consumers by emphasizing the quality and nutritional value of their products. This can include promoting organic farming practices, highlighting the absence of pesticides or GMOs, and offering a wide range of fresh fruits, vegetables, and fish.</w:t>
      </w:r>
    </w:p>
    <w:p w14:paraId="59DFB111" w14:textId="07B3E791" w:rsidR="008426DA" w:rsidRPr="00B12AD2" w:rsidRDefault="008426DA" w:rsidP="00B12AD2">
      <w:pPr>
        <w:jc w:val="both"/>
        <w:rPr>
          <w:rFonts w:ascii="Times New Roman" w:hAnsi="Times New Roman" w:cs="Times New Roman"/>
        </w:rPr>
      </w:pPr>
      <w:r w:rsidRPr="00B12AD2">
        <w:rPr>
          <w:rFonts w:ascii="Times New Roman" w:hAnsi="Times New Roman" w:cs="Times New Roman"/>
        </w:rPr>
        <w:t>-Locavores and Sustainable Food Enthusiasts: The farm business can tap into the market of consumers who prioritize locally sourced and sustainable food. By highlighting their commitment to sustainable farming practices, supporting local communities, and reducing carbon footprint, the farm can attract customers who value supporting local businesses and environmentally friendly practices.</w:t>
      </w:r>
    </w:p>
    <w:p w14:paraId="02A1BDE2" w14:textId="77777777" w:rsidR="008426DA" w:rsidRPr="00B12AD2" w:rsidRDefault="008426DA" w:rsidP="00B12AD2">
      <w:pPr>
        <w:jc w:val="both"/>
        <w:rPr>
          <w:rFonts w:ascii="Times New Roman" w:hAnsi="Times New Roman" w:cs="Times New Roman"/>
          <w:u w:val="single"/>
        </w:rPr>
      </w:pPr>
      <w:r w:rsidRPr="00B12AD2">
        <w:rPr>
          <w:rFonts w:ascii="Times New Roman" w:hAnsi="Times New Roman" w:cs="Times New Roman"/>
          <w:u w:val="single"/>
        </w:rPr>
        <w:t>Exploring product diversification and value-added products:</w:t>
      </w:r>
    </w:p>
    <w:p w14:paraId="5EC42C57" w14:textId="4CC4BB89" w:rsidR="008426DA" w:rsidRPr="00B12AD2" w:rsidRDefault="008426DA" w:rsidP="00B12AD2">
      <w:pPr>
        <w:jc w:val="both"/>
        <w:rPr>
          <w:rFonts w:ascii="Times New Roman" w:hAnsi="Times New Roman" w:cs="Times New Roman"/>
        </w:rPr>
      </w:pPr>
      <w:r w:rsidRPr="00B12AD2">
        <w:rPr>
          <w:rFonts w:ascii="Times New Roman" w:hAnsi="Times New Roman" w:cs="Times New Roman"/>
        </w:rPr>
        <w:t>-Ready-to-Eat Meals: The farm business can create value-added products by offering ready-to-eat meals using their fresh produce and fish. These meals can cater to busy individuals or families looking for convenient, healthy, and locally sourced meal options.</w:t>
      </w:r>
    </w:p>
    <w:p w14:paraId="24116E06" w14:textId="325B43A6" w:rsidR="008426DA" w:rsidRPr="00B12AD2" w:rsidRDefault="008426DA" w:rsidP="00B12AD2">
      <w:pPr>
        <w:jc w:val="both"/>
        <w:rPr>
          <w:rFonts w:ascii="Times New Roman" w:hAnsi="Times New Roman" w:cs="Times New Roman"/>
        </w:rPr>
      </w:pPr>
      <w:r w:rsidRPr="00B12AD2">
        <w:rPr>
          <w:rFonts w:ascii="Times New Roman" w:hAnsi="Times New Roman" w:cs="Times New Roman"/>
        </w:rPr>
        <w:t>-Specialty Products: The farm business can explore the production of specialty products, such as unique fruit preserves, homemade sauces, or gourmet food items that incorporate their fresh ingredients. This can attract customers looking for distinctive and high-quality food products.</w:t>
      </w:r>
    </w:p>
    <w:p w14:paraId="6CCE4508" w14:textId="77777777" w:rsidR="00077D4B" w:rsidRPr="00B12AD2" w:rsidRDefault="00077D4B" w:rsidP="00B12AD2">
      <w:pPr>
        <w:jc w:val="both"/>
        <w:rPr>
          <w:rFonts w:ascii="Times New Roman" w:hAnsi="Times New Roman" w:cs="Times New Roman"/>
        </w:rPr>
      </w:pPr>
    </w:p>
    <w:p w14:paraId="6DA4D522" w14:textId="77777777" w:rsidR="00077D4B" w:rsidRPr="00B12AD2" w:rsidRDefault="00077D4B" w:rsidP="00B12AD2">
      <w:pPr>
        <w:jc w:val="both"/>
        <w:rPr>
          <w:rFonts w:ascii="Times New Roman" w:hAnsi="Times New Roman" w:cs="Times New Roman"/>
        </w:rPr>
      </w:pPr>
      <w:r w:rsidRPr="00B12AD2">
        <w:rPr>
          <w:rFonts w:ascii="Times New Roman" w:hAnsi="Times New Roman" w:cs="Times New Roman"/>
        </w:rPr>
        <w:t>b) Distribution and Sales Channels:</w:t>
      </w:r>
    </w:p>
    <w:p w14:paraId="2B93A4F2" w14:textId="77777777" w:rsidR="008426DA" w:rsidRPr="00B12AD2" w:rsidRDefault="008426DA" w:rsidP="00B12AD2">
      <w:pPr>
        <w:jc w:val="both"/>
        <w:rPr>
          <w:rFonts w:ascii="Times New Roman" w:hAnsi="Times New Roman" w:cs="Times New Roman"/>
          <w:u w:val="single"/>
        </w:rPr>
      </w:pPr>
      <w:r w:rsidRPr="00B12AD2">
        <w:rPr>
          <w:rFonts w:ascii="Times New Roman" w:hAnsi="Times New Roman" w:cs="Times New Roman"/>
          <w:u w:val="single"/>
        </w:rPr>
        <w:t>Evaluating and adapting distribution channels:</w:t>
      </w:r>
    </w:p>
    <w:p w14:paraId="5954CA86" w14:textId="1C59DBD2" w:rsidR="008426DA" w:rsidRPr="00B12AD2" w:rsidRDefault="00165F55" w:rsidP="00B12AD2">
      <w:pPr>
        <w:jc w:val="both"/>
        <w:rPr>
          <w:rFonts w:ascii="Times New Roman" w:hAnsi="Times New Roman" w:cs="Times New Roman"/>
        </w:rPr>
      </w:pPr>
      <w:r w:rsidRPr="00B12AD2">
        <w:rPr>
          <w:rFonts w:ascii="Times New Roman" w:hAnsi="Times New Roman" w:cs="Times New Roman"/>
        </w:rPr>
        <w:t>-</w:t>
      </w:r>
      <w:r w:rsidR="008426DA" w:rsidRPr="00B12AD2">
        <w:rPr>
          <w:rFonts w:ascii="Times New Roman" w:hAnsi="Times New Roman" w:cs="Times New Roman"/>
        </w:rPr>
        <w:t>Online Sales: The farm business can establish an online presence through a dedicated e-commerce platform or partner with existing online marketplaces. This allows them to reach a broader customer base beyond their local area and cater to the growing trend of online shopping for food products.</w:t>
      </w:r>
    </w:p>
    <w:p w14:paraId="50921CC6" w14:textId="43B63885" w:rsidR="008426DA" w:rsidRPr="00B12AD2" w:rsidRDefault="00165F55" w:rsidP="00B12AD2">
      <w:pPr>
        <w:jc w:val="both"/>
        <w:rPr>
          <w:rFonts w:ascii="Times New Roman" w:hAnsi="Times New Roman" w:cs="Times New Roman"/>
        </w:rPr>
      </w:pPr>
      <w:r w:rsidRPr="00B12AD2">
        <w:rPr>
          <w:rFonts w:ascii="Times New Roman" w:hAnsi="Times New Roman" w:cs="Times New Roman"/>
        </w:rPr>
        <w:t>-</w:t>
      </w:r>
      <w:r w:rsidR="008426DA" w:rsidRPr="00B12AD2">
        <w:rPr>
          <w:rFonts w:ascii="Times New Roman" w:hAnsi="Times New Roman" w:cs="Times New Roman"/>
        </w:rPr>
        <w:t>Local Farmers' Markets: Participating in local farmers' markets provides an opportunity for direct interaction with customers and showcases the farm's fresh produce and products. It also allows for immediate feedback and a chance to build relationships with local consumers who prioritize supporting local farmers.</w:t>
      </w:r>
    </w:p>
    <w:p w14:paraId="15F2B468" w14:textId="77777777" w:rsidR="008426DA" w:rsidRPr="00B12AD2" w:rsidRDefault="008426DA" w:rsidP="00B12AD2">
      <w:pPr>
        <w:jc w:val="both"/>
        <w:rPr>
          <w:rFonts w:ascii="Times New Roman" w:hAnsi="Times New Roman" w:cs="Times New Roman"/>
        </w:rPr>
      </w:pPr>
    </w:p>
    <w:p w14:paraId="1AFFAB16" w14:textId="77777777" w:rsidR="008426DA" w:rsidRPr="00B12AD2" w:rsidRDefault="008426DA" w:rsidP="00B12AD2">
      <w:pPr>
        <w:jc w:val="both"/>
        <w:rPr>
          <w:rFonts w:ascii="Times New Roman" w:hAnsi="Times New Roman" w:cs="Times New Roman"/>
          <w:u w:val="single"/>
        </w:rPr>
      </w:pPr>
      <w:r w:rsidRPr="00B12AD2">
        <w:rPr>
          <w:rFonts w:ascii="Times New Roman" w:hAnsi="Times New Roman" w:cs="Times New Roman"/>
          <w:u w:val="single"/>
        </w:rPr>
        <w:t>Strengthening partnerships:</w:t>
      </w:r>
    </w:p>
    <w:p w14:paraId="4297D7BE" w14:textId="00382EC5" w:rsidR="00B12AD2" w:rsidRDefault="008426DA" w:rsidP="00B12AD2">
      <w:pPr>
        <w:pStyle w:val="ListParagraph"/>
        <w:numPr>
          <w:ilvl w:val="0"/>
          <w:numId w:val="3"/>
        </w:numPr>
        <w:jc w:val="both"/>
        <w:rPr>
          <w:rFonts w:ascii="Times New Roman" w:hAnsi="Times New Roman" w:cs="Times New Roman"/>
        </w:rPr>
      </w:pPr>
      <w:r w:rsidRPr="00B12AD2">
        <w:rPr>
          <w:rFonts w:ascii="Times New Roman" w:hAnsi="Times New Roman" w:cs="Times New Roman"/>
        </w:rPr>
        <w:t>Local Retailers: Building strong relationships with local retailers, such as grocery stores or specialty food shops, can help expand the farm's reach and increase product visibility. Collaborating with retailers that prioritize local sourcing and sustainable practices aligns with the farm's values and can attract like-minded consumers.</w:t>
      </w:r>
    </w:p>
    <w:p w14:paraId="3440FDF1" w14:textId="77777777" w:rsidR="00B12AD2" w:rsidRPr="00B12AD2" w:rsidRDefault="00B12AD2" w:rsidP="00B12AD2">
      <w:pPr>
        <w:pStyle w:val="ListParagraph"/>
        <w:jc w:val="both"/>
        <w:rPr>
          <w:rFonts w:ascii="Times New Roman" w:hAnsi="Times New Roman" w:cs="Times New Roman"/>
        </w:rPr>
      </w:pPr>
    </w:p>
    <w:p w14:paraId="6D3D1E8E" w14:textId="124D8269" w:rsidR="00165F55" w:rsidRPr="00B12AD2" w:rsidRDefault="008426DA" w:rsidP="00B12AD2">
      <w:pPr>
        <w:pStyle w:val="ListParagraph"/>
        <w:numPr>
          <w:ilvl w:val="0"/>
          <w:numId w:val="3"/>
        </w:numPr>
        <w:jc w:val="both"/>
        <w:rPr>
          <w:rFonts w:ascii="Times New Roman" w:hAnsi="Times New Roman" w:cs="Times New Roman"/>
        </w:rPr>
      </w:pPr>
      <w:r w:rsidRPr="00B12AD2">
        <w:rPr>
          <w:rFonts w:ascii="Times New Roman" w:hAnsi="Times New Roman" w:cs="Times New Roman"/>
        </w:rPr>
        <w:t>Restaurants: Partnering with local restaurants presents an opportunity for the farm business to supply fresh ingredients directly to chefs and showcase their products on restaurant menus. This can enhance brand recognition and cater to consumers seeking farm-to-table dining experiences.</w:t>
      </w:r>
    </w:p>
    <w:p w14:paraId="25665E97" w14:textId="07A492ED" w:rsidR="00077D4B" w:rsidRPr="00B12AD2" w:rsidRDefault="00165F55" w:rsidP="00B12AD2">
      <w:pPr>
        <w:jc w:val="both"/>
        <w:rPr>
          <w:rFonts w:ascii="Times New Roman" w:hAnsi="Times New Roman" w:cs="Times New Roman"/>
        </w:rPr>
      </w:pPr>
      <w:r w:rsidRPr="00B12AD2">
        <w:rPr>
          <w:rFonts w:ascii="Times New Roman" w:hAnsi="Times New Roman" w:cs="Times New Roman"/>
        </w:rPr>
        <w:t>Strategy development recommendations include product and market adaptation by targeting health-conscious consumers and locavores, exploring product diversification and value-added offerings such as ready-to-eat meals and specialty products. Distribution and sales channels should be evaluated and adapted to include online sales and participation in local farmers' markets. Strengthening partnerships with local retailers and restaurants can further enhance market presence and consumer reach</w:t>
      </w:r>
      <w:sdt>
        <w:sdtPr>
          <w:rPr>
            <w:rFonts w:ascii="Times New Roman" w:hAnsi="Times New Roman" w:cs="Times New Roman"/>
          </w:rPr>
          <w:id w:val="-1480370897"/>
          <w:citation/>
        </w:sdtPr>
        <w:sdtEndPr/>
        <w:sdtContent>
          <w:r w:rsidR="00B12AD2" w:rsidRPr="00B12AD2">
            <w:rPr>
              <w:rFonts w:ascii="Times New Roman" w:hAnsi="Times New Roman" w:cs="Times New Roman"/>
            </w:rPr>
            <w:fldChar w:fldCharType="begin"/>
          </w:r>
          <w:r w:rsidR="00B12AD2" w:rsidRPr="00B12AD2">
            <w:rPr>
              <w:rFonts w:ascii="Times New Roman" w:hAnsi="Times New Roman" w:cs="Times New Roman"/>
            </w:rPr>
            <w:instrText xml:space="preserve"> CITATION Tor20 \l 2057 </w:instrText>
          </w:r>
          <w:r w:rsidR="00B12AD2" w:rsidRPr="00B12AD2">
            <w:rPr>
              <w:rFonts w:ascii="Times New Roman" w:hAnsi="Times New Roman" w:cs="Times New Roman"/>
            </w:rPr>
            <w:fldChar w:fldCharType="separate"/>
          </w:r>
          <w:r w:rsidR="00B12AD2" w:rsidRPr="00B12AD2">
            <w:rPr>
              <w:rFonts w:ascii="Times New Roman" w:hAnsi="Times New Roman" w:cs="Times New Roman"/>
              <w:noProof/>
            </w:rPr>
            <w:t xml:space="preserve"> (Torry, 2020)</w:t>
          </w:r>
          <w:r w:rsidR="00B12AD2" w:rsidRPr="00B12AD2">
            <w:rPr>
              <w:rFonts w:ascii="Times New Roman" w:hAnsi="Times New Roman" w:cs="Times New Roman"/>
            </w:rPr>
            <w:fldChar w:fldCharType="end"/>
          </w:r>
        </w:sdtContent>
      </w:sdt>
      <w:sdt>
        <w:sdtPr>
          <w:rPr>
            <w:rFonts w:ascii="Times New Roman" w:hAnsi="Times New Roman" w:cs="Times New Roman"/>
          </w:rPr>
          <w:id w:val="1718546781"/>
          <w:citation/>
        </w:sdtPr>
        <w:sdtEndPr/>
        <w:sdtContent>
          <w:r w:rsidR="00B12AD2" w:rsidRPr="00B12AD2">
            <w:rPr>
              <w:rFonts w:ascii="Times New Roman" w:hAnsi="Times New Roman" w:cs="Times New Roman"/>
            </w:rPr>
            <w:fldChar w:fldCharType="begin"/>
          </w:r>
          <w:r w:rsidR="00B12AD2" w:rsidRPr="00B12AD2">
            <w:rPr>
              <w:rFonts w:ascii="Times New Roman" w:hAnsi="Times New Roman" w:cs="Times New Roman"/>
            </w:rPr>
            <w:instrText xml:space="preserve"> CITATION Ker22 \l 2057 </w:instrText>
          </w:r>
          <w:r w:rsidR="00B12AD2" w:rsidRPr="00B12AD2">
            <w:rPr>
              <w:rFonts w:ascii="Times New Roman" w:hAnsi="Times New Roman" w:cs="Times New Roman"/>
            </w:rPr>
            <w:fldChar w:fldCharType="separate"/>
          </w:r>
          <w:r w:rsidR="00B12AD2" w:rsidRPr="00B12AD2">
            <w:rPr>
              <w:rFonts w:ascii="Times New Roman" w:hAnsi="Times New Roman" w:cs="Times New Roman"/>
              <w:noProof/>
            </w:rPr>
            <w:t xml:space="preserve"> (Kerstin Schreiber, 2022)</w:t>
          </w:r>
          <w:r w:rsidR="00B12AD2" w:rsidRPr="00B12AD2">
            <w:rPr>
              <w:rFonts w:ascii="Times New Roman" w:hAnsi="Times New Roman" w:cs="Times New Roman"/>
            </w:rPr>
            <w:fldChar w:fldCharType="end"/>
          </w:r>
        </w:sdtContent>
      </w:sdt>
      <w:r w:rsidRPr="00B12AD2">
        <w:rPr>
          <w:rFonts w:ascii="Times New Roman" w:hAnsi="Times New Roman" w:cs="Times New Roman"/>
        </w:rPr>
        <w:t>.</w:t>
      </w:r>
    </w:p>
    <w:p w14:paraId="634782B9" w14:textId="77777777" w:rsidR="00077D4B" w:rsidRPr="00B12AD2" w:rsidRDefault="00077D4B" w:rsidP="00B12AD2">
      <w:pPr>
        <w:pStyle w:val="Heading1"/>
        <w:jc w:val="both"/>
        <w:rPr>
          <w:rFonts w:ascii="Times New Roman" w:hAnsi="Times New Roman" w:cs="Times New Roman"/>
          <w:sz w:val="22"/>
          <w:szCs w:val="22"/>
        </w:rPr>
      </w:pPr>
      <w:bookmarkStart w:id="4" w:name="_Toc138530830"/>
      <w:r w:rsidRPr="00B12AD2">
        <w:rPr>
          <w:rFonts w:ascii="Times New Roman" w:hAnsi="Times New Roman" w:cs="Times New Roman"/>
          <w:sz w:val="22"/>
          <w:szCs w:val="22"/>
        </w:rPr>
        <w:t>Conclusion:</w:t>
      </w:r>
      <w:bookmarkEnd w:id="4"/>
    </w:p>
    <w:p w14:paraId="59BC4DBB" w14:textId="6D8ADF6D" w:rsidR="00B3680D" w:rsidRPr="00B12AD2" w:rsidRDefault="00165F55" w:rsidP="00B12AD2">
      <w:pPr>
        <w:jc w:val="both"/>
        <w:rPr>
          <w:rFonts w:ascii="Times New Roman" w:hAnsi="Times New Roman" w:cs="Times New Roman"/>
        </w:rPr>
      </w:pPr>
      <w:r w:rsidRPr="00B12AD2">
        <w:rPr>
          <w:rFonts w:ascii="Times New Roman" w:hAnsi="Times New Roman" w:cs="Times New Roman"/>
        </w:rPr>
        <w:t>To ensure successful implementation of these strategies, effective communication and collaboration among internal teams and external stakeholders are essential. Clear roles and responsibilities should be assigned, and regular communication and coordination should be maintained. Monitoring and evaluation of the implemented strategies will provide valuable insights for continuous improvement. By following this structured marketing process, local farmers in Quebec can navigate the challenges posed by the COVID-19 pandemic, leverage their capabilities and resources, meet consumer demands, and position themselves for long-term success in the ever-changing agricultural industry.</w:t>
      </w:r>
    </w:p>
    <w:bookmarkStart w:id="5" w:name="_Toc138530831" w:displacedByCustomXml="next"/>
    <w:sdt>
      <w:sdtPr>
        <w:rPr>
          <w:rFonts w:asciiTheme="minorHAnsi" w:eastAsiaTheme="minorHAnsi" w:hAnsiTheme="minorHAnsi" w:cstheme="minorBidi"/>
          <w:color w:val="auto"/>
          <w:sz w:val="22"/>
          <w:szCs w:val="22"/>
        </w:rPr>
        <w:id w:val="-831827292"/>
        <w:docPartObj>
          <w:docPartGallery w:val="Bibliographies"/>
          <w:docPartUnique/>
        </w:docPartObj>
      </w:sdtPr>
      <w:sdtEndPr/>
      <w:sdtContent>
        <w:p w14:paraId="431404F0" w14:textId="00CD8364" w:rsidR="00B12AD2" w:rsidRDefault="00B12AD2" w:rsidP="00B12AD2">
          <w:pPr>
            <w:pStyle w:val="Heading1"/>
            <w:jc w:val="both"/>
          </w:pPr>
          <w:r>
            <w:t>References</w:t>
          </w:r>
          <w:bookmarkEnd w:id="5"/>
        </w:p>
        <w:sdt>
          <w:sdtPr>
            <w:id w:val="-573587230"/>
            <w:bibliography/>
          </w:sdtPr>
          <w:sdtEndPr/>
          <w:sdtContent>
            <w:p w14:paraId="7ADD48B8" w14:textId="77777777" w:rsidR="00B12AD2" w:rsidRDefault="00B12AD2" w:rsidP="00B12AD2">
              <w:pPr>
                <w:pStyle w:val="Bibliography"/>
                <w:jc w:val="both"/>
                <w:rPr>
                  <w:noProof/>
                  <w:kern w:val="0"/>
                  <w:sz w:val="24"/>
                  <w:szCs w:val="24"/>
                  <w14:ligatures w14:val="none"/>
                </w:rPr>
              </w:pPr>
              <w:r>
                <w:fldChar w:fldCharType="begin"/>
              </w:r>
              <w:r>
                <w:instrText xml:space="preserve"> BIBLIOGRAPHY </w:instrText>
              </w:r>
              <w:r>
                <w:fldChar w:fldCharType="separate"/>
              </w:r>
              <w:r>
                <w:rPr>
                  <w:noProof/>
                </w:rPr>
                <w:t xml:space="preserve">Dr. Doug Leigh Ph.D., d., 2009. SWOT Analysis Chapter 5. In: C. R. F. P. C. W. P. Kenneth H. Silber Ph.D., ed. </w:t>
              </w:r>
              <w:r>
                <w:rPr>
                  <w:i/>
                  <w:iCs/>
                  <w:noProof/>
                </w:rPr>
                <w:t xml:space="preserve">Handbook of Improving Performance in the Workplace: Volums 1-3. </w:t>
              </w:r>
              <w:r>
                <w:rPr>
                  <w:noProof/>
                </w:rPr>
                <w:t>San Francisco: International Society for Performance Improvment, pp. 115-140.</w:t>
              </w:r>
            </w:p>
            <w:p w14:paraId="163BB175" w14:textId="77777777" w:rsidR="00B12AD2" w:rsidRDefault="00B12AD2" w:rsidP="00B12AD2">
              <w:pPr>
                <w:pStyle w:val="Bibliography"/>
                <w:jc w:val="both"/>
                <w:rPr>
                  <w:noProof/>
                </w:rPr>
              </w:pPr>
              <w:r>
                <w:rPr>
                  <w:noProof/>
                </w:rPr>
                <w:t xml:space="preserve">Kerstin Schreiber, B. S. C. D.-M. G. K. M., 2022. Diverse adaptation strategies helped local food producers cope with initial challenges of the Covid-19 pandemic: Lessons from Québec, Canada. </w:t>
              </w:r>
              <w:r>
                <w:rPr>
                  <w:i/>
                  <w:iCs/>
                  <w:noProof/>
                </w:rPr>
                <w:t xml:space="preserve">Journal of Rural Studies, </w:t>
              </w:r>
              <w:r>
                <w:rPr>
                  <w:noProof/>
                </w:rPr>
                <w:t>90(1), pp. 124-133.</w:t>
              </w:r>
            </w:p>
            <w:p w14:paraId="0B139DAA" w14:textId="77777777" w:rsidR="00B12AD2" w:rsidRDefault="00B12AD2" w:rsidP="00B12AD2">
              <w:pPr>
                <w:pStyle w:val="Bibliography"/>
                <w:jc w:val="both"/>
                <w:rPr>
                  <w:noProof/>
                </w:rPr>
              </w:pPr>
              <w:r>
                <w:rPr>
                  <w:noProof/>
                </w:rPr>
                <w:t xml:space="preserve">Perera, R., 2020. </w:t>
              </w:r>
              <w:r>
                <w:rPr>
                  <w:i/>
                  <w:iCs/>
                  <w:noProof/>
                </w:rPr>
                <w:t xml:space="preserve">The PESTLE Analysis. </w:t>
              </w:r>
              <w:r>
                <w:rPr>
                  <w:noProof/>
                </w:rPr>
                <w:t>2nd ed. s.l.:24Symbols, Amazon Kindle, Amazon Paperback, Apple Books, Barnes &amp; Noble, Book Depository, Kobo, Playster.</w:t>
              </w:r>
            </w:p>
            <w:p w14:paraId="0A94332A" w14:textId="77777777" w:rsidR="00B12AD2" w:rsidRDefault="00B12AD2" w:rsidP="00B12AD2">
              <w:pPr>
                <w:pStyle w:val="Bibliography"/>
                <w:jc w:val="both"/>
                <w:rPr>
                  <w:noProof/>
                </w:rPr>
              </w:pPr>
              <w:r>
                <w:rPr>
                  <w:noProof/>
                </w:rPr>
                <w:t xml:space="preserve">T.J. Richards, B. R., 2020. COVID‐19 impact on fruit and vegetable markets. </w:t>
              </w:r>
              <w:r>
                <w:rPr>
                  <w:i/>
                  <w:iCs/>
                  <w:noProof/>
                </w:rPr>
                <w:t xml:space="preserve">Canadian Journal of Agricultural Economics/Revue canadienne d'agroeconomie, </w:t>
              </w:r>
              <w:r>
                <w:rPr>
                  <w:noProof/>
                </w:rPr>
                <w:t>68(2), pp. 189-194.</w:t>
              </w:r>
            </w:p>
            <w:p w14:paraId="727B92C5" w14:textId="77777777" w:rsidR="00B12AD2" w:rsidRDefault="00B12AD2" w:rsidP="00B12AD2">
              <w:pPr>
                <w:pStyle w:val="Bibliography"/>
                <w:jc w:val="both"/>
                <w:rPr>
                  <w:noProof/>
                </w:rPr>
              </w:pPr>
              <w:r>
                <w:rPr>
                  <w:noProof/>
                </w:rPr>
                <w:t xml:space="preserve">Torry, H., 2020. </w:t>
              </w:r>
              <w:r>
                <w:rPr>
                  <w:i/>
                  <w:iCs/>
                  <w:noProof/>
                </w:rPr>
                <w:t xml:space="preserve">Coronavirus pandemic widens divide between online, traditional businesses- The Wall Street Journal. </w:t>
              </w:r>
              <w:r>
                <w:rPr>
                  <w:noProof/>
                </w:rPr>
                <w:t xml:space="preserve">[Online] </w:t>
              </w:r>
              <w:r>
                <w:rPr>
                  <w:noProof/>
                </w:rPr>
                <w:br/>
                <w:t xml:space="preserve">Available at: </w:t>
              </w:r>
              <w:r>
                <w:rPr>
                  <w:noProof/>
                  <w:u w:val="single"/>
                </w:rPr>
                <w:t>https://www.wsj.com/articles/coronavirus-pandemic-widens-divide-between-online-traditional-businesses-11585733402</w:t>
              </w:r>
              <w:r>
                <w:rPr>
                  <w:noProof/>
                </w:rPr>
                <w:br/>
                <w:t>[Accessed 20 06 2023].</w:t>
              </w:r>
            </w:p>
            <w:p w14:paraId="720E3836" w14:textId="5AE43B8D" w:rsidR="00B12AD2" w:rsidRDefault="00B12AD2" w:rsidP="00B12AD2">
              <w:pPr>
                <w:jc w:val="both"/>
              </w:pPr>
              <w:r>
                <w:rPr>
                  <w:b/>
                  <w:bCs/>
                  <w:noProof/>
                </w:rPr>
                <w:fldChar w:fldCharType="end"/>
              </w:r>
            </w:p>
          </w:sdtContent>
        </w:sdt>
      </w:sdtContent>
    </w:sdt>
    <w:p w14:paraId="30670ECC" w14:textId="77777777" w:rsidR="00B12AD2" w:rsidRDefault="00B12AD2" w:rsidP="00B12AD2">
      <w:pPr>
        <w:jc w:val="both"/>
      </w:pPr>
    </w:p>
    <w:p w14:paraId="3F6013D4" w14:textId="77777777" w:rsidR="00165F55" w:rsidRDefault="00165F55" w:rsidP="00B12AD2">
      <w:pPr>
        <w:jc w:val="both"/>
      </w:pPr>
    </w:p>
    <w:sectPr w:rsidR="00165F55" w:rsidSect="00B3680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EBE7C" w14:textId="77777777" w:rsidR="006F1811" w:rsidRDefault="006F1811" w:rsidP="00B12AD2">
      <w:pPr>
        <w:spacing w:after="0" w:line="240" w:lineRule="auto"/>
      </w:pPr>
      <w:r>
        <w:separator/>
      </w:r>
    </w:p>
  </w:endnote>
  <w:endnote w:type="continuationSeparator" w:id="0">
    <w:p w14:paraId="57D58F67" w14:textId="77777777" w:rsidR="006F1811" w:rsidRDefault="006F1811" w:rsidP="00B12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mbria body">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519597"/>
      <w:docPartObj>
        <w:docPartGallery w:val="Page Numbers (Bottom of Page)"/>
        <w:docPartUnique/>
      </w:docPartObj>
    </w:sdtPr>
    <w:sdtEndPr>
      <w:rPr>
        <w:noProof/>
      </w:rPr>
    </w:sdtEndPr>
    <w:sdtContent>
      <w:p w14:paraId="3A96FE5A" w14:textId="24797F27" w:rsidR="00B12AD2" w:rsidRDefault="00B12A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A5B163" w14:textId="77777777" w:rsidR="00B12AD2" w:rsidRDefault="00B12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6CA09" w14:textId="77777777" w:rsidR="006F1811" w:rsidRDefault="006F1811" w:rsidP="00B12AD2">
      <w:pPr>
        <w:spacing w:after="0" w:line="240" w:lineRule="auto"/>
      </w:pPr>
      <w:r>
        <w:separator/>
      </w:r>
    </w:p>
  </w:footnote>
  <w:footnote w:type="continuationSeparator" w:id="0">
    <w:p w14:paraId="12C2C6A9" w14:textId="77777777" w:rsidR="006F1811" w:rsidRDefault="006F1811" w:rsidP="00B12A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703B6"/>
    <w:multiLevelType w:val="hybridMultilevel"/>
    <w:tmpl w:val="5CBAD86E"/>
    <w:lvl w:ilvl="0" w:tplc="2042E52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848EC"/>
    <w:multiLevelType w:val="hybridMultilevel"/>
    <w:tmpl w:val="0A0475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FB50CA"/>
    <w:multiLevelType w:val="hybridMultilevel"/>
    <w:tmpl w:val="D2B4C6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089587">
    <w:abstractNumId w:val="2"/>
  </w:num>
  <w:num w:numId="2" w16cid:durableId="1816753323">
    <w:abstractNumId w:val="1"/>
  </w:num>
  <w:num w:numId="3" w16cid:durableId="2132017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B61"/>
    <w:rsid w:val="00077D4B"/>
    <w:rsid w:val="001310BD"/>
    <w:rsid w:val="00165F55"/>
    <w:rsid w:val="00255DAC"/>
    <w:rsid w:val="004E0301"/>
    <w:rsid w:val="004E2B61"/>
    <w:rsid w:val="00530254"/>
    <w:rsid w:val="0065744B"/>
    <w:rsid w:val="00683DCB"/>
    <w:rsid w:val="006F1811"/>
    <w:rsid w:val="008426DA"/>
    <w:rsid w:val="00956041"/>
    <w:rsid w:val="00A65763"/>
    <w:rsid w:val="00AA329E"/>
    <w:rsid w:val="00B12AD2"/>
    <w:rsid w:val="00B27EBD"/>
    <w:rsid w:val="00B3680D"/>
    <w:rsid w:val="00C07FED"/>
    <w:rsid w:val="00C11621"/>
    <w:rsid w:val="00E44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813F"/>
  <w15:chartTrackingRefBased/>
  <w15:docId w15:val="{1BEB949D-9AB3-477A-9E40-2681BD7C5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D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680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680D"/>
    <w:rPr>
      <w:rFonts w:eastAsiaTheme="minorEastAsia"/>
      <w:kern w:val="0"/>
      <w:lang w:val="en-US"/>
      <w14:ligatures w14:val="none"/>
    </w:rPr>
  </w:style>
  <w:style w:type="paragraph" w:styleId="ListParagraph">
    <w:name w:val="List Paragraph"/>
    <w:basedOn w:val="Normal"/>
    <w:uiPriority w:val="34"/>
    <w:qFormat/>
    <w:rsid w:val="00C11621"/>
    <w:pPr>
      <w:ind w:left="720"/>
      <w:contextualSpacing/>
    </w:pPr>
  </w:style>
  <w:style w:type="character" w:customStyle="1" w:styleId="Heading1Char">
    <w:name w:val="Heading 1 Char"/>
    <w:basedOn w:val="DefaultParagraphFont"/>
    <w:link w:val="Heading1"/>
    <w:uiPriority w:val="9"/>
    <w:rsid w:val="00255DA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426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65F55"/>
    <w:pPr>
      <w:outlineLvl w:val="9"/>
    </w:pPr>
    <w:rPr>
      <w:kern w:val="0"/>
      <w:lang w:val="en-US"/>
      <w14:ligatures w14:val="none"/>
    </w:rPr>
  </w:style>
  <w:style w:type="paragraph" w:styleId="TOC1">
    <w:name w:val="toc 1"/>
    <w:basedOn w:val="Normal"/>
    <w:next w:val="Normal"/>
    <w:autoRedefine/>
    <w:uiPriority w:val="39"/>
    <w:unhideWhenUsed/>
    <w:rsid w:val="00165F55"/>
    <w:pPr>
      <w:spacing w:after="100"/>
    </w:pPr>
  </w:style>
  <w:style w:type="character" w:styleId="Hyperlink">
    <w:name w:val="Hyperlink"/>
    <w:basedOn w:val="DefaultParagraphFont"/>
    <w:uiPriority w:val="99"/>
    <w:unhideWhenUsed/>
    <w:rsid w:val="00165F55"/>
    <w:rPr>
      <w:color w:val="0563C1" w:themeColor="hyperlink"/>
      <w:u w:val="single"/>
    </w:rPr>
  </w:style>
  <w:style w:type="paragraph" w:styleId="Bibliography">
    <w:name w:val="Bibliography"/>
    <w:basedOn w:val="Normal"/>
    <w:next w:val="Normal"/>
    <w:uiPriority w:val="37"/>
    <w:unhideWhenUsed/>
    <w:rsid w:val="00B12AD2"/>
  </w:style>
  <w:style w:type="paragraph" w:styleId="Header">
    <w:name w:val="header"/>
    <w:basedOn w:val="Normal"/>
    <w:link w:val="HeaderChar"/>
    <w:uiPriority w:val="99"/>
    <w:unhideWhenUsed/>
    <w:rsid w:val="00B12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AD2"/>
  </w:style>
  <w:style w:type="paragraph" w:styleId="Footer">
    <w:name w:val="footer"/>
    <w:basedOn w:val="Normal"/>
    <w:link w:val="FooterChar"/>
    <w:uiPriority w:val="99"/>
    <w:unhideWhenUsed/>
    <w:rsid w:val="00B12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088846">
      <w:bodyDiv w:val="1"/>
      <w:marLeft w:val="0"/>
      <w:marRight w:val="0"/>
      <w:marTop w:val="0"/>
      <w:marBottom w:val="0"/>
      <w:divBdr>
        <w:top w:val="none" w:sz="0" w:space="0" w:color="auto"/>
        <w:left w:val="none" w:sz="0" w:space="0" w:color="auto"/>
        <w:bottom w:val="none" w:sz="0" w:space="0" w:color="auto"/>
        <w:right w:val="none" w:sz="0" w:space="0" w:color="auto"/>
      </w:divBdr>
    </w:div>
    <w:div w:id="371662259">
      <w:bodyDiv w:val="1"/>
      <w:marLeft w:val="0"/>
      <w:marRight w:val="0"/>
      <w:marTop w:val="0"/>
      <w:marBottom w:val="0"/>
      <w:divBdr>
        <w:top w:val="none" w:sz="0" w:space="0" w:color="auto"/>
        <w:left w:val="none" w:sz="0" w:space="0" w:color="auto"/>
        <w:bottom w:val="none" w:sz="0" w:space="0" w:color="auto"/>
        <w:right w:val="none" w:sz="0" w:space="0" w:color="auto"/>
      </w:divBdr>
    </w:div>
    <w:div w:id="380178686">
      <w:bodyDiv w:val="1"/>
      <w:marLeft w:val="0"/>
      <w:marRight w:val="0"/>
      <w:marTop w:val="0"/>
      <w:marBottom w:val="0"/>
      <w:divBdr>
        <w:top w:val="none" w:sz="0" w:space="0" w:color="auto"/>
        <w:left w:val="none" w:sz="0" w:space="0" w:color="auto"/>
        <w:bottom w:val="none" w:sz="0" w:space="0" w:color="auto"/>
        <w:right w:val="none" w:sz="0" w:space="0" w:color="auto"/>
      </w:divBdr>
    </w:div>
    <w:div w:id="532500598">
      <w:bodyDiv w:val="1"/>
      <w:marLeft w:val="0"/>
      <w:marRight w:val="0"/>
      <w:marTop w:val="0"/>
      <w:marBottom w:val="0"/>
      <w:divBdr>
        <w:top w:val="none" w:sz="0" w:space="0" w:color="auto"/>
        <w:left w:val="none" w:sz="0" w:space="0" w:color="auto"/>
        <w:bottom w:val="none" w:sz="0" w:space="0" w:color="auto"/>
        <w:right w:val="none" w:sz="0" w:space="0" w:color="auto"/>
      </w:divBdr>
    </w:div>
    <w:div w:id="565650749">
      <w:bodyDiv w:val="1"/>
      <w:marLeft w:val="0"/>
      <w:marRight w:val="0"/>
      <w:marTop w:val="0"/>
      <w:marBottom w:val="0"/>
      <w:divBdr>
        <w:top w:val="none" w:sz="0" w:space="0" w:color="auto"/>
        <w:left w:val="none" w:sz="0" w:space="0" w:color="auto"/>
        <w:bottom w:val="none" w:sz="0" w:space="0" w:color="auto"/>
        <w:right w:val="none" w:sz="0" w:space="0" w:color="auto"/>
      </w:divBdr>
    </w:div>
    <w:div w:id="1082530139">
      <w:bodyDiv w:val="1"/>
      <w:marLeft w:val="0"/>
      <w:marRight w:val="0"/>
      <w:marTop w:val="0"/>
      <w:marBottom w:val="0"/>
      <w:divBdr>
        <w:top w:val="none" w:sz="0" w:space="0" w:color="auto"/>
        <w:left w:val="none" w:sz="0" w:space="0" w:color="auto"/>
        <w:bottom w:val="none" w:sz="0" w:space="0" w:color="auto"/>
        <w:right w:val="none" w:sz="0" w:space="0" w:color="auto"/>
      </w:divBdr>
    </w:div>
    <w:div w:id="1207568061">
      <w:bodyDiv w:val="1"/>
      <w:marLeft w:val="0"/>
      <w:marRight w:val="0"/>
      <w:marTop w:val="0"/>
      <w:marBottom w:val="0"/>
      <w:divBdr>
        <w:top w:val="none" w:sz="0" w:space="0" w:color="auto"/>
        <w:left w:val="none" w:sz="0" w:space="0" w:color="auto"/>
        <w:bottom w:val="none" w:sz="0" w:space="0" w:color="auto"/>
        <w:right w:val="none" w:sz="0" w:space="0" w:color="auto"/>
      </w:divBdr>
    </w:div>
    <w:div w:id="1294942996">
      <w:bodyDiv w:val="1"/>
      <w:marLeft w:val="0"/>
      <w:marRight w:val="0"/>
      <w:marTop w:val="0"/>
      <w:marBottom w:val="0"/>
      <w:divBdr>
        <w:top w:val="none" w:sz="0" w:space="0" w:color="auto"/>
        <w:left w:val="none" w:sz="0" w:space="0" w:color="auto"/>
        <w:bottom w:val="none" w:sz="0" w:space="0" w:color="auto"/>
        <w:right w:val="none" w:sz="0" w:space="0" w:color="auto"/>
      </w:divBdr>
    </w:div>
    <w:div w:id="1295138430">
      <w:bodyDiv w:val="1"/>
      <w:marLeft w:val="0"/>
      <w:marRight w:val="0"/>
      <w:marTop w:val="0"/>
      <w:marBottom w:val="0"/>
      <w:divBdr>
        <w:top w:val="none" w:sz="0" w:space="0" w:color="auto"/>
        <w:left w:val="none" w:sz="0" w:space="0" w:color="auto"/>
        <w:bottom w:val="none" w:sz="0" w:space="0" w:color="auto"/>
        <w:right w:val="none" w:sz="0" w:space="0" w:color="auto"/>
      </w:divBdr>
    </w:div>
    <w:div w:id="1315183871">
      <w:bodyDiv w:val="1"/>
      <w:marLeft w:val="0"/>
      <w:marRight w:val="0"/>
      <w:marTop w:val="0"/>
      <w:marBottom w:val="0"/>
      <w:divBdr>
        <w:top w:val="none" w:sz="0" w:space="0" w:color="auto"/>
        <w:left w:val="none" w:sz="0" w:space="0" w:color="auto"/>
        <w:bottom w:val="none" w:sz="0" w:space="0" w:color="auto"/>
        <w:right w:val="none" w:sz="0" w:space="0" w:color="auto"/>
      </w:divBdr>
      <w:divsChild>
        <w:div w:id="1869755740">
          <w:marLeft w:val="0"/>
          <w:marRight w:val="0"/>
          <w:marTop w:val="30"/>
          <w:marBottom w:val="15"/>
          <w:divBdr>
            <w:top w:val="none" w:sz="0" w:space="0" w:color="auto"/>
            <w:left w:val="none" w:sz="0" w:space="0" w:color="auto"/>
            <w:bottom w:val="none" w:sz="0" w:space="0" w:color="auto"/>
            <w:right w:val="none" w:sz="0" w:space="0" w:color="auto"/>
          </w:divBdr>
          <w:divsChild>
            <w:div w:id="1269582566">
              <w:marLeft w:val="0"/>
              <w:marRight w:val="0"/>
              <w:marTop w:val="0"/>
              <w:marBottom w:val="0"/>
              <w:divBdr>
                <w:top w:val="none" w:sz="0" w:space="0" w:color="auto"/>
                <w:left w:val="none" w:sz="0" w:space="0" w:color="auto"/>
                <w:bottom w:val="none" w:sz="0" w:space="0" w:color="auto"/>
                <w:right w:val="none" w:sz="0" w:space="0" w:color="auto"/>
              </w:divBdr>
              <w:divsChild>
                <w:div w:id="202836961">
                  <w:marLeft w:val="0"/>
                  <w:marRight w:val="0"/>
                  <w:marTop w:val="0"/>
                  <w:marBottom w:val="0"/>
                  <w:divBdr>
                    <w:top w:val="none" w:sz="0" w:space="0" w:color="auto"/>
                    <w:left w:val="none" w:sz="0" w:space="0" w:color="auto"/>
                    <w:bottom w:val="none" w:sz="0" w:space="0" w:color="auto"/>
                    <w:right w:val="none" w:sz="0" w:space="0" w:color="auto"/>
                  </w:divBdr>
                  <w:divsChild>
                    <w:div w:id="13730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707470">
          <w:marLeft w:val="0"/>
          <w:marRight w:val="0"/>
          <w:marTop w:val="15"/>
          <w:marBottom w:val="15"/>
          <w:divBdr>
            <w:top w:val="none" w:sz="0" w:space="0" w:color="auto"/>
            <w:left w:val="none" w:sz="0" w:space="0" w:color="auto"/>
            <w:bottom w:val="none" w:sz="0" w:space="0" w:color="auto"/>
            <w:right w:val="none" w:sz="0" w:space="0" w:color="auto"/>
          </w:divBdr>
          <w:divsChild>
            <w:div w:id="709065912">
              <w:marLeft w:val="0"/>
              <w:marRight w:val="0"/>
              <w:marTop w:val="0"/>
              <w:marBottom w:val="0"/>
              <w:divBdr>
                <w:top w:val="none" w:sz="0" w:space="0" w:color="auto"/>
                <w:left w:val="none" w:sz="0" w:space="0" w:color="auto"/>
                <w:bottom w:val="none" w:sz="0" w:space="0" w:color="auto"/>
                <w:right w:val="none" w:sz="0" w:space="0" w:color="auto"/>
              </w:divBdr>
              <w:divsChild>
                <w:div w:id="345254325">
                  <w:marLeft w:val="0"/>
                  <w:marRight w:val="0"/>
                  <w:marTop w:val="0"/>
                  <w:marBottom w:val="0"/>
                  <w:divBdr>
                    <w:top w:val="none" w:sz="0" w:space="0" w:color="auto"/>
                    <w:left w:val="none" w:sz="0" w:space="0" w:color="auto"/>
                    <w:bottom w:val="none" w:sz="0" w:space="0" w:color="auto"/>
                    <w:right w:val="none" w:sz="0" w:space="0" w:color="auto"/>
                  </w:divBdr>
                  <w:divsChild>
                    <w:div w:id="89112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592721">
          <w:marLeft w:val="0"/>
          <w:marRight w:val="0"/>
          <w:marTop w:val="15"/>
          <w:marBottom w:val="0"/>
          <w:divBdr>
            <w:top w:val="none" w:sz="0" w:space="0" w:color="auto"/>
            <w:left w:val="none" w:sz="0" w:space="0" w:color="auto"/>
            <w:bottom w:val="none" w:sz="0" w:space="0" w:color="auto"/>
            <w:right w:val="none" w:sz="0" w:space="0" w:color="auto"/>
          </w:divBdr>
          <w:divsChild>
            <w:div w:id="771362106">
              <w:marLeft w:val="0"/>
              <w:marRight w:val="0"/>
              <w:marTop w:val="0"/>
              <w:marBottom w:val="0"/>
              <w:divBdr>
                <w:top w:val="none" w:sz="0" w:space="0" w:color="auto"/>
                <w:left w:val="none" w:sz="0" w:space="0" w:color="auto"/>
                <w:bottom w:val="none" w:sz="0" w:space="0" w:color="auto"/>
                <w:right w:val="none" w:sz="0" w:space="0" w:color="auto"/>
              </w:divBdr>
              <w:divsChild>
                <w:div w:id="1044911710">
                  <w:marLeft w:val="0"/>
                  <w:marRight w:val="0"/>
                  <w:marTop w:val="0"/>
                  <w:marBottom w:val="0"/>
                  <w:divBdr>
                    <w:top w:val="none" w:sz="0" w:space="0" w:color="auto"/>
                    <w:left w:val="none" w:sz="0" w:space="0" w:color="auto"/>
                    <w:bottom w:val="none" w:sz="0" w:space="0" w:color="auto"/>
                    <w:right w:val="none" w:sz="0" w:space="0" w:color="auto"/>
                  </w:divBdr>
                  <w:divsChild>
                    <w:div w:id="71042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995242">
      <w:bodyDiv w:val="1"/>
      <w:marLeft w:val="0"/>
      <w:marRight w:val="0"/>
      <w:marTop w:val="0"/>
      <w:marBottom w:val="0"/>
      <w:divBdr>
        <w:top w:val="none" w:sz="0" w:space="0" w:color="auto"/>
        <w:left w:val="none" w:sz="0" w:space="0" w:color="auto"/>
        <w:bottom w:val="none" w:sz="0" w:space="0" w:color="auto"/>
        <w:right w:val="none" w:sz="0" w:space="0" w:color="auto"/>
      </w:divBdr>
    </w:div>
    <w:div w:id="1475223258">
      <w:bodyDiv w:val="1"/>
      <w:marLeft w:val="0"/>
      <w:marRight w:val="0"/>
      <w:marTop w:val="0"/>
      <w:marBottom w:val="0"/>
      <w:divBdr>
        <w:top w:val="none" w:sz="0" w:space="0" w:color="auto"/>
        <w:left w:val="none" w:sz="0" w:space="0" w:color="auto"/>
        <w:bottom w:val="none" w:sz="0" w:space="0" w:color="auto"/>
        <w:right w:val="none" w:sz="0" w:space="0" w:color="auto"/>
      </w:divBdr>
    </w:div>
    <w:div w:id="1505507203">
      <w:bodyDiv w:val="1"/>
      <w:marLeft w:val="0"/>
      <w:marRight w:val="0"/>
      <w:marTop w:val="0"/>
      <w:marBottom w:val="0"/>
      <w:divBdr>
        <w:top w:val="none" w:sz="0" w:space="0" w:color="auto"/>
        <w:left w:val="none" w:sz="0" w:space="0" w:color="auto"/>
        <w:bottom w:val="none" w:sz="0" w:space="0" w:color="auto"/>
        <w:right w:val="none" w:sz="0" w:space="0" w:color="auto"/>
      </w:divBdr>
      <w:divsChild>
        <w:div w:id="2075810354">
          <w:marLeft w:val="0"/>
          <w:marRight w:val="0"/>
          <w:marTop w:val="0"/>
          <w:marBottom w:val="0"/>
          <w:divBdr>
            <w:top w:val="single" w:sz="2" w:space="0" w:color="auto"/>
            <w:left w:val="single" w:sz="2" w:space="0" w:color="auto"/>
            <w:bottom w:val="single" w:sz="6" w:space="0" w:color="auto"/>
            <w:right w:val="single" w:sz="2" w:space="0" w:color="auto"/>
          </w:divBdr>
          <w:divsChild>
            <w:div w:id="447313808">
              <w:marLeft w:val="0"/>
              <w:marRight w:val="0"/>
              <w:marTop w:val="100"/>
              <w:marBottom w:val="100"/>
              <w:divBdr>
                <w:top w:val="single" w:sz="2" w:space="0" w:color="D9D9E3"/>
                <w:left w:val="single" w:sz="2" w:space="0" w:color="D9D9E3"/>
                <w:bottom w:val="single" w:sz="2" w:space="0" w:color="D9D9E3"/>
                <w:right w:val="single" w:sz="2" w:space="0" w:color="D9D9E3"/>
              </w:divBdr>
              <w:divsChild>
                <w:div w:id="284504775">
                  <w:marLeft w:val="0"/>
                  <w:marRight w:val="0"/>
                  <w:marTop w:val="0"/>
                  <w:marBottom w:val="0"/>
                  <w:divBdr>
                    <w:top w:val="single" w:sz="2" w:space="0" w:color="D9D9E3"/>
                    <w:left w:val="single" w:sz="2" w:space="0" w:color="D9D9E3"/>
                    <w:bottom w:val="single" w:sz="2" w:space="0" w:color="D9D9E3"/>
                    <w:right w:val="single" w:sz="2" w:space="0" w:color="D9D9E3"/>
                  </w:divBdr>
                  <w:divsChild>
                    <w:div w:id="1869761255">
                      <w:marLeft w:val="0"/>
                      <w:marRight w:val="0"/>
                      <w:marTop w:val="0"/>
                      <w:marBottom w:val="0"/>
                      <w:divBdr>
                        <w:top w:val="single" w:sz="2" w:space="0" w:color="D9D9E3"/>
                        <w:left w:val="single" w:sz="2" w:space="0" w:color="D9D9E3"/>
                        <w:bottom w:val="single" w:sz="2" w:space="0" w:color="D9D9E3"/>
                        <w:right w:val="single" w:sz="2" w:space="0" w:color="D9D9E3"/>
                      </w:divBdr>
                      <w:divsChild>
                        <w:div w:id="1879581371">
                          <w:marLeft w:val="0"/>
                          <w:marRight w:val="0"/>
                          <w:marTop w:val="0"/>
                          <w:marBottom w:val="0"/>
                          <w:divBdr>
                            <w:top w:val="single" w:sz="2" w:space="0" w:color="D9D9E3"/>
                            <w:left w:val="single" w:sz="2" w:space="0" w:color="D9D9E3"/>
                            <w:bottom w:val="single" w:sz="2" w:space="0" w:color="D9D9E3"/>
                            <w:right w:val="single" w:sz="2" w:space="0" w:color="D9D9E3"/>
                          </w:divBdr>
                          <w:divsChild>
                            <w:div w:id="1163668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11872689">
      <w:bodyDiv w:val="1"/>
      <w:marLeft w:val="0"/>
      <w:marRight w:val="0"/>
      <w:marTop w:val="0"/>
      <w:marBottom w:val="0"/>
      <w:divBdr>
        <w:top w:val="none" w:sz="0" w:space="0" w:color="auto"/>
        <w:left w:val="none" w:sz="0" w:space="0" w:color="auto"/>
        <w:bottom w:val="none" w:sz="0" w:space="0" w:color="auto"/>
        <w:right w:val="none" w:sz="0" w:space="0" w:color="auto"/>
      </w:divBdr>
    </w:div>
    <w:div w:id="1628049697">
      <w:bodyDiv w:val="1"/>
      <w:marLeft w:val="0"/>
      <w:marRight w:val="0"/>
      <w:marTop w:val="0"/>
      <w:marBottom w:val="0"/>
      <w:divBdr>
        <w:top w:val="none" w:sz="0" w:space="0" w:color="auto"/>
        <w:left w:val="none" w:sz="0" w:space="0" w:color="auto"/>
        <w:bottom w:val="none" w:sz="0" w:space="0" w:color="auto"/>
        <w:right w:val="none" w:sz="0" w:space="0" w:color="auto"/>
      </w:divBdr>
    </w:div>
    <w:div w:id="1630630663">
      <w:bodyDiv w:val="1"/>
      <w:marLeft w:val="0"/>
      <w:marRight w:val="0"/>
      <w:marTop w:val="0"/>
      <w:marBottom w:val="0"/>
      <w:divBdr>
        <w:top w:val="none" w:sz="0" w:space="0" w:color="auto"/>
        <w:left w:val="none" w:sz="0" w:space="0" w:color="auto"/>
        <w:bottom w:val="none" w:sz="0" w:space="0" w:color="auto"/>
        <w:right w:val="none" w:sz="0" w:space="0" w:color="auto"/>
      </w:divBdr>
    </w:div>
    <w:div w:id="1674920120">
      <w:bodyDiv w:val="1"/>
      <w:marLeft w:val="0"/>
      <w:marRight w:val="0"/>
      <w:marTop w:val="0"/>
      <w:marBottom w:val="0"/>
      <w:divBdr>
        <w:top w:val="none" w:sz="0" w:space="0" w:color="auto"/>
        <w:left w:val="none" w:sz="0" w:space="0" w:color="auto"/>
        <w:bottom w:val="none" w:sz="0" w:space="0" w:color="auto"/>
        <w:right w:val="none" w:sz="0" w:space="0" w:color="auto"/>
      </w:divBdr>
    </w:div>
    <w:div w:id="1709254861">
      <w:bodyDiv w:val="1"/>
      <w:marLeft w:val="0"/>
      <w:marRight w:val="0"/>
      <w:marTop w:val="0"/>
      <w:marBottom w:val="0"/>
      <w:divBdr>
        <w:top w:val="none" w:sz="0" w:space="0" w:color="auto"/>
        <w:left w:val="none" w:sz="0" w:space="0" w:color="auto"/>
        <w:bottom w:val="none" w:sz="0" w:space="0" w:color="auto"/>
        <w:right w:val="none" w:sz="0" w:space="0" w:color="auto"/>
      </w:divBdr>
    </w:div>
    <w:div w:id="1830510811">
      <w:bodyDiv w:val="1"/>
      <w:marLeft w:val="0"/>
      <w:marRight w:val="0"/>
      <w:marTop w:val="0"/>
      <w:marBottom w:val="0"/>
      <w:divBdr>
        <w:top w:val="none" w:sz="0" w:space="0" w:color="auto"/>
        <w:left w:val="none" w:sz="0" w:space="0" w:color="auto"/>
        <w:bottom w:val="none" w:sz="0" w:space="0" w:color="auto"/>
        <w:right w:val="none" w:sz="0" w:space="0" w:color="auto"/>
      </w:divBdr>
    </w:div>
    <w:div w:id="199013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3" Type="http://schemas.openxmlformats.org/officeDocument/2006/relationships/numbering" Target="numbering.xml" /><Relationship Id="rId7" Type="http://schemas.openxmlformats.org/officeDocument/2006/relationships/footnotes" Target="footnote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theme" Target="theme/theme1.xml" /><Relationship Id="rId5" Type="http://schemas.openxmlformats.org/officeDocument/2006/relationships/settings" Target="settings.xml" /><Relationship Id="rId10" Type="http://schemas.openxmlformats.org/officeDocument/2006/relationships/fontTable" Target="fontTable.xml" /><Relationship Id="rId4" Type="http://schemas.openxmlformats.org/officeDocument/2006/relationships/styles" Target="styl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Ker22</b:Tag>
    <b:SourceType>JournalArticle</b:SourceType>
    <b:Guid>{41A20204-EFC7-45F1-8F45-48E32DA653E5}</b:Guid>
    <b:Title>Diverse adaptation strategies helped local food producers cope with initial challenges of the Covid-19 pandemic: Lessons from Québec, Canada</b:Title>
    <b:Year>2022</b:Year>
    <b:Pages>124-133</b:Pages>
    <b:Author>
      <b:Author>
        <b:NameList>
          <b:Person>
            <b:Last>Kerstin Schreiber</b:Last>
            <b:First>Bernard</b:First>
            <b:Middle>Soubry, Carley Dove-McFalls, Graham K. MacDonald</b:Middle>
          </b:Person>
        </b:NameList>
      </b:Author>
    </b:Author>
    <b:JournalName>Journal of Rural Studies</b:JournalName>
    <b:Volume>90</b:Volume>
    <b:Issue>1</b:Issue>
    <b:RefOrder>1</b:RefOrder>
  </b:Source>
  <b:Source>
    <b:Tag>Ras20</b:Tag>
    <b:SourceType>Book</b:SourceType>
    <b:Guid>{EF432212-4D83-4248-8B1C-535875FB93A6}</b:Guid>
    <b:Title>The PESTLE Analysis</b:Title>
    <b:Year>2020</b:Year>
    <b:Author>
      <b:Author>
        <b:NameList>
          <b:Person>
            <b:Last>Perera</b:Last>
            <b:First>Rashain</b:First>
          </b:Person>
        </b:NameList>
      </b:Author>
    </b:Author>
    <b:Publisher>24Symbols, Amazon Kindle, Amazon Paperback, Apple Books, Barnes &amp; Noble, Book Depository, Kobo, Playster</b:Publisher>
    <b:Edition>2nd</b:Edition>
    <b:RefOrder>3</b:RefOrder>
  </b:Source>
  <b:Source>
    <b:Tag>DrD09</b:Tag>
    <b:SourceType>BookSection</b:SourceType>
    <b:Guid>{8AECB429-BA50-4DEE-9F22-9BC74552D14B}</b:Guid>
    <b:Title>SWOT Analysis Chapter 5</b:Title>
    <b:Year>2009</b:Year>
    <b:Pages>115-140</b:Pages>
    <b:City>San Francisco</b:City>
    <b:Publisher>International Society for Performance Improvment</b:Publisher>
    <b:Author>
      <b:Author>
        <b:NameList>
          <b:Person>
            <b:Last>Dr. Doug Leigh Ph.D.</b:Last>
            <b:First>doctorate</b:First>
          </b:Person>
        </b:NameList>
      </b:Author>
      <b:Editor>
        <b:NameList>
          <b:Person>
            <b:Last>Kenneth H. Silber Ph.D.</b:Last>
            <b:First>CPT,Wellesley</b:First>
            <b:Middle>R. Foshay Ph.D., CPT,Ryan Watkins Ph.D.</b:Middle>
          </b:Person>
        </b:NameList>
      </b:Editor>
    </b:Author>
    <b:BookTitle>Handbook of Improving Performance in the Workplace: Volums 1-3</b:BookTitle>
    <b:RefOrder>2</b:RefOrder>
  </b:Source>
  <b:Source>
    <b:Tag>Tor20</b:Tag>
    <b:SourceType>InternetSite</b:SourceType>
    <b:Guid>{D73460BE-4379-4B69-880E-22C56C05EE2D}</b:Guid>
    <b:Author>
      <b:Author>
        <b:NameList>
          <b:Person>
            <b:Last>Torry</b:Last>
            <b:First>Harriet</b:First>
          </b:Person>
        </b:NameList>
      </b:Author>
    </b:Author>
    <b:Title>Coronavirus pandemic widens divide between online, traditional businesses- The Wall Street Journal</b:Title>
    <b:JournalName>The Wall Street Journal</b:JournalName>
    <b:Year>2020</b:Year>
    <b:YearAccessed>2023</b:YearAccessed>
    <b:MonthAccessed>06</b:MonthAccessed>
    <b:DayAccessed>20</b:DayAccessed>
    <b:URL>https://www.wsj.com/articles/coronavirus-pandemic-widens-divide-between-online-traditional-businesses-11585733402</b:URL>
    <b:RefOrder>5</b:RefOrder>
  </b:Source>
  <b:Source>
    <b:Tag>TJR20</b:Tag>
    <b:SourceType>JournalArticle</b:SourceType>
    <b:Guid>{31E7006E-F808-4E22-B9BB-856F9303E49C}</b:Guid>
    <b:Title>COVID‐19 impact on fruit and vegetable markets</b:Title>
    <b:Year>2020</b:Year>
    <b:Author>
      <b:Author>
        <b:NameList>
          <b:Person>
            <b:Last>T.J. Richards</b:Last>
            <b:First>B.</b:First>
            <b:Middle>Rickard</b:Middle>
          </b:Person>
        </b:NameList>
      </b:Author>
    </b:Author>
    <b:JournalName>Canadian Journal of Agricultural Economics/Revue canadienne d'agroeconomie</b:JournalName>
    <b:Pages>189-194</b:Pages>
    <b:Volume>68</b:Volume>
    <b:Issue>2</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7CA17B-AB13-480F-AE1B-33857E781B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1866</Words>
  <Characters>10641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Diverse Adaptation Strategies : Individual Report</dc:title>
  <dc:subject>Marketing Fundamentals LCBB4004</dc:subject>
  <dc:creator>Vishan Bianca Elena</dc:creator>
  <cp:keywords/>
  <dc:description/>
  <cp:lastModifiedBy>Bianca Elena Visan</cp:lastModifiedBy>
  <cp:revision>2</cp:revision>
  <dcterms:created xsi:type="dcterms:W3CDTF">2023-06-25T09:06:00Z</dcterms:created>
  <dcterms:modified xsi:type="dcterms:W3CDTF">2023-06-25T09:06:00Z</dcterms:modified>
</cp:coreProperties>
</file>