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15133ED" w:rsidP="1C0C577E" w:rsidRDefault="015133ED" w14:paraId="18F12077" w14:textId="1637DBF1">
      <w:pPr>
        <w:spacing w:line="360" w:lineRule="auto"/>
        <w:rPr>
          <w:color w:val="000000" w:themeColor="text1" w:themeTint="FF" w:themeShade="FF"/>
        </w:rPr>
      </w:pPr>
      <w:r w:rsidR="015133ED">
        <w:rPr/>
        <w:t>:</w:t>
      </w:r>
      <w:r w:rsidR="0B762DA0">
        <w:drawing>
          <wp:inline wp14:editId="1D22F310" wp14:anchorId="7DA9A65F">
            <wp:extent cx="6467475" cy="1752600"/>
            <wp:effectExtent l="0" t="0" r="0" b="0"/>
            <wp:docPr id="1740174557" name="drawing" descr="Implementing Human Capital and HRM softwa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0174557" name="Picture 1740174557"/>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6467475" cy="1752600"/>
                    </a:xfrm>
                    <a:prstGeom prst="rect">
                      <a:avLst/>
                    </a:prstGeom>
                  </pic:spPr>
                </pic:pic>
              </a:graphicData>
            </a:graphic>
          </wp:inline>
        </w:drawing>
      </w:r>
      <w:r w:rsidRPr="1C0C577E" w:rsidR="3ABA4C3D">
        <w:rPr>
          <w:color w:val="000000" w:themeColor="text1" w:themeTint="FF" w:themeShade="FF"/>
        </w:rPr>
        <w:t xml:space="preserve"> </w:t>
      </w:r>
    </w:p>
    <w:p w:rsidR="2C723722" w:rsidP="1C0C577E" w:rsidRDefault="2C723722" w14:paraId="0078AA74" w14:textId="1FA3D030">
      <w:pPr>
        <w:spacing w:line="360" w:lineRule="auto"/>
        <w:ind w:left="2880"/>
        <w:jc w:val="left"/>
        <w:rPr>
          <w:rFonts w:ascii="Arial" w:hAnsi="Arial" w:eastAsia="Arial" w:cs="Arial" w:asciiTheme="minorAscii" w:hAnsiTheme="minorAscii" w:eastAsiaTheme="minorAscii" w:cstheme="minorAscii"/>
          <w:color w:val="000000" w:themeColor="text1"/>
          <w:sz w:val="36"/>
          <w:szCs w:val="36"/>
        </w:rPr>
      </w:pPr>
      <w:bookmarkStart w:name="_Toc2086297350" w:id="0"/>
      <w:bookmarkStart w:name="_Toc1331440135" w:id="1545344972"/>
      <w:r w:rsidRPr="1C0C577E" w:rsidR="3ABA4C3D">
        <w:rPr>
          <w:rStyle w:val="Heading1Char"/>
          <w:rFonts w:ascii="Arial" w:hAnsi="Arial" w:eastAsia="Arial" w:cs="Arial" w:asciiTheme="minorAscii" w:hAnsiTheme="minorAscii" w:eastAsiaTheme="minorAscii" w:cstheme="minorAscii"/>
          <w:b w:val="1"/>
          <w:bCs w:val="1"/>
          <w:sz w:val="48"/>
          <w:szCs w:val="48"/>
        </w:rPr>
        <w:t>Title</w:t>
      </w:r>
      <w:r w:rsidRPr="1C0C577E" w:rsidR="6C1BDA6C">
        <w:rPr>
          <w:rStyle w:val="Heading1Char"/>
          <w:rFonts w:ascii="Arial" w:hAnsi="Arial" w:eastAsia="Arial" w:cs="Arial" w:asciiTheme="minorAscii" w:hAnsiTheme="minorAscii" w:eastAsiaTheme="minorAscii" w:cstheme="minorAscii"/>
          <w:b w:val="1"/>
          <w:bCs w:val="1"/>
          <w:sz w:val="48"/>
          <w:szCs w:val="48"/>
        </w:rPr>
        <w:t>:</w:t>
      </w:r>
      <w:r w:rsidRPr="1C0C577E" w:rsidR="6FD105E9">
        <w:rPr>
          <w:rStyle w:val="Heading1Char"/>
          <w:rFonts w:ascii="Arial" w:hAnsi="Arial" w:eastAsia="Arial" w:cs="Arial" w:asciiTheme="minorAscii" w:hAnsiTheme="minorAscii" w:eastAsiaTheme="minorAscii" w:cstheme="minorAscii"/>
          <w:b w:val="1"/>
          <w:bCs w:val="1"/>
          <w:sz w:val="48"/>
          <w:szCs w:val="48"/>
        </w:rPr>
        <w:t xml:space="preserve"> </w:t>
      </w:r>
      <w:r w:rsidRPr="1C0C577E" w:rsidR="6C1BDA6C">
        <w:rPr>
          <w:rStyle w:val="Heading1Char"/>
          <w:rFonts w:ascii="Arial" w:hAnsi="Arial" w:eastAsia="Arial" w:cs="Arial" w:asciiTheme="minorAscii" w:hAnsiTheme="minorAscii" w:eastAsiaTheme="minorAscii" w:cstheme="minorAscii"/>
          <w:b w:val="1"/>
          <w:bCs w:val="1"/>
          <w:sz w:val="48"/>
          <w:szCs w:val="48"/>
        </w:rPr>
        <w:t>HR</w:t>
      </w:r>
      <w:r w:rsidRPr="1C0C577E" w:rsidR="6B39C54C">
        <w:rPr>
          <w:rStyle w:val="Heading1Char"/>
          <w:rFonts w:ascii="Arial" w:hAnsi="Arial" w:eastAsia="Arial" w:cs="Arial" w:asciiTheme="minorAscii" w:hAnsiTheme="minorAscii" w:eastAsiaTheme="minorAscii" w:cstheme="minorAscii"/>
          <w:b w:val="1"/>
          <w:bCs w:val="1"/>
          <w:sz w:val="48"/>
          <w:szCs w:val="48"/>
        </w:rPr>
        <w:t xml:space="preserve"> </w:t>
      </w:r>
      <w:r w:rsidRPr="1C0C577E" w:rsidR="512A8CE9">
        <w:rPr>
          <w:rStyle w:val="Heading1Char"/>
          <w:rFonts w:ascii="Arial" w:hAnsi="Arial" w:eastAsia="Arial" w:cs="Arial" w:asciiTheme="minorAscii" w:hAnsiTheme="minorAscii" w:eastAsiaTheme="minorAscii" w:cstheme="minorAscii"/>
          <w:b w:val="1"/>
          <w:bCs w:val="1"/>
          <w:sz w:val="48"/>
          <w:szCs w:val="48"/>
        </w:rPr>
        <w:t>Strategy</w:t>
      </w:r>
      <w:bookmarkEnd w:id="0"/>
      <w:bookmarkEnd w:id="1545344972"/>
    </w:p>
    <w:p w:rsidR="5E9A16DA" w:rsidP="1C0C577E" w:rsidRDefault="5E9A16DA" w14:paraId="56AB3324" w14:textId="097839BD">
      <w:pPr>
        <w:spacing w:line="360" w:lineRule="auto"/>
        <w:ind w:left="2880"/>
        <w:jc w:val="left"/>
        <w:rPr>
          <w:rFonts w:ascii="Arial" w:hAnsi="Arial" w:eastAsia="Arial" w:cs="Arial" w:asciiTheme="minorAscii" w:hAnsiTheme="minorAscii" w:eastAsiaTheme="minorAscii" w:cstheme="minorAscii"/>
          <w:color w:val="000000" w:themeColor="text1"/>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Student. Name: Alicia Naomi Blake</w:t>
      </w:r>
    </w:p>
    <w:p w:rsidR="5E9A16DA" w:rsidP="1C0C577E" w:rsidRDefault="5E9A16DA" w14:paraId="0F4EE9E7" w14:textId="33757467">
      <w:pPr>
        <w:spacing w:line="360" w:lineRule="auto"/>
        <w:ind w:left="2880"/>
        <w:jc w:val="left"/>
        <w:rPr>
          <w:rFonts w:ascii="Arial" w:hAnsi="Arial" w:eastAsia="Arial" w:cs="Arial" w:asciiTheme="minorAscii" w:hAnsiTheme="minorAscii" w:eastAsiaTheme="minorAscii" w:cstheme="minorAscii"/>
          <w:color w:val="000000" w:themeColor="text1" w:themeTint="FF" w:themeShade="FF"/>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Student number: 2208796</w:t>
      </w:r>
    </w:p>
    <w:p w:rsidR="5E9A16DA" w:rsidP="1C0C577E" w:rsidRDefault="5E9A16DA" w14:paraId="52532DF3" w14:textId="508FDBC2">
      <w:pPr>
        <w:spacing w:line="360" w:lineRule="auto"/>
        <w:ind w:left="2880" w:firstLine="0"/>
        <w:jc w:val="left"/>
        <w:rPr>
          <w:rFonts w:ascii="Arial" w:hAnsi="Arial" w:eastAsia="Arial" w:cs="Arial" w:asciiTheme="minorAscii" w:hAnsiTheme="minorAscii" w:eastAsiaTheme="minorAscii" w:cstheme="minorAscii"/>
          <w:color w:val="000000" w:themeColor="text1" w:themeTint="FF" w:themeShade="FF"/>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Lecture</w:t>
      </w:r>
      <w:r w:rsidRPr="1C0C577E" w:rsidR="16A4B8F9">
        <w:rPr>
          <w:rFonts w:ascii="Arial" w:hAnsi="Arial" w:eastAsia="Arial" w:cs="Arial" w:asciiTheme="minorAscii" w:hAnsiTheme="minorAscii" w:eastAsiaTheme="minorAscii" w:cstheme="minorAscii"/>
          <w:color w:val="000000" w:themeColor="text1" w:themeTint="FF" w:themeShade="FF"/>
          <w:sz w:val="36"/>
          <w:szCs w:val="36"/>
        </w:rPr>
        <w:t>r</w:t>
      </w:r>
      <w:r w:rsidRPr="1C0C577E" w:rsidR="65679CB7">
        <w:rPr>
          <w:rFonts w:ascii="Arial" w:hAnsi="Arial" w:eastAsia="Arial" w:cs="Arial" w:asciiTheme="minorAscii" w:hAnsiTheme="minorAscii" w:eastAsiaTheme="minorAscii" w:cstheme="minorAscii"/>
          <w:color w:val="000000" w:themeColor="text1" w:themeTint="FF" w:themeShade="FF"/>
          <w:sz w:val="36"/>
          <w:szCs w:val="36"/>
        </w:rPr>
        <w:t xml:space="preserve"> name: Dr Eno Maycock</w:t>
      </w:r>
      <w:r w:rsidRPr="1C0C577E" w:rsidR="16A4B8F9">
        <w:rPr>
          <w:rFonts w:ascii="Arial" w:hAnsi="Arial" w:eastAsia="Arial" w:cs="Arial" w:asciiTheme="minorAscii" w:hAnsiTheme="minorAscii" w:eastAsiaTheme="minorAscii" w:cstheme="minorAscii"/>
          <w:color w:val="000000" w:themeColor="text1" w:themeTint="FF" w:themeShade="FF"/>
          <w:sz w:val="36"/>
          <w:szCs w:val="36"/>
        </w:rPr>
        <w:t xml:space="preserve"> </w:t>
      </w:r>
    </w:p>
    <w:p w:rsidR="5E9A16DA" w:rsidP="1C0C577E" w:rsidRDefault="5E9A16DA" w14:paraId="48903D96" w14:textId="5FF75A8A">
      <w:pPr>
        <w:spacing w:line="360" w:lineRule="auto"/>
        <w:ind w:left="2880" w:firstLine="0"/>
        <w:jc w:val="left"/>
        <w:rPr>
          <w:rFonts w:ascii="Arial" w:hAnsi="Arial" w:eastAsia="Arial" w:cs="Arial" w:asciiTheme="minorAscii" w:hAnsiTheme="minorAscii" w:eastAsiaTheme="minorAscii" w:cstheme="minorAscii"/>
          <w:color w:val="000000" w:themeColor="text1"/>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Module code: LCMB7023</w:t>
      </w:r>
    </w:p>
    <w:p w:rsidR="5E9A16DA" w:rsidP="1C0C577E" w:rsidRDefault="5E9A16DA" w14:paraId="4731D0C6" w14:textId="16AE6C7D">
      <w:pPr>
        <w:spacing w:line="360" w:lineRule="auto"/>
        <w:ind w:left="2880"/>
        <w:jc w:val="left"/>
        <w:rPr>
          <w:rFonts w:ascii="Arial" w:hAnsi="Arial" w:eastAsia="Arial" w:cs="Arial" w:asciiTheme="minorAscii" w:hAnsiTheme="minorAscii" w:eastAsiaTheme="minorAscii" w:cstheme="minorAscii"/>
          <w:color w:val="000000" w:themeColor="text1"/>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Module</w:t>
      </w:r>
      <w:r w:rsidRPr="1C0C577E" w:rsidR="16A4B8F9">
        <w:rPr>
          <w:rFonts w:ascii="Arial" w:hAnsi="Arial" w:eastAsia="Arial" w:cs="Arial" w:asciiTheme="minorAscii" w:hAnsiTheme="minorAscii" w:eastAsiaTheme="minorAscii" w:cstheme="minorAscii"/>
          <w:color w:val="000000" w:themeColor="text1" w:themeTint="FF" w:themeShade="FF"/>
          <w:sz w:val="36"/>
          <w:szCs w:val="36"/>
        </w:rPr>
        <w:t xml:space="preserve"> N</w:t>
      </w:r>
      <w:r w:rsidRPr="1C0C577E" w:rsidR="65679CB7">
        <w:rPr>
          <w:rFonts w:ascii="Arial" w:hAnsi="Arial" w:eastAsia="Arial" w:cs="Arial" w:asciiTheme="minorAscii" w:hAnsiTheme="minorAscii" w:eastAsiaTheme="minorAscii" w:cstheme="minorAscii"/>
          <w:color w:val="000000" w:themeColor="text1" w:themeTint="FF" w:themeShade="FF"/>
          <w:sz w:val="36"/>
          <w:szCs w:val="36"/>
        </w:rPr>
        <w:t>ame</w:t>
      </w:r>
      <w:r w:rsidRPr="1C0C577E" w:rsidR="16A4B8F9">
        <w:rPr>
          <w:rFonts w:ascii="Arial" w:hAnsi="Arial" w:eastAsia="Arial" w:cs="Arial" w:asciiTheme="minorAscii" w:hAnsiTheme="minorAscii" w:eastAsiaTheme="minorAscii" w:cstheme="minorAscii"/>
          <w:color w:val="000000" w:themeColor="text1" w:themeTint="FF" w:themeShade="FF"/>
          <w:sz w:val="36"/>
          <w:szCs w:val="36"/>
        </w:rPr>
        <w:t xml:space="preserve">: </w:t>
      </w:r>
      <w:r w:rsidRPr="1C0C577E" w:rsidR="65679CB7">
        <w:rPr>
          <w:rFonts w:ascii="Arial" w:hAnsi="Arial" w:eastAsia="Arial" w:cs="Arial" w:asciiTheme="minorAscii" w:hAnsiTheme="minorAscii" w:eastAsiaTheme="minorAscii" w:cstheme="minorAscii"/>
          <w:color w:val="000000" w:themeColor="text1" w:themeTint="FF" w:themeShade="FF"/>
          <w:sz w:val="36"/>
          <w:szCs w:val="36"/>
        </w:rPr>
        <w:t>Human Capital Management</w:t>
      </w:r>
    </w:p>
    <w:p w:rsidR="6951D715" w:rsidP="1C0C577E" w:rsidRDefault="6951D715" w14:paraId="245F4A1F" w14:textId="30F8E47D">
      <w:pPr>
        <w:spacing w:line="360" w:lineRule="auto"/>
        <w:ind w:left="2880"/>
        <w:jc w:val="left"/>
        <w:rPr>
          <w:rFonts w:ascii="Arial" w:hAnsi="Arial" w:eastAsia="Arial" w:cs="Arial" w:asciiTheme="minorAscii" w:hAnsiTheme="minorAscii" w:eastAsiaTheme="minorAscii" w:cstheme="minorAscii"/>
          <w:color w:val="000000" w:themeColor="text1"/>
          <w:sz w:val="36"/>
          <w:szCs w:val="36"/>
        </w:rPr>
      </w:pPr>
      <w:r w:rsidRPr="1C0C577E" w:rsidR="65679CB7">
        <w:rPr>
          <w:rFonts w:ascii="Arial" w:hAnsi="Arial" w:eastAsia="Arial" w:cs="Arial" w:asciiTheme="minorAscii" w:hAnsiTheme="minorAscii" w:eastAsiaTheme="minorAscii" w:cstheme="minorAscii"/>
          <w:color w:val="000000" w:themeColor="text1" w:themeTint="FF" w:themeShade="FF"/>
          <w:sz w:val="36"/>
          <w:szCs w:val="36"/>
        </w:rPr>
        <w:t>Submission Date: Friday 27/02/202</w:t>
      </w:r>
      <w:r w:rsidRPr="1C0C577E" w:rsidR="736A9329">
        <w:rPr>
          <w:rFonts w:ascii="Arial" w:hAnsi="Arial" w:eastAsia="Arial" w:cs="Arial" w:asciiTheme="minorAscii" w:hAnsiTheme="minorAscii" w:eastAsiaTheme="minorAscii" w:cstheme="minorAscii"/>
          <w:color w:val="000000" w:themeColor="text1" w:themeTint="FF" w:themeShade="FF"/>
          <w:sz w:val="36"/>
          <w:szCs w:val="36"/>
        </w:rPr>
        <w:t>6</w:t>
      </w:r>
    </w:p>
    <w:p w:rsidR="6951D715" w:rsidP="6951D715" w:rsidRDefault="6951D715" w14:paraId="5F334CCB" w14:textId="7FAF7230">
      <w:pPr>
        <w:spacing w:line="360" w:lineRule="auto"/>
        <w:rPr>
          <w:color w:val="000000" w:themeColor="text1"/>
        </w:rPr>
      </w:pPr>
    </w:p>
    <w:p w:rsidR="6951D715" w:rsidP="6951D715" w:rsidRDefault="6951D715" w14:paraId="58123679" w14:textId="0211F1B2">
      <w:pPr>
        <w:spacing w:line="360" w:lineRule="auto"/>
        <w:rPr>
          <w:color w:val="000000" w:themeColor="text1"/>
        </w:rPr>
      </w:pPr>
    </w:p>
    <w:p w:rsidR="6951D715" w:rsidP="6951D715" w:rsidRDefault="6951D715" w14:paraId="5DB0539C" w14:textId="5660DBAC">
      <w:pPr>
        <w:spacing w:line="360" w:lineRule="auto"/>
        <w:rPr>
          <w:color w:val="000000" w:themeColor="text1"/>
        </w:rPr>
      </w:pPr>
      <w:r w:rsidRPr="1C0C577E" w:rsidR="31DB7925">
        <w:rPr>
          <w:color w:val="000000" w:themeColor="text1" w:themeTint="FF" w:themeShade="FF"/>
        </w:rPr>
        <w:t xml:space="preserve"> </w:t>
      </w:r>
    </w:p>
    <w:p w:rsidR="6951D715" w:rsidP="6951D715" w:rsidRDefault="6951D715" w14:paraId="2FED93E1" w14:textId="62B4E0A9">
      <w:pPr>
        <w:spacing w:line="360" w:lineRule="auto"/>
        <w:rPr>
          <w:color w:val="000000" w:themeColor="text1"/>
        </w:rPr>
      </w:pPr>
    </w:p>
    <w:p w:rsidR="6951D715" w:rsidP="6951D715" w:rsidRDefault="6951D715" w14:paraId="7F5736BF" w14:textId="3191BBCB">
      <w:pPr>
        <w:spacing w:line="360" w:lineRule="auto"/>
        <w:rPr>
          <w:color w:val="000000" w:themeColor="text1"/>
        </w:rPr>
      </w:pPr>
    </w:p>
    <w:p w:rsidR="6951D715" w:rsidP="6951D715" w:rsidRDefault="6951D715" w14:paraId="3696B663" w14:textId="1A55F657">
      <w:pPr>
        <w:spacing w:line="360" w:lineRule="auto"/>
        <w:rPr>
          <w:color w:val="000000" w:themeColor="text1"/>
        </w:rPr>
      </w:pPr>
    </w:p>
    <w:p w:rsidR="6951D715" w:rsidP="6951D715" w:rsidRDefault="6951D715" w14:paraId="584295C2" w14:textId="20854C3D">
      <w:pPr>
        <w:spacing w:line="360" w:lineRule="auto"/>
        <w:rPr>
          <w:color w:val="000000" w:themeColor="text1"/>
        </w:rPr>
      </w:pPr>
    </w:p>
    <w:p w:rsidR="6951D715" w:rsidP="7E1A0406" w:rsidRDefault="6951D715" w14:paraId="553F73FE" w14:textId="276F92C5">
      <w:pPr>
        <w:spacing w:line="360" w:lineRule="auto"/>
        <w:rPr>
          <w:color w:val="000000" w:themeColor="text1"/>
        </w:rPr>
      </w:pPr>
    </w:p>
    <w:p w:rsidR="6965CF5F" w:rsidP="1C0C577E" w:rsidRDefault="6965CF5F" w14:paraId="3573722E" w14:textId="59FB1FEB">
      <w:pPr>
        <w:pStyle w:val="Heading1"/>
        <w:rPr>
          <w:rFonts w:ascii="Arial" w:hAnsi="Arial" w:eastAsia="ＭＳ 明朝" w:cs="Arial" w:asciiTheme="minorAscii" w:hAnsiTheme="minorAscii" w:eastAsiaTheme="minorEastAsia" w:cstheme="minorBidi"/>
          <w:b w:val="1"/>
          <w:bCs w:val="1"/>
          <w:color w:val="000000" w:themeColor="text1"/>
          <w:sz w:val="32"/>
          <w:szCs w:val="32"/>
        </w:rPr>
      </w:pPr>
      <w:bookmarkStart w:name="_Toc1007583161" w:id="3"/>
      <w:bookmarkStart w:name="_Toc1057489444" w:id="2004912338"/>
      <w:r w:rsidRPr="1C0C577E" w:rsidR="0E07F0C0">
        <w:rPr>
          <w:rFonts w:ascii="Arial" w:hAnsi="Arial" w:eastAsia="ＭＳ 明朝" w:cs="Arial" w:asciiTheme="minorAscii" w:hAnsiTheme="minorAscii" w:eastAsiaTheme="minorEastAsia" w:cstheme="minorBidi"/>
          <w:b w:val="1"/>
          <w:bCs w:val="1"/>
          <w:sz w:val="32"/>
          <w:szCs w:val="32"/>
        </w:rPr>
        <w:t>Table of contents</w:t>
      </w:r>
      <w:bookmarkEnd w:id="3"/>
      <w:bookmarkEnd w:id="2004912338"/>
    </w:p>
    <w:sdt>
      <w:sdtPr>
        <w:id w:val="400839414"/>
        <w:docPartObj>
          <w:docPartGallery w:val="Table of Contents"/>
          <w:docPartUnique/>
        </w:docPartObj>
      </w:sdtPr>
      <w:sdtContent>
        <w:p w:rsidR="1C0C577E" w:rsidP="1C0C577E" w:rsidRDefault="1C0C577E" w14:paraId="37CDFE6F" w14:textId="07A041D2">
          <w:pPr>
            <w:pStyle w:val="TOC1"/>
            <w:tabs>
              <w:tab w:val="right" w:leader="dot" w:pos="9360"/>
            </w:tabs>
            <w:bidi w:val="0"/>
            <w:rPr>
              <w:rStyle w:val="Hyperlink"/>
            </w:rPr>
          </w:pPr>
          <w:r>
            <w:fldChar w:fldCharType="begin"/>
          </w:r>
          <w:r>
            <w:instrText xml:space="preserve">TOC \o \z \u \h</w:instrText>
          </w:r>
          <w:r>
            <w:fldChar w:fldCharType="separate"/>
          </w:r>
          <w:hyperlink w:anchor="_Toc1331440135">
            <w:r w:rsidRPr="1C0C577E" w:rsidR="1C0C577E">
              <w:rPr>
                <w:rStyle w:val="Hyperlink"/>
              </w:rPr>
              <w:t>Title: HR Strategy</w:t>
            </w:r>
            <w:r>
              <w:tab/>
            </w:r>
            <w:r>
              <w:fldChar w:fldCharType="begin"/>
            </w:r>
            <w:r>
              <w:instrText xml:space="preserve">PAGEREF _Toc1331440135 \h</w:instrText>
            </w:r>
            <w:r>
              <w:fldChar w:fldCharType="separate"/>
            </w:r>
            <w:r w:rsidRPr="1C0C577E" w:rsidR="1C0C577E">
              <w:rPr>
                <w:rStyle w:val="Hyperlink"/>
              </w:rPr>
              <w:t>1</w:t>
            </w:r>
            <w:r>
              <w:fldChar w:fldCharType="end"/>
            </w:r>
          </w:hyperlink>
        </w:p>
        <w:p w:rsidR="1C0C577E" w:rsidP="1C0C577E" w:rsidRDefault="1C0C577E" w14:paraId="776DCFE8" w14:textId="2186B143">
          <w:pPr>
            <w:pStyle w:val="TOC1"/>
            <w:tabs>
              <w:tab w:val="right" w:leader="dot" w:pos="9360"/>
            </w:tabs>
            <w:bidi w:val="0"/>
            <w:rPr>
              <w:rStyle w:val="Hyperlink"/>
            </w:rPr>
          </w:pPr>
          <w:hyperlink w:anchor="_Toc1057489444">
            <w:r w:rsidRPr="1C0C577E" w:rsidR="1C0C577E">
              <w:rPr>
                <w:rStyle w:val="Hyperlink"/>
              </w:rPr>
              <w:t>Table of contents</w:t>
            </w:r>
            <w:r>
              <w:tab/>
            </w:r>
            <w:r>
              <w:fldChar w:fldCharType="begin"/>
            </w:r>
            <w:r>
              <w:instrText xml:space="preserve">PAGEREF _Toc1057489444 \h</w:instrText>
            </w:r>
            <w:r>
              <w:fldChar w:fldCharType="separate"/>
            </w:r>
            <w:r w:rsidRPr="1C0C577E" w:rsidR="1C0C577E">
              <w:rPr>
                <w:rStyle w:val="Hyperlink"/>
              </w:rPr>
              <w:t>2</w:t>
            </w:r>
            <w:r>
              <w:fldChar w:fldCharType="end"/>
            </w:r>
          </w:hyperlink>
        </w:p>
        <w:p w:rsidR="1C0C577E" w:rsidP="1C0C577E" w:rsidRDefault="1C0C577E" w14:paraId="4B2F8117" w14:textId="7C06DC80">
          <w:pPr>
            <w:pStyle w:val="TOC2"/>
            <w:tabs>
              <w:tab w:val="right" w:leader="dot" w:pos="9360"/>
            </w:tabs>
            <w:bidi w:val="0"/>
            <w:rPr>
              <w:rStyle w:val="Hyperlink"/>
            </w:rPr>
          </w:pPr>
          <w:hyperlink w:anchor="_Toc1327189487">
            <w:r w:rsidRPr="1C0C577E" w:rsidR="1C0C577E">
              <w:rPr>
                <w:rStyle w:val="Hyperlink"/>
              </w:rPr>
              <w:t>Aligning People and Performance at Aether Innovations</w:t>
            </w:r>
            <w:r>
              <w:tab/>
            </w:r>
            <w:r>
              <w:fldChar w:fldCharType="begin"/>
            </w:r>
            <w:r>
              <w:instrText xml:space="preserve">PAGEREF _Toc1327189487 \h</w:instrText>
            </w:r>
            <w:r>
              <w:fldChar w:fldCharType="separate"/>
            </w:r>
            <w:r w:rsidRPr="1C0C577E" w:rsidR="1C0C577E">
              <w:rPr>
                <w:rStyle w:val="Hyperlink"/>
              </w:rPr>
              <w:t>2</w:t>
            </w:r>
            <w:r>
              <w:fldChar w:fldCharType="end"/>
            </w:r>
          </w:hyperlink>
        </w:p>
        <w:p w:rsidR="1C0C577E" w:rsidP="1C0C577E" w:rsidRDefault="1C0C577E" w14:paraId="610584BD" w14:textId="17072687">
          <w:pPr>
            <w:pStyle w:val="TOC2"/>
            <w:tabs>
              <w:tab w:val="right" w:leader="dot" w:pos="9360"/>
            </w:tabs>
            <w:bidi w:val="0"/>
            <w:rPr>
              <w:rStyle w:val="Hyperlink"/>
            </w:rPr>
          </w:pPr>
          <w:hyperlink w:anchor="_Toc1745244953">
            <w:r w:rsidRPr="1C0C577E" w:rsidR="1C0C577E">
              <w:rPr>
                <w:rStyle w:val="Hyperlink"/>
              </w:rPr>
              <w:t>Introduction</w:t>
            </w:r>
            <w:r>
              <w:tab/>
            </w:r>
            <w:r>
              <w:fldChar w:fldCharType="begin"/>
            </w:r>
            <w:r>
              <w:instrText xml:space="preserve">PAGEREF _Toc1745244953 \h</w:instrText>
            </w:r>
            <w:r>
              <w:fldChar w:fldCharType="separate"/>
            </w:r>
            <w:r w:rsidRPr="1C0C577E" w:rsidR="1C0C577E">
              <w:rPr>
                <w:rStyle w:val="Hyperlink"/>
              </w:rPr>
              <w:t>2</w:t>
            </w:r>
            <w:r>
              <w:fldChar w:fldCharType="end"/>
            </w:r>
          </w:hyperlink>
        </w:p>
        <w:p w:rsidR="1C0C577E" w:rsidP="1C0C577E" w:rsidRDefault="1C0C577E" w14:paraId="20CD654B" w14:textId="5045B17C">
          <w:pPr>
            <w:pStyle w:val="TOC2"/>
            <w:tabs>
              <w:tab w:val="right" w:leader="dot" w:pos="9360"/>
            </w:tabs>
            <w:bidi w:val="0"/>
            <w:rPr>
              <w:rStyle w:val="Hyperlink"/>
            </w:rPr>
          </w:pPr>
          <w:hyperlink w:anchor="_Toc1643505512">
            <w:r w:rsidRPr="1C0C577E" w:rsidR="1C0C577E">
              <w:rPr>
                <w:rStyle w:val="Hyperlink"/>
              </w:rPr>
              <w:t>Part 1: Integrated Human Capital Strategy</w:t>
            </w:r>
            <w:r>
              <w:tab/>
            </w:r>
            <w:r>
              <w:fldChar w:fldCharType="begin"/>
            </w:r>
            <w:r>
              <w:instrText xml:space="preserve">PAGEREF _Toc1643505512 \h</w:instrText>
            </w:r>
            <w:r>
              <w:fldChar w:fldCharType="separate"/>
            </w:r>
            <w:r w:rsidRPr="1C0C577E" w:rsidR="1C0C577E">
              <w:rPr>
                <w:rStyle w:val="Hyperlink"/>
              </w:rPr>
              <w:t>3</w:t>
            </w:r>
            <w:r>
              <w:fldChar w:fldCharType="end"/>
            </w:r>
          </w:hyperlink>
        </w:p>
        <w:p w:rsidR="1C0C577E" w:rsidP="1C0C577E" w:rsidRDefault="1C0C577E" w14:paraId="3DAAF682" w14:textId="58CE7854">
          <w:pPr>
            <w:pStyle w:val="TOC2"/>
            <w:tabs>
              <w:tab w:val="right" w:leader="dot" w:pos="9360"/>
            </w:tabs>
            <w:bidi w:val="0"/>
            <w:rPr>
              <w:rStyle w:val="Hyperlink"/>
            </w:rPr>
          </w:pPr>
          <w:hyperlink w:anchor="_Toc1840104535">
            <w:r w:rsidRPr="1C0C577E" w:rsidR="1C0C577E">
              <w:rPr>
                <w:rStyle w:val="Hyperlink"/>
              </w:rPr>
              <w:t>1. Current Culture and Work Practices in Technology Organisations</w:t>
            </w:r>
            <w:r>
              <w:tab/>
            </w:r>
            <w:r>
              <w:fldChar w:fldCharType="begin"/>
            </w:r>
            <w:r>
              <w:instrText xml:space="preserve">PAGEREF _Toc1840104535 \h</w:instrText>
            </w:r>
            <w:r>
              <w:fldChar w:fldCharType="separate"/>
            </w:r>
            <w:r w:rsidRPr="1C0C577E" w:rsidR="1C0C577E">
              <w:rPr>
                <w:rStyle w:val="Hyperlink"/>
              </w:rPr>
              <w:t>3</w:t>
            </w:r>
            <w:r>
              <w:fldChar w:fldCharType="end"/>
            </w:r>
          </w:hyperlink>
        </w:p>
        <w:p w:rsidR="1C0C577E" w:rsidP="1C0C577E" w:rsidRDefault="1C0C577E" w14:paraId="6B34F17F" w14:textId="144EB0A1">
          <w:pPr>
            <w:pStyle w:val="TOC2"/>
            <w:tabs>
              <w:tab w:val="right" w:leader="dot" w:pos="9360"/>
            </w:tabs>
            <w:bidi w:val="0"/>
            <w:rPr>
              <w:rStyle w:val="Hyperlink"/>
            </w:rPr>
          </w:pPr>
          <w:hyperlink w:anchor="_Toc512331942">
            <w:r w:rsidRPr="1C0C577E" w:rsidR="1C0C577E">
              <w:rPr>
                <w:rStyle w:val="Hyperlink"/>
              </w:rPr>
              <w:t>2. Embedding Innovation through Cultural and Structural Initiatives</w:t>
            </w:r>
            <w:r>
              <w:tab/>
            </w:r>
            <w:r>
              <w:fldChar w:fldCharType="begin"/>
            </w:r>
            <w:r>
              <w:instrText xml:space="preserve">PAGEREF _Toc512331942 \h</w:instrText>
            </w:r>
            <w:r>
              <w:fldChar w:fldCharType="separate"/>
            </w:r>
            <w:r w:rsidRPr="1C0C577E" w:rsidR="1C0C577E">
              <w:rPr>
                <w:rStyle w:val="Hyperlink"/>
              </w:rPr>
              <w:t>4</w:t>
            </w:r>
            <w:r>
              <w:fldChar w:fldCharType="end"/>
            </w:r>
          </w:hyperlink>
        </w:p>
        <w:p w:rsidR="1C0C577E" w:rsidP="1C0C577E" w:rsidRDefault="1C0C577E" w14:paraId="3F19CB00" w14:textId="5AF2CD54">
          <w:pPr>
            <w:pStyle w:val="TOC2"/>
            <w:tabs>
              <w:tab w:val="right" w:leader="dot" w:pos="9360"/>
            </w:tabs>
            <w:bidi w:val="0"/>
            <w:rPr>
              <w:rStyle w:val="Hyperlink"/>
            </w:rPr>
          </w:pPr>
          <w:hyperlink w:anchor="_Toc1447744374">
            <w:r w:rsidRPr="1C0C577E" w:rsidR="1C0C577E">
              <w:rPr>
                <w:rStyle w:val="Hyperlink"/>
              </w:rPr>
              <w:t>2.1 Innovation Sprints</w:t>
            </w:r>
            <w:r>
              <w:tab/>
            </w:r>
            <w:r>
              <w:fldChar w:fldCharType="begin"/>
            </w:r>
            <w:r>
              <w:instrText xml:space="preserve">PAGEREF _Toc1447744374 \h</w:instrText>
            </w:r>
            <w:r>
              <w:fldChar w:fldCharType="separate"/>
            </w:r>
            <w:r w:rsidRPr="1C0C577E" w:rsidR="1C0C577E">
              <w:rPr>
                <w:rStyle w:val="Hyperlink"/>
              </w:rPr>
              <w:t>4</w:t>
            </w:r>
            <w:r>
              <w:fldChar w:fldCharType="end"/>
            </w:r>
          </w:hyperlink>
        </w:p>
        <w:p w:rsidR="1C0C577E" w:rsidP="1C0C577E" w:rsidRDefault="1C0C577E" w14:paraId="24C7BD36" w14:textId="61CA34A2">
          <w:pPr>
            <w:pStyle w:val="TOC2"/>
            <w:tabs>
              <w:tab w:val="right" w:leader="dot" w:pos="9360"/>
            </w:tabs>
            <w:bidi w:val="0"/>
            <w:rPr>
              <w:rStyle w:val="Hyperlink"/>
            </w:rPr>
          </w:pPr>
          <w:hyperlink w:anchor="_Toc1333181323">
            <w:r w:rsidRPr="1C0C577E" w:rsidR="1C0C577E">
              <w:rPr>
                <w:rStyle w:val="Hyperlink"/>
              </w:rPr>
              <w:t>2.2 Cross-Functional Teams</w:t>
            </w:r>
            <w:r>
              <w:tab/>
            </w:r>
            <w:r>
              <w:fldChar w:fldCharType="begin"/>
            </w:r>
            <w:r>
              <w:instrText xml:space="preserve">PAGEREF _Toc1333181323 \h</w:instrText>
            </w:r>
            <w:r>
              <w:fldChar w:fldCharType="separate"/>
            </w:r>
            <w:r w:rsidRPr="1C0C577E" w:rsidR="1C0C577E">
              <w:rPr>
                <w:rStyle w:val="Hyperlink"/>
              </w:rPr>
              <w:t>5</w:t>
            </w:r>
            <w:r>
              <w:fldChar w:fldCharType="end"/>
            </w:r>
          </w:hyperlink>
        </w:p>
        <w:p w:rsidR="1C0C577E" w:rsidP="1C0C577E" w:rsidRDefault="1C0C577E" w14:paraId="786E22D2" w14:textId="56461412">
          <w:pPr>
            <w:pStyle w:val="TOC2"/>
            <w:tabs>
              <w:tab w:val="right" w:leader="dot" w:pos="9360"/>
            </w:tabs>
            <w:bidi w:val="0"/>
            <w:rPr>
              <w:rStyle w:val="Hyperlink"/>
            </w:rPr>
          </w:pPr>
          <w:hyperlink w:anchor="_Toc311637217">
            <w:r w:rsidRPr="1C0C577E" w:rsidR="1C0C577E">
              <w:rPr>
                <w:rStyle w:val="Hyperlink"/>
              </w:rPr>
              <w:t>2.3 Intrapreneurship Programmes</w:t>
            </w:r>
            <w:r>
              <w:tab/>
            </w:r>
            <w:r>
              <w:fldChar w:fldCharType="begin"/>
            </w:r>
            <w:r>
              <w:instrText xml:space="preserve">PAGEREF _Toc311637217 \h</w:instrText>
            </w:r>
            <w:r>
              <w:fldChar w:fldCharType="separate"/>
            </w:r>
            <w:r w:rsidRPr="1C0C577E" w:rsidR="1C0C577E">
              <w:rPr>
                <w:rStyle w:val="Hyperlink"/>
              </w:rPr>
              <w:t>6</w:t>
            </w:r>
            <w:r>
              <w:fldChar w:fldCharType="end"/>
            </w:r>
          </w:hyperlink>
        </w:p>
        <w:p w:rsidR="1C0C577E" w:rsidP="1C0C577E" w:rsidRDefault="1C0C577E" w14:paraId="6089D1BD" w14:textId="3B5917AC">
          <w:pPr>
            <w:pStyle w:val="TOC3"/>
            <w:tabs>
              <w:tab w:val="right" w:leader="dot" w:pos="9360"/>
            </w:tabs>
            <w:bidi w:val="0"/>
            <w:rPr>
              <w:rStyle w:val="Hyperlink"/>
            </w:rPr>
          </w:pPr>
          <w:hyperlink w:anchor="_Toc183655783">
            <w:r w:rsidRPr="1C0C577E" w:rsidR="1C0C577E">
              <w:rPr>
                <w:rStyle w:val="Hyperlink"/>
              </w:rPr>
              <w:t>2.4 Leadership Development and Psychological Safety</w:t>
            </w:r>
            <w:r>
              <w:tab/>
            </w:r>
            <w:r>
              <w:fldChar w:fldCharType="begin"/>
            </w:r>
            <w:r>
              <w:instrText xml:space="preserve">PAGEREF _Toc183655783 \h</w:instrText>
            </w:r>
            <w:r>
              <w:fldChar w:fldCharType="separate"/>
            </w:r>
            <w:r w:rsidRPr="1C0C577E" w:rsidR="1C0C577E">
              <w:rPr>
                <w:rStyle w:val="Hyperlink"/>
              </w:rPr>
              <w:t>6</w:t>
            </w:r>
            <w:r>
              <w:fldChar w:fldCharType="end"/>
            </w:r>
          </w:hyperlink>
        </w:p>
        <w:p w:rsidR="1C0C577E" w:rsidP="1C0C577E" w:rsidRDefault="1C0C577E" w14:paraId="48C932DF" w14:textId="42E32941">
          <w:pPr>
            <w:pStyle w:val="TOC2"/>
            <w:tabs>
              <w:tab w:val="right" w:leader="dot" w:pos="9360"/>
            </w:tabs>
            <w:bidi w:val="0"/>
            <w:rPr>
              <w:rStyle w:val="Hyperlink"/>
            </w:rPr>
          </w:pPr>
          <w:hyperlink w:anchor="_Toc759203259">
            <w:r w:rsidRPr="1C0C577E" w:rsidR="1C0C577E">
              <w:rPr>
                <w:rStyle w:val="Hyperlink"/>
              </w:rPr>
              <w:t>3. Future of Work Model: Hybrid Working for Innovation and Performance</w:t>
            </w:r>
            <w:r>
              <w:tab/>
            </w:r>
            <w:r>
              <w:fldChar w:fldCharType="begin"/>
            </w:r>
            <w:r>
              <w:instrText xml:space="preserve">PAGEREF _Toc759203259 \h</w:instrText>
            </w:r>
            <w:r>
              <w:fldChar w:fldCharType="separate"/>
            </w:r>
            <w:r w:rsidRPr="1C0C577E" w:rsidR="1C0C577E">
              <w:rPr>
                <w:rStyle w:val="Hyperlink"/>
              </w:rPr>
              <w:t>7</w:t>
            </w:r>
            <w:r>
              <w:fldChar w:fldCharType="end"/>
            </w:r>
          </w:hyperlink>
        </w:p>
        <w:p w:rsidR="1C0C577E" w:rsidP="1C0C577E" w:rsidRDefault="1C0C577E" w14:paraId="632205B5" w14:textId="506F6FE1">
          <w:pPr>
            <w:pStyle w:val="TOC3"/>
            <w:tabs>
              <w:tab w:val="right" w:leader="dot" w:pos="9360"/>
            </w:tabs>
            <w:bidi w:val="0"/>
            <w:rPr>
              <w:rStyle w:val="Hyperlink"/>
            </w:rPr>
          </w:pPr>
          <w:hyperlink w:anchor="_Toc223368019">
            <w:r w:rsidRPr="1C0C577E" w:rsidR="1C0C577E">
              <w:rPr>
                <w:rStyle w:val="Hyperlink"/>
              </w:rPr>
              <w:t>4. Motivating and Enabling Optimal Performance</w:t>
            </w:r>
            <w:r>
              <w:tab/>
            </w:r>
            <w:r>
              <w:fldChar w:fldCharType="begin"/>
            </w:r>
            <w:r>
              <w:instrText xml:space="preserve">PAGEREF _Toc223368019 \h</w:instrText>
            </w:r>
            <w:r>
              <w:fldChar w:fldCharType="separate"/>
            </w:r>
            <w:r w:rsidRPr="1C0C577E" w:rsidR="1C0C577E">
              <w:rPr>
                <w:rStyle w:val="Hyperlink"/>
              </w:rPr>
              <w:t>8</w:t>
            </w:r>
            <w:r>
              <w:fldChar w:fldCharType="end"/>
            </w:r>
          </w:hyperlink>
        </w:p>
        <w:p w:rsidR="1C0C577E" w:rsidP="1C0C577E" w:rsidRDefault="1C0C577E" w14:paraId="24D33EC4" w14:textId="4A935897">
          <w:pPr>
            <w:pStyle w:val="TOC3"/>
            <w:tabs>
              <w:tab w:val="right" w:leader="dot" w:pos="9360"/>
            </w:tabs>
            <w:bidi w:val="0"/>
            <w:rPr>
              <w:rStyle w:val="Hyperlink"/>
            </w:rPr>
          </w:pPr>
          <w:hyperlink w:anchor="_Toc1546361688">
            <w:r w:rsidRPr="1C0C577E" w:rsidR="1C0C577E">
              <w:rPr>
                <w:rStyle w:val="Hyperlink"/>
              </w:rPr>
              <w:t>5. Organisational and Employee Outcomes</w:t>
            </w:r>
            <w:r>
              <w:tab/>
            </w:r>
            <w:r>
              <w:fldChar w:fldCharType="begin"/>
            </w:r>
            <w:r>
              <w:instrText xml:space="preserve">PAGEREF _Toc1546361688 \h</w:instrText>
            </w:r>
            <w:r>
              <w:fldChar w:fldCharType="separate"/>
            </w:r>
            <w:r w:rsidRPr="1C0C577E" w:rsidR="1C0C577E">
              <w:rPr>
                <w:rStyle w:val="Hyperlink"/>
              </w:rPr>
              <w:t>8</w:t>
            </w:r>
            <w:r>
              <w:fldChar w:fldCharType="end"/>
            </w:r>
          </w:hyperlink>
        </w:p>
        <w:p w:rsidR="1C0C577E" w:rsidP="1C0C577E" w:rsidRDefault="1C0C577E" w14:paraId="63C741CD" w14:textId="474F7D7A">
          <w:pPr>
            <w:pStyle w:val="TOC3"/>
            <w:tabs>
              <w:tab w:val="right" w:leader="dot" w:pos="9360"/>
            </w:tabs>
            <w:bidi w:val="0"/>
            <w:rPr>
              <w:rStyle w:val="Hyperlink"/>
            </w:rPr>
          </w:pPr>
          <w:hyperlink w:anchor="_Toc1514184776">
            <w:r w:rsidRPr="1C0C577E" w:rsidR="1C0C577E">
              <w:rPr>
                <w:rStyle w:val="Hyperlink"/>
              </w:rPr>
              <w:t>6. Conclusion of Part 1</w:t>
            </w:r>
            <w:r>
              <w:tab/>
            </w:r>
            <w:r>
              <w:fldChar w:fldCharType="begin"/>
            </w:r>
            <w:r>
              <w:instrText xml:space="preserve">PAGEREF _Toc1514184776 \h</w:instrText>
            </w:r>
            <w:r>
              <w:fldChar w:fldCharType="separate"/>
            </w:r>
            <w:r w:rsidRPr="1C0C577E" w:rsidR="1C0C577E">
              <w:rPr>
                <w:rStyle w:val="Hyperlink"/>
              </w:rPr>
              <w:t>9</w:t>
            </w:r>
            <w:r>
              <w:fldChar w:fldCharType="end"/>
            </w:r>
          </w:hyperlink>
        </w:p>
        <w:p w:rsidR="1C0C577E" w:rsidP="1C0C577E" w:rsidRDefault="1C0C577E" w14:paraId="4C0D7D84" w14:textId="627A44B2">
          <w:pPr>
            <w:pStyle w:val="TOC2"/>
            <w:tabs>
              <w:tab w:val="right" w:leader="dot" w:pos="9360"/>
            </w:tabs>
            <w:bidi w:val="0"/>
            <w:rPr>
              <w:rStyle w:val="Hyperlink"/>
            </w:rPr>
          </w:pPr>
          <w:hyperlink w:anchor="_Toc273355058">
            <w:r w:rsidRPr="1C0C577E" w:rsidR="1C0C577E">
              <w:rPr>
                <w:rStyle w:val="Hyperlink"/>
              </w:rPr>
              <w:t>Part 2: Reflective Account on Learning, Innovation, and Professional Development</w:t>
            </w:r>
            <w:r>
              <w:tab/>
            </w:r>
            <w:r>
              <w:fldChar w:fldCharType="begin"/>
            </w:r>
            <w:r>
              <w:instrText xml:space="preserve">PAGEREF _Toc273355058 \h</w:instrText>
            </w:r>
            <w:r>
              <w:fldChar w:fldCharType="separate"/>
            </w:r>
            <w:r w:rsidRPr="1C0C577E" w:rsidR="1C0C577E">
              <w:rPr>
                <w:rStyle w:val="Hyperlink"/>
              </w:rPr>
              <w:t>9</w:t>
            </w:r>
            <w:r>
              <w:fldChar w:fldCharType="end"/>
            </w:r>
          </w:hyperlink>
        </w:p>
        <w:p w:rsidR="1C0C577E" w:rsidP="1C0C577E" w:rsidRDefault="1C0C577E" w14:paraId="51092C29" w14:textId="5C527861">
          <w:pPr>
            <w:pStyle w:val="TOC3"/>
            <w:tabs>
              <w:tab w:val="right" w:leader="dot" w:pos="9360"/>
            </w:tabs>
            <w:bidi w:val="0"/>
            <w:rPr>
              <w:rStyle w:val="Hyperlink"/>
            </w:rPr>
          </w:pPr>
          <w:hyperlink w:anchor="_Toc1231933217">
            <w:r w:rsidRPr="1C0C577E" w:rsidR="1C0C577E">
              <w:rPr>
                <w:rStyle w:val="Hyperlink"/>
              </w:rPr>
              <w:t>Description:</w:t>
            </w:r>
            <w:r>
              <w:tab/>
            </w:r>
            <w:r>
              <w:fldChar w:fldCharType="begin"/>
            </w:r>
            <w:r>
              <w:instrText xml:space="preserve">PAGEREF _Toc1231933217 \h</w:instrText>
            </w:r>
            <w:r>
              <w:fldChar w:fldCharType="separate"/>
            </w:r>
            <w:r w:rsidRPr="1C0C577E" w:rsidR="1C0C577E">
              <w:rPr>
                <w:rStyle w:val="Hyperlink"/>
              </w:rPr>
              <w:t>9</w:t>
            </w:r>
            <w:r>
              <w:fldChar w:fldCharType="end"/>
            </w:r>
          </w:hyperlink>
        </w:p>
        <w:p w:rsidR="1C0C577E" w:rsidP="1C0C577E" w:rsidRDefault="1C0C577E" w14:paraId="022CB785" w14:textId="7C3A1C08">
          <w:pPr>
            <w:pStyle w:val="TOC3"/>
            <w:tabs>
              <w:tab w:val="right" w:leader="dot" w:pos="9360"/>
            </w:tabs>
            <w:bidi w:val="0"/>
            <w:rPr>
              <w:rStyle w:val="Hyperlink"/>
            </w:rPr>
          </w:pPr>
          <w:hyperlink w:anchor="_Toc1200856532">
            <w:r w:rsidRPr="1C0C577E" w:rsidR="1C0C577E">
              <w:rPr>
                <w:rStyle w:val="Hyperlink"/>
              </w:rPr>
              <w:t>Feelings:</w:t>
            </w:r>
            <w:r>
              <w:tab/>
            </w:r>
            <w:r>
              <w:fldChar w:fldCharType="begin"/>
            </w:r>
            <w:r>
              <w:instrText xml:space="preserve">PAGEREF _Toc1200856532 \h</w:instrText>
            </w:r>
            <w:r>
              <w:fldChar w:fldCharType="separate"/>
            </w:r>
            <w:r w:rsidRPr="1C0C577E" w:rsidR="1C0C577E">
              <w:rPr>
                <w:rStyle w:val="Hyperlink"/>
              </w:rPr>
              <w:t>10</w:t>
            </w:r>
            <w:r>
              <w:fldChar w:fldCharType="end"/>
            </w:r>
          </w:hyperlink>
        </w:p>
        <w:p w:rsidR="1C0C577E" w:rsidP="1C0C577E" w:rsidRDefault="1C0C577E" w14:paraId="4304A590" w14:textId="208F4357">
          <w:pPr>
            <w:pStyle w:val="TOC3"/>
            <w:tabs>
              <w:tab w:val="right" w:leader="dot" w:pos="9360"/>
            </w:tabs>
            <w:bidi w:val="0"/>
            <w:rPr>
              <w:rStyle w:val="Hyperlink"/>
            </w:rPr>
          </w:pPr>
          <w:hyperlink w:anchor="_Toc2028033773">
            <w:r w:rsidRPr="1C0C577E" w:rsidR="1C0C577E">
              <w:rPr>
                <w:rStyle w:val="Hyperlink"/>
              </w:rPr>
              <w:t>Evaluation:</w:t>
            </w:r>
            <w:r>
              <w:tab/>
            </w:r>
            <w:r>
              <w:fldChar w:fldCharType="begin"/>
            </w:r>
            <w:r>
              <w:instrText xml:space="preserve">PAGEREF _Toc2028033773 \h</w:instrText>
            </w:r>
            <w:r>
              <w:fldChar w:fldCharType="separate"/>
            </w:r>
            <w:r w:rsidRPr="1C0C577E" w:rsidR="1C0C577E">
              <w:rPr>
                <w:rStyle w:val="Hyperlink"/>
              </w:rPr>
              <w:t>10</w:t>
            </w:r>
            <w:r>
              <w:fldChar w:fldCharType="end"/>
            </w:r>
          </w:hyperlink>
        </w:p>
        <w:p w:rsidR="1C0C577E" w:rsidP="1C0C577E" w:rsidRDefault="1C0C577E" w14:paraId="48AC449C" w14:textId="61CE2D33">
          <w:pPr>
            <w:pStyle w:val="TOC3"/>
            <w:tabs>
              <w:tab w:val="right" w:leader="dot" w:pos="9360"/>
            </w:tabs>
            <w:bidi w:val="0"/>
            <w:rPr>
              <w:rStyle w:val="Hyperlink"/>
            </w:rPr>
          </w:pPr>
          <w:hyperlink w:anchor="_Toc1650702359">
            <w:r w:rsidRPr="1C0C577E" w:rsidR="1C0C577E">
              <w:rPr>
                <w:rStyle w:val="Hyperlink"/>
              </w:rPr>
              <w:t>Analysis:</w:t>
            </w:r>
            <w:r>
              <w:tab/>
            </w:r>
            <w:r>
              <w:fldChar w:fldCharType="begin"/>
            </w:r>
            <w:r>
              <w:instrText xml:space="preserve">PAGEREF _Toc1650702359 \h</w:instrText>
            </w:r>
            <w:r>
              <w:fldChar w:fldCharType="separate"/>
            </w:r>
            <w:r w:rsidRPr="1C0C577E" w:rsidR="1C0C577E">
              <w:rPr>
                <w:rStyle w:val="Hyperlink"/>
              </w:rPr>
              <w:t>11</w:t>
            </w:r>
            <w:r>
              <w:fldChar w:fldCharType="end"/>
            </w:r>
          </w:hyperlink>
        </w:p>
        <w:p w:rsidR="1C0C577E" w:rsidP="1C0C577E" w:rsidRDefault="1C0C577E" w14:paraId="00269FB2" w14:textId="0C8E6569">
          <w:pPr>
            <w:pStyle w:val="TOC3"/>
            <w:tabs>
              <w:tab w:val="right" w:leader="dot" w:pos="9360"/>
            </w:tabs>
            <w:bidi w:val="0"/>
            <w:rPr>
              <w:rStyle w:val="Hyperlink"/>
            </w:rPr>
          </w:pPr>
          <w:hyperlink w:anchor="_Toc1282972792">
            <w:r w:rsidRPr="1C0C577E" w:rsidR="1C0C577E">
              <w:rPr>
                <w:rStyle w:val="Hyperlink"/>
              </w:rPr>
              <w:t>Conclusion:</w:t>
            </w:r>
            <w:r>
              <w:tab/>
            </w:r>
            <w:r>
              <w:fldChar w:fldCharType="begin"/>
            </w:r>
            <w:r>
              <w:instrText xml:space="preserve">PAGEREF _Toc1282972792 \h</w:instrText>
            </w:r>
            <w:r>
              <w:fldChar w:fldCharType="separate"/>
            </w:r>
            <w:r w:rsidRPr="1C0C577E" w:rsidR="1C0C577E">
              <w:rPr>
                <w:rStyle w:val="Hyperlink"/>
              </w:rPr>
              <w:t>12</w:t>
            </w:r>
            <w:r>
              <w:fldChar w:fldCharType="end"/>
            </w:r>
          </w:hyperlink>
        </w:p>
        <w:p w:rsidR="1C0C577E" w:rsidP="1C0C577E" w:rsidRDefault="1C0C577E" w14:paraId="38FC19A8" w14:textId="5FB67BA1">
          <w:pPr>
            <w:pStyle w:val="TOC3"/>
            <w:tabs>
              <w:tab w:val="right" w:leader="dot" w:pos="9360"/>
            </w:tabs>
            <w:bidi w:val="0"/>
            <w:rPr>
              <w:rStyle w:val="Hyperlink"/>
            </w:rPr>
          </w:pPr>
          <w:hyperlink w:anchor="_Toc2068045997">
            <w:r w:rsidRPr="1C0C577E" w:rsidR="1C0C577E">
              <w:rPr>
                <w:rStyle w:val="Hyperlink"/>
              </w:rPr>
              <w:t>Action Plan:</w:t>
            </w:r>
            <w:r>
              <w:tab/>
            </w:r>
            <w:r>
              <w:fldChar w:fldCharType="begin"/>
            </w:r>
            <w:r>
              <w:instrText xml:space="preserve">PAGEREF _Toc2068045997 \h</w:instrText>
            </w:r>
            <w:r>
              <w:fldChar w:fldCharType="separate"/>
            </w:r>
            <w:r w:rsidRPr="1C0C577E" w:rsidR="1C0C577E">
              <w:rPr>
                <w:rStyle w:val="Hyperlink"/>
              </w:rPr>
              <w:t>13</w:t>
            </w:r>
            <w:r>
              <w:fldChar w:fldCharType="end"/>
            </w:r>
          </w:hyperlink>
        </w:p>
        <w:p w:rsidR="1C0C577E" w:rsidP="1C0C577E" w:rsidRDefault="1C0C577E" w14:paraId="60A66735" w14:textId="34CA6603">
          <w:pPr>
            <w:pStyle w:val="TOC3"/>
            <w:tabs>
              <w:tab w:val="right" w:leader="dot" w:pos="9360"/>
            </w:tabs>
            <w:bidi w:val="0"/>
            <w:rPr>
              <w:rStyle w:val="Hyperlink"/>
            </w:rPr>
          </w:pPr>
          <w:hyperlink w:anchor="_Toc312596685">
            <w:r w:rsidRPr="1C0C577E" w:rsidR="1C0C577E">
              <w:rPr>
                <w:rStyle w:val="Hyperlink"/>
              </w:rPr>
              <w:t>References</w:t>
            </w:r>
            <w:r>
              <w:tab/>
            </w:r>
            <w:r>
              <w:fldChar w:fldCharType="begin"/>
            </w:r>
            <w:r>
              <w:instrText xml:space="preserve">PAGEREF _Toc312596685 \h</w:instrText>
            </w:r>
            <w:r>
              <w:fldChar w:fldCharType="separate"/>
            </w:r>
            <w:r w:rsidRPr="1C0C577E" w:rsidR="1C0C577E">
              <w:rPr>
                <w:rStyle w:val="Hyperlink"/>
              </w:rPr>
              <w:t>14</w:t>
            </w:r>
            <w:r>
              <w:fldChar w:fldCharType="end"/>
            </w:r>
          </w:hyperlink>
          <w:r>
            <w:fldChar w:fldCharType="end"/>
          </w:r>
        </w:p>
      </w:sdtContent>
    </w:sdt>
    <w:p w:rsidR="6951D715" w:rsidP="6951D715" w:rsidRDefault="6951D715" w14:paraId="06004FBF" w14:textId="3C373548"/>
    <w:p w:rsidR="109FCEAC" w:rsidP="1C0C577E" w:rsidRDefault="6D03A9B6" w14:paraId="1E879BEC" w14:textId="497E66B2">
      <w:pPr>
        <w:pStyle w:val="Heading2"/>
        <w:spacing w:before="299" w:after="299" w:line="360" w:lineRule="auto"/>
        <w:rPr>
          <w:rFonts w:ascii="Arial" w:hAnsi="Arial" w:eastAsia="ＭＳ 明朝" w:cs="Arial" w:asciiTheme="minorAscii" w:hAnsiTheme="minorAscii" w:eastAsiaTheme="minorEastAsia" w:cstheme="minorBidi"/>
          <w:b w:val="1"/>
          <w:bCs w:val="1"/>
          <w:sz w:val="32"/>
          <w:szCs w:val="32"/>
        </w:rPr>
      </w:pPr>
      <w:bookmarkStart w:name="_Toc811113780" w:id="5"/>
      <w:bookmarkStart w:name="_Toc1327189487" w:id="1004636409"/>
      <w:r w:rsidRPr="1C0C577E" w:rsidR="239CEAA3">
        <w:rPr>
          <w:rFonts w:ascii="Arial" w:hAnsi="Arial" w:eastAsia="ＭＳ 明朝" w:cs="Arial" w:asciiTheme="minorAscii" w:hAnsiTheme="minorAscii" w:eastAsiaTheme="minorEastAsia" w:cstheme="minorBidi"/>
          <w:b w:val="1"/>
          <w:bCs w:val="1"/>
          <w:sz w:val="32"/>
          <w:szCs w:val="32"/>
        </w:rPr>
        <w:t>Aligning People and Performance at Aether Innovations</w:t>
      </w:r>
      <w:bookmarkEnd w:id="5"/>
      <w:bookmarkEnd w:id="1004636409"/>
    </w:p>
    <w:p w:rsidR="109FCEAC" w:rsidP="1C0C577E" w:rsidRDefault="6D03A9B6" w14:paraId="2D2B3EDE" w14:textId="5FD15060">
      <w:pPr>
        <w:pStyle w:val="Heading2"/>
        <w:spacing w:before="299" w:after="299" w:line="360" w:lineRule="auto"/>
        <w:rPr>
          <w:rFonts w:ascii="Arial" w:hAnsi="Arial" w:eastAsia="ＭＳ 明朝" w:cs="Arial" w:asciiTheme="minorAscii" w:hAnsiTheme="minorAscii" w:eastAsiaTheme="minorEastAsia" w:cstheme="minorBidi"/>
          <w:b w:val="1"/>
          <w:bCs w:val="1"/>
          <w:sz w:val="28"/>
          <w:szCs w:val="28"/>
          <w:u w:val="single"/>
        </w:rPr>
      </w:pPr>
      <w:bookmarkStart w:name="_Toc453575857" w:id="6"/>
      <w:bookmarkStart w:name="_Toc1745244953" w:id="99863213"/>
      <w:r w:rsidRPr="1C0C577E" w:rsidR="239CEAA3">
        <w:rPr>
          <w:rFonts w:ascii="Arial" w:hAnsi="Arial" w:eastAsia="ＭＳ 明朝" w:cs="Arial" w:asciiTheme="minorAscii" w:hAnsiTheme="minorAscii" w:eastAsiaTheme="minorEastAsia" w:cstheme="minorBidi"/>
          <w:b w:val="1"/>
          <w:bCs w:val="1"/>
          <w:sz w:val="28"/>
          <w:szCs w:val="28"/>
          <w:u w:val="single"/>
        </w:rPr>
        <w:t>Introduction</w:t>
      </w:r>
      <w:bookmarkEnd w:id="6"/>
      <w:bookmarkEnd w:id="99863213"/>
    </w:p>
    <w:p w:rsidR="006615B7" w:rsidP="6951D715" w:rsidRDefault="109FCEAC" w14:paraId="5CBF9EC8" w14:textId="77777777">
      <w:pPr>
        <w:spacing w:before="240" w:after="240" w:line="360" w:lineRule="auto"/>
      </w:pPr>
      <w:r w:rsidRPr="6951D715">
        <w:t>This report is structured into two interconnected sections. Part 1 examines three critical performance challenges at Aether Innovations, a 300-employee technology firm</w:t>
      </w:r>
      <w:r w:rsidR="007B618B">
        <w:t>, which is</w:t>
      </w:r>
      <w:r w:rsidRPr="6951D715">
        <w:t xml:space="preserve"> experiencing stagnant growth, rising employee turnover and declining customer satisfaction (Pacelli, 2024). These issues are attributed to misalignment between organisational strategy, culture, and workforce practices. </w:t>
      </w:r>
    </w:p>
    <w:p w:rsidR="06CF633D" w:rsidP="1C0C577E" w:rsidRDefault="06CF633D" w14:paraId="1E48F110" w14:textId="16E44F31">
      <w:pPr>
        <w:spacing w:before="240" w:beforeAutospacing="off" w:after="240" w:afterAutospacing="off" w:line="360" w:lineRule="auto"/>
      </w:pPr>
      <w:r w:rsidRPr="1C0C577E" w:rsidR="06CF633D">
        <w:rPr>
          <w:color w:val="auto"/>
        </w:rPr>
        <w:t xml:space="preserve">The </w:t>
      </w:r>
      <w:r w:rsidRPr="1C0C577E" w:rsidR="67D5B3C6">
        <w:rPr>
          <w:color w:val="auto"/>
        </w:rPr>
        <w:t xml:space="preserve">report’s </w:t>
      </w:r>
      <w:r w:rsidRPr="1C0C577E" w:rsidR="06CF633D">
        <w:rPr>
          <w:color w:val="auto"/>
        </w:rPr>
        <w:t xml:space="preserve">analysis explores how </w:t>
      </w:r>
      <w:r w:rsidRPr="1C0C577E" w:rsidR="67D5B3C6">
        <w:rPr>
          <w:color w:val="auto"/>
        </w:rPr>
        <w:t xml:space="preserve">current practices in </w:t>
      </w:r>
      <w:r w:rsidRPr="1C0C577E" w:rsidR="06CF633D">
        <w:rPr>
          <w:color w:val="auto"/>
        </w:rPr>
        <w:t>organisational</w:t>
      </w:r>
      <w:r w:rsidRPr="1C0C577E" w:rsidR="06CF633D">
        <w:rPr>
          <w:color w:val="auto"/>
        </w:rPr>
        <w:t xml:space="preserve"> culture, leadership, people management, and evolving work models </w:t>
      </w:r>
      <w:r w:rsidRPr="1C0C577E" w:rsidR="67D5B3C6">
        <w:rPr>
          <w:color w:val="auto"/>
        </w:rPr>
        <w:t xml:space="preserve">can </w:t>
      </w:r>
      <w:r w:rsidRPr="1C0C577E" w:rsidR="06CF633D">
        <w:rPr>
          <w:color w:val="auto"/>
        </w:rPr>
        <w:t xml:space="preserve">influence performance outcomes and proposes an integrated human capital strategy </w:t>
      </w:r>
      <w:r w:rsidRPr="1C0C577E" w:rsidR="67D5B3C6">
        <w:rPr>
          <w:color w:val="auto"/>
        </w:rPr>
        <w:t xml:space="preserve">for Aether Innovations </w:t>
      </w:r>
      <w:r w:rsidRPr="1C0C577E" w:rsidR="06CF633D">
        <w:rPr>
          <w:color w:val="auto"/>
        </w:rPr>
        <w:t xml:space="preserve">to restore </w:t>
      </w:r>
      <w:r w:rsidRPr="1C0C577E" w:rsidR="67D5B3C6">
        <w:rPr>
          <w:color w:val="auto"/>
        </w:rPr>
        <w:t xml:space="preserve">its </w:t>
      </w:r>
      <w:r w:rsidRPr="1C0C577E" w:rsidR="06CF633D">
        <w:rPr>
          <w:color w:val="auto"/>
        </w:rPr>
        <w:t xml:space="preserve">innovation, engagement, and operational effectiveness. </w:t>
      </w:r>
      <w:r w:rsidRPr="1C0C577E" w:rsidR="67D5B3C6">
        <w:rPr>
          <w:color w:val="auto"/>
        </w:rPr>
        <w:t xml:space="preserve">It will be highlighted that </w:t>
      </w:r>
      <w:r w:rsidRPr="1C0C577E" w:rsidR="67D5B3C6">
        <w:rPr>
          <w:color w:val="auto"/>
        </w:rPr>
        <w:t>a</w:t>
      </w:r>
      <w:r w:rsidRPr="1C0C577E" w:rsidR="06CF633D">
        <w:rPr>
          <w:color w:val="auto"/>
        </w:rPr>
        <w:t xml:space="preserve">lthough internal </w:t>
      </w:r>
      <w:r w:rsidRPr="1C0C577E" w:rsidR="06CF633D">
        <w:rPr>
          <w:color w:val="auto"/>
        </w:rPr>
        <w:t>organisational</w:t>
      </w:r>
      <w:r w:rsidRPr="1C0C577E" w:rsidR="06CF633D">
        <w:rPr>
          <w:color w:val="auto"/>
        </w:rPr>
        <w:t xml:space="preserve"> dynamics are central to the case, broader economic and industry pressures also contribute to performance </w:t>
      </w:r>
      <w:r w:rsidRPr="1C0C577E" w:rsidR="67D5B3C6">
        <w:rPr>
          <w:color w:val="auto"/>
        </w:rPr>
        <w:t>challenges</w:t>
      </w:r>
      <w:r w:rsidRPr="1C0C577E" w:rsidR="67D5B3C6">
        <w:rPr>
          <w:color w:val="auto"/>
        </w:rPr>
        <w:t xml:space="preserve"> </w:t>
      </w:r>
      <w:r w:rsidRPr="1C0C577E" w:rsidR="67D5B3C6">
        <w:rPr>
          <w:color w:val="auto"/>
        </w:rPr>
        <w:t xml:space="preserve">for </w:t>
      </w:r>
      <w:r w:rsidRPr="1C0C577E" w:rsidR="59008FD1">
        <w:rPr>
          <w:color w:val="auto"/>
        </w:rPr>
        <w:t>the company</w:t>
      </w:r>
      <w:r w:rsidRPr="1C0C577E" w:rsidR="67D5B3C6">
        <w:rPr>
          <w:color w:val="auto"/>
        </w:rPr>
        <w:t>.</w:t>
      </w:r>
      <w:r w:rsidR="75DF77C7">
        <w:rPr/>
        <w:t xml:space="preserve"> </w:t>
      </w:r>
      <w:r w:rsidRPr="1C0C577E" w:rsidR="3A09FB8A">
        <w:rPr>
          <w:rFonts w:ascii="Arial" w:hAnsi="Arial" w:eastAsia="Arial" w:cs="Arial"/>
          <w:noProof w:val="0"/>
          <w:sz w:val="24"/>
          <w:szCs w:val="24"/>
          <w:lang w:val="en-US"/>
        </w:rPr>
        <w:t>I would redesign roles to increase autonomy, skill variety, ownership, and feedback, strengthen motivation and innovative performance (Hackman and Oldham, 1976).</w:t>
      </w:r>
    </w:p>
    <w:p w:rsidR="109FCEAC" w:rsidP="1C0C577E" w:rsidRDefault="006615B7" w14:paraId="088A28D1" w14:textId="0F6764DD">
      <w:pPr>
        <w:pStyle w:val="Normal"/>
        <w:suppressLineNumbers w:val="0"/>
        <w:bidi w:val="0"/>
        <w:spacing w:before="240" w:beforeAutospacing="off" w:after="240" w:afterAutospacing="off" w:line="360" w:lineRule="auto"/>
        <w:ind w:left="0" w:right="0"/>
        <w:jc w:val="left"/>
      </w:pPr>
      <w:r w:rsidRPr="1C0C577E" w:rsidR="67D5B3C6">
        <w:rPr>
          <w:color w:val="auto"/>
        </w:rPr>
        <w:t>Drawing</w:t>
      </w:r>
      <w:r w:rsidRPr="1C0C577E" w:rsidR="06CF633D">
        <w:rPr>
          <w:color w:val="auto"/>
        </w:rPr>
        <w:t xml:space="preserve"> on contemporary research</w:t>
      </w:r>
      <w:r w:rsidRPr="1C0C577E" w:rsidR="59008FD1">
        <w:rPr>
          <w:color w:val="auto"/>
        </w:rPr>
        <w:t xml:space="preserve"> </w:t>
      </w:r>
      <w:r w:rsidRPr="1C0C577E" w:rsidR="59008FD1">
        <w:rPr>
          <w:color w:val="auto"/>
        </w:rPr>
        <w:t>around tech companies</w:t>
      </w:r>
      <w:r w:rsidRPr="1C0C577E" w:rsidR="06CF633D">
        <w:rPr>
          <w:color w:val="auto"/>
        </w:rPr>
        <w:t xml:space="preserve">, Part 1 </w:t>
      </w:r>
      <w:r w:rsidRPr="1C0C577E" w:rsidR="06CF633D">
        <w:rPr>
          <w:color w:val="auto"/>
        </w:rPr>
        <w:t>demonstrates</w:t>
      </w:r>
      <w:r w:rsidRPr="1C0C577E" w:rsidR="06CF633D">
        <w:rPr>
          <w:color w:val="auto"/>
        </w:rPr>
        <w:t xml:space="preserve"> that innovation thrives when leadership, people management, and collaborative </w:t>
      </w:r>
      <w:r w:rsidRPr="1C0C577E" w:rsidR="73AEE22B">
        <w:rPr>
          <w:color w:val="auto"/>
        </w:rPr>
        <w:t>Work</w:t>
      </w:r>
      <w:r w:rsidRPr="1C0C577E" w:rsidR="06CF633D">
        <w:rPr>
          <w:color w:val="auto"/>
        </w:rPr>
        <w:t xml:space="preserve"> </w:t>
      </w:r>
      <w:r w:rsidRPr="1C0C577E" w:rsidR="346A6B51">
        <w:rPr>
          <w:color w:val="auto"/>
        </w:rPr>
        <w:t>s</w:t>
      </w:r>
      <w:r w:rsidRPr="1C0C577E" w:rsidR="42045713">
        <w:rPr>
          <w:rFonts w:ascii="Arial" w:hAnsi="Arial" w:eastAsia="Arial" w:cs="Arial"/>
          <w:noProof w:val="0"/>
          <w:color w:val="auto"/>
          <w:sz w:val="24"/>
          <w:szCs w:val="24"/>
          <w:lang w:val="en-US"/>
        </w:rPr>
        <w:t>tructures are strategically integrated (</w:t>
      </w:r>
      <w:r w:rsidRPr="1C0C577E" w:rsidR="42045713">
        <w:rPr>
          <w:rFonts w:ascii="Arial" w:hAnsi="Arial" w:eastAsia="Arial" w:cs="Arial"/>
          <w:noProof w:val="0"/>
          <w:color w:val="auto"/>
          <w:sz w:val="24"/>
          <w:szCs w:val="24"/>
          <w:lang w:val="en-US"/>
        </w:rPr>
        <w:t>Kahfi</w:t>
      </w:r>
      <w:r w:rsidRPr="1C0C577E" w:rsidR="42045713">
        <w:rPr>
          <w:rFonts w:ascii="Arial" w:hAnsi="Arial" w:eastAsia="Arial" w:cs="Arial"/>
          <w:noProof w:val="0"/>
          <w:color w:val="auto"/>
          <w:sz w:val="24"/>
          <w:szCs w:val="24"/>
          <w:lang w:val="en-US"/>
        </w:rPr>
        <w:t xml:space="preserve"> &amp; </w:t>
      </w:r>
      <w:r w:rsidRPr="1C0C577E" w:rsidR="42045713">
        <w:rPr>
          <w:rFonts w:ascii="Arial" w:hAnsi="Arial" w:eastAsia="Arial" w:cs="Arial"/>
          <w:noProof w:val="0"/>
          <w:color w:val="auto"/>
          <w:sz w:val="24"/>
          <w:szCs w:val="24"/>
          <w:lang w:val="en-US"/>
        </w:rPr>
        <w:t>Ariyanti</w:t>
      </w:r>
      <w:r w:rsidRPr="1C0C577E" w:rsidR="42045713">
        <w:rPr>
          <w:rFonts w:ascii="Arial" w:hAnsi="Arial" w:eastAsia="Arial" w:cs="Arial"/>
          <w:noProof w:val="0"/>
          <w:color w:val="auto"/>
          <w:sz w:val="24"/>
          <w:szCs w:val="24"/>
          <w:lang w:val="en-US"/>
        </w:rPr>
        <w:t xml:space="preserve">, 2024). Through this evaluation, sector-wide weaknesses such as siloed communication, role ambiguity, leadership capability gaps, and resistance to technological change are </w:t>
      </w:r>
      <w:r w:rsidRPr="1C0C577E" w:rsidR="42045713">
        <w:rPr>
          <w:rFonts w:ascii="Arial" w:hAnsi="Arial" w:eastAsia="Arial" w:cs="Arial"/>
          <w:noProof w:val="0"/>
          <w:color w:val="auto"/>
          <w:sz w:val="24"/>
          <w:szCs w:val="24"/>
          <w:lang w:val="en-US"/>
        </w:rPr>
        <w:t>identified</w:t>
      </w:r>
      <w:r w:rsidRPr="1C0C577E" w:rsidR="42045713">
        <w:rPr>
          <w:rFonts w:ascii="Arial" w:hAnsi="Arial" w:eastAsia="Arial" w:cs="Arial"/>
          <w:noProof w:val="0"/>
          <w:color w:val="auto"/>
          <w:sz w:val="24"/>
          <w:szCs w:val="24"/>
          <w:lang w:val="en-US"/>
        </w:rPr>
        <w:t>.</w:t>
      </w:r>
      <w:r w:rsidRPr="1C0C577E" w:rsidR="06CF633D">
        <w:rPr>
          <w:color w:val="auto"/>
        </w:rPr>
        <w:t xml:space="preserve"> </w:t>
      </w:r>
      <w:r w:rsidRPr="1C0C577E" w:rsidR="59008FD1">
        <w:rPr>
          <w:color w:val="auto"/>
        </w:rPr>
        <w:t>From this, some cultural and structural</w:t>
      </w:r>
      <w:r w:rsidRPr="1C0C577E" w:rsidR="06CF633D">
        <w:rPr>
          <w:color w:val="auto"/>
        </w:rPr>
        <w:t xml:space="preserve"> initiatives such as innovation sprints, cross-functional teams, intrapreneurship </w:t>
      </w:r>
      <w:r w:rsidRPr="1C0C577E" w:rsidR="06CF633D">
        <w:rPr>
          <w:color w:val="auto"/>
        </w:rPr>
        <w:t>programmes</w:t>
      </w:r>
      <w:r w:rsidRPr="1C0C577E" w:rsidR="06CF633D">
        <w:rPr>
          <w:color w:val="auto"/>
        </w:rPr>
        <w:t xml:space="preserve">, and hybrid work models are recommended to improve </w:t>
      </w:r>
      <w:r w:rsidRPr="1C0C577E" w:rsidR="59008FD1">
        <w:rPr>
          <w:color w:val="auto"/>
        </w:rPr>
        <w:t xml:space="preserve">and embed </w:t>
      </w:r>
      <w:r w:rsidRPr="1C0C577E" w:rsidR="06CF633D">
        <w:rPr>
          <w:color w:val="auto"/>
        </w:rPr>
        <w:t>innovation capacity, employee engagement, and operational outcomes (CIPD, 2023; Westerman, Bonnet &amp; McAfee, 2014).</w:t>
      </w:r>
    </w:p>
    <w:p w:rsidR="6951D715" w:rsidP="1C0C577E" w:rsidRDefault="6951D715" w14:paraId="75F4DDC1" w14:textId="487EE19D">
      <w:pPr>
        <w:spacing w:before="240" w:after="240" w:line="360" w:lineRule="auto"/>
        <w:rPr>
          <w:color w:val="auto"/>
        </w:rPr>
      </w:pPr>
      <w:r w:rsidRPr="1C0C577E" w:rsidR="06CF633D">
        <w:rPr>
          <w:color w:val="auto"/>
        </w:rPr>
        <w:t xml:space="preserve">Part 2 applies Gibbs’ Reflective Cycle (Reflective Statement: Innovation and Enterprise – LO4 Module, 2022) to </w:t>
      </w:r>
      <w:r w:rsidRPr="1C0C577E" w:rsidR="6827FBA5">
        <w:rPr>
          <w:color w:val="auto"/>
        </w:rPr>
        <w:t xml:space="preserve">reflect and </w:t>
      </w:r>
      <w:r w:rsidRPr="1C0C577E" w:rsidR="5F720B12">
        <w:rPr>
          <w:color w:val="auto"/>
        </w:rPr>
        <w:t>evaluate</w:t>
      </w:r>
      <w:r w:rsidRPr="1C0C577E" w:rsidR="6827FBA5">
        <w:rPr>
          <w:color w:val="auto"/>
        </w:rPr>
        <w:t xml:space="preserve"> </w:t>
      </w:r>
      <w:r w:rsidRPr="1C0C577E" w:rsidR="06CF633D">
        <w:rPr>
          <w:color w:val="auto"/>
        </w:rPr>
        <w:t xml:space="preserve">my </w:t>
      </w:r>
      <w:r w:rsidRPr="1C0C577E" w:rsidR="06CF633D">
        <w:rPr>
          <w:color w:val="auto"/>
        </w:rPr>
        <w:t xml:space="preserve">professional learning throughout the module. It explains how theoretical and practical insights have shaped my approach to Learning and Development (L&amp;D) while preparing me to </w:t>
      </w:r>
      <w:r w:rsidRPr="1C0C577E" w:rsidR="06CF633D">
        <w:rPr>
          <w:color w:val="auto"/>
        </w:rPr>
        <w:t>operate</w:t>
      </w:r>
      <w:r w:rsidRPr="1C0C577E" w:rsidR="06CF633D">
        <w:rPr>
          <w:color w:val="auto"/>
        </w:rPr>
        <w:t xml:space="preserve"> effectively within AI-enabled workplaces. The reflection further considers strategies for </w:t>
      </w:r>
      <w:r w:rsidRPr="1C0C577E" w:rsidR="06CF633D">
        <w:rPr>
          <w:color w:val="auto"/>
        </w:rPr>
        <w:t>maintaining</w:t>
      </w:r>
      <w:r w:rsidRPr="1C0C577E" w:rsidR="06CF633D">
        <w:rPr>
          <w:color w:val="auto"/>
        </w:rPr>
        <w:t xml:space="preserve"> professional relevance by balancing technological advancement with human leadership, judgement, and creativity (</w:t>
      </w:r>
      <w:r w:rsidRPr="1C0C577E" w:rsidR="71CC7F7D">
        <w:rPr>
          <w:color w:val="auto"/>
        </w:rPr>
        <w:t>Zhu</w:t>
      </w:r>
      <w:r w:rsidRPr="1C0C577E" w:rsidR="0C121BCF">
        <w:rPr>
          <w:color w:val="auto"/>
        </w:rPr>
        <w:t xml:space="preserve">, </w:t>
      </w:r>
      <w:r w:rsidRPr="1C0C577E" w:rsidR="71CC7F7D">
        <w:rPr>
          <w:color w:val="auto"/>
        </w:rPr>
        <w:t>Yang,</w:t>
      </w:r>
      <w:r w:rsidRPr="1C0C577E" w:rsidR="0C121BCF">
        <w:rPr>
          <w:color w:val="auto"/>
        </w:rPr>
        <w:t xml:space="preserve"> </w:t>
      </w:r>
      <w:r w:rsidRPr="1C0C577E" w:rsidR="0C121BCF">
        <w:rPr>
          <w:color w:val="auto"/>
        </w:rPr>
        <w:t>Yang</w:t>
      </w:r>
      <w:r w:rsidRPr="1C0C577E" w:rsidR="71CC7F7D">
        <w:rPr>
          <w:color w:val="auto"/>
        </w:rPr>
        <w:t xml:space="preserve"> and Sosik, </w:t>
      </w:r>
      <w:r w:rsidRPr="1C0C577E" w:rsidR="06CF633D">
        <w:rPr>
          <w:color w:val="auto"/>
        </w:rPr>
        <w:t>2024).</w:t>
      </w:r>
    </w:p>
    <w:p w:rsidR="1C0C577E" w:rsidP="1C0C577E" w:rsidRDefault="1C0C577E" w14:paraId="324467FA" w14:textId="1CE51BAA">
      <w:pPr>
        <w:spacing w:before="240" w:after="240" w:line="360" w:lineRule="auto"/>
        <w:rPr>
          <w:color w:val="auto"/>
        </w:rPr>
      </w:pPr>
    </w:p>
    <w:p w:rsidR="109FCEAC" w:rsidP="1C0C577E" w:rsidRDefault="6D03A9B6" w14:paraId="1303B7B6" w14:textId="734E35D7">
      <w:pPr>
        <w:pStyle w:val="Heading2"/>
        <w:spacing w:before="299" w:after="299" w:line="360" w:lineRule="auto"/>
        <w:rPr>
          <w:rFonts w:ascii="Arial" w:hAnsi="Arial" w:eastAsia="ＭＳ 明朝" w:cs="Arial" w:asciiTheme="minorAscii" w:hAnsiTheme="minorAscii" w:eastAsiaTheme="minorEastAsia" w:cstheme="minorBidi"/>
          <w:b w:val="1"/>
          <w:bCs w:val="1"/>
          <w:sz w:val="32"/>
          <w:szCs w:val="32"/>
        </w:rPr>
      </w:pPr>
      <w:bookmarkStart w:name="_Toc1659424332" w:id="9"/>
      <w:bookmarkStart w:name="_Toc1643505512" w:id="599718513"/>
      <w:r w:rsidRPr="1C0C577E" w:rsidR="239CEAA3">
        <w:rPr>
          <w:rFonts w:ascii="Arial" w:hAnsi="Arial" w:eastAsia="ＭＳ 明朝" w:cs="Arial" w:asciiTheme="minorAscii" w:hAnsiTheme="minorAscii" w:eastAsiaTheme="minorEastAsia" w:cstheme="minorBidi"/>
          <w:b w:val="1"/>
          <w:bCs w:val="1"/>
          <w:sz w:val="32"/>
          <w:szCs w:val="32"/>
        </w:rPr>
        <w:t>Part 1: Integrated Human Capital Strategy</w:t>
      </w:r>
      <w:bookmarkEnd w:id="9"/>
      <w:bookmarkEnd w:id="599718513"/>
    </w:p>
    <w:p w:rsidR="109FCEAC" w:rsidP="1C0C577E" w:rsidRDefault="6D03A9B6" w14:paraId="045F9A75" w14:textId="3FA2BD4A">
      <w:pPr>
        <w:pStyle w:val="Heading2"/>
        <w:rPr>
          <w:rFonts w:ascii="Arial" w:hAnsi="Arial" w:eastAsia="ＭＳ 明朝" w:cs="Arial" w:asciiTheme="minorAscii" w:hAnsiTheme="minorAscii" w:eastAsiaTheme="minorEastAsia" w:cstheme="minorBidi"/>
          <w:b w:val="1"/>
          <w:bCs w:val="1"/>
          <w:sz w:val="28"/>
          <w:szCs w:val="28"/>
          <w:u w:val="single"/>
        </w:rPr>
      </w:pPr>
      <w:bookmarkStart w:name="_Toc225561489" w:id="10"/>
      <w:bookmarkStart w:name="_Toc1840104535" w:id="961582047"/>
      <w:r w:rsidRPr="1C0C577E" w:rsidR="239CEAA3">
        <w:rPr>
          <w:rFonts w:ascii="Arial" w:hAnsi="Arial" w:eastAsia="ＭＳ 明朝" w:cs="Arial" w:asciiTheme="minorAscii" w:hAnsiTheme="minorAscii" w:eastAsiaTheme="minorEastAsia" w:cstheme="minorBidi"/>
          <w:b w:val="1"/>
          <w:bCs w:val="1"/>
          <w:sz w:val="28"/>
          <w:szCs w:val="28"/>
          <w:u w:val="single"/>
        </w:rPr>
        <w:t xml:space="preserve">1. Current Culture and Work Practices in Technology </w:t>
      </w:r>
      <w:r w:rsidRPr="1C0C577E" w:rsidR="239CEAA3">
        <w:rPr>
          <w:rFonts w:ascii="Arial" w:hAnsi="Arial" w:eastAsia="ＭＳ 明朝" w:cs="Arial" w:asciiTheme="minorAscii" w:hAnsiTheme="minorAscii" w:eastAsiaTheme="minorEastAsia" w:cstheme="minorBidi"/>
          <w:b w:val="1"/>
          <w:bCs w:val="1"/>
          <w:sz w:val="28"/>
          <w:szCs w:val="28"/>
          <w:u w:val="single"/>
        </w:rPr>
        <w:t>Organisations</w:t>
      </w:r>
      <w:bookmarkEnd w:id="10"/>
      <w:bookmarkEnd w:id="961582047"/>
    </w:p>
    <w:p w:rsidR="109FCEAC" w:rsidP="6951D715" w:rsidRDefault="109FCEAC" w14:paraId="6C78965B" w14:textId="1C4DD7F6">
      <w:pPr>
        <w:spacing w:before="240" w:after="240" w:line="360" w:lineRule="auto"/>
      </w:pPr>
      <w:r w:rsidRPr="6951D715">
        <w:t>Technology organisations typically adopt flat structures, agile work methods, and collaborative cultures to accelerate innovation and responsiveness (Westerman, Bonnet &amp; McAfee, 2014). These approaches prioritise autonomy, rapid iteration, and cross-functional collaboration. However, rapid organisational expansion often produces unintended challenges, including role ambiguity, management overload, communication breakdown, and employee burnout (Edmondson, 2018).</w:t>
      </w:r>
    </w:p>
    <w:p w:rsidR="109FCEAC" w:rsidP="6951D715" w:rsidRDefault="109FCEAC" w14:paraId="57FE1ADF" w14:textId="4094A7E3">
      <w:pPr>
        <w:spacing w:before="240" w:after="240" w:line="360" w:lineRule="auto"/>
      </w:pPr>
      <w:r w:rsidR="06CF633D">
        <w:rPr/>
        <w:t>Aether</w:t>
      </w:r>
      <w:r w:rsidR="06CF633D">
        <w:rPr/>
        <w:t xml:space="preserve"> Innovations reflects many of these industry patterns. As teams expanded to accommodate growth, coordination complexity increased</w:t>
      </w:r>
      <w:r w:rsidR="7D80181D">
        <w:rPr/>
        <w:t>,</w:t>
      </w:r>
      <w:r w:rsidR="06CF633D">
        <w:rPr/>
        <w:t xml:space="preserve"> and decision-making slowed. Employees reported unclear responsibilities and heavier workloads, contributing to disengagement and turnover exceeding sector norms (Pacelli, 2024). Declining customer satisfaction further suggests that internal inefficiencie</w:t>
      </w:r>
      <w:r w:rsidRPr="1C0C577E" w:rsidR="06CF633D">
        <w:rPr>
          <w:color w:val="auto"/>
        </w:rPr>
        <w:t xml:space="preserve">s </w:t>
      </w:r>
      <w:r w:rsidRPr="1C0C577E" w:rsidR="6827FBA5">
        <w:rPr>
          <w:color w:val="auto"/>
        </w:rPr>
        <w:t>may be</w:t>
      </w:r>
      <w:r w:rsidRPr="1C0C577E" w:rsidR="06CF633D">
        <w:rPr>
          <w:color w:val="auto"/>
        </w:rPr>
        <w:t xml:space="preserve"> unde</w:t>
      </w:r>
      <w:r w:rsidR="06CF633D">
        <w:rPr/>
        <w:t>rmining service delivery and innovation outcomes.</w:t>
      </w:r>
    </w:p>
    <w:p w:rsidR="109FCEAC" w:rsidP="6951D715" w:rsidRDefault="109FCEAC" w14:paraId="0E632DA4" w14:textId="51CB5BBA">
      <w:pPr>
        <w:spacing w:before="240" w:after="240" w:line="360" w:lineRule="auto"/>
      </w:pPr>
      <w:r w:rsidRPr="6951D715">
        <w:t>A useful comparison is Monzo Bank in the UK</w:t>
      </w:r>
      <w:r w:rsidR="00E823BB">
        <w:t xml:space="preserve"> </w:t>
      </w:r>
      <w:r w:rsidRPr="6951D715" w:rsidR="00E823BB">
        <w:t>(Monzo Bank Ltd, 2023)</w:t>
      </w:r>
      <w:r w:rsidRPr="6951D715">
        <w:t xml:space="preserve">. During periods of rapid expansion, Monzo strengthened internal communication channels, invested in people development, and introduced clearer cross-team collaboration mechanisms while maintaining its innovative identity (Monzo Bank Ltd, 2023). This example </w:t>
      </w:r>
      <w:r w:rsidRPr="6951D715">
        <w:lastRenderedPageBreak/>
        <w:t>illustrates that entrepreneurial cultures require structured people management systems to sustain growth. Without organisational frameworks supporting communication and accountability, fast-growing technology firms risk disengagement, attrition, and reduced innovation capacity.</w:t>
      </w:r>
    </w:p>
    <w:p w:rsidR="6951D715" w:rsidP="1C0C577E" w:rsidRDefault="6951D715" w14:paraId="19FA47B1" w14:textId="3D573862">
      <w:pPr>
        <w:pStyle w:val="Normal"/>
        <w:spacing w:before="240" w:after="240" w:line="360" w:lineRule="auto"/>
      </w:pPr>
      <w:r w:rsidR="06CF633D">
        <w:rPr/>
        <w:t xml:space="preserve">Research further </w:t>
      </w:r>
      <w:r w:rsidR="06CF633D">
        <w:rPr/>
        <w:t>demonstrates</w:t>
      </w:r>
      <w:r w:rsidR="06CF633D">
        <w:rPr/>
        <w:t xml:space="preserve"> that innovative cultures require clear role structures, supportive leadership, continuous learning opportunities, and psychological safety to encourage experimentation (Edmondson, 2018). Metrics such as engagement surveys, turnover rates, and customer satisfaction data provide insight into cultural weaknesses. At Aether Innovations, elevated turnover </w:t>
      </w:r>
      <w:r w:rsidR="06CF633D">
        <w:rPr/>
        <w:t>indicates</w:t>
      </w:r>
      <w:r w:rsidR="06CF633D">
        <w:rPr/>
        <w:t xml:space="preserve"> limited career progression opportunities, workload imbalances, and insufficient managerial support (CIPD, 2023). Consequently, the </w:t>
      </w:r>
      <w:r w:rsidR="06CF633D">
        <w:rPr/>
        <w:t>organisation</w:t>
      </w:r>
      <w:r w:rsidR="06CF633D">
        <w:rPr/>
        <w:t xml:space="preserve"> must evolve beyond an informal start-up environment towards a structured yet flexible model that preserves creativity while ensuring operational stability</w:t>
      </w:r>
      <w:r w:rsidR="6B56FA3A">
        <w:rPr/>
        <w:t xml:space="preserve"> </w:t>
      </w:r>
      <w:r w:rsidR="785C4DC0">
        <w:rPr/>
        <w:t>(CIPD, 2023).</w:t>
      </w:r>
    </w:p>
    <w:p w:rsidR="109FCEAC" w:rsidP="1C0C577E" w:rsidRDefault="6D03A9B6" w14:paraId="18C21A4D" w14:textId="55ADF403">
      <w:pPr>
        <w:pStyle w:val="Heading2"/>
        <w:rPr>
          <w:rFonts w:ascii="Arial" w:hAnsi="Arial" w:eastAsia="ＭＳ 明朝" w:cs="Arial" w:asciiTheme="minorAscii" w:hAnsiTheme="minorAscii" w:eastAsiaTheme="minorEastAsia" w:cstheme="minorBidi"/>
          <w:b w:val="1"/>
          <w:bCs w:val="1"/>
          <w:sz w:val="28"/>
          <w:szCs w:val="28"/>
          <w:u w:val="single"/>
        </w:rPr>
      </w:pPr>
      <w:bookmarkStart w:name="_Toc639016693" w:id="12"/>
      <w:bookmarkStart w:name="_Toc512331942" w:id="834670441"/>
      <w:r w:rsidRPr="1C0C577E" w:rsidR="239CEAA3">
        <w:rPr>
          <w:rFonts w:ascii="Arial" w:hAnsi="Arial" w:eastAsia="ＭＳ 明朝" w:cs="Arial" w:asciiTheme="minorAscii" w:hAnsiTheme="minorAscii" w:eastAsiaTheme="minorEastAsia" w:cstheme="minorBidi"/>
          <w:b w:val="1"/>
          <w:bCs w:val="1"/>
          <w:sz w:val="28"/>
          <w:szCs w:val="28"/>
          <w:u w:val="single"/>
        </w:rPr>
        <w:t>2. Embedding Innovation through Cultural and Structural Initiatives</w:t>
      </w:r>
      <w:bookmarkEnd w:id="12"/>
      <w:bookmarkEnd w:id="834670441"/>
    </w:p>
    <w:p w:rsidR="7C601CC1" w:rsidP="1C0C577E" w:rsidRDefault="0059305A" w14:paraId="0B74B77F" w14:textId="4E9769F3">
      <w:pPr>
        <w:spacing w:before="240" w:after="240" w:line="360" w:lineRule="auto"/>
        <w:rPr>
          <w:color w:val="auto"/>
        </w:rPr>
      </w:pPr>
      <w:r w:rsidRPr="1C0C577E" w:rsidR="3F0810D6">
        <w:rPr>
          <w:color w:val="auto"/>
        </w:rPr>
        <w:t xml:space="preserve">To develop a structured yet adaptable innovation recovery model, </w:t>
      </w:r>
      <w:r w:rsidRPr="1C0C577E" w:rsidR="6DDD13A7">
        <w:rPr>
          <w:color w:val="auto"/>
        </w:rPr>
        <w:t xml:space="preserve">Aether Innovations cannot rely on isolated interventions; instead, </w:t>
      </w:r>
      <w:r w:rsidRPr="1C0C577E" w:rsidR="3F0810D6">
        <w:rPr>
          <w:color w:val="auto"/>
        </w:rPr>
        <w:t>innovation</w:t>
      </w:r>
      <w:r w:rsidRPr="1C0C577E" w:rsidR="7EA71909">
        <w:rPr>
          <w:color w:val="auto"/>
        </w:rPr>
        <w:t xml:space="preserve"> must be embedded</w:t>
      </w:r>
      <w:r w:rsidRPr="1C0C577E" w:rsidR="6DDD13A7">
        <w:rPr>
          <w:color w:val="auto"/>
        </w:rPr>
        <w:t xml:space="preserve"> </w:t>
      </w:r>
      <w:r w:rsidRPr="1C0C577E" w:rsidR="6DDD13A7">
        <w:rPr>
          <w:color w:val="auto"/>
        </w:rPr>
        <w:t xml:space="preserve">within </w:t>
      </w:r>
      <w:r w:rsidRPr="1C0C577E" w:rsidR="6DDD13A7">
        <w:rPr>
          <w:color w:val="auto"/>
        </w:rPr>
        <w:t>organisational</w:t>
      </w:r>
      <w:r w:rsidRPr="1C0C577E" w:rsidR="6DDD13A7">
        <w:rPr>
          <w:color w:val="auto"/>
        </w:rPr>
        <w:t xml:space="preserve"> structures and everyday practices. Research shows that </w:t>
      </w:r>
      <w:r w:rsidRPr="1C0C577E" w:rsidR="6DDD13A7">
        <w:rPr>
          <w:color w:val="auto"/>
        </w:rPr>
        <w:t>organisations</w:t>
      </w:r>
      <w:r w:rsidRPr="1C0C577E" w:rsidR="6DDD13A7">
        <w:rPr>
          <w:color w:val="auto"/>
        </w:rPr>
        <w:t xml:space="preserve"> sustaining innovation combine collaborative cultures, empowering leadership, and employee involvement mechanisms (Westerman et al., 2014). The following initiatives are therefore proposed as mutually reinforcing components of an integrated Human Capital strategy.</w:t>
      </w:r>
    </w:p>
    <w:p w:rsidR="109FCEAC" w:rsidP="1C0C577E" w:rsidRDefault="4C2E11FF" w14:paraId="2652D892" w14:textId="0FDEC883">
      <w:pPr>
        <w:pStyle w:val="Heading2"/>
        <w:rPr>
          <w:rFonts w:ascii="Arial" w:hAnsi="Arial" w:eastAsia="ＭＳ 明朝" w:cs="Arial" w:asciiTheme="minorAscii" w:hAnsiTheme="minorAscii" w:eastAsiaTheme="minorEastAsia" w:cstheme="minorBidi"/>
          <w:b w:val="1"/>
          <w:bCs w:val="1"/>
          <w:sz w:val="24"/>
          <w:szCs w:val="24"/>
        </w:rPr>
      </w:pPr>
      <w:bookmarkStart w:name="_Toc268660917" w:id="13"/>
      <w:bookmarkStart w:name="_Toc1447744374" w:id="1537317257"/>
      <w:r w:rsidRPr="1C0C577E" w:rsidR="6A819129">
        <w:rPr>
          <w:rFonts w:ascii="Arial" w:hAnsi="Arial" w:eastAsia="ＭＳ 明朝" w:cs="Arial" w:asciiTheme="minorAscii" w:hAnsiTheme="minorAscii" w:eastAsiaTheme="minorEastAsia" w:cstheme="minorBidi"/>
          <w:b w:val="1"/>
          <w:bCs w:val="1"/>
          <w:sz w:val="24"/>
          <w:szCs w:val="24"/>
        </w:rPr>
        <w:t>2.1 Innovation Sprints</w:t>
      </w:r>
      <w:bookmarkEnd w:id="13"/>
      <w:bookmarkEnd w:id="1537317257"/>
    </w:p>
    <w:p w:rsidR="109FCEAC" w:rsidP="1C0C577E" w:rsidRDefault="7C601CC1" w14:paraId="0900E370" w14:textId="7A8AE6F1">
      <w:pPr>
        <w:spacing w:before="240" w:after="240" w:line="360" w:lineRule="auto"/>
        <w:rPr>
          <w:rFonts w:ascii="Arial" w:hAnsi="Arial" w:eastAsia="Arial" w:cs="Arial" w:asciiTheme="minorAscii" w:hAnsiTheme="minorAscii" w:eastAsiaTheme="minorAscii" w:cstheme="minorAscii"/>
          <w:color w:val="auto"/>
        </w:rPr>
      </w:pPr>
      <w:r w:rsidRPr="1C0C577E" w:rsidR="6DDD13A7">
        <w:rPr>
          <w:rFonts w:ascii="Arial" w:hAnsi="Arial" w:eastAsia="Arial" w:cs="Arial" w:asciiTheme="minorAscii" w:hAnsiTheme="minorAscii" w:eastAsiaTheme="minorAscii" w:cstheme="minorAscii"/>
          <w:color w:val="auto"/>
        </w:rPr>
        <w:t xml:space="preserve">Innovation sprints are short, cross-functional projects designed to accelerate experimentation and prototype solutions addressing </w:t>
      </w:r>
      <w:r w:rsidRPr="1C0C577E" w:rsidR="6DDD13A7">
        <w:rPr>
          <w:rFonts w:ascii="Arial" w:hAnsi="Arial" w:eastAsia="Arial" w:cs="Arial" w:asciiTheme="minorAscii" w:hAnsiTheme="minorAscii" w:eastAsiaTheme="minorAscii" w:cstheme="minorAscii"/>
          <w:color w:val="auto"/>
        </w:rPr>
        <w:t>organisational</w:t>
      </w:r>
      <w:r w:rsidRPr="1C0C577E" w:rsidR="6DDD13A7">
        <w:rPr>
          <w:rFonts w:ascii="Arial" w:hAnsi="Arial" w:eastAsia="Arial" w:cs="Arial" w:asciiTheme="minorAscii" w:hAnsiTheme="minorAscii" w:eastAsiaTheme="minorAscii" w:cstheme="minorAscii"/>
          <w:color w:val="auto"/>
        </w:rPr>
        <w:t xml:space="preserve"> or customer challenges (Rigby, Sutherland &amp; Takeuchi, 2016). They reduce bureaucracy while promoting rapid decision-making and collaboration.</w:t>
      </w:r>
    </w:p>
    <w:p w:rsidR="109FCEAC" w:rsidP="1C0C577E" w:rsidRDefault="7C601CC1" w14:paraId="159CE480" w14:textId="27DFC9DD">
      <w:pPr>
        <w:pStyle w:val="Normal"/>
        <w:spacing w:before="240" w:after="240" w:line="360" w:lineRule="auto"/>
        <w:rPr>
          <w:rFonts w:ascii="Arial" w:hAnsi="Arial" w:eastAsia="Arial" w:cs="Arial" w:asciiTheme="minorAscii" w:hAnsiTheme="minorAscii" w:eastAsiaTheme="minorAscii" w:cstheme="minorAscii"/>
          <w:noProof w:val="0"/>
          <w:color w:val="auto"/>
          <w:sz w:val="24"/>
          <w:szCs w:val="24"/>
          <w:lang w:val="en-US"/>
        </w:rPr>
      </w:pPr>
      <w:r w:rsidRPr="1C0C577E" w:rsidR="1089A897">
        <w:rPr>
          <w:rFonts w:ascii="Arial" w:hAnsi="Arial" w:eastAsia="Arial" w:cs="Arial" w:asciiTheme="minorAscii" w:hAnsiTheme="minorAscii" w:eastAsiaTheme="minorAscii" w:cstheme="minorAscii"/>
          <w:color w:val="auto"/>
        </w:rPr>
        <w:t xml:space="preserve">Their effectiveness can be explained through the Job Characteristics Model (Hackman &amp; Oldham, 1976), which identifies five dimensions driving motivation: skill variety, task identity, task significance, autonomy, and feedback. Innovation sprints incorporate all five by enabling employees to apply diverse skills, deliver visible outcomes, </w:t>
      </w:r>
      <w:r w:rsidRPr="1C0C577E" w:rsidR="1089A897">
        <w:rPr>
          <w:rFonts w:ascii="Arial" w:hAnsi="Arial" w:eastAsia="Arial" w:cs="Arial" w:asciiTheme="minorAscii" w:hAnsiTheme="minorAscii" w:eastAsiaTheme="minorAscii" w:cstheme="minorAscii"/>
          <w:color w:val="auto"/>
        </w:rPr>
        <w:t>recognise</w:t>
      </w:r>
      <w:r w:rsidRPr="1C0C577E" w:rsidR="1089A897">
        <w:rPr>
          <w:rFonts w:ascii="Arial" w:hAnsi="Arial" w:eastAsia="Arial" w:cs="Arial" w:asciiTheme="minorAscii" w:hAnsiTheme="minorAscii" w:eastAsiaTheme="minorAscii" w:cstheme="minorAscii"/>
          <w:color w:val="auto"/>
        </w:rPr>
        <w:t xml:space="preserve"> customer impact, exercise autonomy, and receive rapid feedback through iterative testing. </w:t>
      </w:r>
      <w:r w:rsidRPr="1C0C577E" w:rsidR="7FD4EEC7">
        <w:rPr>
          <w:rFonts w:ascii="Arial" w:hAnsi="Arial" w:eastAsia="Arial" w:cs="Arial" w:asciiTheme="minorAscii" w:hAnsiTheme="minorAscii" w:eastAsiaTheme="minorAscii" w:cstheme="minorAscii"/>
          <w:noProof w:val="0"/>
          <w:color w:val="auto"/>
          <w:sz w:val="24"/>
          <w:szCs w:val="24"/>
          <w:lang w:val="en-US"/>
        </w:rPr>
        <w:t xml:space="preserve">Jobs designed around these principles enhance meaningfulness, strengthen personal responsibility, and improve knowledge of results, thereby increasing intrinsic motivation, engagement, and overall performance (Hackman and Oldham, 1976; Humphrey, </w:t>
      </w:r>
      <w:r w:rsidRPr="1C0C577E" w:rsidR="7FD4EEC7">
        <w:rPr>
          <w:rFonts w:ascii="Arial" w:hAnsi="Arial" w:eastAsia="Arial" w:cs="Arial" w:asciiTheme="minorAscii" w:hAnsiTheme="minorAscii" w:eastAsiaTheme="minorAscii" w:cstheme="minorAscii"/>
          <w:noProof w:val="0"/>
          <w:color w:val="auto"/>
          <w:sz w:val="24"/>
          <w:szCs w:val="24"/>
          <w:lang w:val="en-US"/>
        </w:rPr>
        <w:t>Nahrgang</w:t>
      </w:r>
      <w:r w:rsidRPr="1C0C577E" w:rsidR="7FD4EEC7">
        <w:rPr>
          <w:rFonts w:ascii="Arial" w:hAnsi="Arial" w:eastAsia="Arial" w:cs="Arial" w:asciiTheme="minorAscii" w:hAnsiTheme="minorAscii" w:eastAsiaTheme="minorAscii" w:cstheme="minorAscii"/>
          <w:noProof w:val="0"/>
          <w:color w:val="auto"/>
          <w:sz w:val="24"/>
          <w:szCs w:val="24"/>
          <w:lang w:val="en-US"/>
        </w:rPr>
        <w:t xml:space="preserve"> and Morgeson, 2007; Parker, </w:t>
      </w:r>
      <w:r w:rsidRPr="1C0C577E" w:rsidR="7FD4EEC7">
        <w:rPr>
          <w:rFonts w:ascii="Arial" w:hAnsi="Arial" w:eastAsia="Arial" w:cs="Arial" w:asciiTheme="minorAscii" w:hAnsiTheme="minorAscii" w:eastAsiaTheme="minorAscii" w:cstheme="minorAscii"/>
          <w:noProof w:val="0"/>
          <w:color w:val="auto"/>
          <w:sz w:val="24"/>
          <w:szCs w:val="24"/>
          <w:lang w:val="en-US"/>
        </w:rPr>
        <w:t>Morgeson</w:t>
      </w:r>
      <w:r w:rsidRPr="1C0C577E" w:rsidR="7FD4EEC7">
        <w:rPr>
          <w:rFonts w:ascii="Arial" w:hAnsi="Arial" w:eastAsia="Arial" w:cs="Arial" w:asciiTheme="minorAscii" w:hAnsiTheme="minorAscii" w:eastAsiaTheme="minorAscii" w:cstheme="minorAscii"/>
          <w:noProof w:val="0"/>
          <w:color w:val="auto"/>
          <w:sz w:val="24"/>
          <w:szCs w:val="24"/>
          <w:lang w:val="en-US"/>
        </w:rPr>
        <w:t xml:space="preserve"> and Johns, 2017).</w:t>
      </w:r>
    </w:p>
    <w:p w:rsidR="6951D715" w:rsidP="1C0C577E" w:rsidRDefault="7C601CC1" w14:paraId="176CA60D" w14:textId="39509104">
      <w:pPr>
        <w:spacing w:before="240" w:after="240" w:line="360" w:lineRule="auto"/>
        <w:rPr>
          <w:rFonts w:ascii="Arial" w:hAnsi="Arial" w:eastAsia="Arial" w:cs="Arial" w:asciiTheme="minorAscii" w:hAnsiTheme="minorAscii" w:eastAsiaTheme="minorAscii" w:cstheme="minorAscii"/>
          <w:color w:val="auto"/>
        </w:rPr>
      </w:pPr>
      <w:r w:rsidRPr="1C0C577E" w:rsidR="6DDD13A7">
        <w:rPr>
          <w:rFonts w:ascii="Arial" w:hAnsi="Arial" w:eastAsia="Arial" w:cs="Arial" w:asciiTheme="minorAscii" w:hAnsiTheme="minorAscii" w:eastAsiaTheme="minorAscii" w:cstheme="minorAscii"/>
          <w:color w:val="auto"/>
        </w:rPr>
        <w:t>At Aether Innovations, quarterly sprints should involve</w:t>
      </w:r>
      <w:r w:rsidRPr="1C0C577E" w:rsidR="0C7F9062">
        <w:rPr>
          <w:rFonts w:ascii="Arial" w:hAnsi="Arial" w:eastAsia="Arial" w:cs="Arial" w:asciiTheme="minorAscii" w:hAnsiTheme="minorAscii" w:eastAsiaTheme="minorAscii" w:cstheme="minorAscii"/>
          <w:color w:val="auto"/>
        </w:rPr>
        <w:t xml:space="preserve"> </w:t>
      </w:r>
      <w:r w:rsidRPr="1C0C577E" w:rsidR="7EA71909">
        <w:rPr>
          <w:rFonts w:ascii="Arial" w:hAnsi="Arial" w:eastAsia="Arial" w:cs="Arial" w:asciiTheme="minorAscii" w:hAnsiTheme="minorAscii" w:eastAsiaTheme="minorAscii" w:cstheme="minorAscii"/>
          <w:color w:val="auto"/>
        </w:rPr>
        <w:t>Research</w:t>
      </w:r>
      <w:r w:rsidRPr="1C0C577E" w:rsidR="7EA71909">
        <w:rPr>
          <w:rFonts w:ascii="Arial" w:hAnsi="Arial" w:eastAsia="Arial" w:cs="Arial" w:asciiTheme="minorAscii" w:hAnsiTheme="minorAscii" w:eastAsiaTheme="minorAscii" w:cstheme="minorAscii"/>
          <w:color w:val="auto"/>
        </w:rPr>
        <w:t xml:space="preserve"> and</w:t>
      </w:r>
      <w:r w:rsidRPr="1C0C577E" w:rsidR="0C7F9062">
        <w:rPr>
          <w:rFonts w:ascii="Arial" w:hAnsi="Arial" w:eastAsia="Arial" w:cs="Arial" w:asciiTheme="minorAscii" w:hAnsiTheme="minorAscii" w:eastAsiaTheme="minorAscii" w:cstheme="minorAscii"/>
          <w:color w:val="auto"/>
        </w:rPr>
        <w:t xml:space="preserve"> </w:t>
      </w:r>
      <w:r w:rsidRPr="1C0C577E" w:rsidR="2472F580">
        <w:rPr>
          <w:rFonts w:ascii="Arial" w:hAnsi="Arial" w:eastAsia="Arial" w:cs="Arial" w:asciiTheme="minorAscii" w:hAnsiTheme="minorAscii" w:eastAsiaTheme="minorAscii" w:cstheme="minorAscii"/>
          <w:color w:val="auto"/>
        </w:rPr>
        <w:t>Deployment</w:t>
      </w:r>
      <w:r w:rsidRPr="1C0C577E" w:rsidR="6DDD13A7">
        <w:rPr>
          <w:rFonts w:ascii="Arial" w:hAnsi="Arial" w:eastAsia="Arial" w:cs="Arial" w:asciiTheme="minorAscii" w:hAnsiTheme="minorAscii" w:eastAsiaTheme="minorAscii" w:cstheme="minorAscii"/>
          <w:color w:val="auto"/>
        </w:rPr>
        <w:t xml:space="preserve"> </w:t>
      </w:r>
      <w:r w:rsidRPr="1C0C577E" w:rsidR="6529A8BE">
        <w:rPr>
          <w:rFonts w:ascii="Arial" w:hAnsi="Arial" w:eastAsia="Arial" w:cs="Arial" w:asciiTheme="minorAscii" w:hAnsiTheme="minorAscii" w:eastAsiaTheme="minorAscii" w:cstheme="minorAscii"/>
          <w:color w:val="auto"/>
        </w:rPr>
        <w:t>(</w:t>
      </w:r>
      <w:r w:rsidRPr="1C0C577E" w:rsidR="6DDD13A7">
        <w:rPr>
          <w:rFonts w:ascii="Arial" w:hAnsi="Arial" w:eastAsia="Arial" w:cs="Arial" w:asciiTheme="minorAscii" w:hAnsiTheme="minorAscii" w:eastAsiaTheme="minorAscii" w:cstheme="minorAscii"/>
          <w:color w:val="auto"/>
        </w:rPr>
        <w:t>R&amp;D</w:t>
      </w:r>
      <w:r w:rsidRPr="1C0C577E" w:rsidR="606072A2">
        <w:rPr>
          <w:rFonts w:ascii="Arial" w:hAnsi="Arial" w:eastAsia="Arial" w:cs="Arial" w:asciiTheme="minorAscii" w:hAnsiTheme="minorAscii" w:eastAsiaTheme="minorAscii" w:cstheme="minorAscii"/>
          <w:color w:val="auto"/>
        </w:rPr>
        <w:t>)</w:t>
      </w:r>
      <w:r w:rsidRPr="1C0C577E" w:rsidR="6DDD13A7">
        <w:rPr>
          <w:rFonts w:ascii="Arial" w:hAnsi="Arial" w:eastAsia="Arial" w:cs="Arial" w:asciiTheme="minorAscii" w:hAnsiTheme="minorAscii" w:eastAsiaTheme="minorAscii" w:cstheme="minorAscii"/>
          <w:color w:val="auto"/>
        </w:rPr>
        <w:t xml:space="preserve">, product, marketing, and customer support teams </w:t>
      </w:r>
      <w:r w:rsidRPr="1C0C577E" w:rsidR="7EA71909">
        <w:rPr>
          <w:rFonts w:ascii="Arial" w:hAnsi="Arial" w:eastAsia="Arial" w:cs="Arial" w:asciiTheme="minorAscii" w:hAnsiTheme="minorAscii" w:eastAsiaTheme="minorAscii" w:cstheme="minorAscii"/>
          <w:color w:val="auto"/>
        </w:rPr>
        <w:t xml:space="preserve">to </w:t>
      </w:r>
      <w:r w:rsidRPr="1C0C577E" w:rsidR="6DDD13A7">
        <w:rPr>
          <w:rFonts w:ascii="Arial" w:hAnsi="Arial" w:eastAsia="Arial" w:cs="Arial" w:asciiTheme="minorAscii" w:hAnsiTheme="minorAscii" w:eastAsiaTheme="minorAscii" w:cstheme="minorAscii"/>
          <w:color w:val="auto"/>
        </w:rPr>
        <w:t>address</w:t>
      </w:r>
      <w:r w:rsidRPr="1C0C577E" w:rsidR="7EA71909">
        <w:rPr>
          <w:rFonts w:ascii="Arial" w:hAnsi="Arial" w:eastAsia="Arial" w:cs="Arial" w:asciiTheme="minorAscii" w:hAnsiTheme="minorAscii" w:eastAsiaTheme="minorAscii" w:cstheme="minorAscii"/>
          <w:color w:val="auto"/>
        </w:rPr>
        <w:t xml:space="preserve"> </w:t>
      </w:r>
      <w:r w:rsidRPr="1C0C577E" w:rsidR="6DDD13A7">
        <w:rPr>
          <w:rFonts w:ascii="Arial" w:hAnsi="Arial" w:eastAsia="Arial" w:cs="Arial" w:asciiTheme="minorAscii" w:hAnsiTheme="minorAscii" w:eastAsiaTheme="minorAscii" w:cstheme="minorAscii"/>
          <w:color w:val="auto"/>
        </w:rPr>
        <w:t xml:space="preserve">priority challenges such as customer experience improvement or service automation. </w:t>
      </w:r>
      <w:r w:rsidRPr="1C0C577E" w:rsidR="7EA71909">
        <w:rPr>
          <w:rFonts w:ascii="Arial" w:hAnsi="Arial" w:eastAsia="Arial" w:cs="Arial" w:asciiTheme="minorAscii" w:hAnsiTheme="minorAscii" w:eastAsiaTheme="minorAscii" w:cstheme="minorAscii"/>
          <w:color w:val="auto"/>
        </w:rPr>
        <w:t xml:space="preserve">Allocating </w:t>
      </w:r>
      <w:r w:rsidRPr="1C0C577E" w:rsidR="7EA71909">
        <w:rPr>
          <w:rFonts w:ascii="Arial" w:hAnsi="Arial" w:eastAsia="Arial" w:cs="Arial" w:asciiTheme="minorAscii" w:hAnsiTheme="minorAscii" w:eastAsiaTheme="minorAscii" w:cstheme="minorAscii"/>
          <w:color w:val="auto"/>
        </w:rPr>
        <w:t>d</w:t>
      </w:r>
      <w:r w:rsidRPr="1C0C577E" w:rsidR="6DDD13A7">
        <w:rPr>
          <w:rFonts w:ascii="Arial" w:hAnsi="Arial" w:eastAsia="Arial" w:cs="Arial" w:asciiTheme="minorAscii" w:hAnsiTheme="minorAscii" w:eastAsiaTheme="minorAscii" w:cstheme="minorAscii"/>
          <w:color w:val="auto"/>
        </w:rPr>
        <w:t xml:space="preserve">edicated budgets and </w:t>
      </w:r>
      <w:r w:rsidRPr="1C0C577E" w:rsidR="7EA71909">
        <w:rPr>
          <w:rFonts w:ascii="Arial" w:hAnsi="Arial" w:eastAsia="Arial" w:cs="Arial" w:asciiTheme="minorAscii" w:hAnsiTheme="minorAscii" w:eastAsiaTheme="minorAscii" w:cstheme="minorAscii"/>
          <w:color w:val="auto"/>
        </w:rPr>
        <w:t xml:space="preserve">allowing </w:t>
      </w:r>
      <w:r w:rsidRPr="1C0C577E" w:rsidR="6DDD13A7">
        <w:rPr>
          <w:rFonts w:ascii="Arial" w:hAnsi="Arial" w:eastAsia="Arial" w:cs="Arial" w:asciiTheme="minorAscii" w:hAnsiTheme="minorAscii" w:eastAsiaTheme="minorAscii" w:cstheme="minorAscii"/>
          <w:color w:val="auto"/>
        </w:rPr>
        <w:t xml:space="preserve">executive decision authority would enable </w:t>
      </w:r>
      <w:r w:rsidRPr="1C0C577E" w:rsidR="644639BF">
        <w:rPr>
          <w:rFonts w:ascii="Arial" w:hAnsi="Arial" w:eastAsia="Arial" w:cs="Arial" w:asciiTheme="minorAscii" w:hAnsiTheme="minorAscii" w:eastAsiaTheme="minorAscii" w:cstheme="minorAscii"/>
          <w:color w:val="auto"/>
        </w:rPr>
        <w:t xml:space="preserve">the </w:t>
      </w:r>
      <w:r w:rsidRPr="1C0C577E" w:rsidR="6DDD13A7">
        <w:rPr>
          <w:rFonts w:ascii="Arial" w:hAnsi="Arial" w:eastAsia="Arial" w:cs="Arial" w:asciiTheme="minorAscii" w:hAnsiTheme="minorAscii" w:eastAsiaTheme="minorAscii" w:cstheme="minorAscii"/>
          <w:color w:val="auto"/>
        </w:rPr>
        <w:t>rapid implementation of successful solutions</w:t>
      </w:r>
      <w:r w:rsidRPr="1C0C577E" w:rsidR="7EA71909">
        <w:rPr>
          <w:rFonts w:ascii="Arial" w:hAnsi="Arial" w:eastAsia="Arial" w:cs="Arial" w:asciiTheme="minorAscii" w:hAnsiTheme="minorAscii" w:eastAsiaTheme="minorAscii" w:cstheme="minorAscii"/>
          <w:color w:val="auto"/>
        </w:rPr>
        <w:t xml:space="preserve"> </w:t>
      </w:r>
      <w:r w:rsidRPr="1C0C577E" w:rsidR="7EA71909">
        <w:rPr>
          <w:rFonts w:ascii="Arial" w:hAnsi="Arial" w:eastAsia="Arial" w:cs="Arial" w:asciiTheme="minorAscii" w:hAnsiTheme="minorAscii" w:eastAsiaTheme="minorAscii" w:cstheme="minorAscii"/>
          <w:color w:val="auto"/>
        </w:rPr>
        <w:t>b</w:t>
      </w:r>
      <w:r w:rsidRPr="1C0C577E" w:rsidR="7EA71909">
        <w:rPr>
          <w:rFonts w:ascii="Arial" w:hAnsi="Arial" w:eastAsia="Arial" w:cs="Arial" w:asciiTheme="minorAscii" w:hAnsiTheme="minorAscii" w:eastAsiaTheme="minorAscii" w:cstheme="minorAscii"/>
          <w:color w:val="auto"/>
        </w:rPr>
        <w:t>y</w:t>
      </w:r>
      <w:r w:rsidRPr="1C0C577E" w:rsidR="152E4597">
        <w:rPr>
          <w:rFonts w:ascii="Arial" w:hAnsi="Arial" w:eastAsia="Arial" w:cs="Arial" w:asciiTheme="minorAscii" w:hAnsiTheme="minorAscii" w:eastAsiaTheme="minorAscii" w:cstheme="minorAscii"/>
          <w:color w:val="auto"/>
        </w:rPr>
        <w:t xml:space="preserve"> </w:t>
      </w:r>
      <w:r w:rsidRPr="1C0C577E" w:rsidR="152E4597">
        <w:rPr>
          <w:rFonts w:ascii="Arial" w:hAnsi="Arial" w:eastAsia="Arial" w:cs="Arial" w:asciiTheme="minorAscii" w:hAnsiTheme="minorAscii" w:eastAsiaTheme="minorAscii" w:cstheme="minorAscii"/>
          <w:color w:val="auto"/>
        </w:rPr>
        <w:t>bring</w:t>
      </w:r>
      <w:r w:rsidRPr="1C0C577E" w:rsidR="152E4597">
        <w:rPr>
          <w:rFonts w:ascii="Arial" w:hAnsi="Arial" w:eastAsia="Arial" w:cs="Arial" w:asciiTheme="minorAscii" w:hAnsiTheme="minorAscii" w:eastAsiaTheme="minorAscii" w:cstheme="minorAscii"/>
          <w:color w:val="auto"/>
        </w:rPr>
        <w:t xml:space="preserve"> more time </w:t>
      </w:r>
      <w:r w:rsidRPr="1C0C577E" w:rsidR="152E4597">
        <w:rPr>
          <w:rFonts w:ascii="Arial" w:hAnsi="Arial" w:eastAsia="Arial" w:cs="Arial" w:asciiTheme="minorAscii" w:hAnsiTheme="minorAscii" w:eastAsiaTheme="minorAscii" w:cstheme="minorAscii"/>
          <w:color w:val="auto"/>
        </w:rPr>
        <w:t>efficien</w:t>
      </w:r>
      <w:r w:rsidRPr="1C0C577E" w:rsidR="3D6ECFAC">
        <w:rPr>
          <w:rFonts w:ascii="Arial" w:hAnsi="Arial" w:eastAsia="Arial" w:cs="Arial" w:asciiTheme="minorAscii" w:hAnsiTheme="minorAscii" w:eastAsiaTheme="minorAscii" w:cstheme="minorAscii"/>
          <w:color w:val="auto"/>
        </w:rPr>
        <w:t>t</w:t>
      </w:r>
      <w:r w:rsidRPr="1C0C577E" w:rsidR="3D6ECFAC">
        <w:rPr>
          <w:rFonts w:ascii="Arial" w:hAnsi="Arial" w:eastAsia="Arial" w:cs="Arial" w:asciiTheme="minorAscii" w:hAnsiTheme="minorAscii" w:eastAsiaTheme="minorAscii" w:cstheme="minorAscii"/>
          <w:color w:val="auto"/>
        </w:rPr>
        <w:t>.</w:t>
      </w:r>
      <w:r w:rsidRPr="1C0C577E" w:rsidR="6DDD13A7">
        <w:rPr>
          <w:rFonts w:ascii="Arial" w:hAnsi="Arial" w:eastAsia="Arial" w:cs="Arial" w:asciiTheme="minorAscii" w:hAnsiTheme="minorAscii" w:eastAsiaTheme="minorAscii" w:cstheme="minorAscii"/>
          <w:color w:val="auto"/>
        </w:rPr>
        <w:t xml:space="preserve"> </w:t>
      </w:r>
      <w:r w:rsidRPr="1C0C577E" w:rsidR="6DDD13A7">
        <w:rPr>
          <w:rFonts w:ascii="Arial" w:hAnsi="Arial" w:eastAsia="Arial" w:cs="Arial" w:asciiTheme="minorAscii" w:hAnsiTheme="minorAscii" w:eastAsiaTheme="minorAscii" w:cstheme="minorAscii"/>
          <w:color w:val="auto"/>
        </w:rPr>
        <w:t xml:space="preserve">Research </w:t>
      </w:r>
      <w:r w:rsidRPr="1C0C577E" w:rsidR="6DDD13A7">
        <w:rPr>
          <w:rFonts w:ascii="Arial" w:hAnsi="Arial" w:eastAsia="Arial" w:cs="Arial" w:asciiTheme="minorAscii" w:hAnsiTheme="minorAscii" w:eastAsiaTheme="minorAscii" w:cstheme="minorAscii"/>
          <w:color w:val="auto"/>
        </w:rPr>
        <w:t>indicates</w:t>
      </w:r>
      <w:r w:rsidRPr="1C0C577E" w:rsidR="6DDD13A7">
        <w:rPr>
          <w:rFonts w:ascii="Arial" w:hAnsi="Arial" w:eastAsia="Arial" w:cs="Arial" w:asciiTheme="minorAscii" w:hAnsiTheme="minorAscii" w:eastAsiaTheme="minorAscii" w:cstheme="minorAscii"/>
          <w:color w:val="auto"/>
        </w:rPr>
        <w:t xml:space="preserve"> that </w:t>
      </w:r>
      <w:r w:rsidRPr="1C0C577E" w:rsidR="6DDD13A7">
        <w:rPr>
          <w:rFonts w:ascii="Arial" w:hAnsi="Arial" w:eastAsia="Arial" w:cs="Arial" w:asciiTheme="minorAscii" w:hAnsiTheme="minorAscii" w:eastAsiaTheme="minorAscii" w:cstheme="minorAscii"/>
          <w:color w:val="auto"/>
        </w:rPr>
        <w:t>organisations</w:t>
      </w:r>
      <w:r w:rsidRPr="1C0C577E" w:rsidR="6DDD13A7">
        <w:rPr>
          <w:rFonts w:ascii="Arial" w:hAnsi="Arial" w:eastAsia="Arial" w:cs="Arial" w:asciiTheme="minorAscii" w:hAnsiTheme="minorAscii" w:eastAsiaTheme="minorAscii" w:cstheme="minorAscii"/>
          <w:color w:val="auto"/>
        </w:rPr>
        <w:t xml:space="preserve"> employing structured experimentation respond more effectively to market change (Westerman et al., 2014). Thus, innovation sprints offer both motivational and commercial advantages</w:t>
      </w:r>
      <w:r w:rsidRPr="1C0C577E" w:rsidR="7EA71909">
        <w:rPr>
          <w:rFonts w:ascii="Arial" w:hAnsi="Arial" w:eastAsia="Arial" w:cs="Arial" w:asciiTheme="minorAscii" w:hAnsiTheme="minorAscii" w:eastAsiaTheme="minorAscii" w:cstheme="minorAscii"/>
          <w:color w:val="auto"/>
        </w:rPr>
        <w:t xml:space="preserve"> </w:t>
      </w:r>
      <w:r w:rsidRPr="1C0C577E" w:rsidR="440AFD99">
        <w:rPr>
          <w:rFonts w:ascii="Arial" w:hAnsi="Arial" w:eastAsia="Arial" w:cs="Arial" w:asciiTheme="minorAscii" w:hAnsiTheme="minorAscii" w:eastAsiaTheme="minorAscii" w:cstheme="minorAscii"/>
          <w:color w:val="auto"/>
        </w:rPr>
        <w:t>because they</w:t>
      </w:r>
      <w:r w:rsidRPr="1C0C577E" w:rsidR="7E597C4A">
        <w:rPr>
          <w:rFonts w:ascii="Arial" w:hAnsi="Arial" w:eastAsia="Arial" w:cs="Arial" w:asciiTheme="minorAscii" w:hAnsiTheme="minorAscii" w:eastAsiaTheme="minorAscii" w:cstheme="minorAscii"/>
          <w:color w:val="auto"/>
        </w:rPr>
        <w:t xml:space="preserve"> </w:t>
      </w:r>
      <w:r w:rsidRPr="1C0C577E" w:rsidR="67D63C4C">
        <w:rPr>
          <w:rFonts w:ascii="Arial" w:hAnsi="Arial" w:eastAsia="Arial" w:cs="Arial" w:asciiTheme="minorAscii" w:hAnsiTheme="minorAscii" w:eastAsiaTheme="minorAscii" w:cstheme="minorAscii"/>
          <w:color w:val="auto"/>
        </w:rPr>
        <w:t>align</w:t>
      </w:r>
      <w:r w:rsidRPr="1C0C577E" w:rsidR="7E597C4A">
        <w:rPr>
          <w:rFonts w:ascii="Arial" w:hAnsi="Arial" w:eastAsia="Arial" w:cs="Arial" w:asciiTheme="minorAscii" w:hAnsiTheme="minorAscii" w:eastAsiaTheme="minorAscii" w:cstheme="minorAscii"/>
          <w:color w:val="auto"/>
        </w:rPr>
        <w:t xml:space="preserve"> with the job characteristics m</w:t>
      </w:r>
      <w:r w:rsidRPr="1C0C577E" w:rsidR="62C19C22">
        <w:rPr>
          <w:rFonts w:ascii="Arial" w:hAnsi="Arial" w:eastAsia="Arial" w:cs="Arial" w:asciiTheme="minorAscii" w:hAnsiTheme="minorAscii" w:eastAsiaTheme="minorAscii" w:cstheme="minorAscii"/>
          <w:color w:val="auto"/>
        </w:rPr>
        <w:t>odel</w:t>
      </w:r>
      <w:r w:rsidRPr="1C0C577E" w:rsidR="7EA71909">
        <w:rPr>
          <w:rFonts w:ascii="Arial" w:hAnsi="Arial" w:eastAsia="Arial" w:cs="Arial" w:asciiTheme="minorAscii" w:hAnsiTheme="minorAscii" w:eastAsiaTheme="minorAscii" w:cstheme="minorAscii"/>
          <w:color w:val="auto"/>
        </w:rPr>
        <w:t>.</w:t>
      </w:r>
    </w:p>
    <w:p w:rsidR="109FCEAC" w:rsidP="1C0C577E" w:rsidRDefault="4C2E11FF" w14:paraId="2F3FC4E8" w14:textId="7D0CC67D">
      <w:pPr>
        <w:pStyle w:val="Heading2"/>
        <w:rPr>
          <w:rFonts w:ascii="Arial" w:hAnsi="Arial" w:eastAsia="ＭＳ 明朝" w:cs="Arial" w:asciiTheme="minorAscii" w:hAnsiTheme="minorAscii" w:eastAsiaTheme="minorEastAsia" w:cstheme="minorBidi"/>
          <w:b w:val="1"/>
          <w:bCs w:val="1"/>
          <w:sz w:val="24"/>
          <w:szCs w:val="24"/>
        </w:rPr>
      </w:pPr>
      <w:bookmarkStart w:name="_Toc1166019803" w:id="17"/>
      <w:bookmarkStart w:name="_Toc1333181323" w:id="1942442494"/>
      <w:r w:rsidRPr="1C0C577E" w:rsidR="6A819129">
        <w:rPr>
          <w:rFonts w:ascii="Arial" w:hAnsi="Arial" w:eastAsia="ＭＳ 明朝" w:cs="Arial" w:asciiTheme="minorAscii" w:hAnsiTheme="minorAscii" w:eastAsiaTheme="minorEastAsia" w:cstheme="minorBidi"/>
          <w:b w:val="1"/>
          <w:bCs w:val="1"/>
          <w:sz w:val="24"/>
          <w:szCs w:val="24"/>
        </w:rPr>
        <w:t>2.2 Cross-Functional Teams</w:t>
      </w:r>
      <w:bookmarkEnd w:id="17"/>
      <w:bookmarkEnd w:id="1942442494"/>
    </w:p>
    <w:p w:rsidR="109FCEAC" w:rsidP="1C0C577E" w:rsidRDefault="7C601CC1" w14:paraId="47C9235D" w14:textId="198E96C1">
      <w:pPr>
        <w:spacing w:before="240" w:after="240" w:line="360" w:lineRule="auto"/>
        <w:rPr>
          <w:rFonts w:ascii="Arial" w:hAnsi="Arial" w:eastAsia="Arial" w:cs="Arial" w:asciiTheme="minorAscii" w:hAnsiTheme="minorAscii" w:eastAsiaTheme="minorAscii" w:cstheme="minorAscii"/>
          <w:color w:val="auto"/>
        </w:rPr>
      </w:pPr>
      <w:r w:rsidRPr="1C0C577E" w:rsidR="6DDD13A7">
        <w:rPr>
          <w:rFonts w:ascii="Arial" w:hAnsi="Arial" w:eastAsia="Arial" w:cs="Arial" w:asciiTheme="minorAscii" w:hAnsiTheme="minorAscii" w:eastAsiaTheme="minorAscii" w:cstheme="minorAscii"/>
          <w:color w:val="auto"/>
        </w:rPr>
        <w:t xml:space="preserve">Rapid </w:t>
      </w:r>
      <w:r w:rsidRPr="1C0C577E" w:rsidR="3B2D03DB">
        <w:rPr>
          <w:rFonts w:ascii="Arial" w:hAnsi="Arial" w:eastAsia="Arial" w:cs="Arial" w:asciiTheme="minorAscii" w:hAnsiTheme="minorAscii" w:eastAsiaTheme="minorAscii" w:cstheme="minorAscii"/>
          <w:color w:val="auto"/>
        </w:rPr>
        <w:t>organi</w:t>
      </w:r>
      <w:r w:rsidRPr="1C0C577E" w:rsidR="5FEAE8D8">
        <w:rPr>
          <w:rFonts w:ascii="Arial" w:hAnsi="Arial" w:eastAsia="Arial" w:cs="Arial" w:asciiTheme="minorAscii" w:hAnsiTheme="minorAscii" w:eastAsiaTheme="minorAscii" w:cstheme="minorAscii"/>
          <w:color w:val="auto"/>
        </w:rPr>
        <w:t>s</w:t>
      </w:r>
      <w:r w:rsidRPr="1C0C577E" w:rsidR="3B2D03DB">
        <w:rPr>
          <w:rFonts w:ascii="Arial" w:hAnsi="Arial" w:eastAsia="Arial" w:cs="Arial" w:asciiTheme="minorAscii" w:hAnsiTheme="minorAscii" w:eastAsiaTheme="minorAscii" w:cstheme="minorAscii"/>
          <w:color w:val="auto"/>
        </w:rPr>
        <w:t>ational</w:t>
      </w:r>
      <w:r w:rsidRPr="1C0C577E" w:rsidR="3B2D03DB">
        <w:rPr>
          <w:rFonts w:ascii="Arial" w:hAnsi="Arial" w:eastAsia="Arial" w:cs="Arial" w:asciiTheme="minorAscii" w:hAnsiTheme="minorAscii" w:eastAsiaTheme="minorAscii" w:cstheme="minorAscii"/>
          <w:color w:val="auto"/>
        </w:rPr>
        <w:t xml:space="preserve"> </w:t>
      </w:r>
      <w:r w:rsidRPr="1C0C577E" w:rsidR="6DDD13A7">
        <w:rPr>
          <w:rFonts w:ascii="Arial" w:hAnsi="Arial" w:eastAsia="Arial" w:cs="Arial" w:asciiTheme="minorAscii" w:hAnsiTheme="minorAscii" w:eastAsiaTheme="minorAscii" w:cstheme="minorAscii"/>
          <w:color w:val="auto"/>
        </w:rPr>
        <w:t>growth often leads to departmental silos, slowing decision-</w:t>
      </w:r>
      <w:r w:rsidRPr="1C0C577E" w:rsidR="465A9B4A">
        <w:rPr>
          <w:rFonts w:ascii="Arial" w:hAnsi="Arial" w:eastAsia="Arial" w:cs="Arial" w:asciiTheme="minorAscii" w:hAnsiTheme="minorAscii" w:eastAsiaTheme="minorAscii" w:cstheme="minorAscii"/>
          <w:color w:val="auto"/>
        </w:rPr>
        <w:t>making,</w:t>
      </w:r>
      <w:r w:rsidRPr="1C0C577E" w:rsidR="6DDD13A7">
        <w:rPr>
          <w:rFonts w:ascii="Arial" w:hAnsi="Arial" w:eastAsia="Arial" w:cs="Arial" w:asciiTheme="minorAscii" w:hAnsiTheme="minorAscii" w:eastAsiaTheme="minorAscii" w:cstheme="minorAscii"/>
          <w:color w:val="auto"/>
        </w:rPr>
        <w:t xml:space="preserve"> and weakening customer experiences. Cross-functional collaboration </w:t>
      </w:r>
      <w:r w:rsidRPr="1C0C577E" w:rsidR="3B2D03DB">
        <w:rPr>
          <w:rFonts w:ascii="Arial" w:hAnsi="Arial" w:eastAsia="Arial" w:cs="Arial" w:asciiTheme="minorAscii" w:hAnsiTheme="minorAscii" w:eastAsiaTheme="minorAscii" w:cstheme="minorAscii"/>
          <w:color w:val="auto"/>
        </w:rPr>
        <w:t xml:space="preserve">can reduce these risks by </w:t>
      </w:r>
      <w:r w:rsidRPr="1C0C577E" w:rsidR="6DDD13A7">
        <w:rPr>
          <w:rFonts w:ascii="Arial" w:hAnsi="Arial" w:eastAsia="Arial" w:cs="Arial" w:asciiTheme="minorAscii" w:hAnsiTheme="minorAscii" w:eastAsiaTheme="minorAscii" w:cstheme="minorAscii"/>
          <w:color w:val="auto"/>
        </w:rPr>
        <w:t>enhanc</w:t>
      </w:r>
      <w:r w:rsidRPr="1C0C577E" w:rsidR="3B2D03DB">
        <w:rPr>
          <w:rFonts w:ascii="Arial" w:hAnsi="Arial" w:eastAsia="Arial" w:cs="Arial" w:asciiTheme="minorAscii" w:hAnsiTheme="minorAscii" w:eastAsiaTheme="minorAscii" w:cstheme="minorAscii"/>
          <w:color w:val="auto"/>
        </w:rPr>
        <w:t>ing</w:t>
      </w:r>
      <w:r w:rsidRPr="1C0C577E" w:rsidR="6DDD13A7">
        <w:rPr>
          <w:rFonts w:ascii="Arial" w:hAnsi="Arial" w:eastAsia="Arial" w:cs="Arial" w:asciiTheme="minorAscii" w:hAnsiTheme="minorAscii" w:eastAsiaTheme="minorAscii" w:cstheme="minorAscii"/>
          <w:color w:val="auto"/>
        </w:rPr>
        <w:t xml:space="preserve"> communication, reduc</w:t>
      </w:r>
      <w:r w:rsidRPr="1C0C577E" w:rsidR="3B2D03DB">
        <w:rPr>
          <w:rFonts w:ascii="Arial" w:hAnsi="Arial" w:eastAsia="Arial" w:cs="Arial" w:asciiTheme="minorAscii" w:hAnsiTheme="minorAscii" w:eastAsiaTheme="minorAscii" w:cstheme="minorAscii"/>
          <w:color w:val="auto"/>
        </w:rPr>
        <w:t>ing</w:t>
      </w:r>
      <w:r w:rsidRPr="1C0C577E" w:rsidR="6DDD13A7">
        <w:rPr>
          <w:rFonts w:ascii="Arial" w:hAnsi="Arial" w:eastAsia="Arial" w:cs="Arial" w:asciiTheme="minorAscii" w:hAnsiTheme="minorAscii" w:eastAsiaTheme="minorAscii" w:cstheme="minorAscii"/>
          <w:color w:val="auto"/>
        </w:rPr>
        <w:t xml:space="preserve"> duplication, and improv</w:t>
      </w:r>
      <w:r w:rsidRPr="1C0C577E" w:rsidR="3B2D03DB">
        <w:rPr>
          <w:rFonts w:ascii="Arial" w:hAnsi="Arial" w:eastAsia="Arial" w:cs="Arial" w:asciiTheme="minorAscii" w:hAnsiTheme="minorAscii" w:eastAsiaTheme="minorAscii" w:cstheme="minorAscii"/>
          <w:color w:val="auto"/>
        </w:rPr>
        <w:t>ing</w:t>
      </w:r>
      <w:r w:rsidRPr="1C0C577E" w:rsidR="6DDD13A7">
        <w:rPr>
          <w:rFonts w:ascii="Arial" w:hAnsi="Arial" w:eastAsia="Arial" w:cs="Arial" w:asciiTheme="minorAscii" w:hAnsiTheme="minorAscii" w:eastAsiaTheme="minorAscii" w:cstheme="minorAscii"/>
          <w:color w:val="auto"/>
        </w:rPr>
        <w:t xml:space="preserve"> </w:t>
      </w:r>
      <w:r w:rsidRPr="1C0C577E" w:rsidR="6DDD13A7">
        <w:rPr>
          <w:rFonts w:ascii="Arial" w:hAnsi="Arial" w:eastAsia="Arial" w:cs="Arial" w:asciiTheme="minorAscii" w:hAnsiTheme="minorAscii" w:eastAsiaTheme="minorAscii" w:cstheme="minorAscii"/>
          <w:color w:val="auto"/>
        </w:rPr>
        <w:t>organisational</w:t>
      </w:r>
      <w:r w:rsidRPr="1C0C577E" w:rsidR="6DDD13A7">
        <w:rPr>
          <w:rFonts w:ascii="Arial" w:hAnsi="Arial" w:eastAsia="Arial" w:cs="Arial" w:asciiTheme="minorAscii" w:hAnsiTheme="minorAscii" w:eastAsiaTheme="minorAscii" w:cstheme="minorAscii"/>
          <w:color w:val="auto"/>
        </w:rPr>
        <w:t xml:space="preserve"> adaptability (Edmondson, 2018).</w:t>
      </w:r>
    </w:p>
    <w:p w:rsidRPr="00A01243" w:rsidR="109FCEAC" w:rsidP="1C0C577E" w:rsidRDefault="7C601CC1" w14:paraId="7670C8AD" w14:textId="669A4CB9">
      <w:pPr>
        <w:spacing w:before="240" w:after="240" w:line="360" w:lineRule="auto"/>
        <w:rPr>
          <w:rFonts w:ascii="Arial" w:hAnsi="Arial" w:eastAsia="Arial" w:cs="Arial" w:asciiTheme="minorAscii" w:hAnsiTheme="minorAscii" w:eastAsiaTheme="minorAscii" w:cstheme="minorAscii"/>
          <w:color w:val="auto"/>
        </w:rPr>
      </w:pPr>
      <w:r w:rsidRPr="1C0C577E" w:rsidR="6DDD13A7">
        <w:rPr>
          <w:rFonts w:ascii="Arial" w:hAnsi="Arial" w:eastAsia="Arial" w:cs="Arial" w:asciiTheme="minorAscii" w:hAnsiTheme="minorAscii" w:eastAsiaTheme="minorAscii" w:cstheme="minorAscii"/>
          <w:color w:val="auto"/>
        </w:rPr>
        <w:t>At Aether Innovations, expansion has produced coordination challenges and unclear accountability. Establishing semi-permanent cross-functional teams aligned with customer journeys or strategic priorities would enhance responsiveness</w:t>
      </w:r>
      <w:r w:rsidRPr="1C0C577E" w:rsidR="3B2D03DB">
        <w:rPr>
          <w:rFonts w:ascii="Arial" w:hAnsi="Arial" w:eastAsia="Arial" w:cs="Arial" w:asciiTheme="minorAscii" w:hAnsiTheme="minorAscii" w:eastAsiaTheme="minorAscii" w:cstheme="minorAscii"/>
          <w:color w:val="auto"/>
        </w:rPr>
        <w:t xml:space="preserve"> </w:t>
      </w:r>
      <w:r w:rsidRPr="1C0C577E" w:rsidR="3B2D03DB">
        <w:rPr>
          <w:rFonts w:ascii="Arial" w:hAnsi="Arial" w:eastAsia="Arial" w:cs="Arial" w:asciiTheme="minorAscii" w:hAnsiTheme="minorAscii" w:eastAsiaTheme="minorAscii" w:cstheme="minorAscii"/>
          <w:color w:val="auto"/>
        </w:rPr>
        <w:t>and address the current inefficiencies</w:t>
      </w:r>
      <w:r w:rsidRPr="1C0C577E" w:rsidR="6DDD13A7">
        <w:rPr>
          <w:rFonts w:ascii="Arial" w:hAnsi="Arial" w:eastAsia="Arial" w:cs="Arial" w:asciiTheme="minorAscii" w:hAnsiTheme="minorAscii" w:eastAsiaTheme="minorAscii" w:cstheme="minorAscii"/>
          <w:color w:val="auto"/>
        </w:rPr>
        <w:t xml:space="preserve">. For example, </w:t>
      </w:r>
      <w:r w:rsidRPr="1C0C577E" w:rsidR="3B2D03DB">
        <w:rPr>
          <w:rFonts w:ascii="Arial" w:hAnsi="Arial" w:eastAsia="Arial" w:cs="Arial" w:asciiTheme="minorAscii" w:hAnsiTheme="minorAscii" w:eastAsiaTheme="minorAscii" w:cstheme="minorAscii"/>
          <w:color w:val="auto"/>
        </w:rPr>
        <w:t>establishing</w:t>
      </w:r>
      <w:r w:rsidRPr="1C0C577E" w:rsidR="3B2D03DB">
        <w:rPr>
          <w:rFonts w:ascii="Arial" w:hAnsi="Arial" w:eastAsia="Arial" w:cs="Arial" w:asciiTheme="minorAscii" w:hAnsiTheme="minorAscii" w:eastAsiaTheme="minorAscii" w:cstheme="minorAscii"/>
          <w:color w:val="auto"/>
        </w:rPr>
        <w:t xml:space="preserve"> integrated </w:t>
      </w:r>
      <w:r w:rsidRPr="1C0C577E" w:rsidR="6DDD13A7">
        <w:rPr>
          <w:rFonts w:ascii="Arial" w:hAnsi="Arial" w:eastAsia="Arial" w:cs="Arial" w:asciiTheme="minorAscii" w:hAnsiTheme="minorAscii" w:eastAsiaTheme="minorAscii" w:cstheme="minorAscii"/>
          <w:color w:val="auto"/>
        </w:rPr>
        <w:t xml:space="preserve">teams </w:t>
      </w:r>
      <w:r w:rsidRPr="1C0C577E" w:rsidR="3B2D03DB">
        <w:rPr>
          <w:rFonts w:ascii="Arial" w:hAnsi="Arial" w:eastAsia="Arial" w:cs="Arial" w:asciiTheme="minorAscii" w:hAnsiTheme="minorAscii" w:eastAsiaTheme="minorAscii" w:cstheme="minorAscii"/>
          <w:color w:val="auto"/>
        </w:rPr>
        <w:t xml:space="preserve">through </w:t>
      </w:r>
      <w:r w:rsidRPr="1C0C577E" w:rsidR="6DDD13A7">
        <w:rPr>
          <w:rFonts w:ascii="Arial" w:hAnsi="Arial" w:eastAsia="Arial" w:cs="Arial" w:asciiTheme="minorAscii" w:hAnsiTheme="minorAscii" w:eastAsiaTheme="minorAscii" w:cstheme="minorAscii"/>
          <w:color w:val="auto"/>
        </w:rPr>
        <w:t xml:space="preserve">combining engineering, product development, and customer support could address service challenges collectively rather than </w:t>
      </w:r>
      <w:r w:rsidRPr="1C0C577E" w:rsidR="3B2D03DB">
        <w:rPr>
          <w:rFonts w:ascii="Arial" w:hAnsi="Arial" w:eastAsia="Arial" w:cs="Arial" w:asciiTheme="minorAscii" w:hAnsiTheme="minorAscii" w:eastAsiaTheme="minorAscii" w:cstheme="minorAscii"/>
          <w:color w:val="auto"/>
        </w:rPr>
        <w:t>sequentially.</w:t>
      </w:r>
      <w:r w:rsidRPr="1C0C577E" w:rsidR="3B2D03DB">
        <w:rPr>
          <w:rFonts w:ascii="Arial" w:hAnsi="Arial" w:eastAsia="Arial" w:cs="Arial" w:asciiTheme="minorAscii" w:hAnsiTheme="minorAscii" w:eastAsiaTheme="minorAscii" w:cstheme="minorAscii"/>
          <w:color w:val="auto"/>
        </w:rPr>
        <w:t xml:space="preserve"> </w:t>
      </w:r>
      <w:r w:rsidRPr="1C0C577E" w:rsidR="3B2D03DB">
        <w:rPr>
          <w:rFonts w:ascii="Arial" w:hAnsi="Arial" w:eastAsia="Arial" w:cs="Arial" w:asciiTheme="minorAscii" w:hAnsiTheme="minorAscii" w:eastAsiaTheme="minorAscii" w:cstheme="minorAscii"/>
          <w:color w:val="auto"/>
        </w:rPr>
        <w:t>This would</w:t>
      </w:r>
      <w:r w:rsidRPr="1C0C577E" w:rsidR="32518A60">
        <w:rPr>
          <w:rFonts w:ascii="Arial" w:hAnsi="Arial" w:eastAsia="Arial" w:cs="Arial" w:asciiTheme="minorAscii" w:hAnsiTheme="minorAscii" w:eastAsiaTheme="minorAscii" w:cstheme="minorAscii"/>
          <w:color w:val="auto"/>
        </w:rPr>
        <w:t xml:space="preserve"> reduce delays and improve </w:t>
      </w:r>
      <w:r w:rsidRPr="1C0C577E" w:rsidR="110A9DE5">
        <w:rPr>
          <w:rFonts w:ascii="Arial" w:hAnsi="Arial" w:eastAsia="Arial" w:cs="Arial" w:asciiTheme="minorAscii" w:hAnsiTheme="minorAscii" w:eastAsiaTheme="minorAscii" w:cstheme="minorAscii"/>
          <w:color w:val="auto"/>
        </w:rPr>
        <w:t>the quality</w:t>
      </w:r>
      <w:r w:rsidRPr="1C0C577E" w:rsidR="32518A60">
        <w:rPr>
          <w:rFonts w:ascii="Arial" w:hAnsi="Arial" w:eastAsia="Arial" w:cs="Arial" w:asciiTheme="minorAscii" w:hAnsiTheme="minorAscii" w:eastAsiaTheme="minorAscii" w:cstheme="minorAscii"/>
          <w:color w:val="auto"/>
        </w:rPr>
        <w:t xml:space="preserve"> of </w:t>
      </w:r>
      <w:r w:rsidRPr="1C0C577E" w:rsidR="672315C0">
        <w:rPr>
          <w:rFonts w:ascii="Arial" w:hAnsi="Arial" w:eastAsia="Arial" w:cs="Arial" w:asciiTheme="minorAscii" w:hAnsiTheme="minorAscii" w:eastAsiaTheme="minorAscii" w:cstheme="minorAscii"/>
          <w:color w:val="auto"/>
        </w:rPr>
        <w:t>our outcome for customers</w:t>
      </w:r>
      <w:r w:rsidRPr="1C0C577E" w:rsidR="3B2D03DB">
        <w:rPr>
          <w:rFonts w:ascii="Arial" w:hAnsi="Arial" w:eastAsia="Arial" w:cs="Arial" w:asciiTheme="minorAscii" w:hAnsiTheme="minorAscii" w:eastAsiaTheme="minorAscii" w:cstheme="minorAscii"/>
          <w:color w:val="auto"/>
        </w:rPr>
        <w:t>.</w:t>
      </w:r>
    </w:p>
    <w:p w:rsidR="6951D715" w:rsidP="1C0C577E" w:rsidRDefault="7C601CC1" w14:paraId="0B25234A" w14:textId="4C67C496">
      <w:pPr>
        <w:spacing w:before="240" w:after="240" w:line="360" w:lineRule="auto"/>
        <w:rPr>
          <w:rFonts w:ascii="Arial" w:hAnsi="Arial" w:eastAsia="Arial" w:cs="Arial" w:asciiTheme="minorAscii" w:hAnsiTheme="minorAscii" w:eastAsiaTheme="minorAscii" w:cstheme="minorAscii"/>
          <w:color w:val="auto"/>
        </w:rPr>
      </w:pPr>
      <w:r w:rsidRPr="1C0C577E" w:rsidR="6DDD13A7">
        <w:rPr>
          <w:rFonts w:ascii="Arial" w:hAnsi="Arial" w:eastAsia="Arial" w:cs="Arial" w:asciiTheme="minorAscii" w:hAnsiTheme="minorAscii" w:eastAsiaTheme="minorAscii" w:cstheme="minorAscii"/>
          <w:color w:val="auto"/>
        </w:rPr>
        <w:t xml:space="preserve">Research shows </w:t>
      </w:r>
      <w:r w:rsidRPr="1C0C577E" w:rsidR="3B2D03DB">
        <w:rPr>
          <w:rFonts w:ascii="Arial" w:hAnsi="Arial" w:eastAsia="Arial" w:cs="Arial" w:asciiTheme="minorAscii" w:hAnsiTheme="minorAscii" w:eastAsiaTheme="minorAscii" w:cstheme="minorAscii"/>
          <w:color w:val="auto"/>
        </w:rPr>
        <w:t xml:space="preserve">that when </w:t>
      </w:r>
      <w:r w:rsidRPr="1C0C577E" w:rsidR="6DDD13A7">
        <w:rPr>
          <w:rFonts w:ascii="Arial" w:hAnsi="Arial" w:eastAsia="Arial" w:cs="Arial" w:asciiTheme="minorAscii" w:hAnsiTheme="minorAscii" w:eastAsiaTheme="minorAscii" w:cstheme="minorAscii"/>
          <w:color w:val="auto"/>
        </w:rPr>
        <w:t xml:space="preserve">collaborative cultures </w:t>
      </w:r>
      <w:r w:rsidRPr="1C0C577E" w:rsidR="3B2D03DB">
        <w:rPr>
          <w:rFonts w:ascii="Arial" w:hAnsi="Arial" w:eastAsia="Arial" w:cs="Arial" w:asciiTheme="minorAscii" w:hAnsiTheme="minorAscii" w:eastAsiaTheme="minorAscii" w:cstheme="minorAscii"/>
          <w:color w:val="auto"/>
        </w:rPr>
        <w:t xml:space="preserve">are </w:t>
      </w:r>
      <w:r w:rsidRPr="1C0C577E" w:rsidR="6DDD13A7">
        <w:rPr>
          <w:rFonts w:ascii="Arial" w:hAnsi="Arial" w:eastAsia="Arial" w:cs="Arial" w:asciiTheme="minorAscii" w:hAnsiTheme="minorAscii" w:eastAsiaTheme="minorAscii" w:cstheme="minorAscii"/>
          <w:color w:val="auto"/>
        </w:rPr>
        <w:t>supported by empowering leadership</w:t>
      </w:r>
      <w:r w:rsidRPr="1C0C577E" w:rsidR="3B2D03DB">
        <w:rPr>
          <w:rFonts w:ascii="Arial" w:hAnsi="Arial" w:eastAsia="Arial" w:cs="Arial" w:asciiTheme="minorAscii" w:hAnsiTheme="minorAscii" w:eastAsiaTheme="minorAscii" w:cstheme="minorAscii"/>
          <w:color w:val="auto"/>
        </w:rPr>
        <w:t>, it can</w:t>
      </w:r>
      <w:r w:rsidRPr="1C0C577E" w:rsidR="6DDD13A7">
        <w:rPr>
          <w:rFonts w:ascii="Arial" w:hAnsi="Arial" w:eastAsia="Arial" w:cs="Arial" w:asciiTheme="minorAscii" w:hAnsiTheme="minorAscii" w:eastAsiaTheme="minorAscii" w:cstheme="minorAscii"/>
          <w:color w:val="auto"/>
        </w:rPr>
        <w:t xml:space="preserve"> significantly improve knowledge sharing and innovation performance </w:t>
      </w:r>
      <w:r w:rsidRPr="1C0C577E" w:rsidR="6DDD13A7">
        <w:rPr>
          <w:rFonts w:ascii="Arial" w:hAnsi="Arial" w:eastAsia="Arial" w:cs="Arial" w:asciiTheme="minorAscii" w:hAnsiTheme="minorAscii" w:eastAsiaTheme="minorAscii" w:cstheme="minorAscii"/>
          <w:color w:val="auto"/>
        </w:rPr>
        <w:t>(International Journal of Information Management, 2025). However, effective implementation requires clear role definitions to avoid confusion. When properly structured, cross-functional teams improve agility while reducing frustration associated with inefficient coordination.</w:t>
      </w:r>
    </w:p>
    <w:p w:rsidR="109FCEAC" w:rsidP="1C0C577E" w:rsidRDefault="4C2E11FF" w14:paraId="7E041FDD" w14:textId="03D404A4">
      <w:pPr>
        <w:pStyle w:val="Heading2"/>
        <w:rPr>
          <w:rFonts w:ascii="Arial" w:hAnsi="Arial" w:eastAsia="ＭＳ 明朝" w:cs="Arial" w:asciiTheme="minorAscii" w:hAnsiTheme="minorAscii" w:eastAsiaTheme="minorEastAsia" w:cstheme="minorBidi"/>
          <w:b w:val="1"/>
          <w:bCs w:val="1"/>
          <w:sz w:val="24"/>
          <w:szCs w:val="24"/>
        </w:rPr>
      </w:pPr>
      <w:bookmarkStart w:name="_Toc1523785766" w:id="19"/>
      <w:bookmarkStart w:name="_Toc311637217" w:id="1526127991"/>
      <w:r w:rsidRPr="1C0C577E" w:rsidR="6A819129">
        <w:rPr>
          <w:rFonts w:ascii="Arial" w:hAnsi="Arial" w:eastAsia="ＭＳ 明朝" w:cs="Arial" w:asciiTheme="minorAscii" w:hAnsiTheme="minorAscii" w:eastAsiaTheme="minorEastAsia" w:cstheme="minorBidi"/>
          <w:b w:val="1"/>
          <w:bCs w:val="1"/>
          <w:sz w:val="24"/>
          <w:szCs w:val="24"/>
        </w:rPr>
        <w:t xml:space="preserve">2.3 Intrapreneurship </w:t>
      </w:r>
      <w:r w:rsidRPr="1C0C577E" w:rsidR="6A819129">
        <w:rPr>
          <w:rFonts w:ascii="Arial" w:hAnsi="Arial" w:eastAsia="ＭＳ 明朝" w:cs="Arial" w:asciiTheme="minorAscii" w:hAnsiTheme="minorAscii" w:eastAsiaTheme="minorEastAsia" w:cstheme="minorBidi"/>
          <w:b w:val="1"/>
          <w:bCs w:val="1"/>
          <w:sz w:val="24"/>
          <w:szCs w:val="24"/>
        </w:rPr>
        <w:t>Programmes</w:t>
      </w:r>
      <w:bookmarkEnd w:id="19"/>
      <w:bookmarkEnd w:id="1526127991"/>
    </w:p>
    <w:p w:rsidR="109FCEAC" w:rsidP="7DAB6AC2" w:rsidRDefault="7C601CC1" w14:paraId="299F52DD" w14:textId="6DB14246">
      <w:pPr>
        <w:spacing w:before="240" w:after="240" w:line="360" w:lineRule="auto"/>
      </w:pPr>
      <w:r w:rsidRPr="7DAB6AC2">
        <w:t>Intrapreneurship initiatives allow employees to propose and develop internal innovations, increasing engagement and ownership. Antoncic and Hisrich (2003) demonstrate that internal entrepreneurship strengthens organisational innovation and commitment.</w:t>
      </w:r>
    </w:p>
    <w:p w:rsidR="109FCEAC" w:rsidP="7DAB6AC2" w:rsidRDefault="7C601CC1" w14:paraId="422ADB79" w14:textId="44FD612C">
      <w:pPr>
        <w:spacing w:before="240" w:after="240" w:line="360" w:lineRule="auto"/>
      </w:pPr>
      <w:r w:rsidRPr="7DAB6AC2">
        <w:t xml:space="preserve">At Aether Innovations, employees could submit quarterly innovation proposals, with selected ideas receiving funding, development time, and mentoring. However, such initiatives frequently fail when employees fear criticism or managers resist change. Successful implementation therefore requires executive sponsorship, transparent evaluation criteria, and recognition </w:t>
      </w:r>
      <w:r w:rsidRPr="7DAB6AC2" w:rsidR="6941B057">
        <w:t>mechanisms for</w:t>
      </w:r>
      <w:r w:rsidRPr="7DAB6AC2">
        <w:t xml:space="preserve"> rewarding experimentation (Edmondson, 2018).</w:t>
      </w:r>
    </w:p>
    <w:p w:rsidR="109FCEAC" w:rsidP="7DAB6AC2" w:rsidRDefault="7C601CC1" w14:paraId="6B6AA678" w14:textId="46ED416B">
      <w:pPr>
        <w:spacing w:before="240" w:after="240" w:line="360" w:lineRule="auto"/>
      </w:pPr>
      <w:r w:rsidRPr="7DAB6AC2">
        <w:t>These initiatives enhance intrinsic motivation by enabling employees to influence organisational success. When employees perceive their ideas as valued, discretionary effort and engagement increase, supporting both innovation and retention.</w:t>
      </w:r>
    </w:p>
    <w:p w:rsidR="109FCEAC" w:rsidP="1C0C577E" w:rsidRDefault="4C2E11FF" w14:paraId="44E4EE81" w14:textId="3A8579ED">
      <w:pPr>
        <w:pStyle w:val="Heading3"/>
        <w:rPr>
          <w:rFonts w:eastAsia="ＭＳ 明朝" w:cs="Arial" w:eastAsiaTheme="minorEastAsia" w:cstheme="minorBidi"/>
          <w:b w:val="1"/>
          <w:bCs w:val="1"/>
          <w:sz w:val="24"/>
          <w:szCs w:val="24"/>
        </w:rPr>
      </w:pPr>
      <w:bookmarkStart w:name="_Toc1902024014" w:id="20"/>
      <w:bookmarkStart w:name="_Toc183655783" w:id="1505474644"/>
      <w:r w:rsidRPr="1C0C577E" w:rsidR="6A819129">
        <w:rPr>
          <w:b w:val="1"/>
          <w:bCs w:val="1"/>
          <w:sz w:val="24"/>
          <w:szCs w:val="24"/>
        </w:rPr>
        <w:t>2.4 Leadership Development and Psychological Safety</w:t>
      </w:r>
      <w:bookmarkEnd w:id="20"/>
      <w:bookmarkEnd w:id="1505474644"/>
    </w:p>
    <w:p w:rsidR="6951D715" w:rsidP="1C0C577E" w:rsidRDefault="6951D715" w14:paraId="2C0265E0" w14:textId="431AFCF0">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1C0C577E" w:rsidR="2E021BE7">
        <w:rPr>
          <w:rFonts w:ascii="Arial" w:hAnsi="Arial" w:eastAsia="Arial" w:cs="Arial" w:asciiTheme="minorAscii" w:hAnsiTheme="minorAscii" w:eastAsiaTheme="minorAscii" w:cstheme="minorAscii"/>
          <w:noProof w:val="0"/>
          <w:sz w:val="24"/>
          <w:szCs w:val="24"/>
          <w:lang w:val="en-US"/>
        </w:rPr>
        <w:t xml:space="preserve">Leadership behaviour shapes organisational culture and innovation capacity. Innovation declines when leaders discourage experimentation or </w:t>
      </w:r>
      <w:r w:rsidRPr="1C0C577E" w:rsidR="2E021BE7">
        <w:rPr>
          <w:rFonts w:ascii="Arial" w:hAnsi="Arial" w:eastAsia="Arial" w:cs="Arial" w:asciiTheme="minorAscii" w:hAnsiTheme="minorAscii" w:eastAsiaTheme="minorAscii" w:cstheme="minorAscii"/>
          <w:noProof w:val="0"/>
          <w:sz w:val="24"/>
          <w:szCs w:val="24"/>
          <w:lang w:val="en-US"/>
        </w:rPr>
        <w:t>penalise</w:t>
      </w:r>
      <w:r w:rsidRPr="1C0C577E" w:rsidR="2E021BE7">
        <w:rPr>
          <w:rFonts w:ascii="Arial" w:hAnsi="Arial" w:eastAsia="Arial" w:cs="Arial" w:asciiTheme="minorAscii" w:hAnsiTheme="minorAscii" w:eastAsiaTheme="minorAscii" w:cstheme="minorAscii"/>
          <w:noProof w:val="0"/>
          <w:sz w:val="24"/>
          <w:szCs w:val="24"/>
          <w:lang w:val="en-US"/>
        </w:rPr>
        <w:t xml:space="preserve"> failure, reducing employees’ willingness to take risks. Psychological safety is the shared belief that ideas can be expressed without fear, enabling learning and innovation (Edmondson, 2018).</w:t>
      </w:r>
    </w:p>
    <w:p w:rsidR="6951D715" w:rsidP="1C0C577E" w:rsidRDefault="6951D715" w14:paraId="19767A85" w14:textId="156113FB">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2E021BE7">
        <w:rPr>
          <w:rFonts w:ascii="Arial" w:hAnsi="Arial" w:eastAsia="Arial" w:cs="Arial" w:asciiTheme="minorAscii" w:hAnsiTheme="minorAscii" w:eastAsiaTheme="minorAscii" w:cstheme="minorAscii"/>
          <w:noProof w:val="0"/>
          <w:sz w:val="24"/>
          <w:szCs w:val="24"/>
          <w:lang w:val="en-US"/>
        </w:rPr>
        <w:t xml:space="preserve">Leadership development at Aether Innovations should </w:t>
      </w:r>
      <w:r w:rsidRPr="1C0C577E" w:rsidR="2E021BE7">
        <w:rPr>
          <w:rFonts w:ascii="Arial" w:hAnsi="Arial" w:eastAsia="Arial" w:cs="Arial" w:asciiTheme="minorAscii" w:hAnsiTheme="minorAscii" w:eastAsiaTheme="minorAscii" w:cstheme="minorAscii"/>
          <w:noProof w:val="0"/>
          <w:sz w:val="24"/>
          <w:szCs w:val="24"/>
          <w:lang w:val="en-US"/>
        </w:rPr>
        <w:t>prioritise</w:t>
      </w:r>
      <w:r w:rsidRPr="1C0C577E" w:rsidR="2E021BE7">
        <w:rPr>
          <w:rFonts w:ascii="Arial" w:hAnsi="Arial" w:eastAsia="Arial" w:cs="Arial" w:asciiTheme="minorAscii" w:hAnsiTheme="minorAscii" w:eastAsiaTheme="minorAscii" w:cstheme="minorAscii"/>
          <w:noProof w:val="0"/>
          <w:sz w:val="24"/>
          <w:szCs w:val="24"/>
          <w:lang w:val="en-US"/>
        </w:rPr>
        <w:t xml:space="preserve"> coaching, empowerment, and constructive feedback rather than directive supervision. Embedding these principles within performance management and 360-degree feedback systems (Westerman &amp; Rosse, 1997) reinforces </w:t>
      </w:r>
      <w:r w:rsidRPr="1C0C577E" w:rsidR="2E021BE7">
        <w:rPr>
          <w:rFonts w:ascii="Arial" w:hAnsi="Arial" w:eastAsia="Arial" w:cs="Arial" w:asciiTheme="minorAscii" w:hAnsiTheme="minorAscii" w:eastAsiaTheme="minorAscii" w:cstheme="minorAscii"/>
          <w:noProof w:val="0"/>
          <w:sz w:val="24"/>
          <w:szCs w:val="24"/>
          <w:lang w:val="en-US"/>
        </w:rPr>
        <w:t>behaviours</w:t>
      </w:r>
      <w:r w:rsidRPr="1C0C577E" w:rsidR="2E021BE7">
        <w:rPr>
          <w:rFonts w:ascii="Arial" w:hAnsi="Arial" w:eastAsia="Arial" w:cs="Arial" w:asciiTheme="minorAscii" w:hAnsiTheme="minorAscii" w:eastAsiaTheme="minorAscii" w:cstheme="minorAscii"/>
          <w:noProof w:val="0"/>
          <w:sz w:val="24"/>
          <w:szCs w:val="24"/>
          <w:lang w:val="en-US"/>
        </w:rPr>
        <w:t xml:space="preserve"> that promote learning and experimentation.</w:t>
      </w:r>
    </w:p>
    <w:p w:rsidR="6951D715" w:rsidP="1C0C577E" w:rsidRDefault="6951D715" w14:paraId="30592094" w14:textId="60AC744E">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2E021BE7">
        <w:rPr>
          <w:rFonts w:ascii="Arial" w:hAnsi="Arial" w:eastAsia="Arial" w:cs="Arial" w:asciiTheme="minorAscii" w:hAnsiTheme="minorAscii" w:eastAsiaTheme="minorAscii" w:cstheme="minorAscii"/>
          <w:noProof w:val="0"/>
          <w:sz w:val="24"/>
          <w:szCs w:val="24"/>
          <w:lang w:val="en-US"/>
        </w:rPr>
        <w:t xml:space="preserve">Empirical evidence shows that empowering leadership enhances collaboration and innovation in knowledge-intensive environments (Future Business Journal, 2025). Leaders who support experimentation enable employees to contribute ideas confidently, strengthening </w:t>
      </w:r>
      <w:r w:rsidRPr="1C0C577E" w:rsidR="2E021BE7">
        <w:rPr>
          <w:rFonts w:ascii="Arial" w:hAnsi="Arial" w:eastAsia="Arial" w:cs="Arial" w:asciiTheme="minorAscii" w:hAnsiTheme="minorAscii" w:eastAsiaTheme="minorAscii" w:cstheme="minorAscii"/>
          <w:noProof w:val="0"/>
          <w:sz w:val="24"/>
          <w:szCs w:val="24"/>
          <w:lang w:val="en-US"/>
        </w:rPr>
        <w:t>organisational</w:t>
      </w:r>
      <w:r w:rsidRPr="1C0C577E" w:rsidR="2E021BE7">
        <w:rPr>
          <w:rFonts w:ascii="Arial" w:hAnsi="Arial" w:eastAsia="Arial" w:cs="Arial" w:asciiTheme="minorAscii" w:hAnsiTheme="minorAscii" w:eastAsiaTheme="minorAscii" w:cstheme="minorAscii"/>
          <w:noProof w:val="0"/>
          <w:sz w:val="24"/>
          <w:szCs w:val="24"/>
          <w:lang w:val="en-US"/>
        </w:rPr>
        <w:t xml:space="preserve"> performance.</w:t>
      </w:r>
    </w:p>
    <w:p w:rsidR="109FCEAC" w:rsidP="1C0C577E" w:rsidRDefault="4C2E11FF" w14:paraId="17F3453E" w14:textId="21D5F683">
      <w:pPr>
        <w:pStyle w:val="Heading2"/>
        <w:rPr>
          <w:rFonts w:ascii="Arial" w:hAnsi="Arial" w:eastAsia="ＭＳ 明朝" w:cs="Arial" w:asciiTheme="minorAscii" w:hAnsiTheme="minorAscii" w:eastAsiaTheme="minorEastAsia" w:cstheme="minorBidi"/>
          <w:b w:val="1"/>
          <w:bCs w:val="1"/>
          <w:sz w:val="28"/>
          <w:szCs w:val="28"/>
          <w:u w:val="single"/>
        </w:rPr>
      </w:pPr>
      <w:bookmarkStart w:name="_Toc474958649" w:id="22"/>
      <w:bookmarkStart w:name="_Toc759203259" w:id="604488609"/>
      <w:r w:rsidRPr="1C0C577E" w:rsidR="6A819129">
        <w:rPr>
          <w:rFonts w:ascii="Arial" w:hAnsi="Arial" w:eastAsia="ＭＳ 明朝" w:cs="Arial" w:asciiTheme="minorAscii" w:hAnsiTheme="minorAscii" w:eastAsiaTheme="minorEastAsia" w:cstheme="minorBidi"/>
          <w:b w:val="1"/>
          <w:bCs w:val="1"/>
          <w:sz w:val="28"/>
          <w:szCs w:val="28"/>
          <w:u w:val="single"/>
        </w:rPr>
        <w:t>3. Future of Work Model: Hybrid Working for Innovation and Performance</w:t>
      </w:r>
      <w:bookmarkEnd w:id="22"/>
      <w:bookmarkEnd w:id="604488609"/>
    </w:p>
    <w:p w:rsidR="109FCEAC" w:rsidP="7DAB6AC2" w:rsidRDefault="7C601CC1" w14:paraId="70106963" w14:textId="62FDCAB0">
      <w:pPr>
        <w:spacing w:before="240" w:after="240" w:line="360" w:lineRule="auto"/>
      </w:pPr>
      <w:r w:rsidR="6DDD13A7">
        <w:rPr/>
        <w:t xml:space="preserve">Workplace expectations have permanently shifted towards flexibility and autonomy. Hybrid working models combine remote flexibility with structured in-person collaboration, balancing productivity with innovation </w:t>
      </w:r>
      <w:r w:rsidR="68FBFA3C">
        <w:rPr/>
        <w:t>needs. Benefits</w:t>
      </w:r>
      <w:r w:rsidR="6DDD13A7">
        <w:rPr/>
        <w:t xml:space="preserve"> include improved work-life balance, stronger retention, access to broader talent pools, and greater employee autonomy (CIPD, 2023). However, poorly managed hybrid arrangements can produce communication breakdowns and social </w:t>
      </w:r>
      <w:r w:rsidR="6DDD13A7">
        <w:rPr/>
        <w:t>isolation</w:t>
      </w:r>
      <w:r w:rsidR="07A6E526">
        <w:rPr/>
        <w:t xml:space="preserve"> Westerman, J. W., &amp; Rosse, J. G. (1997).</w:t>
      </w:r>
    </w:p>
    <w:p w:rsidR="109FCEAC" w:rsidP="1C0C577E" w:rsidRDefault="7C601CC1" w14:paraId="77244981" w14:textId="2811F022">
      <w:pPr>
        <w:pStyle w:val="Normal"/>
        <w:spacing w:before="240" w:after="240" w:line="360" w:lineRule="auto"/>
      </w:pPr>
      <w:r w:rsidR="6DDD13A7">
        <w:rPr/>
        <w:t xml:space="preserve">Many </w:t>
      </w:r>
      <w:r w:rsidR="6DDD13A7">
        <w:rPr/>
        <w:t>organisations</w:t>
      </w:r>
      <w:r w:rsidR="6DDD13A7">
        <w:rPr/>
        <w:t xml:space="preserve"> initially adopted fully remote working before transitioning to hybrid systems to restore collaboration and creativity. Hybrid models enable focused remote productivity while preserving in-person interactions necessary for</w:t>
      </w:r>
      <w:r w:rsidR="6DDD13A7">
        <w:rPr/>
        <w:t xml:space="preserve"> </w:t>
      </w:r>
      <w:r w:rsidR="6DDD13A7">
        <w:rPr/>
        <w:t>innovation</w:t>
      </w:r>
      <w:r w:rsidR="393CE7DA">
        <w:rPr/>
        <w:t xml:space="preserve"> </w:t>
      </w:r>
      <w:r w:rsidRPr="1C0C577E" w:rsidR="393CE7DA">
        <w:rPr>
          <w:rFonts w:ascii="Times New Roman" w:hAnsi="Times New Roman" w:eastAsia="Times New Roman" w:cs="Times New Roman"/>
          <w:noProof w:val="0"/>
          <w:sz w:val="24"/>
          <w:szCs w:val="24"/>
          <w:lang w:val="en-US"/>
        </w:rPr>
        <w:t>(</w:t>
      </w:r>
      <w:r w:rsidRPr="1C0C577E" w:rsidR="393CE7DA">
        <w:rPr>
          <w:rFonts w:ascii="Times New Roman" w:hAnsi="Times New Roman" w:eastAsia="Times New Roman" w:cs="Times New Roman"/>
          <w:noProof w:val="0"/>
          <w:sz w:val="24"/>
          <w:szCs w:val="24"/>
          <w:lang w:val="en-US"/>
        </w:rPr>
        <w:t>Iogansen</w:t>
      </w:r>
      <w:r w:rsidRPr="1C0C577E" w:rsidR="393CE7DA">
        <w:rPr>
          <w:rFonts w:ascii="Times New Roman" w:hAnsi="Times New Roman" w:eastAsia="Times New Roman" w:cs="Times New Roman"/>
          <w:noProof w:val="0"/>
          <w:sz w:val="24"/>
          <w:szCs w:val="24"/>
          <w:lang w:val="en-US"/>
        </w:rPr>
        <w:t xml:space="preserve"> et al., 2024)</w:t>
      </w:r>
      <w:r w:rsidR="6DDD13A7">
        <w:rPr/>
        <w:t>.</w:t>
      </w:r>
    </w:p>
    <w:p w:rsidR="5431C572" w:rsidP="1C0C577E" w:rsidRDefault="5431C572" w14:paraId="616F50E6" w14:textId="13E0741C">
      <w:pPr>
        <w:pStyle w:val="Normal"/>
        <w:spacing w:before="240" w:after="240" w:line="360" w:lineRule="auto"/>
        <w:rPr>
          <w:rFonts w:ascii="Arial" w:hAnsi="Arial" w:eastAsia="Arial" w:cs="Arial"/>
          <w:noProof w:val="0"/>
          <w:sz w:val="24"/>
          <w:szCs w:val="24"/>
          <w:lang w:val="en-US"/>
        </w:rPr>
      </w:pPr>
      <w:r w:rsidRPr="1C0C577E" w:rsidR="5431C572">
        <w:rPr>
          <w:rFonts w:ascii="Arial" w:hAnsi="Arial" w:eastAsia="Arial" w:cs="Arial"/>
          <w:noProof w:val="0"/>
          <w:sz w:val="24"/>
          <w:szCs w:val="24"/>
          <w:lang w:val="en-US"/>
        </w:rPr>
        <w:t>For Aether Innovations, a structured hybrid model should combine designated in-office collaboration days with clear guidelines for remote and office-based work. This approach should be supported by robust digital collaboration platforms and leadership training to manage distributed teams effectively, ensuring cohesion, accountability, and sustained performance</w:t>
      </w:r>
      <w:r w:rsidRPr="1C0C577E" w:rsidR="61A52F64">
        <w:rPr>
          <w:rFonts w:ascii="Arial" w:hAnsi="Arial" w:eastAsia="Arial" w:cs="Arial"/>
          <w:noProof w:val="0"/>
          <w:sz w:val="24"/>
          <w:szCs w:val="24"/>
          <w:lang w:val="en-US"/>
        </w:rPr>
        <w:t xml:space="preserve"> </w:t>
      </w:r>
      <w:r w:rsidRPr="1C0C577E" w:rsidR="61A52F64">
        <w:rPr>
          <w:rFonts w:ascii="Times New Roman" w:hAnsi="Times New Roman" w:eastAsia="Times New Roman" w:cs="Times New Roman"/>
          <w:noProof w:val="0"/>
          <w:sz w:val="24"/>
          <w:szCs w:val="24"/>
          <w:lang w:val="en-US"/>
        </w:rPr>
        <w:t>(</w:t>
      </w:r>
      <w:r w:rsidRPr="1C0C577E" w:rsidR="61A52F64">
        <w:rPr>
          <w:rFonts w:ascii="Times New Roman" w:hAnsi="Times New Roman" w:eastAsia="Times New Roman" w:cs="Times New Roman"/>
          <w:noProof w:val="0"/>
          <w:sz w:val="24"/>
          <w:szCs w:val="24"/>
          <w:lang w:val="en-US"/>
        </w:rPr>
        <w:t>Iogansen</w:t>
      </w:r>
      <w:r w:rsidRPr="1C0C577E" w:rsidR="61A52F64">
        <w:rPr>
          <w:rFonts w:ascii="Times New Roman" w:hAnsi="Times New Roman" w:eastAsia="Times New Roman" w:cs="Times New Roman"/>
          <w:noProof w:val="0"/>
          <w:sz w:val="24"/>
          <w:szCs w:val="24"/>
          <w:lang w:val="en-US"/>
        </w:rPr>
        <w:t xml:space="preserve"> et al., </w:t>
      </w:r>
      <w:r w:rsidRPr="1C0C577E" w:rsidR="61A52F64">
        <w:rPr>
          <w:rFonts w:ascii="Times New Roman" w:hAnsi="Times New Roman" w:eastAsia="Times New Roman" w:cs="Times New Roman"/>
          <w:noProof w:val="0"/>
          <w:sz w:val="24"/>
          <w:szCs w:val="24"/>
          <w:lang w:val="en-US"/>
        </w:rPr>
        <w:t>2024</w:t>
      </w:r>
      <w:r w:rsidRPr="1C0C577E" w:rsidR="61A52F64">
        <w:rPr>
          <w:rFonts w:ascii="Times New Roman" w:hAnsi="Times New Roman" w:eastAsia="Times New Roman" w:cs="Times New Roman"/>
          <w:noProof w:val="0"/>
          <w:sz w:val="24"/>
          <w:szCs w:val="24"/>
          <w:lang w:val="en-US"/>
        </w:rPr>
        <w:t>)</w:t>
      </w:r>
      <w:r w:rsidR="61A52F64">
        <w:rPr/>
        <w:t>.</w:t>
      </w:r>
    </w:p>
    <w:p w:rsidR="109FCEAC" w:rsidP="1C0C577E" w:rsidRDefault="7C601CC1" w14:paraId="0E334739" w14:textId="5980F3A1">
      <w:pPr>
        <w:spacing w:before="240" w:after="240" w:line="360" w:lineRule="auto"/>
        <w:rPr>
          <w:color w:val="auto"/>
        </w:rPr>
      </w:pPr>
      <w:r w:rsidRPr="1C0C577E" w:rsidR="6DDD13A7">
        <w:rPr>
          <w:color w:val="auto"/>
        </w:rPr>
        <w:t xml:space="preserve">Hybrid working also aligns with the Job Characteristics Model by increasing autonomy while preserving feedback and task significance through structured collaboration </w:t>
      </w:r>
      <w:r w:rsidRPr="1C0C577E" w:rsidR="6DDD13A7">
        <w:rPr>
          <w:color w:val="auto"/>
        </w:rPr>
        <w:t xml:space="preserve">(Hackman &amp; Oldham, 1976). Employees gain flexibility while </w:t>
      </w:r>
      <w:r w:rsidRPr="1C0C577E" w:rsidR="6DDD13A7">
        <w:rPr>
          <w:color w:val="auto"/>
        </w:rPr>
        <w:t>remaining</w:t>
      </w:r>
      <w:r w:rsidRPr="1C0C577E" w:rsidR="6DDD13A7">
        <w:rPr>
          <w:color w:val="auto"/>
        </w:rPr>
        <w:t xml:space="preserve"> connected to </w:t>
      </w:r>
      <w:r w:rsidRPr="1C0C577E" w:rsidR="6DDD13A7">
        <w:rPr>
          <w:color w:val="auto"/>
        </w:rPr>
        <w:t>organisational</w:t>
      </w:r>
      <w:r w:rsidRPr="1C0C577E" w:rsidR="6DDD13A7">
        <w:rPr>
          <w:color w:val="auto"/>
        </w:rPr>
        <w:t xml:space="preserve"> </w:t>
      </w:r>
      <w:r w:rsidRPr="1C0C577E" w:rsidR="6DDD13A7">
        <w:rPr>
          <w:color w:val="auto"/>
        </w:rPr>
        <w:t>objectives</w:t>
      </w:r>
      <w:r w:rsidRPr="1C0C577E" w:rsidR="6DDD13A7">
        <w:rPr>
          <w:color w:val="auto"/>
        </w:rPr>
        <w:t>.</w:t>
      </w:r>
    </w:p>
    <w:p w:rsidR="6951D715" w:rsidP="1C0C577E" w:rsidRDefault="7C601CC1" w14:paraId="2198E9F4" w14:textId="1BCD135C">
      <w:pPr>
        <w:spacing w:before="240" w:after="240" w:line="360" w:lineRule="auto"/>
        <w:rPr>
          <w:color w:val="auto"/>
        </w:rPr>
      </w:pPr>
      <w:r w:rsidRPr="1C0C577E" w:rsidR="6DDD13A7">
        <w:rPr>
          <w:color w:val="auto"/>
        </w:rPr>
        <w:t xml:space="preserve">Flexible arrangements also support diversity and inclusion by accommodating varied employee needs, strengthening </w:t>
      </w:r>
      <w:r w:rsidRPr="1C0C577E" w:rsidR="6DDD13A7">
        <w:rPr>
          <w:color w:val="auto"/>
        </w:rPr>
        <w:t>loyalty</w:t>
      </w:r>
      <w:r w:rsidRPr="1C0C577E" w:rsidR="6DDD13A7">
        <w:rPr>
          <w:color w:val="auto"/>
        </w:rPr>
        <w:t xml:space="preserve"> and engagement. Evidence </w:t>
      </w:r>
      <w:r w:rsidRPr="1C0C577E" w:rsidR="6DDD13A7">
        <w:rPr>
          <w:color w:val="auto"/>
        </w:rPr>
        <w:t>shows</w:t>
      </w:r>
      <w:r w:rsidRPr="1C0C577E" w:rsidR="6DDD13A7">
        <w:rPr>
          <w:color w:val="auto"/>
        </w:rPr>
        <w:t xml:space="preserve"> </w:t>
      </w:r>
      <w:r w:rsidRPr="1C0C577E" w:rsidR="6DDD13A7">
        <w:rPr>
          <w:color w:val="auto"/>
        </w:rPr>
        <w:t>organisations</w:t>
      </w:r>
      <w:r w:rsidRPr="1C0C577E" w:rsidR="6DDD13A7">
        <w:rPr>
          <w:color w:val="auto"/>
        </w:rPr>
        <w:t xml:space="preserve"> successfully implementing hybrid systems experience </w:t>
      </w:r>
      <w:r w:rsidRPr="1C0C577E" w:rsidR="651CAAF9">
        <w:rPr>
          <w:color w:val="auto"/>
        </w:rPr>
        <w:t xml:space="preserve">have </w:t>
      </w:r>
      <w:r w:rsidRPr="1C0C577E" w:rsidR="6DDD13A7">
        <w:rPr>
          <w:color w:val="auto"/>
        </w:rPr>
        <w:t xml:space="preserve">improved engagement, retention, and performance (CIPD, 2023). For Aether Innovations, adopting hybrid work would </w:t>
      </w:r>
      <w:r w:rsidRPr="1C0C577E" w:rsidR="6DDD13A7">
        <w:rPr>
          <w:color w:val="auto"/>
        </w:rPr>
        <w:t>stabilise</w:t>
      </w:r>
      <w:r w:rsidRPr="1C0C577E" w:rsidR="6DDD13A7">
        <w:rPr>
          <w:color w:val="auto"/>
        </w:rPr>
        <w:t xml:space="preserve"> morale, enhance recruitment, and strengthen innovation capacity while </w:t>
      </w:r>
      <w:r w:rsidRPr="1C0C577E" w:rsidR="6DDD13A7">
        <w:rPr>
          <w:color w:val="auto"/>
        </w:rPr>
        <w:t>maintaining</w:t>
      </w:r>
      <w:r w:rsidRPr="1C0C577E" w:rsidR="6DDD13A7">
        <w:rPr>
          <w:color w:val="auto"/>
        </w:rPr>
        <w:t xml:space="preserve"> operational effectiveness.</w:t>
      </w:r>
    </w:p>
    <w:p w:rsidR="109FCEAC" w:rsidP="1C0C577E" w:rsidRDefault="4C2E11FF" w14:paraId="1D121EF3" w14:textId="732B809F">
      <w:pPr>
        <w:pStyle w:val="Heading3"/>
        <w:spacing w:before="281" w:after="281" w:line="360" w:lineRule="auto"/>
        <w:rPr>
          <w:rFonts w:eastAsia="ＭＳ 明朝" w:cs="Arial" w:eastAsiaTheme="minorEastAsia" w:cstheme="minorBidi"/>
          <w:b w:val="1"/>
          <w:bCs w:val="1"/>
          <w:sz w:val="28"/>
          <w:szCs w:val="28"/>
          <w:u w:val="single"/>
        </w:rPr>
      </w:pPr>
      <w:bookmarkStart w:name="_Toc2006276022" w:id="26"/>
      <w:bookmarkStart w:name="_Toc223368019" w:id="1566890983"/>
      <w:r w:rsidRPr="1C0C577E" w:rsidR="6A819129">
        <w:rPr>
          <w:rFonts w:eastAsia="ＭＳ 明朝" w:cs="Arial" w:eastAsiaTheme="minorEastAsia" w:cstheme="minorBidi"/>
          <w:b w:val="1"/>
          <w:bCs w:val="1"/>
          <w:sz w:val="28"/>
          <w:szCs w:val="28"/>
          <w:u w:val="single"/>
        </w:rPr>
        <w:t>4. Motivating and Enabling Optimal Performance</w:t>
      </w:r>
      <w:bookmarkEnd w:id="26"/>
      <w:bookmarkEnd w:id="1566890983"/>
    </w:p>
    <w:p w:rsidR="4330E7D8" w:rsidP="1C0C577E" w:rsidRDefault="4330E7D8" w14:paraId="096FB21C" w14:textId="70F12DCC">
      <w:pPr>
        <w:spacing w:before="240" w:after="240" w:line="360" w:lineRule="auto"/>
        <w:rPr>
          <w:rFonts w:ascii="Arial" w:hAnsi="Arial" w:eastAsia="Arial" w:cs="Arial" w:asciiTheme="minorAscii" w:hAnsiTheme="minorAscii" w:eastAsiaTheme="minorAscii" w:cstheme="minorAscii"/>
          <w:color w:val="auto"/>
        </w:rPr>
      </w:pPr>
      <w:r w:rsidRPr="1C0C577E" w:rsidR="4330E7D8">
        <w:rPr>
          <w:rFonts w:ascii="Arial" w:hAnsi="Arial" w:eastAsia="Arial" w:cs="Arial" w:asciiTheme="minorAscii" w:hAnsiTheme="minorAscii" w:eastAsiaTheme="minorAscii" w:cstheme="minorAscii"/>
          <w:color w:val="auto"/>
        </w:rPr>
        <w:t xml:space="preserve">Performance improves when employees feel valued, capable, and connected to </w:t>
      </w:r>
      <w:r w:rsidRPr="1C0C577E" w:rsidR="4330E7D8">
        <w:rPr>
          <w:rFonts w:ascii="Arial" w:hAnsi="Arial" w:eastAsia="Arial" w:cs="Arial" w:asciiTheme="minorAscii" w:hAnsiTheme="minorAscii" w:eastAsiaTheme="minorAscii" w:cstheme="minorAscii"/>
          <w:color w:val="auto"/>
        </w:rPr>
        <w:t>organisational</w:t>
      </w:r>
      <w:r w:rsidRPr="1C0C577E" w:rsidR="4330E7D8">
        <w:rPr>
          <w:rFonts w:ascii="Arial" w:hAnsi="Arial" w:eastAsia="Arial" w:cs="Arial" w:asciiTheme="minorAscii" w:hAnsiTheme="minorAscii" w:eastAsiaTheme="minorAscii" w:cstheme="minorAscii"/>
          <w:color w:val="auto"/>
        </w:rPr>
        <w:t xml:space="preserve"> </w:t>
      </w:r>
      <w:r w:rsidRPr="1C0C577E" w:rsidR="4330E7D8">
        <w:rPr>
          <w:rFonts w:ascii="Arial" w:hAnsi="Arial" w:eastAsia="Arial" w:cs="Arial" w:asciiTheme="minorAscii" w:hAnsiTheme="minorAscii" w:eastAsiaTheme="minorAscii" w:cstheme="minorAscii"/>
          <w:color w:val="auto"/>
        </w:rPr>
        <w:t>purposes</w:t>
      </w:r>
      <w:r w:rsidRPr="1C0C577E" w:rsidR="4330E7D8">
        <w:rPr>
          <w:rFonts w:ascii="Arial" w:hAnsi="Arial" w:eastAsia="Arial" w:cs="Arial" w:asciiTheme="minorAscii" w:hAnsiTheme="minorAscii" w:eastAsiaTheme="minorAscii" w:cstheme="minorAscii"/>
          <w:color w:val="auto"/>
        </w:rPr>
        <w:t xml:space="preserve"> (Hackman &amp; Oldham, 1976). At Aether Innovations, this could be achieved through human capital initiatives such as targeted training, career development, recognition programs, mentorship, and opportunities that align roles with </w:t>
      </w:r>
      <w:r w:rsidRPr="1C0C577E" w:rsidR="4330E7D8">
        <w:rPr>
          <w:rFonts w:ascii="Arial" w:hAnsi="Arial" w:eastAsia="Arial" w:cs="Arial" w:asciiTheme="minorAscii" w:hAnsiTheme="minorAscii" w:eastAsiaTheme="minorAscii" w:cstheme="minorAscii"/>
          <w:color w:val="auto"/>
        </w:rPr>
        <w:t>organisational</w:t>
      </w:r>
      <w:r w:rsidRPr="1C0C577E" w:rsidR="4330E7D8">
        <w:rPr>
          <w:rFonts w:ascii="Arial" w:hAnsi="Arial" w:eastAsia="Arial" w:cs="Arial" w:asciiTheme="minorAscii" w:hAnsiTheme="minorAscii" w:eastAsiaTheme="minorAscii" w:cstheme="minorAscii"/>
          <w:color w:val="auto"/>
        </w:rPr>
        <w:t xml:space="preserve"> goals and impact.</w:t>
      </w:r>
    </w:p>
    <w:p w:rsidR="151D09BE" w:rsidP="1C0C577E" w:rsidRDefault="151D09BE" w14:paraId="794B6F24" w14:textId="3108119C">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151D09BE">
        <w:rPr>
          <w:rFonts w:ascii="Arial" w:hAnsi="Arial" w:eastAsia="Arial" w:cs="Arial" w:asciiTheme="minorAscii" w:hAnsiTheme="minorAscii" w:eastAsiaTheme="minorAscii" w:cstheme="minorAscii"/>
          <w:noProof w:val="0"/>
          <w:sz w:val="24"/>
          <w:szCs w:val="24"/>
          <w:lang w:val="en-US"/>
        </w:rPr>
        <w:t xml:space="preserve">Continuous learning enhances adaptability, while coaching-oriented management supports development and clear career pathways reduce turnover. </w:t>
      </w:r>
      <w:r w:rsidRPr="1C0C577E" w:rsidR="151D09BE">
        <w:rPr>
          <w:rFonts w:ascii="Arial" w:hAnsi="Arial" w:eastAsia="Arial" w:cs="Arial" w:asciiTheme="minorAscii" w:hAnsiTheme="minorAscii" w:eastAsiaTheme="minorAscii" w:cstheme="minorAscii"/>
          <w:noProof w:val="0"/>
          <w:sz w:val="24"/>
          <w:szCs w:val="24"/>
          <w:lang w:val="en-US"/>
        </w:rPr>
        <w:t>Recognising</w:t>
      </w:r>
      <w:r w:rsidRPr="1C0C577E" w:rsidR="151D09BE">
        <w:rPr>
          <w:rFonts w:ascii="Arial" w:hAnsi="Arial" w:eastAsia="Arial" w:cs="Arial" w:asciiTheme="minorAscii" w:hAnsiTheme="minorAscii" w:eastAsiaTheme="minorAscii" w:cstheme="minorAscii"/>
          <w:noProof w:val="0"/>
          <w:sz w:val="24"/>
          <w:szCs w:val="24"/>
          <w:lang w:val="en-US"/>
        </w:rPr>
        <w:t xml:space="preserve"> innovation strengthens intrinsic motivation, and fostering psychological safety encourages idea sharing and experimentation. Integrating these initiatives aligns employee </w:t>
      </w:r>
      <w:r w:rsidRPr="1C0C577E" w:rsidR="151D09BE">
        <w:rPr>
          <w:rFonts w:ascii="Arial" w:hAnsi="Arial" w:eastAsia="Arial" w:cs="Arial" w:asciiTheme="minorAscii" w:hAnsiTheme="minorAscii" w:eastAsiaTheme="minorAscii" w:cstheme="minorAscii"/>
          <w:noProof w:val="0"/>
          <w:sz w:val="24"/>
          <w:szCs w:val="24"/>
          <w:lang w:val="en-US"/>
        </w:rPr>
        <w:t>behaviour</w:t>
      </w:r>
      <w:r w:rsidRPr="1C0C577E" w:rsidR="151D09BE">
        <w:rPr>
          <w:rFonts w:ascii="Arial" w:hAnsi="Arial" w:eastAsia="Arial" w:cs="Arial" w:asciiTheme="minorAscii" w:hAnsiTheme="minorAscii" w:eastAsiaTheme="minorAscii" w:cstheme="minorAscii"/>
          <w:noProof w:val="0"/>
          <w:sz w:val="24"/>
          <w:szCs w:val="24"/>
          <w:lang w:val="en-US"/>
        </w:rPr>
        <w:t xml:space="preserve"> with </w:t>
      </w:r>
      <w:r w:rsidRPr="1C0C577E" w:rsidR="151D09BE">
        <w:rPr>
          <w:rFonts w:ascii="Arial" w:hAnsi="Arial" w:eastAsia="Arial" w:cs="Arial" w:asciiTheme="minorAscii" w:hAnsiTheme="minorAscii" w:eastAsiaTheme="minorAscii" w:cstheme="minorAscii"/>
          <w:noProof w:val="0"/>
          <w:sz w:val="24"/>
          <w:szCs w:val="24"/>
          <w:lang w:val="en-US"/>
        </w:rPr>
        <w:t>organisational</w:t>
      </w:r>
      <w:r w:rsidRPr="1C0C577E" w:rsidR="151D09BE">
        <w:rPr>
          <w:rFonts w:ascii="Arial" w:hAnsi="Arial" w:eastAsia="Arial" w:cs="Arial" w:asciiTheme="minorAscii" w:hAnsiTheme="minorAscii" w:eastAsiaTheme="minorAscii" w:cstheme="minorAscii"/>
          <w:noProof w:val="0"/>
          <w:sz w:val="24"/>
          <w:szCs w:val="24"/>
          <w:lang w:val="en-US"/>
        </w:rPr>
        <w:t xml:space="preserve"> goals, driving </w:t>
      </w:r>
      <w:r w:rsidRPr="1C0C577E" w:rsidR="151D09BE">
        <w:rPr>
          <w:rFonts w:ascii="Arial" w:hAnsi="Arial" w:eastAsia="Arial" w:cs="Arial" w:asciiTheme="minorAscii" w:hAnsiTheme="minorAscii" w:eastAsiaTheme="minorAscii" w:cstheme="minorAscii"/>
          <w:noProof w:val="0"/>
          <w:sz w:val="24"/>
          <w:szCs w:val="24"/>
          <w:lang w:val="en-US"/>
        </w:rPr>
        <w:t>commitment,</w:t>
      </w:r>
      <w:r w:rsidRPr="1C0C577E" w:rsidR="151D09BE">
        <w:rPr>
          <w:rFonts w:ascii="Arial" w:hAnsi="Arial" w:eastAsia="Arial" w:cs="Arial" w:asciiTheme="minorAscii" w:hAnsiTheme="minorAscii" w:eastAsiaTheme="minorAscii" w:cstheme="minorAscii"/>
          <w:noProof w:val="0"/>
          <w:sz w:val="24"/>
          <w:szCs w:val="24"/>
          <w:lang w:val="en-US"/>
        </w:rPr>
        <w:t xml:space="preserve"> and discretionary effort (CIPD, 2023).</w:t>
      </w:r>
    </w:p>
    <w:p w:rsidR="109FCEAC" w:rsidP="1C0C577E" w:rsidRDefault="4C2E11FF" w14:paraId="63B79663" w14:textId="2E58E61E">
      <w:pPr>
        <w:pStyle w:val="Heading3"/>
        <w:rPr>
          <w:rFonts w:eastAsia="ＭＳ 明朝" w:cs="Arial" w:eastAsiaTheme="minorEastAsia" w:cstheme="minorBidi"/>
          <w:b w:val="1"/>
          <w:bCs w:val="1"/>
          <w:sz w:val="28"/>
          <w:szCs w:val="28"/>
          <w:u w:val="single"/>
        </w:rPr>
      </w:pPr>
      <w:bookmarkStart w:name="_Toc1534814348" w:id="29"/>
      <w:bookmarkStart w:name="_Toc1546361688" w:id="307776620"/>
      <w:r w:rsidRPr="1C0C577E" w:rsidR="6A819129">
        <w:rPr>
          <w:b w:val="1"/>
          <w:bCs w:val="1"/>
          <w:sz w:val="28"/>
          <w:szCs w:val="28"/>
          <w:u w:val="single"/>
        </w:rPr>
        <w:t xml:space="preserve">5. </w:t>
      </w:r>
      <w:r w:rsidRPr="1C0C577E" w:rsidR="6A819129">
        <w:rPr>
          <w:b w:val="1"/>
          <w:bCs w:val="1"/>
          <w:sz w:val="28"/>
          <w:szCs w:val="28"/>
          <w:u w:val="single"/>
        </w:rPr>
        <w:t>Organisational</w:t>
      </w:r>
      <w:r w:rsidRPr="1C0C577E" w:rsidR="6A819129">
        <w:rPr>
          <w:b w:val="1"/>
          <w:bCs w:val="1"/>
          <w:sz w:val="28"/>
          <w:szCs w:val="28"/>
          <w:u w:val="single"/>
        </w:rPr>
        <w:t xml:space="preserve"> and Employee Outcomes</w:t>
      </w:r>
      <w:bookmarkEnd w:id="29"/>
      <w:bookmarkEnd w:id="307776620"/>
    </w:p>
    <w:p w:rsidR="7315A028" w:rsidP="1C0C577E" w:rsidRDefault="7315A028" w14:paraId="69AA50BB" w14:textId="3E146996">
      <w:pPr>
        <w:spacing w:before="240" w:beforeAutospacing="off" w:after="240" w:afterAutospacing="off" w:line="360" w:lineRule="auto"/>
      </w:pPr>
      <w:r w:rsidRPr="1C0C577E" w:rsidR="7315A028">
        <w:rPr>
          <w:rFonts w:ascii="Arial" w:hAnsi="Arial" w:eastAsia="Arial" w:cs="Arial"/>
          <w:noProof w:val="0"/>
          <w:sz w:val="24"/>
          <w:szCs w:val="24"/>
          <w:lang w:val="en-US"/>
        </w:rPr>
        <w:t xml:space="preserve">Embedding innovation practices and hybrid structures is expected to deliver multiple </w:t>
      </w:r>
      <w:r w:rsidRPr="1C0C577E" w:rsidR="7315A028">
        <w:rPr>
          <w:rFonts w:ascii="Arial" w:hAnsi="Arial" w:eastAsia="Arial" w:cs="Arial"/>
          <w:noProof w:val="0"/>
          <w:sz w:val="24"/>
          <w:szCs w:val="24"/>
          <w:lang w:val="en-US"/>
        </w:rPr>
        <w:t>organisational</w:t>
      </w:r>
      <w:r w:rsidRPr="1C0C577E" w:rsidR="7315A028">
        <w:rPr>
          <w:rFonts w:ascii="Arial" w:hAnsi="Arial" w:eastAsia="Arial" w:cs="Arial"/>
          <w:noProof w:val="0"/>
          <w:sz w:val="24"/>
          <w:szCs w:val="24"/>
          <w:lang w:val="en-US"/>
        </w:rPr>
        <w:t xml:space="preserve"> benefits, including reduced employee turnover, higher engagement and job satisfaction, faster innovation cycles, improved customer satisfaction, and greater agility. </w:t>
      </w:r>
      <w:r w:rsidRPr="1C0C577E" w:rsidR="7315A028">
        <w:rPr>
          <w:rFonts w:ascii="Arial" w:hAnsi="Arial" w:eastAsia="Arial" w:cs="Arial"/>
          <w:noProof w:val="0"/>
          <w:sz w:val="24"/>
          <w:szCs w:val="24"/>
          <w:lang w:val="en-US"/>
        </w:rPr>
        <w:t>Organisations</w:t>
      </w:r>
      <w:r w:rsidRPr="1C0C577E" w:rsidR="7315A028">
        <w:rPr>
          <w:rFonts w:ascii="Arial" w:hAnsi="Arial" w:eastAsia="Arial" w:cs="Arial"/>
          <w:noProof w:val="0"/>
          <w:sz w:val="24"/>
          <w:szCs w:val="24"/>
          <w:lang w:val="en-US"/>
        </w:rPr>
        <w:t xml:space="preserve"> with strong engagement and innovation cultures outperform competitors operationally and financially (Westerman, </w:t>
      </w:r>
      <w:r w:rsidRPr="1C0C577E" w:rsidR="7315A028">
        <w:rPr>
          <w:rFonts w:ascii="Arial" w:hAnsi="Arial" w:eastAsia="Arial" w:cs="Arial"/>
          <w:noProof w:val="0"/>
          <w:sz w:val="24"/>
          <w:szCs w:val="24"/>
          <w:lang w:val="en-US"/>
        </w:rPr>
        <w:t>Bonnet</w:t>
      </w:r>
      <w:r w:rsidRPr="1C0C577E" w:rsidR="7315A028">
        <w:rPr>
          <w:rFonts w:ascii="Arial" w:hAnsi="Arial" w:eastAsia="Arial" w:cs="Arial"/>
          <w:noProof w:val="0"/>
          <w:sz w:val="24"/>
          <w:szCs w:val="24"/>
          <w:lang w:val="en-US"/>
        </w:rPr>
        <w:t xml:space="preserve"> and McAfee, 2014), and aligning culture, leadership, and work practices will </w:t>
      </w:r>
      <w:r w:rsidRPr="1C0C577E" w:rsidR="7315A028">
        <w:rPr>
          <w:rFonts w:ascii="Arial" w:hAnsi="Arial" w:eastAsia="Arial" w:cs="Arial"/>
          <w:noProof w:val="0"/>
          <w:sz w:val="24"/>
          <w:szCs w:val="24"/>
          <w:lang w:val="en-US"/>
        </w:rPr>
        <w:t>stabilise</w:t>
      </w:r>
      <w:r w:rsidRPr="1C0C577E" w:rsidR="7315A028">
        <w:rPr>
          <w:rFonts w:ascii="Arial" w:hAnsi="Arial" w:eastAsia="Arial" w:cs="Arial"/>
          <w:noProof w:val="0"/>
          <w:sz w:val="24"/>
          <w:szCs w:val="24"/>
          <w:lang w:val="en-US"/>
        </w:rPr>
        <w:t xml:space="preserve"> growth and strengthen competitiveness at Aether Innovations.</w:t>
      </w:r>
    </w:p>
    <w:p w:rsidR="109FCEAC" w:rsidP="1C0C577E" w:rsidRDefault="4C2E11FF" w14:paraId="17CD2B97" w14:textId="00C5E1F4">
      <w:pPr>
        <w:pStyle w:val="Heading3"/>
        <w:spacing w:before="281" w:after="281" w:line="360" w:lineRule="auto"/>
        <w:rPr>
          <w:rFonts w:eastAsia="ＭＳ 明朝" w:cs="Arial" w:eastAsiaTheme="minorEastAsia" w:cstheme="minorBidi"/>
          <w:b w:val="1"/>
          <w:bCs w:val="1"/>
          <w:sz w:val="28"/>
          <w:szCs w:val="28"/>
          <w:u w:val="single"/>
        </w:rPr>
      </w:pPr>
      <w:bookmarkStart w:name="_Toc518406817" w:id="31"/>
      <w:bookmarkStart w:name="_Toc1514184776" w:id="60601720"/>
      <w:r w:rsidRPr="1C0C577E" w:rsidR="6A819129">
        <w:rPr>
          <w:rFonts w:eastAsia="ＭＳ 明朝" w:cs="Arial" w:eastAsiaTheme="minorEastAsia" w:cstheme="minorBidi"/>
          <w:b w:val="1"/>
          <w:bCs w:val="1"/>
          <w:sz w:val="28"/>
          <w:szCs w:val="28"/>
          <w:u w:val="single"/>
        </w:rPr>
        <w:t>6. Conclusion of Part 1</w:t>
      </w:r>
      <w:bookmarkEnd w:id="31"/>
      <w:bookmarkEnd w:id="60601720"/>
    </w:p>
    <w:p w:rsidR="6951D715" w:rsidP="6951D715" w:rsidRDefault="6951D715" w14:paraId="68651CF0" w14:textId="2D0C6032">
      <w:pPr>
        <w:spacing w:before="240" w:after="240" w:line="360" w:lineRule="auto"/>
      </w:pPr>
      <w:r w:rsidR="6DDD13A7">
        <w:rPr/>
        <w:t>Aether Innovations must transition from reactive growth management towards strategically aligned human capital practices. Embedding innovation systems, hybrid work models, continuous learning, and psychological safety will rebuild engagement and performance. Long-term competitiveness depends on aligning culture, leadership, and work design to support both employee well-being and business outcomes.</w:t>
      </w:r>
    </w:p>
    <w:p w:rsidR="1C0C577E" w:rsidP="1C0C577E" w:rsidRDefault="1C0C577E" w14:paraId="751F2DA4" w14:textId="600133DE">
      <w:pPr>
        <w:spacing w:before="240" w:after="240" w:line="360" w:lineRule="auto"/>
      </w:pPr>
    </w:p>
    <w:p w:rsidR="1C0C577E" w:rsidP="1C0C577E" w:rsidRDefault="1C0C577E" w14:paraId="28ABB2EF" w14:textId="14230535">
      <w:pPr>
        <w:pStyle w:val="Heading2"/>
        <w:rPr>
          <w:rFonts w:ascii="Arial" w:hAnsi="Arial" w:eastAsia="ＭＳ 明朝" w:cs="Arial" w:asciiTheme="minorAscii" w:hAnsiTheme="minorAscii" w:eastAsiaTheme="minorEastAsia" w:cstheme="minorBidi"/>
          <w:b w:val="1"/>
          <w:bCs w:val="1"/>
          <w:sz w:val="32"/>
          <w:szCs w:val="32"/>
        </w:rPr>
      </w:pPr>
    </w:p>
    <w:p w:rsidR="6AF289C1" w:rsidP="1C0C577E" w:rsidRDefault="6AF289C1" w14:paraId="290AF574" w14:textId="2B99799A">
      <w:pPr>
        <w:pStyle w:val="Heading2"/>
        <w:rPr>
          <w:rFonts w:ascii="Arial" w:hAnsi="Arial" w:eastAsia="ＭＳ 明朝" w:cs="Arial" w:asciiTheme="minorAscii" w:hAnsiTheme="minorAscii" w:eastAsiaTheme="minorEastAsia" w:cstheme="minorBidi"/>
          <w:b w:val="1"/>
          <w:bCs w:val="1"/>
          <w:color w:val="000000" w:themeColor="text1"/>
          <w:sz w:val="32"/>
          <w:szCs w:val="32"/>
        </w:rPr>
      </w:pPr>
      <w:bookmarkStart w:name="_Toc580543775" w:id="32"/>
      <w:bookmarkStart w:name="_Toc273355058" w:id="1244187523"/>
      <w:r w:rsidRPr="1C0C577E" w:rsidR="4D9FA59B">
        <w:rPr>
          <w:rFonts w:ascii="Arial" w:hAnsi="Arial" w:eastAsia="ＭＳ 明朝" w:cs="Arial" w:asciiTheme="minorAscii" w:hAnsiTheme="minorAscii" w:eastAsiaTheme="minorEastAsia" w:cstheme="minorBidi"/>
          <w:b w:val="1"/>
          <w:bCs w:val="1"/>
          <w:sz w:val="32"/>
          <w:szCs w:val="32"/>
        </w:rPr>
        <w:t>Part 2: Reflective Account on Learning, Innovation, and Professional Development</w:t>
      </w:r>
      <w:bookmarkEnd w:id="32"/>
      <w:bookmarkEnd w:id="1244187523"/>
    </w:p>
    <w:p w:rsidR="6951D715" w:rsidP="6951D715" w:rsidRDefault="6951D715" w14:paraId="2F9DAA18" w14:textId="783CC9F7"/>
    <w:p w:rsidR="70F36C4A" w:rsidP="7D0248A5" w:rsidRDefault="70F36C4A" w14:paraId="12594812" w14:textId="25276D21">
      <w:pPr>
        <w:spacing w:before="240" w:after="240"/>
        <w:rPr>
          <w:rFonts w:ascii="Arial" w:hAnsi="Arial" w:eastAsia="Arial" w:cs="Arial"/>
        </w:rPr>
      </w:pPr>
      <w:r w:rsidRPr="1C0C577E" w:rsidR="27EBC287">
        <w:rPr>
          <w:color w:val="000000" w:themeColor="text1" w:themeTint="FF" w:themeShade="FF"/>
        </w:rPr>
        <w:t xml:space="preserve">1. </w:t>
      </w:r>
      <w:r w:rsidRPr="1C0C577E" w:rsidR="27EBC287">
        <w:rPr>
          <w:rStyle w:val="Heading1Char"/>
          <w:rFonts w:ascii="Arial" w:hAnsi="Arial" w:eastAsia="ＭＳ 明朝" w:cs="Arial" w:asciiTheme="minorAscii" w:hAnsiTheme="minorAscii" w:eastAsiaTheme="minorEastAsia" w:cstheme="minorBidi"/>
          <w:b w:val="1"/>
          <w:bCs w:val="1"/>
          <w:sz w:val="28"/>
          <w:szCs w:val="28"/>
        </w:rPr>
        <w:t>Learning Journey Using Gibbs’ Reflective Cycle</w:t>
      </w:r>
      <w:r w:rsidRPr="1C0C577E" w:rsidR="27EBC287">
        <w:rPr>
          <w:color w:val="000000" w:themeColor="text1" w:themeTint="FF" w:themeShade="FF"/>
          <w:sz w:val="28"/>
          <w:szCs w:val="28"/>
        </w:rPr>
        <w:t xml:space="preserve"> </w:t>
      </w:r>
    </w:p>
    <w:p w:rsidR="6951D715" w:rsidP="1C0C577E" w:rsidRDefault="6951D715" w14:paraId="576E6609" w14:textId="3B988AB2">
      <w:pPr>
        <w:spacing w:before="240" w:after="240" w:line="360" w:lineRule="auto"/>
        <w:rPr>
          <w:rFonts w:ascii="Arial" w:hAnsi="Arial" w:eastAsia="Arial" w:cs="Arial"/>
        </w:rPr>
      </w:pPr>
      <w:r w:rsidR="70EE2924">
        <w:rPr/>
        <w:t xml:space="preserve">This reflection </w:t>
      </w:r>
      <w:r w:rsidR="5FBDF5B0">
        <w:rPr/>
        <w:t>applies to</w:t>
      </w:r>
      <w:r w:rsidR="70EE2924">
        <w:rPr/>
        <w:t xml:space="preserve"> Gibbs’ Reflective Cycle</w:t>
      </w:r>
      <w:r w:rsidR="0C4E37AD">
        <w:rPr/>
        <w:t xml:space="preserve"> </w:t>
      </w:r>
      <w:r w:rsidR="70EE2924">
        <w:rPr/>
        <w:t>description, feelings, evaluation, analysis, conclusion, and action plan</w:t>
      </w:r>
      <w:r w:rsidR="5474C44F">
        <w:rPr/>
        <w:t xml:space="preserve"> </w:t>
      </w:r>
      <w:r w:rsidR="70EE2924">
        <w:rPr/>
        <w:t>to critically examine my development throughout this module (</w:t>
      </w:r>
      <w:r w:rsidR="70EE2924">
        <w:rPr/>
        <w:t>Adeani</w:t>
      </w:r>
      <w:r w:rsidR="70EE2924">
        <w:rPr/>
        <w:t xml:space="preserve">, </w:t>
      </w:r>
      <w:r w:rsidR="70EE2924">
        <w:rPr/>
        <w:t>Febriani</w:t>
      </w:r>
      <w:r w:rsidR="70EE2924">
        <w:rPr/>
        <w:t xml:space="preserve"> &amp; </w:t>
      </w:r>
      <w:r w:rsidR="70EE2924">
        <w:rPr/>
        <w:t>Syafryadin</w:t>
      </w:r>
      <w:r w:rsidR="70EE2924">
        <w:rPr/>
        <w:t xml:space="preserve">, 2020). Rather than describing experiences superficially, this structure enables </w:t>
      </w:r>
      <w:r w:rsidR="21B9BB11">
        <w:rPr/>
        <w:t xml:space="preserve">a </w:t>
      </w:r>
      <w:r w:rsidR="70EE2924">
        <w:rPr/>
        <w:t>deeper evaluation of how theoretical insight transformed my professional thinking</w:t>
      </w:r>
      <w:r w:rsidRPr="1C0C577E" w:rsidR="70EE2924">
        <w:rPr>
          <w:rFonts w:ascii="Arial" w:hAnsi="Arial" w:eastAsia="Arial" w:cs="Arial"/>
        </w:rPr>
        <w:t>.</w:t>
      </w:r>
      <w:r w:rsidRPr="1C0C577E" w:rsidR="110AD28B">
        <w:rPr>
          <w:rFonts w:ascii="Arial" w:hAnsi="Arial" w:eastAsia="Arial" w:cs="Arial"/>
        </w:rPr>
        <w:t xml:space="preserve"> </w:t>
      </w:r>
    </w:p>
    <w:p w:rsidR="6AF289C1" w:rsidP="1C0C577E" w:rsidRDefault="60029292" w14:paraId="0A669FA4" w14:textId="229E9583">
      <w:pPr>
        <w:pStyle w:val="Heading3"/>
        <w:rPr>
          <w:rFonts w:eastAsia="ＭＳ 明朝" w:cs="Arial" w:eastAsiaTheme="minorEastAsia" w:cstheme="minorBidi"/>
          <w:b w:val="1"/>
          <w:bCs w:val="1"/>
          <w:color w:val="000000" w:themeColor="text1"/>
          <w:u w:val="single"/>
        </w:rPr>
      </w:pPr>
      <w:bookmarkStart w:name="_Toc64402338" w:id="33"/>
      <w:bookmarkStart w:name="_Toc1231933217" w:id="2058286584"/>
      <w:r w:rsidRPr="1C0C577E" w:rsidR="67133FB3">
        <w:rPr>
          <w:rFonts w:eastAsia="ＭＳ 明朝" w:cs="Arial" w:eastAsiaTheme="minorEastAsia" w:cstheme="minorBidi"/>
          <w:b w:val="1"/>
          <w:bCs w:val="1"/>
          <w:u w:val="single"/>
        </w:rPr>
        <w:t>Description:</w:t>
      </w:r>
      <w:bookmarkEnd w:id="33"/>
      <w:bookmarkEnd w:id="2058286584"/>
    </w:p>
    <w:p w:rsidR="4605356E" w:rsidP="7D0248A5" w:rsidRDefault="4605356E" w14:paraId="16A41166" w14:textId="6FCEBFF4">
      <w:pPr>
        <w:spacing w:before="240" w:after="240" w:line="360" w:lineRule="auto"/>
      </w:pPr>
      <w:r w:rsidRPr="7D0248A5">
        <w:t>At the start of this module, my knowledge of HRM, innovation strategy, and organisational design was limited. I viewed HR primarily as administrative and compliance-driven, with little strategic influence. Concepts such as job design, engagement, and innovation culture were unfamiliar. Analysing Aether Innovations enabled me to critically examine how organisational culture and people management systems shape performance outcomes. Drawing on literature, case studies, and professional reports strengthened my understanding of HR as a strategic function central to competitive advantage (CIPD, 2023; Edmondson, 2018).</w:t>
      </w:r>
    </w:p>
    <w:p w:rsidR="4605356E" w:rsidP="7D0248A5" w:rsidRDefault="4605356E" w14:paraId="78F7AE86" w14:textId="6E75FDCC">
      <w:pPr>
        <w:spacing w:before="240" w:after="240" w:line="360" w:lineRule="auto"/>
      </w:pPr>
      <w:r w:rsidR="56562926">
        <w:rPr/>
        <w:t>Using Gibbs’ Reflective Cycle (</w:t>
      </w:r>
      <w:r w:rsidR="56562926">
        <w:rPr/>
        <w:t>Adeani</w:t>
      </w:r>
      <w:r w:rsidR="56562926">
        <w:rPr/>
        <w:t xml:space="preserve">, </w:t>
      </w:r>
      <w:r w:rsidR="56562926">
        <w:rPr/>
        <w:t>Febriani</w:t>
      </w:r>
      <w:r w:rsidR="56562926">
        <w:rPr/>
        <w:t xml:space="preserve"> &amp; </w:t>
      </w:r>
      <w:r w:rsidR="56562926">
        <w:rPr/>
        <w:t>Syafryadin</w:t>
      </w:r>
      <w:r w:rsidR="56562926">
        <w:rPr/>
        <w:t>, 2020), I evaluated my development throughout the module.</w:t>
      </w:r>
      <w:r w:rsidRPr="1C0C577E" w:rsidR="56562926">
        <w:rPr>
          <w:color w:val="auto"/>
        </w:rPr>
        <w:t xml:space="preserve"> </w:t>
      </w:r>
      <w:r w:rsidRPr="1C0C577E" w:rsidR="75DF77C7">
        <w:rPr>
          <w:color w:val="auto"/>
        </w:rPr>
        <w:t>Learning about</w:t>
      </w:r>
      <w:r w:rsidRPr="1C0C577E" w:rsidR="56562926">
        <w:rPr>
          <w:color w:val="auto"/>
        </w:rPr>
        <w:t xml:space="preserve"> </w:t>
      </w:r>
      <w:r w:rsidRPr="1C0C577E" w:rsidR="56562926">
        <w:rPr>
          <w:color w:val="auto"/>
        </w:rPr>
        <w:t>t</w:t>
      </w:r>
      <w:r w:rsidR="56562926">
        <w:rPr/>
        <w:t xml:space="preserve">he Job Characteristics Model (Hackman &amp; Oldham, 1976) deepened my understanding of how autonomy, skill variety, and feedback enhance intrinsic motivation. In contrast, </w:t>
      </w:r>
      <w:r w:rsidR="56562926">
        <w:rPr/>
        <w:t>Edmondson</w:t>
      </w:r>
      <w:r w:rsidR="49046A61">
        <w:rPr/>
        <w:t>'</w:t>
      </w:r>
      <w:r w:rsidR="56562926">
        <w:rPr/>
        <w:t>s (2018)</w:t>
      </w:r>
      <w:r w:rsidR="56562926">
        <w:rPr/>
        <w:t xml:space="preserve"> theory of psychological safety highlighted the relational conditions </w:t>
      </w:r>
      <w:r w:rsidR="56562926">
        <w:rPr/>
        <w:t>required</w:t>
      </w:r>
      <w:r w:rsidR="56562926">
        <w:rPr/>
        <w:t xml:space="preserve"> for innovation. Integrating these perspectives </w:t>
      </w:r>
      <w:r w:rsidR="56562926">
        <w:rPr/>
        <w:t>demonstrated</w:t>
      </w:r>
      <w:r w:rsidR="56562926">
        <w:rPr/>
        <w:t xml:space="preserve"> that sustainable performance depends on both enriched job design and supportive leadership climates, reshaping my strategic thinking.</w:t>
      </w:r>
    </w:p>
    <w:p w:rsidR="6AF289C1" w:rsidP="1C0C577E" w:rsidRDefault="60029292" w14:paraId="3E4F7333" w14:textId="47605E65">
      <w:pPr>
        <w:pStyle w:val="Heading3"/>
        <w:rPr>
          <w:rFonts w:eastAsia="ＭＳ 明朝" w:cs="Arial" w:eastAsiaTheme="minorEastAsia" w:cstheme="minorBidi"/>
          <w:b w:val="1"/>
          <w:bCs w:val="1"/>
          <w:color w:val="000000" w:themeColor="text1"/>
          <w:u w:val="single"/>
        </w:rPr>
      </w:pPr>
      <w:bookmarkStart w:name="_Toc1354354454" w:id="34"/>
      <w:bookmarkStart w:name="_Toc1200856532" w:id="1307419964"/>
      <w:r w:rsidRPr="1C0C577E" w:rsidR="67133FB3">
        <w:rPr>
          <w:rFonts w:eastAsia="ＭＳ 明朝" w:cs="Arial" w:eastAsiaTheme="minorEastAsia" w:cstheme="minorBidi"/>
          <w:b w:val="1"/>
          <w:bCs w:val="1"/>
          <w:u w:val="single"/>
        </w:rPr>
        <w:t>Feelings:</w:t>
      </w:r>
      <w:bookmarkEnd w:id="34"/>
      <w:bookmarkEnd w:id="1307419964"/>
    </w:p>
    <w:p w:rsidR="6E51C46D" w:rsidP="1C0C577E" w:rsidRDefault="6E51C46D" w14:paraId="127CDB37" w14:textId="25FF1A66">
      <w:pPr>
        <w:spacing w:before="240" w:beforeAutospacing="off" w:after="240" w:afterAutospacing="off" w:line="360" w:lineRule="auto"/>
      </w:pPr>
      <w:r w:rsidRPr="1C0C577E" w:rsidR="6E51C46D">
        <w:rPr>
          <w:rFonts w:ascii="Arial" w:hAnsi="Arial" w:eastAsia="Arial" w:cs="Arial" w:asciiTheme="minorAscii" w:hAnsiTheme="minorAscii" w:eastAsiaTheme="minorAscii" w:cstheme="minorAscii"/>
          <w:noProof w:val="0"/>
          <w:sz w:val="24"/>
          <w:szCs w:val="24"/>
          <w:lang w:val="en-US"/>
        </w:rPr>
        <w:t xml:space="preserve">At the start of the module, I felt challenged because I was new to HRM, with minimal exposure to </w:t>
      </w:r>
      <w:r w:rsidRPr="1C0C577E" w:rsidR="6E51C46D">
        <w:rPr>
          <w:rFonts w:ascii="Arial" w:hAnsi="Arial" w:eastAsia="Arial" w:cs="Arial" w:asciiTheme="minorAscii" w:hAnsiTheme="minorAscii" w:eastAsiaTheme="minorAscii" w:cstheme="minorAscii"/>
          <w:noProof w:val="0"/>
          <w:sz w:val="24"/>
          <w:szCs w:val="24"/>
          <w:lang w:val="en-US"/>
        </w:rPr>
        <w:t>organisational</w:t>
      </w:r>
      <w:r w:rsidRPr="1C0C577E" w:rsidR="6E51C46D">
        <w:rPr>
          <w:rFonts w:ascii="Arial" w:hAnsi="Arial" w:eastAsia="Arial" w:cs="Arial" w:asciiTheme="minorAscii" w:hAnsiTheme="minorAscii" w:eastAsiaTheme="minorAscii" w:cstheme="minorAscii"/>
          <w:noProof w:val="0"/>
          <w:sz w:val="24"/>
          <w:szCs w:val="24"/>
          <w:lang w:val="en-US"/>
        </w:rPr>
        <w:t xml:space="preserve"> design, innovation strategy, or strategic people management. Linking </w:t>
      </w:r>
      <w:r w:rsidRPr="1C0C577E" w:rsidR="6E51C46D">
        <w:rPr>
          <w:rFonts w:ascii="Arial" w:hAnsi="Arial" w:eastAsia="Arial" w:cs="Arial" w:asciiTheme="minorAscii" w:hAnsiTheme="minorAscii" w:eastAsiaTheme="minorAscii" w:cstheme="minorAscii"/>
          <w:noProof w:val="0"/>
          <w:sz w:val="24"/>
          <w:szCs w:val="24"/>
          <w:lang w:val="en-US"/>
        </w:rPr>
        <w:t>organisational</w:t>
      </w:r>
      <w:r w:rsidRPr="1C0C577E" w:rsidR="6E51C46D">
        <w:rPr>
          <w:rFonts w:ascii="Arial" w:hAnsi="Arial" w:eastAsia="Arial" w:cs="Arial" w:asciiTheme="minorAscii" w:hAnsiTheme="minorAscii" w:eastAsiaTheme="minorAscii" w:cstheme="minorAscii"/>
          <w:noProof w:val="0"/>
          <w:sz w:val="24"/>
          <w:szCs w:val="24"/>
          <w:lang w:val="en-US"/>
        </w:rPr>
        <w:t xml:space="preserve"> strategy, culture, and workforce practices felt daunting, and I struggled to </w:t>
      </w:r>
      <w:r w:rsidRPr="1C0C577E" w:rsidR="6E51C46D">
        <w:rPr>
          <w:rFonts w:ascii="Arial" w:hAnsi="Arial" w:eastAsia="Arial" w:cs="Arial" w:asciiTheme="minorAscii" w:hAnsiTheme="minorAscii" w:eastAsiaTheme="minorAscii" w:cstheme="minorAscii"/>
          <w:noProof w:val="0"/>
          <w:sz w:val="24"/>
          <w:szCs w:val="24"/>
          <w:lang w:val="en-US"/>
        </w:rPr>
        <w:t>analyse</w:t>
      </w:r>
      <w:r w:rsidRPr="1C0C577E" w:rsidR="6E51C46D">
        <w:rPr>
          <w:rFonts w:ascii="Arial" w:hAnsi="Arial" w:eastAsia="Arial" w:cs="Arial" w:asciiTheme="minorAscii" w:hAnsiTheme="minorAscii" w:eastAsiaTheme="minorAscii" w:cstheme="minorAscii"/>
          <w:noProof w:val="0"/>
          <w:sz w:val="24"/>
          <w:szCs w:val="24"/>
          <w:lang w:val="en-US"/>
        </w:rPr>
        <w:t xml:space="preserve"> Aether Innovations effectively. Integrating theoretical perspectives on psychological safety (Edmondson, 2018), job design (Hackman &amp; Oldham, 1976), and digital transformation compounded this uncertainty, and my early analyses were </w:t>
      </w:r>
      <w:r w:rsidRPr="1C0C577E" w:rsidR="6E51C46D">
        <w:rPr>
          <w:rFonts w:ascii="Arial" w:hAnsi="Arial" w:eastAsia="Arial" w:cs="Arial" w:asciiTheme="minorAscii" w:hAnsiTheme="minorAscii" w:eastAsiaTheme="minorAscii" w:cstheme="minorAscii"/>
          <w:noProof w:val="0"/>
          <w:sz w:val="24"/>
          <w:szCs w:val="24"/>
          <w:lang w:val="en-US"/>
        </w:rPr>
        <w:t>largely descriptive</w:t>
      </w:r>
      <w:r w:rsidRPr="1C0C577E" w:rsidR="6E51C46D">
        <w:rPr>
          <w:rFonts w:ascii="Arial" w:hAnsi="Arial" w:eastAsia="Arial" w:cs="Arial" w:asciiTheme="minorAscii" w:hAnsiTheme="minorAscii" w:eastAsiaTheme="minorAscii" w:cstheme="minorAscii"/>
          <w:noProof w:val="0"/>
          <w:sz w:val="24"/>
          <w:szCs w:val="24"/>
          <w:lang w:val="en-US"/>
        </w:rPr>
        <w:t xml:space="preserve"> rather than critically evaluative (Selimovic, J., </w:t>
      </w:r>
      <w:r w:rsidRPr="1C0C577E" w:rsidR="6E51C46D">
        <w:rPr>
          <w:rFonts w:ascii="Arial" w:hAnsi="Arial" w:eastAsia="Arial" w:cs="Arial" w:asciiTheme="minorAscii" w:hAnsiTheme="minorAscii" w:eastAsiaTheme="minorAscii" w:cstheme="minorAscii"/>
          <w:noProof w:val="0"/>
          <w:sz w:val="24"/>
          <w:szCs w:val="24"/>
          <w:lang w:val="en-US"/>
        </w:rPr>
        <w:t>Pilav</w:t>
      </w:r>
      <w:r w:rsidRPr="1C0C577E" w:rsidR="6E51C46D">
        <w:rPr>
          <w:rFonts w:ascii="Arial" w:hAnsi="Arial" w:eastAsia="Arial" w:cs="Arial" w:asciiTheme="minorAscii" w:hAnsiTheme="minorAscii" w:eastAsiaTheme="minorAscii" w:cstheme="minorAscii"/>
          <w:noProof w:val="0"/>
          <w:sz w:val="24"/>
          <w:szCs w:val="24"/>
          <w:lang w:val="en-US"/>
        </w:rPr>
        <w:t xml:space="preserve">-Velic, A., &amp; </w:t>
      </w:r>
      <w:r w:rsidRPr="1C0C577E" w:rsidR="6E51C46D">
        <w:rPr>
          <w:rFonts w:ascii="Arial" w:hAnsi="Arial" w:eastAsia="Arial" w:cs="Arial" w:asciiTheme="minorAscii" w:hAnsiTheme="minorAscii" w:eastAsiaTheme="minorAscii" w:cstheme="minorAscii"/>
          <w:noProof w:val="0"/>
          <w:sz w:val="24"/>
          <w:szCs w:val="24"/>
          <w:lang w:val="en-US"/>
        </w:rPr>
        <w:t>Krndžija</w:t>
      </w:r>
      <w:r w:rsidRPr="1C0C577E" w:rsidR="6E51C46D">
        <w:rPr>
          <w:rFonts w:ascii="Arial" w:hAnsi="Arial" w:eastAsia="Arial" w:cs="Arial" w:asciiTheme="minorAscii" w:hAnsiTheme="minorAscii" w:eastAsiaTheme="minorAscii" w:cstheme="minorAscii"/>
          <w:noProof w:val="0"/>
          <w:sz w:val="24"/>
          <w:szCs w:val="24"/>
          <w:lang w:val="en-US"/>
        </w:rPr>
        <w:t xml:space="preserve">, L., 2021). I questioned my ability to </w:t>
      </w:r>
      <w:r w:rsidRPr="1C0C577E" w:rsidR="6E51C46D">
        <w:rPr>
          <w:rFonts w:ascii="Arial" w:hAnsi="Arial" w:eastAsia="Arial" w:cs="Arial" w:asciiTheme="minorAscii" w:hAnsiTheme="minorAscii" w:eastAsiaTheme="minorAscii" w:cstheme="minorAscii"/>
          <w:noProof w:val="0"/>
          <w:sz w:val="24"/>
          <w:szCs w:val="24"/>
          <w:lang w:val="en-US"/>
        </w:rPr>
        <w:t>synthesise</w:t>
      </w:r>
      <w:r w:rsidRPr="1C0C577E" w:rsidR="6E51C46D">
        <w:rPr>
          <w:rFonts w:ascii="Arial" w:hAnsi="Arial" w:eastAsia="Arial" w:cs="Arial" w:asciiTheme="minorAscii" w:hAnsiTheme="minorAscii" w:eastAsiaTheme="minorAscii" w:cstheme="minorAscii"/>
          <w:noProof w:val="0"/>
          <w:sz w:val="24"/>
          <w:szCs w:val="24"/>
          <w:lang w:val="en-US"/>
        </w:rPr>
        <w:t xml:space="preserve"> multiple frameworks coherently </w:t>
      </w:r>
      <w:r w:rsidRPr="1C0C577E" w:rsidR="6E51C46D">
        <w:rPr>
          <w:rFonts w:ascii="Arial" w:hAnsi="Arial" w:eastAsia="Arial" w:cs="Arial" w:asciiTheme="minorAscii" w:hAnsiTheme="minorAscii" w:eastAsiaTheme="minorAscii" w:cstheme="minorAscii"/>
          <w:noProof w:val="0"/>
          <w:sz w:val="24"/>
          <w:szCs w:val="24"/>
          <w:lang w:val="en-US"/>
        </w:rPr>
        <w:t>and in an evidence</w:t>
      </w:r>
      <w:r w:rsidRPr="1C0C577E" w:rsidR="6E51C46D">
        <w:rPr>
          <w:rFonts w:ascii="Arial" w:hAnsi="Arial" w:eastAsia="Arial" w:cs="Arial" w:asciiTheme="minorAscii" w:hAnsiTheme="minorAscii" w:eastAsiaTheme="minorAscii" w:cstheme="minorAscii"/>
          <w:noProof w:val="0"/>
          <w:sz w:val="24"/>
          <w:szCs w:val="24"/>
          <w:lang w:val="en-US"/>
        </w:rPr>
        <w:t>-based way. However, sustained engagement with lectures, independent research, and mentoring support strengthened my confidence and analytical capability. Using Gibbs’ reflective framework (</w:t>
      </w:r>
      <w:r w:rsidRPr="1C0C577E" w:rsidR="6E51C46D">
        <w:rPr>
          <w:rFonts w:ascii="Arial" w:hAnsi="Arial" w:eastAsia="Arial" w:cs="Arial" w:asciiTheme="minorAscii" w:hAnsiTheme="minorAscii" w:eastAsiaTheme="minorAscii" w:cstheme="minorAscii"/>
          <w:noProof w:val="0"/>
          <w:sz w:val="24"/>
          <w:szCs w:val="24"/>
          <w:lang w:val="en-US"/>
        </w:rPr>
        <w:t>Adeani</w:t>
      </w:r>
      <w:r w:rsidRPr="1C0C577E" w:rsidR="6E51C46D">
        <w:rPr>
          <w:rFonts w:ascii="Arial" w:hAnsi="Arial" w:eastAsia="Arial" w:cs="Arial" w:asciiTheme="minorAscii" w:hAnsiTheme="minorAscii" w:eastAsiaTheme="minorAscii" w:cstheme="minorAscii"/>
          <w:noProof w:val="0"/>
          <w:sz w:val="24"/>
          <w:szCs w:val="24"/>
          <w:lang w:val="en-US"/>
        </w:rPr>
        <w:t xml:space="preserve">, </w:t>
      </w:r>
      <w:r w:rsidRPr="1C0C577E" w:rsidR="6E51C46D">
        <w:rPr>
          <w:rFonts w:ascii="Arial" w:hAnsi="Arial" w:eastAsia="Arial" w:cs="Arial" w:asciiTheme="minorAscii" w:hAnsiTheme="minorAscii" w:eastAsiaTheme="minorAscii" w:cstheme="minorAscii"/>
          <w:noProof w:val="0"/>
          <w:sz w:val="24"/>
          <w:szCs w:val="24"/>
          <w:lang w:val="en-US"/>
        </w:rPr>
        <w:t>Febriani</w:t>
      </w:r>
      <w:r w:rsidRPr="1C0C577E" w:rsidR="6E51C46D">
        <w:rPr>
          <w:rFonts w:ascii="Arial" w:hAnsi="Arial" w:eastAsia="Arial" w:cs="Arial" w:asciiTheme="minorAscii" w:hAnsiTheme="minorAscii" w:eastAsiaTheme="minorAscii" w:cstheme="minorAscii"/>
          <w:noProof w:val="0"/>
          <w:sz w:val="24"/>
          <w:szCs w:val="24"/>
          <w:lang w:val="en-US"/>
        </w:rPr>
        <w:t xml:space="preserve"> &amp; </w:t>
      </w:r>
      <w:r w:rsidRPr="1C0C577E" w:rsidR="6E51C46D">
        <w:rPr>
          <w:rFonts w:ascii="Arial" w:hAnsi="Arial" w:eastAsia="Arial" w:cs="Arial" w:asciiTheme="minorAscii" w:hAnsiTheme="minorAscii" w:eastAsiaTheme="minorAscii" w:cstheme="minorAscii"/>
          <w:noProof w:val="0"/>
          <w:sz w:val="24"/>
          <w:szCs w:val="24"/>
          <w:lang w:val="en-US"/>
        </w:rPr>
        <w:t>Syafryadin</w:t>
      </w:r>
      <w:r w:rsidRPr="1C0C577E" w:rsidR="6E51C46D">
        <w:rPr>
          <w:rFonts w:ascii="Arial" w:hAnsi="Arial" w:eastAsia="Arial" w:cs="Arial" w:asciiTheme="minorAscii" w:hAnsiTheme="minorAscii" w:eastAsiaTheme="minorAscii" w:cstheme="minorAscii"/>
          <w:noProof w:val="0"/>
          <w:sz w:val="24"/>
          <w:szCs w:val="24"/>
          <w:lang w:val="en-US"/>
        </w:rPr>
        <w:t xml:space="preserve">, 2020), I </w:t>
      </w:r>
      <w:r w:rsidRPr="1C0C577E" w:rsidR="7D939307">
        <w:rPr>
          <w:rFonts w:ascii="Arial" w:hAnsi="Arial" w:eastAsia="Arial" w:cs="Arial" w:asciiTheme="minorAscii" w:hAnsiTheme="minorAscii" w:eastAsiaTheme="minorAscii" w:cstheme="minorAscii"/>
          <w:noProof w:val="0"/>
          <w:sz w:val="24"/>
          <w:szCs w:val="24"/>
          <w:lang w:val="en-US"/>
        </w:rPr>
        <w:t>reframed from</w:t>
      </w:r>
      <w:r w:rsidRPr="1C0C577E" w:rsidR="6E51C46D">
        <w:rPr>
          <w:rFonts w:ascii="Arial" w:hAnsi="Arial" w:eastAsia="Arial" w:cs="Arial" w:asciiTheme="minorAscii" w:hAnsiTheme="minorAscii" w:eastAsiaTheme="minorAscii" w:cstheme="minorAscii"/>
          <w:noProof w:val="0"/>
          <w:sz w:val="24"/>
          <w:szCs w:val="24"/>
          <w:lang w:val="en-US"/>
        </w:rPr>
        <w:t xml:space="preserve"> initial discomfort as cognitive development. By the conclusion of the module, I felt able to critically diagnose organisational challenges, integrate theory with practice, and propose evidence-based HR interventions with confidence</w:t>
      </w:r>
      <w:r w:rsidRPr="1C0C577E" w:rsidR="6E51C46D">
        <w:rPr>
          <w:rFonts w:ascii="Arial" w:hAnsi="Arial" w:eastAsia="Arial" w:cs="Arial"/>
          <w:noProof w:val="0"/>
          <w:sz w:val="24"/>
          <w:szCs w:val="24"/>
          <w:lang w:val="en-US"/>
        </w:rPr>
        <w:t>.</w:t>
      </w:r>
    </w:p>
    <w:p w:rsidR="6AF289C1" w:rsidP="1C0C577E" w:rsidRDefault="60029292" w14:paraId="069C5375" w14:textId="52589FB4">
      <w:pPr>
        <w:pStyle w:val="Heading3"/>
        <w:rPr>
          <w:rFonts w:eastAsia="ＭＳ 明朝" w:cs="Arial" w:eastAsiaTheme="minorEastAsia" w:cstheme="minorBidi"/>
          <w:b w:val="1"/>
          <w:bCs w:val="1"/>
          <w:color w:val="000000" w:themeColor="text1"/>
          <w:u w:val="single"/>
        </w:rPr>
      </w:pPr>
      <w:bookmarkStart w:name="_Toc776182134" w:id="36"/>
      <w:bookmarkStart w:name="_Toc2028033773" w:id="1458707640"/>
      <w:r w:rsidRPr="1C0C577E" w:rsidR="67133FB3">
        <w:rPr>
          <w:b w:val="1"/>
          <w:bCs w:val="1"/>
          <w:u w:val="single"/>
        </w:rPr>
        <w:t>Evaluation:</w:t>
      </w:r>
      <w:bookmarkEnd w:id="36"/>
      <w:bookmarkEnd w:id="1458707640"/>
    </w:p>
    <w:p w:rsidR="3454E0AF" w:rsidP="1C0C577E" w:rsidRDefault="3454E0AF" w14:paraId="628729C5" w14:textId="7637A0CA">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3454E0AF">
        <w:rPr>
          <w:rFonts w:ascii="Arial" w:hAnsi="Arial" w:eastAsia="Arial" w:cs="Arial" w:asciiTheme="minorAscii" w:hAnsiTheme="minorAscii" w:eastAsiaTheme="minorAscii" w:cstheme="minorAscii"/>
          <w:noProof w:val="0"/>
          <w:sz w:val="24"/>
          <w:szCs w:val="24"/>
          <w:lang w:val="en-US"/>
        </w:rPr>
        <w:t xml:space="preserve">Throughout the module, I </w:t>
      </w:r>
      <w:r w:rsidRPr="1C0C577E" w:rsidR="3454E0AF">
        <w:rPr>
          <w:rFonts w:ascii="Arial" w:hAnsi="Arial" w:eastAsia="Arial" w:cs="Arial" w:asciiTheme="minorAscii" w:hAnsiTheme="minorAscii" w:eastAsiaTheme="minorAscii" w:cstheme="minorAscii"/>
          <w:noProof w:val="0"/>
          <w:sz w:val="24"/>
          <w:szCs w:val="24"/>
          <w:lang w:val="en-US"/>
        </w:rPr>
        <w:t>observed</w:t>
      </w:r>
      <w:r w:rsidRPr="1C0C577E" w:rsidR="3454E0AF">
        <w:rPr>
          <w:rFonts w:ascii="Arial" w:hAnsi="Arial" w:eastAsia="Arial" w:cs="Arial" w:asciiTheme="minorAscii" w:hAnsiTheme="minorAscii" w:eastAsiaTheme="minorAscii" w:cstheme="minorAscii"/>
          <w:noProof w:val="0"/>
          <w:sz w:val="24"/>
          <w:szCs w:val="24"/>
          <w:lang w:val="en-US"/>
        </w:rPr>
        <w:t xml:space="preserve"> the interdependence of leadership, culture, and HR practices in shaping </w:t>
      </w:r>
      <w:r w:rsidRPr="1C0C577E" w:rsidR="3454E0AF">
        <w:rPr>
          <w:rFonts w:ascii="Arial" w:hAnsi="Arial" w:eastAsia="Arial" w:cs="Arial" w:asciiTheme="minorAscii" w:hAnsiTheme="minorAscii" w:eastAsiaTheme="minorAscii" w:cstheme="minorAscii"/>
          <w:noProof w:val="0"/>
          <w:sz w:val="24"/>
          <w:szCs w:val="24"/>
          <w:lang w:val="en-US"/>
        </w:rPr>
        <w:t>organisational</w:t>
      </w:r>
      <w:r w:rsidRPr="1C0C577E" w:rsidR="3454E0AF">
        <w:rPr>
          <w:rFonts w:ascii="Arial" w:hAnsi="Arial" w:eastAsia="Arial" w:cs="Arial" w:asciiTheme="minorAscii" w:hAnsiTheme="minorAscii" w:eastAsiaTheme="minorAscii" w:cstheme="minorAscii"/>
          <w:noProof w:val="0"/>
          <w:sz w:val="24"/>
          <w:szCs w:val="24"/>
          <w:lang w:val="en-US"/>
        </w:rPr>
        <w:t xml:space="preserve"> performance. Initially, I struggled to evaluate how strategic HR interventions, innovation initiatives, and people management practices influence engagement and outcomes at Aether Innovations. The challenge </w:t>
      </w:r>
      <w:r w:rsidRPr="1C0C577E" w:rsidR="3454E0AF">
        <w:rPr>
          <w:rFonts w:ascii="Arial" w:hAnsi="Arial" w:eastAsia="Arial" w:cs="Arial" w:asciiTheme="minorAscii" w:hAnsiTheme="minorAscii" w:eastAsiaTheme="minorAscii" w:cstheme="minorAscii"/>
          <w:noProof w:val="0"/>
          <w:sz w:val="24"/>
          <w:szCs w:val="24"/>
          <w:lang w:val="en-US"/>
        </w:rPr>
        <w:t>lay</w:t>
      </w:r>
      <w:r w:rsidRPr="1C0C577E" w:rsidR="3454E0AF">
        <w:rPr>
          <w:rFonts w:ascii="Arial" w:hAnsi="Arial" w:eastAsia="Arial" w:cs="Arial" w:asciiTheme="minorAscii" w:hAnsiTheme="minorAscii" w:eastAsiaTheme="minorAscii" w:cstheme="minorAscii"/>
          <w:noProof w:val="0"/>
          <w:sz w:val="24"/>
          <w:szCs w:val="24"/>
          <w:lang w:val="en-US"/>
        </w:rPr>
        <w:t xml:space="preserve"> in balancing theory with real-world application and distinguishing description from critical analysis. Engagement with literature, case studies, and industry reports (CIPD, 2023; Westerman, Bonnet &amp; McAfee, 2014) enabled me to </w:t>
      </w:r>
      <w:r w:rsidRPr="1C0C577E" w:rsidR="3454E0AF">
        <w:rPr>
          <w:rFonts w:ascii="Arial" w:hAnsi="Arial" w:eastAsia="Arial" w:cs="Arial" w:asciiTheme="minorAscii" w:hAnsiTheme="minorAscii" w:eastAsiaTheme="minorAscii" w:cstheme="minorAscii"/>
          <w:noProof w:val="0"/>
          <w:sz w:val="24"/>
          <w:szCs w:val="24"/>
          <w:lang w:val="en-US"/>
        </w:rPr>
        <w:t>recognise</w:t>
      </w:r>
      <w:r w:rsidRPr="1C0C577E" w:rsidR="3454E0AF">
        <w:rPr>
          <w:rFonts w:ascii="Arial" w:hAnsi="Arial" w:eastAsia="Arial" w:cs="Arial" w:asciiTheme="minorAscii" w:hAnsiTheme="minorAscii" w:eastAsiaTheme="minorAscii" w:cstheme="minorAscii"/>
          <w:noProof w:val="0"/>
          <w:sz w:val="24"/>
          <w:szCs w:val="24"/>
          <w:lang w:val="en-US"/>
        </w:rPr>
        <w:t xml:space="preserve"> that effective innovation relies not only on technical processes but also on enriched job design, psychological safety (Edmondson, 2018), and supportive leadership. I learned that interventions such as cross-functional teams, intrapreneurship </w:t>
      </w:r>
      <w:r w:rsidRPr="1C0C577E" w:rsidR="3454E0AF">
        <w:rPr>
          <w:rFonts w:ascii="Arial" w:hAnsi="Arial" w:eastAsia="Arial" w:cs="Arial" w:asciiTheme="minorAscii" w:hAnsiTheme="minorAscii" w:eastAsiaTheme="minorAscii" w:cstheme="minorAscii"/>
          <w:noProof w:val="0"/>
          <w:sz w:val="24"/>
          <w:szCs w:val="24"/>
          <w:lang w:val="en-US"/>
        </w:rPr>
        <w:t>programmes</w:t>
      </w:r>
      <w:r w:rsidRPr="1C0C577E" w:rsidR="3454E0AF">
        <w:rPr>
          <w:rFonts w:ascii="Arial" w:hAnsi="Arial" w:eastAsia="Arial" w:cs="Arial" w:asciiTheme="minorAscii" w:hAnsiTheme="minorAscii" w:eastAsiaTheme="minorAscii" w:cstheme="minorAscii"/>
          <w:noProof w:val="0"/>
          <w:sz w:val="24"/>
          <w:szCs w:val="24"/>
          <w:lang w:val="en-US"/>
        </w:rPr>
        <w:t xml:space="preserve">, and hybrid work models succeed only when embedded within a coherent cultural framework. This strengthened my ability to </w:t>
      </w:r>
      <w:r w:rsidRPr="1C0C577E" w:rsidR="3454E0AF">
        <w:rPr>
          <w:rFonts w:ascii="Arial" w:hAnsi="Arial" w:eastAsia="Arial" w:cs="Arial" w:asciiTheme="minorAscii" w:hAnsiTheme="minorAscii" w:eastAsiaTheme="minorAscii" w:cstheme="minorAscii"/>
          <w:noProof w:val="0"/>
          <w:sz w:val="24"/>
          <w:szCs w:val="24"/>
          <w:lang w:val="en-US"/>
        </w:rPr>
        <w:t>synthesise</w:t>
      </w:r>
      <w:r w:rsidRPr="1C0C577E" w:rsidR="3454E0AF">
        <w:rPr>
          <w:rFonts w:ascii="Arial" w:hAnsi="Arial" w:eastAsia="Arial" w:cs="Arial" w:asciiTheme="minorAscii" w:hAnsiTheme="minorAscii" w:eastAsiaTheme="minorAscii" w:cstheme="minorAscii"/>
          <w:noProof w:val="0"/>
          <w:sz w:val="24"/>
          <w:szCs w:val="24"/>
          <w:lang w:val="en-US"/>
        </w:rPr>
        <w:t xml:space="preserve"> theory with </w:t>
      </w:r>
      <w:r w:rsidRPr="1C0C577E" w:rsidR="3454E0AF">
        <w:rPr>
          <w:rFonts w:ascii="Arial" w:hAnsi="Arial" w:eastAsia="Arial" w:cs="Arial" w:asciiTheme="minorAscii" w:hAnsiTheme="minorAscii" w:eastAsiaTheme="minorAscii" w:cstheme="minorAscii"/>
          <w:noProof w:val="0"/>
          <w:sz w:val="24"/>
          <w:szCs w:val="24"/>
          <w:lang w:val="en-US"/>
        </w:rPr>
        <w:t>organisational</w:t>
      </w:r>
      <w:r w:rsidRPr="1C0C577E" w:rsidR="3454E0AF">
        <w:rPr>
          <w:rFonts w:ascii="Arial" w:hAnsi="Arial" w:eastAsia="Arial" w:cs="Arial" w:asciiTheme="minorAscii" w:hAnsiTheme="minorAscii" w:eastAsiaTheme="minorAscii" w:cstheme="minorAscii"/>
          <w:noProof w:val="0"/>
          <w:sz w:val="24"/>
          <w:szCs w:val="24"/>
          <w:lang w:val="en-US"/>
        </w:rPr>
        <w:t xml:space="preserve"> diagnosis, preparing me to recommend evidence-based HR strategies that align people, culture, and performance while fostering sustainable innovation.</w:t>
      </w:r>
    </w:p>
    <w:p w:rsidR="6AF289C1" w:rsidP="7D0248A5" w:rsidRDefault="60029292" w14:paraId="6C035BD2" w14:textId="5DDE4E34">
      <w:pPr>
        <w:pStyle w:val="Heading3"/>
        <w:rPr>
          <w:color w:val="000000" w:themeColor="text1"/>
        </w:rPr>
      </w:pPr>
      <w:bookmarkStart w:name="_Toc401198825" w:id="37"/>
      <w:bookmarkStart w:name="_Toc1650702359" w:id="1798783166"/>
      <w:r w:rsidRPr="1C0C577E" w:rsidR="67133FB3">
        <w:rPr>
          <w:b w:val="1"/>
          <w:bCs w:val="1"/>
          <w:u w:val="single"/>
        </w:rPr>
        <w:t>Analysis:</w:t>
      </w:r>
      <w:bookmarkEnd w:id="37"/>
      <w:bookmarkEnd w:id="1798783166"/>
    </w:p>
    <w:p w:rsidR="3295158C" w:rsidP="1C0C577E" w:rsidRDefault="3295158C" w14:paraId="59AB54C0" w14:textId="49B2FB5C">
      <w:pPr>
        <w:pStyle w:val="Normal"/>
        <w:rPr>
          <w:rFonts w:ascii="Arial" w:hAnsi="Arial" w:eastAsia="Arial" w:cs="Arial" w:asciiTheme="minorAscii" w:hAnsiTheme="minorAscii" w:eastAsiaTheme="minorAscii" w:cstheme="minorAscii"/>
          <w:noProof w:val="0"/>
          <w:sz w:val="24"/>
          <w:szCs w:val="24"/>
          <w:lang w:val="en-US"/>
        </w:rPr>
      </w:pPr>
      <w:r w:rsidRPr="1C0C577E" w:rsidR="3295158C">
        <w:rPr>
          <w:rFonts w:ascii="Arial" w:hAnsi="Arial" w:eastAsia="Arial" w:cs="Arial" w:asciiTheme="minorAscii" w:hAnsiTheme="minorAscii" w:eastAsiaTheme="minorAscii" w:cstheme="minorAscii"/>
          <w:noProof w:val="0"/>
          <w:sz w:val="24"/>
          <w:szCs w:val="24"/>
          <w:lang w:val="en-US"/>
        </w:rPr>
        <w:t>Analysing</w:t>
      </w:r>
      <w:r w:rsidRPr="1C0C577E" w:rsidR="3295158C">
        <w:rPr>
          <w:rFonts w:ascii="Arial" w:hAnsi="Arial" w:eastAsia="Arial" w:cs="Arial" w:asciiTheme="minorAscii" w:hAnsiTheme="minorAscii" w:eastAsiaTheme="minorAscii" w:cstheme="minorAscii"/>
          <w:noProof w:val="0"/>
          <w:sz w:val="24"/>
          <w:szCs w:val="24"/>
          <w:lang w:val="en-US"/>
        </w:rPr>
        <w:t xml:space="preserve"> Aether Innovations through this module reinforced the importance of aligning culture, leadership, and HR practices to sustain innovation and </w:t>
      </w:r>
      <w:r w:rsidRPr="1C0C577E" w:rsidR="3295158C">
        <w:rPr>
          <w:rFonts w:ascii="Arial" w:hAnsi="Arial" w:eastAsia="Arial" w:cs="Arial" w:asciiTheme="minorAscii" w:hAnsiTheme="minorAscii" w:eastAsiaTheme="minorAscii" w:cstheme="minorAscii"/>
          <w:noProof w:val="0"/>
          <w:sz w:val="24"/>
          <w:szCs w:val="24"/>
          <w:lang w:val="en-US"/>
        </w:rPr>
        <w:t>organisational</w:t>
      </w:r>
      <w:r w:rsidRPr="1C0C577E" w:rsidR="3295158C">
        <w:rPr>
          <w:rFonts w:ascii="Arial" w:hAnsi="Arial" w:eastAsia="Arial" w:cs="Arial" w:asciiTheme="minorAscii" w:hAnsiTheme="minorAscii" w:eastAsiaTheme="minorAscii" w:cstheme="minorAscii"/>
          <w:noProof w:val="0"/>
          <w:sz w:val="24"/>
          <w:szCs w:val="24"/>
          <w:lang w:val="en-US"/>
        </w:rPr>
        <w:t xml:space="preserve"> performance. Initially, I underestimated the complexity of applying HRM theory to real-world contexts, particularly when integrating the Job Characteristics Model (Hackman &amp; Oldham, 1976), psychological safety (Edmondson, 2018), and strategic workforce design. The case study </w:t>
      </w:r>
      <w:r w:rsidRPr="1C0C577E" w:rsidR="3295158C">
        <w:rPr>
          <w:rFonts w:ascii="Arial" w:hAnsi="Arial" w:eastAsia="Arial" w:cs="Arial" w:asciiTheme="minorAscii" w:hAnsiTheme="minorAscii" w:eastAsiaTheme="minorAscii" w:cstheme="minorAscii"/>
          <w:noProof w:val="0"/>
          <w:sz w:val="24"/>
          <w:szCs w:val="24"/>
          <w:lang w:val="en-US"/>
        </w:rPr>
        <w:t>demonstrated</w:t>
      </w:r>
      <w:r w:rsidRPr="1C0C577E" w:rsidR="3295158C">
        <w:rPr>
          <w:rFonts w:ascii="Arial" w:hAnsi="Arial" w:eastAsia="Arial" w:cs="Arial" w:asciiTheme="minorAscii" w:hAnsiTheme="minorAscii" w:eastAsiaTheme="minorAscii" w:cstheme="minorAscii"/>
          <w:noProof w:val="0"/>
          <w:sz w:val="24"/>
          <w:szCs w:val="24"/>
          <w:lang w:val="en-US"/>
        </w:rPr>
        <w:t xml:space="preserve"> that high turnover, stagnating growth, and declining customer satisfaction were not isolated operational problems but symptoms of systemic misalignment between strategy, culture, and people management practices (Pacelli, 2024; Westerman, Bonnet &amp; McAfee, 2014).</w:t>
      </w:r>
    </w:p>
    <w:p w:rsidR="3295158C" w:rsidP="1C0C577E" w:rsidRDefault="3295158C" w14:paraId="519062DF" w14:textId="61D7FBB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3295158C">
        <w:rPr>
          <w:rFonts w:ascii="Arial" w:hAnsi="Arial" w:eastAsia="Arial" w:cs="Arial" w:asciiTheme="minorAscii" w:hAnsiTheme="minorAscii" w:eastAsiaTheme="minorAscii" w:cstheme="minorAscii"/>
          <w:noProof w:val="0"/>
          <w:sz w:val="24"/>
          <w:szCs w:val="24"/>
          <w:lang w:val="en-US"/>
        </w:rPr>
        <w:t xml:space="preserve">Comparing frameworks deepened my understanding of their interrelation. The Job Characteristics Model highlighted the motivational value of enriched roles, autonomy, and feedback, while Edmondson’s theory </w:t>
      </w:r>
      <w:r w:rsidRPr="1C0C577E" w:rsidR="3295158C">
        <w:rPr>
          <w:rFonts w:ascii="Arial" w:hAnsi="Arial" w:eastAsia="Arial" w:cs="Arial" w:asciiTheme="minorAscii" w:hAnsiTheme="minorAscii" w:eastAsiaTheme="minorAscii" w:cstheme="minorAscii"/>
          <w:noProof w:val="0"/>
          <w:sz w:val="24"/>
          <w:szCs w:val="24"/>
          <w:lang w:val="en-US"/>
        </w:rPr>
        <w:t>emphasised</w:t>
      </w:r>
      <w:r w:rsidRPr="1C0C577E" w:rsidR="3295158C">
        <w:rPr>
          <w:rFonts w:ascii="Arial" w:hAnsi="Arial" w:eastAsia="Arial" w:cs="Arial" w:asciiTheme="minorAscii" w:hAnsiTheme="minorAscii" w:eastAsiaTheme="minorAscii" w:cstheme="minorAscii"/>
          <w:noProof w:val="0"/>
          <w:sz w:val="24"/>
          <w:szCs w:val="24"/>
          <w:lang w:val="en-US"/>
        </w:rPr>
        <w:t xml:space="preserve"> the cultural conditions necessary for experimentation and risk-taking. Together, these perspectives illustrated that technical innovation cannot drive performance without supportive leadership and psychological safety (Edmondson, 2018; Hackman &amp; Oldham, 1976). The application of innovation sprints, cross-functional teams, and intrapreneurship </w:t>
      </w:r>
      <w:r w:rsidRPr="1C0C577E" w:rsidR="3295158C">
        <w:rPr>
          <w:rFonts w:ascii="Arial" w:hAnsi="Arial" w:eastAsia="Arial" w:cs="Arial" w:asciiTheme="minorAscii" w:hAnsiTheme="minorAscii" w:eastAsiaTheme="minorAscii" w:cstheme="minorAscii"/>
          <w:noProof w:val="0"/>
          <w:sz w:val="24"/>
          <w:szCs w:val="24"/>
          <w:lang w:val="en-US"/>
        </w:rPr>
        <w:t>programmes</w:t>
      </w:r>
      <w:r w:rsidRPr="1C0C577E" w:rsidR="3295158C">
        <w:rPr>
          <w:rFonts w:ascii="Arial" w:hAnsi="Arial" w:eastAsia="Arial" w:cs="Arial" w:asciiTheme="minorAscii" w:hAnsiTheme="minorAscii" w:eastAsiaTheme="minorAscii" w:cstheme="minorAscii"/>
          <w:noProof w:val="0"/>
          <w:sz w:val="24"/>
          <w:szCs w:val="24"/>
          <w:lang w:val="en-US"/>
        </w:rPr>
        <w:t xml:space="preserve"> showed how theory translates into improvements in engagement and collaboration (Westerman, Bonnet &amp; McAfee, 2014).</w:t>
      </w:r>
    </w:p>
    <w:p w:rsidR="3295158C" w:rsidP="1C0C577E" w:rsidRDefault="3295158C" w14:paraId="14A7A95E" w14:textId="784A251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3295158C">
        <w:rPr>
          <w:rFonts w:ascii="Arial" w:hAnsi="Arial" w:eastAsia="Arial" w:cs="Arial" w:asciiTheme="minorAscii" w:hAnsiTheme="minorAscii" w:eastAsiaTheme="minorAscii" w:cstheme="minorAscii"/>
          <w:noProof w:val="0"/>
          <w:sz w:val="24"/>
          <w:szCs w:val="24"/>
          <w:lang w:val="en-US"/>
        </w:rPr>
        <w:t xml:space="preserve">Reflecting on AI’s role in HRM further enriched this analysis. AI can streamline administrative tasks, predict turnover, and </w:t>
      </w:r>
      <w:r w:rsidRPr="1C0C577E" w:rsidR="3295158C">
        <w:rPr>
          <w:rFonts w:ascii="Arial" w:hAnsi="Arial" w:eastAsia="Arial" w:cs="Arial" w:asciiTheme="minorAscii" w:hAnsiTheme="minorAscii" w:eastAsiaTheme="minorAscii" w:cstheme="minorAscii"/>
          <w:noProof w:val="0"/>
          <w:sz w:val="24"/>
          <w:szCs w:val="24"/>
          <w:lang w:val="en-US"/>
        </w:rPr>
        <w:t>personalise</w:t>
      </w:r>
      <w:r w:rsidRPr="1C0C577E" w:rsidR="3295158C">
        <w:rPr>
          <w:rFonts w:ascii="Arial" w:hAnsi="Arial" w:eastAsia="Arial" w:cs="Arial" w:asciiTheme="minorAscii" w:hAnsiTheme="minorAscii" w:eastAsiaTheme="minorAscii" w:cstheme="minorAscii"/>
          <w:noProof w:val="0"/>
          <w:sz w:val="24"/>
          <w:szCs w:val="24"/>
          <w:lang w:val="en-US"/>
        </w:rPr>
        <w:t xml:space="preserve"> development, but its effectiveness depends on human-</w:t>
      </w:r>
      <w:r w:rsidRPr="1C0C577E" w:rsidR="3295158C">
        <w:rPr>
          <w:rFonts w:ascii="Arial" w:hAnsi="Arial" w:eastAsia="Arial" w:cs="Arial" w:asciiTheme="minorAscii" w:hAnsiTheme="minorAscii" w:eastAsiaTheme="minorAscii" w:cstheme="minorAscii"/>
          <w:noProof w:val="0"/>
          <w:sz w:val="24"/>
          <w:szCs w:val="24"/>
          <w:lang w:val="en-US"/>
        </w:rPr>
        <w:t>centred</w:t>
      </w:r>
      <w:r w:rsidRPr="1C0C577E" w:rsidR="3295158C">
        <w:rPr>
          <w:rFonts w:ascii="Arial" w:hAnsi="Arial" w:eastAsia="Arial" w:cs="Arial" w:asciiTheme="minorAscii" w:hAnsiTheme="minorAscii" w:eastAsiaTheme="minorAscii" w:cstheme="minorAscii"/>
          <w:noProof w:val="0"/>
          <w:sz w:val="24"/>
          <w:szCs w:val="24"/>
          <w:lang w:val="en-US"/>
        </w:rPr>
        <w:t xml:space="preserve"> leadership for interpretation and ethical decision-making (Davenport &amp; </w:t>
      </w:r>
      <w:r w:rsidRPr="1C0C577E" w:rsidR="3295158C">
        <w:rPr>
          <w:rFonts w:ascii="Arial" w:hAnsi="Arial" w:eastAsia="Arial" w:cs="Arial" w:asciiTheme="minorAscii" w:hAnsiTheme="minorAscii" w:eastAsiaTheme="minorAscii" w:cstheme="minorAscii"/>
          <w:noProof w:val="0"/>
          <w:sz w:val="24"/>
          <w:szCs w:val="24"/>
          <w:lang w:val="en-US"/>
        </w:rPr>
        <w:t>Ronanki</w:t>
      </w:r>
      <w:r w:rsidRPr="1C0C577E" w:rsidR="3295158C">
        <w:rPr>
          <w:rFonts w:ascii="Arial" w:hAnsi="Arial" w:eastAsia="Arial" w:cs="Arial" w:asciiTheme="minorAscii" w:hAnsiTheme="minorAscii" w:eastAsiaTheme="minorAscii" w:cstheme="minorAscii"/>
          <w:noProof w:val="0"/>
          <w:sz w:val="24"/>
          <w:szCs w:val="24"/>
          <w:lang w:val="en-US"/>
        </w:rPr>
        <w:t xml:space="preserve">, 2018; Zhu, Yang, </w:t>
      </w:r>
      <w:r w:rsidRPr="1C0C577E" w:rsidR="3295158C">
        <w:rPr>
          <w:rFonts w:ascii="Arial" w:hAnsi="Arial" w:eastAsia="Arial" w:cs="Arial" w:asciiTheme="minorAscii" w:hAnsiTheme="minorAscii" w:eastAsiaTheme="minorAscii" w:cstheme="minorAscii"/>
          <w:noProof w:val="0"/>
          <w:sz w:val="24"/>
          <w:szCs w:val="24"/>
          <w:lang w:val="en-US"/>
        </w:rPr>
        <w:t>Yang</w:t>
      </w:r>
      <w:r w:rsidRPr="1C0C577E" w:rsidR="3295158C">
        <w:rPr>
          <w:rFonts w:ascii="Arial" w:hAnsi="Arial" w:eastAsia="Arial" w:cs="Arial" w:asciiTheme="minorAscii" w:hAnsiTheme="minorAscii" w:eastAsiaTheme="minorAscii" w:cstheme="minorAscii"/>
          <w:noProof w:val="0"/>
          <w:sz w:val="24"/>
          <w:szCs w:val="24"/>
          <w:lang w:val="en-US"/>
        </w:rPr>
        <w:t xml:space="preserve"> and Sosik, 2024). Linking this to Aether Innovations, AI can enhance workforce planning and engagement analytics, yet strategic oversight and psychological support remain essential.</w:t>
      </w:r>
    </w:p>
    <w:p w:rsidR="3295158C" w:rsidP="1C0C577E" w:rsidRDefault="3295158C" w14:paraId="3C67C708" w14:textId="639216EE">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3295158C">
        <w:rPr>
          <w:rFonts w:ascii="Arial" w:hAnsi="Arial" w:eastAsia="Arial" w:cs="Arial" w:asciiTheme="minorAscii" w:hAnsiTheme="minorAscii" w:eastAsiaTheme="minorAscii" w:cstheme="minorAscii"/>
          <w:noProof w:val="0"/>
          <w:sz w:val="24"/>
          <w:szCs w:val="24"/>
          <w:lang w:val="en-US"/>
        </w:rPr>
        <w:t xml:space="preserve">Overall, integrating Part 1 findings with my reflective learning highlighted that sustainable innovation </w:t>
      </w:r>
      <w:r w:rsidRPr="1C0C577E" w:rsidR="3295158C">
        <w:rPr>
          <w:rFonts w:ascii="Arial" w:hAnsi="Arial" w:eastAsia="Arial" w:cs="Arial" w:asciiTheme="minorAscii" w:hAnsiTheme="minorAscii" w:eastAsiaTheme="minorAscii" w:cstheme="minorAscii"/>
          <w:noProof w:val="0"/>
          <w:sz w:val="24"/>
          <w:szCs w:val="24"/>
          <w:lang w:val="en-US"/>
        </w:rPr>
        <w:t>emerges</w:t>
      </w:r>
      <w:r w:rsidRPr="1C0C577E" w:rsidR="3295158C">
        <w:rPr>
          <w:rFonts w:ascii="Arial" w:hAnsi="Arial" w:eastAsia="Arial" w:cs="Arial" w:asciiTheme="minorAscii" w:hAnsiTheme="minorAscii" w:eastAsiaTheme="minorAscii" w:cstheme="minorAscii"/>
          <w:noProof w:val="0"/>
          <w:sz w:val="24"/>
          <w:szCs w:val="24"/>
          <w:lang w:val="en-US"/>
        </w:rPr>
        <w:t xml:space="preserve"> when HR strategy, culture, and technology complement human capabilities. This perspective strengthened my ability to evaluate </w:t>
      </w:r>
      <w:r w:rsidRPr="1C0C577E" w:rsidR="3295158C">
        <w:rPr>
          <w:rFonts w:ascii="Arial" w:hAnsi="Arial" w:eastAsia="Arial" w:cs="Arial" w:asciiTheme="minorAscii" w:hAnsiTheme="minorAscii" w:eastAsiaTheme="minorAscii" w:cstheme="minorAscii"/>
          <w:noProof w:val="0"/>
          <w:sz w:val="24"/>
          <w:szCs w:val="24"/>
          <w:lang w:val="en-US"/>
        </w:rPr>
        <w:t>organisational</w:t>
      </w:r>
      <w:r w:rsidRPr="1C0C577E" w:rsidR="3295158C">
        <w:rPr>
          <w:rFonts w:ascii="Arial" w:hAnsi="Arial" w:eastAsia="Arial" w:cs="Arial" w:asciiTheme="minorAscii" w:hAnsiTheme="minorAscii" w:eastAsiaTheme="minorAscii" w:cstheme="minorAscii"/>
          <w:noProof w:val="0"/>
          <w:sz w:val="24"/>
          <w:szCs w:val="24"/>
          <w:lang w:val="en-US"/>
        </w:rPr>
        <w:t xml:space="preserve"> challenges critically and design evidence-based HR interventions that support performance and employee well-being (CIPD, 2023; Westerman, Bonnet &amp; McAfee, 2014).</w:t>
      </w:r>
    </w:p>
    <w:p w:rsidR="6AF289C1" w:rsidP="1C0C577E" w:rsidRDefault="60029292" w14:paraId="6382206B" w14:textId="25180E08">
      <w:pPr>
        <w:pStyle w:val="Heading3"/>
        <w:rPr>
          <w:rFonts w:eastAsia="ＭＳ 明朝" w:cs="Arial" w:eastAsiaTheme="minorEastAsia" w:cstheme="minorBidi"/>
          <w:b w:val="1"/>
          <w:bCs w:val="1"/>
          <w:color w:val="000000" w:themeColor="text1"/>
          <w:sz w:val="24"/>
          <w:szCs w:val="24"/>
          <w:u w:val="single"/>
        </w:rPr>
      </w:pPr>
      <w:bookmarkStart w:name="_Toc1282827097" w:id="38"/>
      <w:bookmarkStart w:name="_Toc1282972792" w:id="211507406"/>
      <w:r w:rsidRPr="1C0C577E" w:rsidR="67133FB3">
        <w:rPr>
          <w:b w:val="1"/>
          <w:bCs w:val="1"/>
          <w:u w:val="single"/>
        </w:rPr>
        <w:t>Conclusion:</w:t>
      </w:r>
      <w:bookmarkEnd w:id="38"/>
      <w:bookmarkEnd w:id="211507406"/>
    </w:p>
    <w:p w:rsidR="74DB94C4" w:rsidP="1C0C577E" w:rsidRDefault="74DB94C4" w14:paraId="5132450C" w14:textId="34A6C36B">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1C0C577E" w:rsidR="74DB94C4">
        <w:rPr>
          <w:rFonts w:ascii="Arial" w:hAnsi="Arial" w:eastAsia="Arial" w:cs="Arial" w:asciiTheme="minorAscii" w:hAnsiTheme="minorAscii" w:eastAsiaTheme="minorAscii" w:cstheme="minorAscii"/>
          <w:noProof w:val="0"/>
          <w:sz w:val="24"/>
          <w:szCs w:val="24"/>
          <w:lang w:val="en-US"/>
        </w:rPr>
        <w:t xml:space="preserve">Reflecting on both the analysis of Aether Innovations and my learning journey, sustainable organisational performance and innovation depend on aligning culture, leadership, and HR practices strategically. Part 1 demonstrated that initiatives such as innovation sprints, cross-functional teams, intrapreneurship </w:t>
      </w:r>
      <w:r w:rsidRPr="1C0C577E" w:rsidR="74DB94C4">
        <w:rPr>
          <w:rFonts w:ascii="Arial" w:hAnsi="Arial" w:eastAsia="Arial" w:cs="Arial" w:asciiTheme="minorAscii" w:hAnsiTheme="minorAscii" w:eastAsiaTheme="minorAscii" w:cstheme="minorAscii"/>
          <w:noProof w:val="0"/>
          <w:sz w:val="24"/>
          <w:szCs w:val="24"/>
          <w:lang w:val="en-US"/>
        </w:rPr>
        <w:t>programmes</w:t>
      </w:r>
      <w:r w:rsidRPr="1C0C577E" w:rsidR="74DB94C4">
        <w:rPr>
          <w:rFonts w:ascii="Arial" w:hAnsi="Arial" w:eastAsia="Arial" w:cs="Arial" w:asciiTheme="minorAscii" w:hAnsiTheme="minorAscii" w:eastAsiaTheme="minorAscii" w:cstheme="minorAscii"/>
          <w:noProof w:val="0"/>
          <w:sz w:val="24"/>
          <w:szCs w:val="24"/>
          <w:lang w:val="en-US"/>
        </w:rPr>
        <w:t>, and hybrid work models enhance engagement and operational outcomes (Westerman, Bonnet &amp; McAfee, 2014; Edmondson, 2018; Hackman &amp; Oldham, 1976). Embedding psychological safety, enriched job design, and supportive leadership is essential to translate these initiatives into performance improvements.</w:t>
      </w:r>
    </w:p>
    <w:p w:rsidR="74DB94C4" w:rsidP="1C0C577E" w:rsidRDefault="74DB94C4" w14:paraId="2B6610D8" w14:textId="118530D6">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74DB94C4">
        <w:rPr>
          <w:rFonts w:ascii="Arial" w:hAnsi="Arial" w:eastAsia="Arial" w:cs="Arial" w:asciiTheme="minorAscii" w:hAnsiTheme="minorAscii" w:eastAsiaTheme="minorAscii" w:cstheme="minorAscii"/>
          <w:noProof w:val="0"/>
          <w:sz w:val="24"/>
          <w:szCs w:val="24"/>
          <w:lang w:val="en-US"/>
        </w:rPr>
        <w:t>Gibbs’ Reflective Cycle (</w:t>
      </w:r>
      <w:r w:rsidRPr="1C0C577E" w:rsidR="74DB94C4">
        <w:rPr>
          <w:rFonts w:ascii="Arial" w:hAnsi="Arial" w:eastAsia="Arial" w:cs="Arial" w:asciiTheme="minorAscii" w:hAnsiTheme="minorAscii" w:eastAsiaTheme="minorAscii" w:cstheme="minorAscii"/>
          <w:noProof w:val="0"/>
          <w:sz w:val="24"/>
          <w:szCs w:val="24"/>
          <w:lang w:val="en-US"/>
        </w:rPr>
        <w:t>Adeani</w:t>
      </w:r>
      <w:r w:rsidRPr="1C0C577E" w:rsidR="74DB94C4">
        <w:rPr>
          <w:rFonts w:ascii="Arial" w:hAnsi="Arial" w:eastAsia="Arial" w:cs="Arial" w:asciiTheme="minorAscii" w:hAnsiTheme="minorAscii" w:eastAsiaTheme="minorAscii" w:cstheme="minorAscii"/>
          <w:noProof w:val="0"/>
          <w:sz w:val="24"/>
          <w:szCs w:val="24"/>
          <w:lang w:val="en-US"/>
        </w:rPr>
        <w:t xml:space="preserve">, </w:t>
      </w:r>
      <w:r w:rsidRPr="1C0C577E" w:rsidR="74DB94C4">
        <w:rPr>
          <w:rFonts w:ascii="Arial" w:hAnsi="Arial" w:eastAsia="Arial" w:cs="Arial" w:asciiTheme="minorAscii" w:hAnsiTheme="minorAscii" w:eastAsiaTheme="minorAscii" w:cstheme="minorAscii"/>
          <w:noProof w:val="0"/>
          <w:sz w:val="24"/>
          <w:szCs w:val="24"/>
          <w:lang w:val="en-US"/>
        </w:rPr>
        <w:t>Febriani</w:t>
      </w:r>
      <w:r w:rsidRPr="1C0C577E" w:rsidR="74DB94C4">
        <w:rPr>
          <w:rFonts w:ascii="Arial" w:hAnsi="Arial" w:eastAsia="Arial" w:cs="Arial" w:asciiTheme="minorAscii" w:hAnsiTheme="minorAscii" w:eastAsiaTheme="minorAscii" w:cstheme="minorAscii"/>
          <w:noProof w:val="0"/>
          <w:sz w:val="24"/>
          <w:szCs w:val="24"/>
          <w:lang w:val="en-US"/>
        </w:rPr>
        <w:t xml:space="preserve"> &amp; </w:t>
      </w:r>
      <w:r w:rsidRPr="1C0C577E" w:rsidR="74DB94C4">
        <w:rPr>
          <w:rFonts w:ascii="Arial" w:hAnsi="Arial" w:eastAsia="Arial" w:cs="Arial" w:asciiTheme="minorAscii" w:hAnsiTheme="minorAscii" w:eastAsiaTheme="minorAscii" w:cstheme="minorAscii"/>
          <w:noProof w:val="0"/>
          <w:sz w:val="24"/>
          <w:szCs w:val="24"/>
          <w:lang w:val="en-US"/>
        </w:rPr>
        <w:t>Syafryadin</w:t>
      </w:r>
      <w:r w:rsidRPr="1C0C577E" w:rsidR="74DB94C4">
        <w:rPr>
          <w:rFonts w:ascii="Arial" w:hAnsi="Arial" w:eastAsia="Arial" w:cs="Arial" w:asciiTheme="minorAscii" w:hAnsiTheme="minorAscii" w:eastAsiaTheme="minorAscii" w:cstheme="minorAscii"/>
          <w:noProof w:val="0"/>
          <w:sz w:val="24"/>
          <w:szCs w:val="24"/>
          <w:lang w:val="en-US"/>
        </w:rPr>
        <w:t xml:space="preserve">, 2020) enabled me to understand HRM as strategic rather than administrative. </w:t>
      </w:r>
      <w:r w:rsidRPr="1C0C577E" w:rsidR="74DB94C4">
        <w:rPr>
          <w:rFonts w:ascii="Arial" w:hAnsi="Arial" w:eastAsia="Arial" w:cs="Arial" w:asciiTheme="minorAscii" w:hAnsiTheme="minorAscii" w:eastAsiaTheme="minorAscii" w:cstheme="minorAscii"/>
          <w:noProof w:val="0"/>
          <w:sz w:val="24"/>
          <w:szCs w:val="24"/>
          <w:lang w:val="en-US"/>
        </w:rPr>
        <w:t>Synthesising</w:t>
      </w:r>
      <w:r w:rsidRPr="1C0C577E" w:rsidR="74DB94C4">
        <w:rPr>
          <w:rFonts w:ascii="Arial" w:hAnsi="Arial" w:eastAsia="Arial" w:cs="Arial" w:asciiTheme="minorAscii" w:hAnsiTheme="minorAscii" w:eastAsiaTheme="minorAscii" w:cstheme="minorAscii"/>
          <w:noProof w:val="0"/>
          <w:sz w:val="24"/>
          <w:szCs w:val="24"/>
          <w:lang w:val="en-US"/>
        </w:rPr>
        <w:t xml:space="preserve"> theory with </w:t>
      </w:r>
      <w:r w:rsidRPr="1C0C577E" w:rsidR="74DB94C4">
        <w:rPr>
          <w:rFonts w:ascii="Arial" w:hAnsi="Arial" w:eastAsia="Arial" w:cs="Arial" w:asciiTheme="minorAscii" w:hAnsiTheme="minorAscii" w:eastAsiaTheme="minorAscii" w:cstheme="minorAscii"/>
          <w:noProof w:val="0"/>
          <w:sz w:val="24"/>
          <w:szCs w:val="24"/>
          <w:lang w:val="en-US"/>
        </w:rPr>
        <w:t>organisational</w:t>
      </w:r>
      <w:r w:rsidRPr="1C0C577E" w:rsidR="74DB94C4">
        <w:rPr>
          <w:rFonts w:ascii="Arial" w:hAnsi="Arial" w:eastAsia="Arial" w:cs="Arial" w:asciiTheme="minorAscii" w:hAnsiTheme="minorAscii" w:eastAsiaTheme="minorAscii" w:cstheme="minorAscii"/>
          <w:noProof w:val="0"/>
          <w:sz w:val="24"/>
          <w:szCs w:val="24"/>
          <w:lang w:val="en-US"/>
        </w:rPr>
        <w:t xml:space="preserve"> analysis strengthened my confidence and systems-based approach to HR interventions (CIPD, 2023).</w:t>
      </w:r>
    </w:p>
    <w:p w:rsidR="74DB94C4" w:rsidP="1C0C577E" w:rsidRDefault="74DB94C4" w14:paraId="3CBC7E68" w14:textId="3568216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1C0C577E" w:rsidR="74DB94C4">
        <w:rPr>
          <w:rFonts w:ascii="Arial" w:hAnsi="Arial" w:eastAsia="Arial" w:cs="Arial" w:asciiTheme="minorAscii" w:hAnsiTheme="minorAscii" w:eastAsiaTheme="minorAscii" w:cstheme="minorAscii"/>
          <w:noProof w:val="0"/>
          <w:sz w:val="24"/>
          <w:szCs w:val="24"/>
          <w:lang w:val="en-US"/>
        </w:rPr>
        <w:t xml:space="preserve">AI is redefining HR by automating tasks such as payroll, recruitment, and performance analytics. Its strategic value lies in augmentation: </w:t>
      </w:r>
      <w:r w:rsidRPr="1C0C577E" w:rsidR="74DB94C4">
        <w:rPr>
          <w:rFonts w:ascii="Arial" w:hAnsi="Arial" w:eastAsia="Arial" w:cs="Arial" w:asciiTheme="minorAscii" w:hAnsiTheme="minorAscii" w:eastAsiaTheme="minorAscii" w:cstheme="minorAscii"/>
          <w:noProof w:val="0"/>
          <w:sz w:val="24"/>
          <w:szCs w:val="24"/>
          <w:lang w:val="en-US"/>
        </w:rPr>
        <w:t>providing</w:t>
      </w:r>
      <w:r w:rsidRPr="1C0C577E" w:rsidR="74DB94C4">
        <w:rPr>
          <w:rFonts w:ascii="Arial" w:hAnsi="Arial" w:eastAsia="Arial" w:cs="Arial" w:asciiTheme="minorAscii" w:hAnsiTheme="minorAscii" w:eastAsiaTheme="minorAscii" w:cstheme="minorAscii"/>
          <w:noProof w:val="0"/>
          <w:sz w:val="24"/>
          <w:szCs w:val="24"/>
          <w:lang w:val="en-US"/>
        </w:rPr>
        <w:t xml:space="preserve"> predictive insights while requiring human judgment, ethical oversight, and relational leadership to sustain innovation (Westerman, Bonnet &amp; McAfee, 2014; Zhu, Yang, </w:t>
      </w:r>
      <w:r w:rsidRPr="1C0C577E" w:rsidR="74DB94C4">
        <w:rPr>
          <w:rFonts w:ascii="Arial" w:hAnsi="Arial" w:eastAsia="Arial" w:cs="Arial" w:asciiTheme="minorAscii" w:hAnsiTheme="minorAscii" w:eastAsiaTheme="minorAscii" w:cstheme="minorAscii"/>
          <w:noProof w:val="0"/>
          <w:sz w:val="24"/>
          <w:szCs w:val="24"/>
          <w:lang w:val="en-US"/>
        </w:rPr>
        <w:t>Yang</w:t>
      </w:r>
      <w:r w:rsidRPr="1C0C577E" w:rsidR="74DB94C4">
        <w:rPr>
          <w:rFonts w:ascii="Arial" w:hAnsi="Arial" w:eastAsia="Arial" w:cs="Arial" w:asciiTheme="minorAscii" w:hAnsiTheme="minorAscii" w:eastAsiaTheme="minorAscii" w:cstheme="minorAscii"/>
          <w:noProof w:val="0"/>
          <w:sz w:val="24"/>
          <w:szCs w:val="24"/>
          <w:lang w:val="en-US"/>
        </w:rPr>
        <w:t xml:space="preserve"> and Sosik, 2024). Integrated with hybrid work and intrapreneurship </w:t>
      </w:r>
      <w:r w:rsidRPr="1C0C577E" w:rsidR="74DB94C4">
        <w:rPr>
          <w:rFonts w:ascii="Arial" w:hAnsi="Arial" w:eastAsia="Arial" w:cs="Arial" w:asciiTheme="minorAscii" w:hAnsiTheme="minorAscii" w:eastAsiaTheme="minorAscii" w:cstheme="minorAscii"/>
          <w:noProof w:val="0"/>
          <w:sz w:val="24"/>
          <w:szCs w:val="24"/>
          <w:lang w:val="en-US"/>
        </w:rPr>
        <w:t>programmes</w:t>
      </w:r>
      <w:r w:rsidRPr="1C0C577E" w:rsidR="74DB94C4">
        <w:rPr>
          <w:rFonts w:ascii="Arial" w:hAnsi="Arial" w:eastAsia="Arial" w:cs="Arial" w:asciiTheme="minorAscii" w:hAnsiTheme="minorAscii" w:eastAsiaTheme="minorAscii" w:cstheme="minorAscii"/>
          <w:noProof w:val="0"/>
          <w:sz w:val="24"/>
          <w:szCs w:val="24"/>
          <w:lang w:val="en-US"/>
        </w:rPr>
        <w:t>, AI supports evidence-based decisions while freeing HR to focus on human-</w:t>
      </w:r>
      <w:r w:rsidRPr="1C0C577E" w:rsidR="74DB94C4">
        <w:rPr>
          <w:rFonts w:ascii="Arial" w:hAnsi="Arial" w:eastAsia="Arial" w:cs="Arial" w:asciiTheme="minorAscii" w:hAnsiTheme="minorAscii" w:eastAsiaTheme="minorAscii" w:cstheme="minorAscii"/>
          <w:noProof w:val="0"/>
          <w:sz w:val="24"/>
          <w:szCs w:val="24"/>
          <w:lang w:val="en-US"/>
        </w:rPr>
        <w:t>centred</w:t>
      </w:r>
      <w:r w:rsidRPr="1C0C577E" w:rsidR="74DB94C4">
        <w:rPr>
          <w:rFonts w:ascii="Arial" w:hAnsi="Arial" w:eastAsia="Arial" w:cs="Arial" w:asciiTheme="minorAscii" w:hAnsiTheme="minorAscii" w:eastAsiaTheme="minorAscii" w:cstheme="minorAscii"/>
          <w:noProof w:val="0"/>
          <w:sz w:val="24"/>
          <w:szCs w:val="24"/>
          <w:lang w:val="en-US"/>
        </w:rPr>
        <w:t xml:space="preserve"> interventions.</w:t>
      </w:r>
    </w:p>
    <w:p w:rsidR="7D0248A5" w:rsidP="7D0248A5" w:rsidRDefault="7D0248A5" w14:paraId="1F2FB832" w14:textId="21E5C5B8">
      <w:pPr>
        <w:spacing w:before="240" w:after="240" w:line="360" w:lineRule="auto"/>
      </w:pPr>
    </w:p>
    <w:p w:rsidR="07101A76" w:rsidP="1C0C577E" w:rsidRDefault="07101A76" w14:paraId="28B10811" w14:textId="597DB55B">
      <w:pPr>
        <w:pStyle w:val="Heading3"/>
        <w:rPr>
          <w:rFonts w:eastAsia="ＭＳ 明朝" w:cs="Arial" w:eastAsiaTheme="minorEastAsia" w:cstheme="minorBidi"/>
          <w:b w:val="1"/>
          <w:bCs w:val="1"/>
          <w:u w:val="single"/>
        </w:rPr>
      </w:pPr>
      <w:bookmarkStart w:name="_Toc94412173" w:id="39"/>
      <w:bookmarkStart w:name="_Toc2068045997" w:id="604353132"/>
      <w:r w:rsidRPr="1C0C577E" w:rsidR="78F53780">
        <w:rPr>
          <w:b w:val="1"/>
          <w:bCs w:val="1"/>
          <w:u w:val="single"/>
        </w:rPr>
        <w:t>Action Plan:</w:t>
      </w:r>
      <w:bookmarkEnd w:id="39"/>
      <w:bookmarkEnd w:id="604353132"/>
      <w:r w:rsidRPr="1C0C577E" w:rsidR="78F53780">
        <w:rPr>
          <w:b w:val="1"/>
          <w:bCs w:val="1"/>
          <w:u w:val="single"/>
        </w:rPr>
        <w:t xml:space="preserve"> </w:t>
      </w:r>
    </w:p>
    <w:p w:rsidR="07101A76" w:rsidP="7D0248A5" w:rsidRDefault="07101A76" w14:paraId="700882EA" w14:textId="3CAAE2E0">
      <w:pPr>
        <w:pStyle w:val="ListParagraph"/>
        <w:numPr>
          <w:ilvl w:val="0"/>
          <w:numId w:val="3"/>
        </w:numPr>
        <w:spacing w:before="240" w:after="240" w:line="360" w:lineRule="auto"/>
      </w:pPr>
      <w:r w:rsidRPr="7D0248A5">
        <w:t>Engage in microlearning on digital HR, AI applications, and leadership strategy.</w:t>
      </w:r>
    </w:p>
    <w:p w:rsidR="07101A76" w:rsidP="7D0248A5" w:rsidRDefault="07101A76" w14:paraId="33CE941B" w14:textId="7CE6DDF1">
      <w:pPr>
        <w:pStyle w:val="ListParagraph"/>
        <w:numPr>
          <w:ilvl w:val="0"/>
          <w:numId w:val="3"/>
        </w:numPr>
        <w:spacing w:before="240" w:after="240" w:line="360" w:lineRule="auto"/>
      </w:pPr>
      <w:r w:rsidRPr="7D0248A5">
        <w:t>Pursue mentorship to develop strategic thinking and organisational insight.</w:t>
      </w:r>
    </w:p>
    <w:p w:rsidR="07101A76" w:rsidP="7D0248A5" w:rsidRDefault="07101A76" w14:paraId="5516AB05" w14:textId="2EDB3DF7">
      <w:pPr>
        <w:pStyle w:val="ListParagraph"/>
        <w:numPr>
          <w:ilvl w:val="0"/>
          <w:numId w:val="3"/>
        </w:numPr>
        <w:spacing w:before="240" w:after="240" w:line="360" w:lineRule="auto"/>
      </w:pPr>
      <w:r w:rsidRPr="7D0248A5">
        <w:t>Apply reflective practice in professional projects.</w:t>
      </w:r>
    </w:p>
    <w:p w:rsidR="07101A76" w:rsidP="7D0248A5" w:rsidRDefault="07101A76" w14:paraId="6BFEB61A" w14:textId="4647078F">
      <w:pPr>
        <w:pStyle w:val="ListParagraph"/>
        <w:numPr>
          <w:ilvl w:val="0"/>
          <w:numId w:val="3"/>
        </w:numPr>
        <w:spacing w:before="240" w:after="240" w:line="360" w:lineRule="auto"/>
      </w:pPr>
      <w:r w:rsidRPr="7D0248A5">
        <w:lastRenderedPageBreak/>
        <w:t>Participate in cross-functional innovation initiatives.</w:t>
      </w:r>
    </w:p>
    <w:p w:rsidR="07101A76" w:rsidP="7D0248A5" w:rsidRDefault="07101A76" w14:paraId="0A7AF65C" w14:textId="745153E8">
      <w:pPr>
        <w:pStyle w:val="ListParagraph"/>
        <w:numPr>
          <w:ilvl w:val="0"/>
          <w:numId w:val="3"/>
        </w:numPr>
        <w:spacing w:before="240" w:after="240" w:line="360" w:lineRule="auto"/>
      </w:pPr>
      <w:r w:rsidRPr="7D0248A5">
        <w:t xml:space="preserve">Critically monitor AI-driven workforce interventions to ensure ethical, human-centred application. </w:t>
      </w:r>
    </w:p>
    <w:p w:rsidR="07101A76" w:rsidP="7D0248A5" w:rsidRDefault="07101A76" w14:paraId="1875F2A1" w14:textId="3F944A39">
      <w:pPr>
        <w:spacing w:before="240" w:after="240" w:line="360" w:lineRule="auto"/>
      </w:pPr>
      <w:r w:rsidRPr="7D0248A5">
        <w:t>By combining strategic HR knowledge, reflective practice, and AI awareness, I am prepared to design and implement interventions that enhance organisational performance and employee well-being in innovation-driven workplaces.</w:t>
      </w:r>
    </w:p>
    <w:p w:rsidR="3275D25A" w:rsidP="7DAB6AC2" w:rsidRDefault="3275D25A" w14:paraId="7FC7FD62" w14:textId="57B06452">
      <w:pPr>
        <w:spacing w:before="240" w:after="240" w:line="360" w:lineRule="auto"/>
      </w:pPr>
    </w:p>
    <w:p w:rsidR="3275D25A" w:rsidP="7DAB6AC2" w:rsidRDefault="3275D25A" w14:paraId="4E31F352" w14:textId="3379D3A9">
      <w:pPr>
        <w:spacing w:before="240" w:after="240" w:line="360" w:lineRule="auto"/>
      </w:pPr>
    </w:p>
    <w:p w:rsidR="3275D25A" w:rsidP="7DAB6AC2" w:rsidRDefault="3275D25A" w14:paraId="31FF69B3" w14:textId="4DF6B43A">
      <w:pPr>
        <w:spacing w:before="240" w:after="240" w:line="360" w:lineRule="auto"/>
      </w:pPr>
    </w:p>
    <w:p w:rsidR="3275D25A" w:rsidP="7DAB6AC2" w:rsidRDefault="3275D25A" w14:paraId="55D7E2BA" w14:textId="221BF7C7">
      <w:pPr>
        <w:spacing w:before="240" w:after="240" w:line="360" w:lineRule="auto"/>
      </w:pPr>
    </w:p>
    <w:p w:rsidR="3275D25A" w:rsidP="7DAB6AC2" w:rsidRDefault="3275D25A" w14:paraId="116769C5" w14:textId="2480454B">
      <w:pPr>
        <w:spacing w:before="240" w:after="240" w:line="360" w:lineRule="auto"/>
      </w:pPr>
    </w:p>
    <w:p w:rsidR="3275D25A" w:rsidP="7DAB6AC2" w:rsidRDefault="3275D25A" w14:paraId="2D596E01" w14:textId="536CB078">
      <w:pPr>
        <w:spacing w:before="240" w:after="240" w:line="360" w:lineRule="auto"/>
      </w:pPr>
    </w:p>
    <w:p w:rsidR="3275D25A" w:rsidP="7DAB6AC2" w:rsidRDefault="3275D25A" w14:paraId="47894501" w14:textId="07E912A7">
      <w:pPr>
        <w:spacing w:before="240" w:after="240" w:line="360" w:lineRule="auto"/>
      </w:pPr>
    </w:p>
    <w:p w:rsidR="3275D25A" w:rsidP="7DAB6AC2" w:rsidRDefault="3275D25A" w14:paraId="2D4B07F7" w14:textId="16302354">
      <w:pPr>
        <w:spacing w:before="240" w:after="240" w:line="360" w:lineRule="auto"/>
      </w:pPr>
    </w:p>
    <w:p w:rsidR="7DAB6AC2" w:rsidP="7DAB6AC2" w:rsidRDefault="7DAB6AC2" w14:paraId="61060988" w14:textId="717AA651">
      <w:pPr>
        <w:spacing w:before="240" w:after="240" w:line="360" w:lineRule="auto"/>
      </w:pPr>
    </w:p>
    <w:p w:rsidR="7DAB6AC2" w:rsidP="163C953D" w:rsidRDefault="7DAB6AC2" w14:paraId="4B25649C" w14:textId="12EA8763">
      <w:pPr>
        <w:spacing w:before="240" w:after="240" w:line="360" w:lineRule="auto"/>
        <w:rPr>
          <w:rFonts w:ascii="Arial" w:hAnsi="Arial" w:eastAsia="Arial" w:cs="Arial"/>
          <w:color w:val="000000" w:themeColor="text1"/>
        </w:rPr>
      </w:pPr>
    </w:p>
    <w:p w:rsidR="7DAB6AC2" w:rsidP="163C953D" w:rsidRDefault="45DFA9AD" w14:paraId="3A18289B" w14:textId="632A733F">
      <w:pPr>
        <w:pStyle w:val="Heading3"/>
        <w:rPr>
          <w:rFonts w:ascii="Arial" w:hAnsi="Arial" w:eastAsia="Arial" w:cs="Arial"/>
          <w:b w:val="1"/>
          <w:bCs w:val="1"/>
          <w:color w:val="467886"/>
          <w:u w:val="single"/>
        </w:rPr>
      </w:pPr>
      <w:bookmarkStart w:name="_Toc12490224" w:id="40"/>
      <w:bookmarkStart w:name="_Toc312596685" w:id="368526151"/>
      <w:r w:rsidRPr="1C0C577E" w:rsidR="4F6364ED">
        <w:rPr>
          <w:rStyle w:val="Hyperlink"/>
          <w:b w:val="1"/>
          <w:bCs w:val="1"/>
        </w:rPr>
        <w:t>References</w:t>
      </w:r>
      <w:bookmarkEnd w:id="40"/>
      <w:bookmarkEnd w:id="368526151"/>
    </w:p>
    <w:p w:rsidR="7D0248A5" w:rsidP="36243749" w:rsidRDefault="11E3CA36" w14:paraId="638A051C" w14:textId="4C68AFA1">
      <w:pPr>
        <w:spacing w:before="240" w:after="240" w:line="360" w:lineRule="auto"/>
      </w:pPr>
      <w:r w:rsidR="45F38A0D">
        <w:rPr/>
        <w:t>Adeani</w:t>
      </w:r>
      <w:r w:rsidR="45F38A0D">
        <w:rPr/>
        <w:t xml:space="preserve">, I.S., </w:t>
      </w:r>
      <w:r w:rsidR="45F38A0D">
        <w:rPr/>
        <w:t>Febriani</w:t>
      </w:r>
      <w:r w:rsidR="45F38A0D">
        <w:rPr/>
        <w:t xml:space="preserve">, R.B. and </w:t>
      </w:r>
      <w:r w:rsidR="45F38A0D">
        <w:rPr/>
        <w:t>Syafryadin</w:t>
      </w:r>
      <w:r w:rsidR="45F38A0D">
        <w:rPr/>
        <w:t xml:space="preserve">, S. (2020) ‘Using Gibbs' Reflective Cycle in reflective writing’, </w:t>
      </w:r>
      <w:r w:rsidRPr="1C0C577E" w:rsidR="45F38A0D">
        <w:rPr>
          <w:i w:val="1"/>
          <w:iCs w:val="1"/>
        </w:rPr>
        <w:t>Journal of English Education and Teaching</w:t>
      </w:r>
      <w:r w:rsidR="45F38A0D">
        <w:rPr/>
        <w:t xml:space="preserve">, 4(3), pp. 429–444. </w:t>
      </w:r>
      <w:hyperlink r:id="Ra09e8313cade4b8e">
        <w:r w:rsidRPr="1C0C577E" w:rsidR="45F38A0D">
          <w:rPr>
            <w:rStyle w:val="Hyperlink"/>
          </w:rPr>
          <w:t>https://doi.org/10.25134/ieflj.v6i2.3382</w:t>
        </w:r>
      </w:hyperlink>
      <w:r w:rsidR="6C6BF95B">
        <w:rPr/>
        <w:t xml:space="preserve"> (</w:t>
      </w:r>
      <w:r w:rsidR="0808111C">
        <w:rPr/>
        <w:t>(Accessed: 4 February 2026).</w:t>
      </w:r>
    </w:p>
    <w:p w:rsidR="7D0248A5" w:rsidP="36243749" w:rsidRDefault="11E3CA36" w14:paraId="468E6E57" w14:textId="4A0B1FD0">
      <w:pPr>
        <w:spacing w:before="240" w:after="240" w:line="360" w:lineRule="auto"/>
      </w:pPr>
      <w:r w:rsidR="45F38A0D">
        <w:rPr/>
        <w:t xml:space="preserve">Armstrong, </w:t>
      </w:r>
      <w:r w:rsidR="45F38A0D">
        <w:rPr/>
        <w:t>M.</w:t>
      </w:r>
      <w:r w:rsidR="45F38A0D">
        <w:rPr/>
        <w:t xml:space="preserve"> and Taylor, S. (2026)</w:t>
      </w:r>
      <w:r w:rsidR="45F38A0D">
        <w:rPr/>
        <w:t xml:space="preserve"> </w:t>
      </w:r>
      <w:r w:rsidRPr="1C0C577E" w:rsidR="45F38A0D">
        <w:rPr>
          <w:i w:val="1"/>
          <w:iCs w:val="1"/>
        </w:rPr>
        <w:t>Armstrong's</w:t>
      </w:r>
      <w:r w:rsidRPr="1C0C577E" w:rsidR="45F38A0D">
        <w:rPr>
          <w:i w:val="1"/>
          <w:iCs w:val="1"/>
        </w:rPr>
        <w:t xml:space="preserve"> Handbook of Human Resource Management Practice: A Guide to the Theory and Practice of People Management</w:t>
      </w:r>
      <w:r w:rsidR="45F38A0D">
        <w:rPr/>
        <w:t xml:space="preserve">. 17th </w:t>
      </w:r>
      <w:r w:rsidR="45F38A0D">
        <w:rPr/>
        <w:t>edn</w:t>
      </w:r>
      <w:r w:rsidR="45F38A0D">
        <w:rPr/>
        <w:t>. Kogan Page.</w:t>
      </w:r>
    </w:p>
    <w:p w:rsidR="7D0248A5" w:rsidP="1C0C577E" w:rsidRDefault="11E3CA36" w14:paraId="2BD58ED1" w14:textId="562B8345">
      <w:pPr>
        <w:pStyle w:val="Normal"/>
        <w:spacing w:before="240" w:after="240" w:line="360" w:lineRule="auto"/>
      </w:pPr>
      <w:r w:rsidR="45F38A0D">
        <w:rPr/>
        <w:t xml:space="preserve">Bacon, N. (2007) ‘[Review of The Oxford Handbook of Resource Management]’, </w:t>
      </w:r>
      <w:r w:rsidRPr="1C0C577E" w:rsidR="45F38A0D">
        <w:rPr>
          <w:i w:val="1"/>
          <w:iCs w:val="1"/>
        </w:rPr>
        <w:t>British Journal of Industrial Relations</w:t>
      </w:r>
      <w:r w:rsidR="45F38A0D">
        <w:rPr/>
        <w:t xml:space="preserve">, 45(4), pp. 858–859. </w:t>
      </w:r>
      <w:hyperlink r:id="R94dcaa58e98640ce">
        <w:r w:rsidRPr="1C0C577E" w:rsidR="45F38A0D">
          <w:rPr>
            <w:rStyle w:val="Hyperlink"/>
          </w:rPr>
          <w:t>https://doi.org/10.1111/j.1467-8543.2007.00651.x</w:t>
        </w:r>
      </w:hyperlink>
      <w:r w:rsidR="6A7A980C">
        <w:rPr/>
        <w:t xml:space="preserve"> </w:t>
      </w:r>
      <w:r w:rsidR="122E74B8">
        <w:rPr/>
        <w:t>(Accessed: 4 February 2026).</w:t>
      </w:r>
    </w:p>
    <w:p w:rsidR="7D0248A5" w:rsidP="1C0C577E" w:rsidRDefault="11E3CA36" w14:paraId="1D146B36" w14:textId="7C0212EE">
      <w:pPr>
        <w:pStyle w:val="Normal"/>
        <w:spacing w:before="240" w:after="240" w:line="360" w:lineRule="auto"/>
        <w:rPr>
          <w:rFonts w:ascii="Arial" w:hAnsi="Arial" w:eastAsia="Arial" w:cs="Arial" w:asciiTheme="minorAscii" w:hAnsiTheme="minorAscii" w:eastAsiaTheme="minorAscii" w:cstheme="minorAscii"/>
        </w:rPr>
      </w:pPr>
      <w:r w:rsidR="45F38A0D">
        <w:rPr/>
        <w:t>Becker</w:t>
      </w:r>
      <w:r w:rsidR="45F38A0D">
        <w:rPr/>
        <w:t>, G.S. (1993)</w:t>
      </w:r>
      <w:r w:rsidR="45F38A0D">
        <w:rPr/>
        <w:t xml:space="preserve"> </w:t>
      </w:r>
      <w:r w:rsidRPr="1C0C577E" w:rsidR="45F38A0D">
        <w:rPr>
          <w:i w:val="1"/>
          <w:iCs w:val="1"/>
        </w:rPr>
        <w:t>Human</w:t>
      </w:r>
      <w:r w:rsidRPr="1C0C577E" w:rsidR="45F38A0D">
        <w:rPr>
          <w:i w:val="1"/>
          <w:iCs w:val="1"/>
        </w:rPr>
        <w:t xml:space="preserve"> Capital: A Theoretical and Empirical Analysis, with Special Reference to Education</w:t>
      </w:r>
      <w:r w:rsidR="45F38A0D">
        <w:rPr/>
        <w:t xml:space="preserve">. 3rd </w:t>
      </w:r>
      <w:r w:rsidR="45F38A0D">
        <w:rPr/>
        <w:t>edn</w:t>
      </w:r>
      <w:r w:rsidR="45F38A0D">
        <w:rPr/>
        <w:t>. University of Chicago Press.</w:t>
      </w:r>
      <w:r w:rsidR="28A9C0FB">
        <w:rPr/>
        <w:t xml:space="preserve"> </w:t>
      </w:r>
      <w:r w:rsidRPr="1C0C577E" w:rsidR="7AD41C40">
        <w:rPr>
          <w:rFonts w:ascii="Arial" w:hAnsi="Arial" w:eastAsia="Arial" w:cs="Arial" w:asciiTheme="minorAscii" w:hAnsiTheme="minorAscii" w:eastAsiaTheme="minorAscii" w:cstheme="minorAscii"/>
        </w:rPr>
        <w:t>(Accessed: 4 February 2026).</w:t>
      </w:r>
    </w:p>
    <w:p w:rsidR="7D0248A5" w:rsidP="1C0C577E" w:rsidRDefault="11E3CA36" w14:paraId="6BCCBE3D" w14:textId="4437E6F0">
      <w:pPr>
        <w:pStyle w:val="Normal"/>
        <w:spacing w:before="0" w:beforeAutospacing="off" w:after="0" w:afterAutospacing="off" w:line="360" w:lineRule="auto"/>
        <w:ind w:left="720" w:right="0" w:hanging="720"/>
        <w:jc w:val="both"/>
        <w:rPr>
          <w:rFonts w:ascii="Arial" w:hAnsi="Arial" w:eastAsia="Arial" w:cs="Arial" w:asciiTheme="minorAscii" w:hAnsiTheme="minorAscii" w:eastAsiaTheme="minorAscii" w:cstheme="minorAscii"/>
        </w:rPr>
      </w:pPr>
      <w:r w:rsidRPr="1C0C577E" w:rsidR="733D27C4">
        <w:rPr>
          <w:rFonts w:ascii="Arial" w:hAnsi="Arial" w:eastAsia="Arial" w:cs="Arial" w:asciiTheme="minorAscii" w:hAnsiTheme="minorAscii" w:eastAsiaTheme="minorAscii" w:cstheme="minorAscii"/>
          <w:noProof w:val="0"/>
          <w:sz w:val="24"/>
          <w:szCs w:val="24"/>
          <w:lang w:val="en-US"/>
        </w:rPr>
        <w:t>Boscari</w:t>
      </w:r>
      <w:r w:rsidRPr="1C0C577E" w:rsidR="733D27C4">
        <w:rPr>
          <w:rFonts w:ascii="Arial" w:hAnsi="Arial" w:eastAsia="Arial" w:cs="Arial" w:asciiTheme="minorAscii" w:hAnsiTheme="minorAscii" w:eastAsiaTheme="minorAscii" w:cstheme="minorAscii"/>
          <w:noProof w:val="0"/>
          <w:sz w:val="24"/>
          <w:szCs w:val="24"/>
          <w:lang w:val="en-US"/>
        </w:rPr>
        <w:t xml:space="preserve">, Thomas. “Cultivating an Innovation Culture: The Cornerstone of Organizational Growth.” </w:t>
      </w:r>
      <w:r w:rsidRPr="1C0C577E" w:rsidR="733D27C4">
        <w:rPr>
          <w:rFonts w:ascii="Arial" w:hAnsi="Arial" w:eastAsia="Arial" w:cs="Arial" w:asciiTheme="minorAscii" w:hAnsiTheme="minorAscii" w:eastAsiaTheme="minorAscii" w:cstheme="minorAscii"/>
          <w:i w:val="1"/>
          <w:iCs w:val="1"/>
          <w:noProof w:val="0"/>
          <w:sz w:val="24"/>
          <w:szCs w:val="24"/>
          <w:lang w:val="en-US"/>
        </w:rPr>
        <w:t>Journal of Organizational Culture Communications and Conflict</w:t>
      </w:r>
      <w:r w:rsidRPr="1C0C577E" w:rsidR="733D27C4">
        <w:rPr>
          <w:rFonts w:ascii="Arial" w:hAnsi="Arial" w:eastAsia="Arial" w:cs="Arial" w:asciiTheme="minorAscii" w:hAnsiTheme="minorAscii" w:eastAsiaTheme="minorAscii" w:cstheme="minorAscii"/>
          <w:noProof w:val="0"/>
          <w:sz w:val="24"/>
          <w:szCs w:val="24"/>
          <w:lang w:val="en-US"/>
        </w:rPr>
        <w:t xml:space="preserve">, vol. 27, no. 6, 2023, pp. 1–3, </w:t>
      </w:r>
      <w:hyperlink r:id="R17d21a4fed854844">
        <w:r w:rsidRPr="1C0C577E" w:rsidR="733D27C4">
          <w:rPr>
            <w:rStyle w:val="Hyperlink"/>
            <w:rFonts w:ascii="Arial" w:hAnsi="Arial" w:eastAsia="Arial" w:cs="Arial" w:asciiTheme="minorAscii" w:hAnsiTheme="minorAscii" w:eastAsiaTheme="minorAscii" w:cstheme="minorAscii"/>
            <w:noProof w:val="0"/>
            <w:sz w:val="24"/>
            <w:szCs w:val="24"/>
            <w:lang w:val="en-US"/>
          </w:rPr>
          <w:t>www.abacademies.org/articles/cultivating-an-innovation-culture-the-cornerstone-of-organizational-growth.pdf</w:t>
        </w:r>
      </w:hyperlink>
      <w:r w:rsidRPr="1C0C577E" w:rsidR="733D27C4">
        <w:rPr>
          <w:rFonts w:ascii="Arial" w:hAnsi="Arial" w:eastAsia="Arial" w:cs="Arial" w:asciiTheme="minorAscii" w:hAnsiTheme="minorAscii" w:eastAsiaTheme="minorAscii" w:cstheme="minorAscii"/>
          <w:noProof w:val="0"/>
          <w:sz w:val="24"/>
          <w:szCs w:val="24"/>
          <w:lang w:val="en-US"/>
        </w:rPr>
        <w:t>.</w:t>
      </w:r>
      <w:r w:rsidRPr="1C0C577E" w:rsidR="733D27C4">
        <w:rPr>
          <w:rFonts w:ascii="Arial" w:hAnsi="Arial" w:eastAsia="Arial" w:cs="Arial" w:asciiTheme="minorAscii" w:hAnsiTheme="minorAscii" w:eastAsiaTheme="minorAscii" w:cstheme="minorAscii"/>
        </w:rPr>
        <w:t xml:space="preserve"> </w:t>
      </w:r>
      <w:r w:rsidRPr="1C0C577E" w:rsidR="2A47C32F">
        <w:rPr>
          <w:rFonts w:ascii="Arial" w:hAnsi="Arial" w:eastAsia="Arial" w:cs="Arial" w:asciiTheme="minorAscii" w:hAnsiTheme="minorAscii" w:eastAsiaTheme="minorAscii" w:cstheme="minorAscii"/>
        </w:rPr>
        <w:t>(Accessed: 4 February 2026).</w:t>
      </w:r>
    </w:p>
    <w:p w:rsidR="7D0248A5" w:rsidP="1C0C577E" w:rsidRDefault="11E3CA36" w14:paraId="5160DD6C" w14:textId="197C5FB4">
      <w:pPr>
        <w:pStyle w:val="Normal"/>
        <w:spacing w:before="0" w:beforeAutospacing="off" w:after="0" w:afterAutospacing="off" w:line="360" w:lineRule="auto"/>
        <w:ind w:left="720" w:right="0" w:hanging="720"/>
        <w:jc w:val="both"/>
      </w:pPr>
    </w:p>
    <w:p w:rsidR="7D0248A5" w:rsidP="1C0C577E" w:rsidRDefault="11E3CA36" w14:paraId="57B2B164" w14:textId="10C8B58C">
      <w:pPr>
        <w:spacing w:before="0" w:beforeAutospacing="off" w:after="0" w:afterAutospacing="off" w:line="480" w:lineRule="auto"/>
        <w:ind w:left="720" w:right="0" w:hanging="720"/>
      </w:pPr>
      <w:r w:rsidR="45F38A0D">
        <w:rPr/>
        <w:t>Boxall, P. and Purcell, J. (2016)</w:t>
      </w:r>
      <w:r w:rsidR="45F38A0D">
        <w:rPr/>
        <w:t xml:space="preserve"> </w:t>
      </w:r>
      <w:r w:rsidRPr="1C0C577E" w:rsidR="45F38A0D">
        <w:rPr>
          <w:i w:val="1"/>
          <w:iCs w:val="1"/>
        </w:rPr>
        <w:t>Strategy</w:t>
      </w:r>
      <w:r w:rsidRPr="1C0C577E" w:rsidR="45F38A0D">
        <w:rPr>
          <w:i w:val="1"/>
          <w:iCs w:val="1"/>
        </w:rPr>
        <w:t xml:space="preserve"> and Human Resource Management</w:t>
      </w:r>
      <w:r w:rsidR="45F38A0D">
        <w:rPr/>
        <w:t xml:space="preserve">. 4th </w:t>
      </w:r>
      <w:r w:rsidR="45F38A0D">
        <w:rPr/>
        <w:t>edn</w:t>
      </w:r>
      <w:r w:rsidR="45F38A0D">
        <w:rPr/>
        <w:t>. Palgrave Macmillan.</w:t>
      </w:r>
    </w:p>
    <w:p w:rsidR="1C0C577E" w:rsidP="1C0C577E" w:rsidRDefault="1C0C577E" w14:paraId="79319BFD" w14:textId="36809626">
      <w:pPr>
        <w:spacing w:before="0" w:beforeAutospacing="off" w:after="0" w:afterAutospacing="off" w:line="480" w:lineRule="auto"/>
        <w:ind w:left="720" w:right="0" w:hanging="720"/>
      </w:pPr>
    </w:p>
    <w:p w:rsidR="7D0248A5" w:rsidP="36243749" w:rsidRDefault="11E3CA36" w14:paraId="4C1787FA" w14:textId="37AF642C">
      <w:pPr>
        <w:spacing w:before="240" w:after="240" w:line="360" w:lineRule="auto"/>
      </w:pPr>
      <w:r w:rsidR="45F38A0D">
        <w:rPr/>
        <w:t xml:space="preserve">CIPD (2023) </w:t>
      </w:r>
      <w:r w:rsidRPr="1C0C577E" w:rsidR="45F38A0D">
        <w:rPr>
          <w:i w:val="1"/>
          <w:iCs w:val="1"/>
        </w:rPr>
        <w:t xml:space="preserve">Good Work Index and Flexible Working </w:t>
      </w:r>
      <w:r w:rsidRPr="1C0C577E" w:rsidR="45F38A0D">
        <w:rPr>
          <w:i w:val="1"/>
          <w:iCs w:val="1"/>
        </w:rPr>
        <w:t>Reports</w:t>
      </w:r>
      <w:r w:rsidR="45F38A0D">
        <w:rPr/>
        <w:t>.</w:t>
      </w:r>
      <w:r w:rsidR="1D545C1E">
        <w:rPr/>
        <w:t xml:space="preserve"> </w:t>
      </w:r>
      <w:r w:rsidR="45F38A0D">
        <w:rPr/>
        <w:t>Chartered</w:t>
      </w:r>
      <w:r w:rsidR="45F38A0D">
        <w:rPr/>
        <w:t xml:space="preserve"> Institute of Personnel and Development.</w:t>
      </w:r>
    </w:p>
    <w:p w:rsidR="7D0248A5" w:rsidP="36243749" w:rsidRDefault="11E3CA36" w14:paraId="3C10D367" w14:textId="332C8ABE">
      <w:pPr>
        <w:spacing w:before="240" w:after="240" w:line="360" w:lineRule="auto"/>
      </w:pPr>
      <w:r w:rsidR="45F38A0D">
        <w:rPr/>
        <w:t>Coeurderoy</w:t>
      </w:r>
      <w:r w:rsidR="45F38A0D">
        <w:rPr/>
        <w:t xml:space="preserve">, R., </w:t>
      </w:r>
      <w:r w:rsidR="45F38A0D">
        <w:rPr/>
        <w:t>Guilmot</w:t>
      </w:r>
      <w:r w:rsidR="45F38A0D">
        <w:rPr/>
        <w:t xml:space="preserve">, N. and Vas, A. (2014) ‘Explaining factors affecting technological change adoption: A survival analysis of </w:t>
      </w:r>
      <w:r w:rsidR="45F38A0D">
        <w:rPr/>
        <w:t>an information</w:t>
      </w:r>
      <w:r w:rsidR="45F38A0D">
        <w:rPr/>
        <w:t xml:space="preserve"> system implementation’, </w:t>
      </w:r>
      <w:r w:rsidRPr="1C0C577E" w:rsidR="45F38A0D">
        <w:rPr>
          <w:i w:val="1"/>
          <w:iCs w:val="1"/>
        </w:rPr>
        <w:t>Management Decision</w:t>
      </w:r>
      <w:r w:rsidR="45F38A0D">
        <w:rPr/>
        <w:t xml:space="preserve">, 52(6), pp. 1082–1100. </w:t>
      </w:r>
      <w:hyperlink r:id="R18ef28d30ba443f9">
        <w:r w:rsidRPr="1C0C577E" w:rsidR="45F38A0D">
          <w:rPr>
            <w:rStyle w:val="Hyperlink"/>
          </w:rPr>
          <w:t>https://doi.org/10.1108/MD-10-2013-0540</w:t>
        </w:r>
      </w:hyperlink>
      <w:r w:rsidR="653209E7">
        <w:rPr/>
        <w:t xml:space="preserve"> </w:t>
      </w:r>
      <w:r w:rsidR="5BA99569">
        <w:rPr/>
        <w:t>(Accessed: 4 February 2026).</w:t>
      </w:r>
    </w:p>
    <w:p w:rsidR="7D0248A5" w:rsidP="1C0C577E" w:rsidRDefault="11E3CA36" w14:paraId="087A9D2F" w14:textId="41D7B417">
      <w:pPr>
        <w:pStyle w:val="Normal"/>
        <w:spacing w:before="240" w:after="240" w:line="360" w:lineRule="auto"/>
      </w:pPr>
      <w:r w:rsidR="45F38A0D">
        <w:rPr/>
        <w:t xml:space="preserve">Cui, J. (2025) ‘Digital-GenAI-Enhanced HCI in DevOps as a Driver of Sustainable Innovation: An Empirical Framework’, </w:t>
      </w:r>
      <w:r w:rsidRPr="1C0C577E" w:rsidR="45F38A0D">
        <w:rPr>
          <w:i w:val="1"/>
          <w:iCs w:val="1"/>
        </w:rPr>
        <w:t>arXiv</w:t>
      </w:r>
      <w:r w:rsidRPr="1C0C577E" w:rsidR="45F38A0D">
        <w:rPr>
          <w:i w:val="1"/>
          <w:iCs w:val="1"/>
        </w:rPr>
        <w:t xml:space="preserve"> preprint</w:t>
      </w:r>
      <w:r w:rsidR="45F38A0D">
        <w:rPr/>
        <w:t xml:space="preserve">. </w:t>
      </w:r>
      <w:hyperlink r:id="Ra5717f16da4442de">
        <w:r w:rsidRPr="1C0C577E" w:rsidR="45F38A0D">
          <w:rPr>
            <w:rStyle w:val="Hyperlink"/>
          </w:rPr>
          <w:t>https://doi.org/10.48550/arXiv.2508.13185</w:t>
        </w:r>
      </w:hyperlink>
      <w:r w:rsidR="5AB623F4">
        <w:rPr/>
        <w:t xml:space="preserve"> </w:t>
      </w:r>
      <w:r w:rsidR="051D4A74">
        <w:rPr/>
        <w:t>(Accessed: 4 February 2026).</w:t>
      </w:r>
    </w:p>
    <w:p w:rsidR="7D0248A5" w:rsidP="1C0C577E" w:rsidRDefault="11E3CA36" w14:paraId="24321126" w14:textId="1F875FF1">
      <w:pPr>
        <w:pStyle w:val="Normal"/>
        <w:spacing w:before="240" w:after="240" w:line="360" w:lineRule="auto"/>
      </w:pPr>
      <w:r w:rsidR="45F38A0D">
        <w:rPr/>
        <w:t>Daspit, P.F. (1978) ‘An Integration of Contemporary Theories of Work Motivation: A Proposed Model and Partial Test with Implications for Job Design</w:t>
      </w:r>
      <w:r w:rsidR="45F38A0D">
        <w:rPr/>
        <w:t>’,</w:t>
      </w:r>
      <w:r w:rsidR="409B5ED4">
        <w:rPr/>
        <w:t>(</w:t>
      </w:r>
      <w:r w:rsidR="409B5ED4">
        <w:rPr/>
        <w:t xml:space="preserve">no </w:t>
      </w:r>
      <w:r w:rsidR="409B5ED4">
        <w:rPr/>
        <w:t>doi</w:t>
      </w:r>
      <w:r w:rsidR="409B5ED4">
        <w:rPr/>
        <w:t xml:space="preserve"> available) (Accessed: 4 February 2026).</w:t>
      </w:r>
    </w:p>
    <w:p w:rsidR="45F38A0D" w:rsidP="1C0C577E" w:rsidRDefault="45F38A0D" w14:paraId="120C494A" w14:textId="39790E3B">
      <w:pPr>
        <w:spacing w:before="240" w:after="240" w:line="360" w:lineRule="auto"/>
      </w:pPr>
      <w:r w:rsidR="45F38A0D">
        <w:rPr/>
        <w:t>Edmondson, A. (2018)</w:t>
      </w:r>
      <w:r w:rsidR="45F38A0D">
        <w:rPr/>
        <w:t xml:space="preserve"> </w:t>
      </w:r>
      <w:r w:rsidRPr="1C0C577E" w:rsidR="45F38A0D">
        <w:rPr>
          <w:i w:val="1"/>
          <w:iCs w:val="1"/>
        </w:rPr>
        <w:t>The</w:t>
      </w:r>
      <w:r w:rsidRPr="1C0C577E" w:rsidR="45F38A0D">
        <w:rPr>
          <w:i w:val="1"/>
          <w:iCs w:val="1"/>
        </w:rPr>
        <w:t xml:space="preserve"> Fearless Organization: Creating Psychological Safety in the Workplace for Learning, Innovation, and Growth</w:t>
      </w:r>
      <w:r w:rsidR="45F38A0D">
        <w:rPr/>
        <w:t>. NJ: Wiley.</w:t>
      </w:r>
    </w:p>
    <w:p w:rsidR="7D0248A5" w:rsidP="36243749" w:rsidRDefault="11E3CA36" w14:paraId="66DA234F" w14:textId="3906B4C7">
      <w:pPr>
        <w:spacing w:before="240" w:after="240" w:line="360" w:lineRule="auto"/>
      </w:pPr>
      <w:r w:rsidR="45F38A0D">
        <w:rPr/>
        <w:t xml:space="preserve">Guy, C. (1967) ‘Becker (Gary S.) - Human capital, A theoretical and empirical analysis with special reference to education’, </w:t>
      </w:r>
      <w:r w:rsidRPr="1C0C577E" w:rsidR="45F38A0D">
        <w:rPr>
          <w:i w:val="1"/>
          <w:iCs w:val="1"/>
        </w:rPr>
        <w:t xml:space="preserve">Revue </w:t>
      </w:r>
      <w:r w:rsidRPr="1C0C577E" w:rsidR="45F38A0D">
        <w:rPr>
          <w:i w:val="1"/>
          <w:iCs w:val="1"/>
        </w:rPr>
        <w:t>Économique</w:t>
      </w:r>
      <w:r w:rsidR="45F38A0D">
        <w:rPr/>
        <w:t>, 18(1), pp. 132–133.</w:t>
      </w:r>
    </w:p>
    <w:p w:rsidR="7D0248A5" w:rsidP="1C0C577E" w:rsidRDefault="11E3CA36" w14:paraId="3CDDBBE1" w14:textId="647B7C33">
      <w:pPr>
        <w:spacing w:before="240" w:after="240" w:line="360" w:lineRule="auto"/>
        <w:rPr>
          <w:highlight w:val="yellow"/>
        </w:rPr>
      </w:pPr>
      <w:r w:rsidR="45F38A0D">
        <w:rPr/>
        <w:t xml:space="preserve">Hackman, J.R. and Oldham, G.R. (1976) ‘Motivation through the design of work: Test of a theory’, </w:t>
      </w:r>
      <w:r w:rsidRPr="1C0C577E" w:rsidR="45F38A0D">
        <w:rPr>
          <w:i w:val="1"/>
          <w:iCs w:val="1"/>
        </w:rPr>
        <w:t>Organizational Behavior and Human Performance</w:t>
      </w:r>
      <w:r w:rsidR="45F38A0D">
        <w:rPr/>
        <w:t xml:space="preserve">, 16(2), pp. 250–279. </w:t>
      </w:r>
      <w:hyperlink r:id="R1023aec3a4334c39">
        <w:r w:rsidRPr="1C0C577E" w:rsidR="45F38A0D">
          <w:rPr>
            <w:rStyle w:val="Hyperlink"/>
          </w:rPr>
          <w:t>https://doi.org/10.1016/0030-5073(76)90016-7</w:t>
        </w:r>
      </w:hyperlink>
      <w:r w:rsidR="552F694D">
        <w:rPr/>
        <w:t xml:space="preserve"> </w:t>
      </w:r>
      <w:r w:rsidR="02B2A787">
        <w:rPr/>
        <w:t>(Accessed: 4 February 2026).</w:t>
      </w:r>
    </w:p>
    <w:p w:rsidR="3A2CA5DF" w:rsidP="1C0C577E" w:rsidRDefault="3A2CA5DF" w14:paraId="0156EC53" w14:textId="5E0CD32B">
      <w:pPr>
        <w:spacing w:before="240" w:after="240" w:line="360" w:lineRule="auto"/>
        <w:rPr>
          <w:highlight w:val="yellow"/>
        </w:rPr>
      </w:pPr>
      <w:r w:rsidRPr="1C0C577E" w:rsidR="3A2CA5DF">
        <w:rPr>
          <w:rFonts w:ascii="Arial" w:hAnsi="Arial" w:eastAsia="Arial" w:cs="Arial"/>
          <w:noProof w:val="0"/>
          <w:sz w:val="24"/>
          <w:szCs w:val="24"/>
          <w:lang w:val="en-US"/>
        </w:rPr>
        <w:t xml:space="preserve">Humphrey, S. E., Nahrgang, J. D., &amp; Morgeson, F. P. (2007). Integrating Motivational, Social, and Contextual Work Design Features: A Meta-Analytic Summary and Theoretical Extension of the Work Design Literature. </w:t>
      </w:r>
      <w:r w:rsidRPr="1C0C577E" w:rsidR="3A2CA5DF">
        <w:rPr>
          <w:rFonts w:ascii="Arial" w:hAnsi="Arial" w:eastAsia="Arial" w:cs="Arial"/>
          <w:i w:val="1"/>
          <w:iCs w:val="1"/>
          <w:noProof w:val="0"/>
          <w:sz w:val="24"/>
          <w:szCs w:val="24"/>
          <w:lang w:val="en-US"/>
        </w:rPr>
        <w:t>Journal of Applied Psychology</w:t>
      </w:r>
      <w:r w:rsidRPr="1C0C577E" w:rsidR="3A2CA5DF">
        <w:rPr>
          <w:rFonts w:ascii="Arial" w:hAnsi="Arial" w:eastAsia="Arial" w:cs="Arial"/>
          <w:noProof w:val="0"/>
          <w:sz w:val="24"/>
          <w:szCs w:val="24"/>
          <w:lang w:val="en-US"/>
        </w:rPr>
        <w:t xml:space="preserve">, </w:t>
      </w:r>
      <w:r w:rsidRPr="1C0C577E" w:rsidR="3A2CA5DF">
        <w:rPr>
          <w:rFonts w:ascii="Arial" w:hAnsi="Arial" w:eastAsia="Arial" w:cs="Arial"/>
          <w:i w:val="1"/>
          <w:iCs w:val="1"/>
          <w:noProof w:val="0"/>
          <w:sz w:val="24"/>
          <w:szCs w:val="24"/>
          <w:lang w:val="en-US"/>
        </w:rPr>
        <w:t>92</w:t>
      </w:r>
      <w:r w:rsidRPr="1C0C577E" w:rsidR="3A2CA5DF">
        <w:rPr>
          <w:rFonts w:ascii="Arial" w:hAnsi="Arial" w:eastAsia="Arial" w:cs="Arial"/>
          <w:noProof w:val="0"/>
          <w:sz w:val="24"/>
          <w:szCs w:val="24"/>
          <w:lang w:val="en-US"/>
        </w:rPr>
        <w:t xml:space="preserve">(5), 1332–1356. </w:t>
      </w:r>
      <w:hyperlink r:id="R2473b37993e54fb2">
        <w:r w:rsidRPr="1C0C577E" w:rsidR="3A2CA5DF">
          <w:rPr>
            <w:rStyle w:val="Hyperlink"/>
            <w:rFonts w:ascii="Arial" w:hAnsi="Arial" w:eastAsia="Arial" w:cs="Arial"/>
            <w:noProof w:val="0"/>
            <w:sz w:val="24"/>
            <w:szCs w:val="24"/>
            <w:lang w:val="en-US"/>
          </w:rPr>
          <w:t>https://doi.org/10.1037/0021-9010.92.5.1332</w:t>
        </w:r>
      </w:hyperlink>
      <w:r w:rsidRPr="1C0C577E" w:rsidR="19340B5D">
        <w:rPr>
          <w:rFonts w:ascii="Arial" w:hAnsi="Arial" w:eastAsia="Arial" w:cs="Arial"/>
          <w:noProof w:val="0"/>
          <w:sz w:val="24"/>
          <w:szCs w:val="24"/>
          <w:lang w:val="en-US"/>
        </w:rPr>
        <w:t xml:space="preserve"> </w:t>
      </w:r>
      <w:r w:rsidRPr="1C0C577E" w:rsidR="5D21DF51">
        <w:rPr>
          <w:rFonts w:ascii="Arial" w:hAnsi="Arial" w:eastAsia="Arial" w:cs="Arial"/>
          <w:noProof w:val="0"/>
          <w:sz w:val="24"/>
          <w:szCs w:val="24"/>
          <w:lang w:val="en-US"/>
        </w:rPr>
        <w:t>(Accessed: 4 February 2026).</w:t>
      </w:r>
    </w:p>
    <w:p w:rsidR="1C0C577E" w:rsidP="1C0C577E" w:rsidRDefault="1C0C577E" w14:paraId="6D223023" w14:textId="5361922D">
      <w:pPr>
        <w:spacing w:before="0" w:beforeAutospacing="off" w:after="0" w:afterAutospacing="off"/>
        <w:rPr>
          <w:rFonts w:ascii="Arial" w:hAnsi="Arial" w:eastAsia="Arial" w:cs="Arial"/>
          <w:noProof w:val="0"/>
          <w:sz w:val="24"/>
          <w:szCs w:val="24"/>
          <w:lang w:val="en-US"/>
        </w:rPr>
      </w:pPr>
    </w:p>
    <w:p w:rsidR="7D0248A5" w:rsidP="1C0C577E" w:rsidRDefault="11E3CA36" w14:paraId="5178F0F7" w14:textId="0E60B01E">
      <w:pPr>
        <w:spacing w:before="240" w:after="240" w:line="360" w:lineRule="auto"/>
        <w:rPr>
          <w:highlight w:val="yellow"/>
        </w:rPr>
      </w:pPr>
      <w:r w:rsidR="45F38A0D">
        <w:rPr/>
        <w:t xml:space="preserve">Ikin </w:t>
      </w:r>
      <w:r w:rsidR="45F38A0D">
        <w:rPr/>
        <w:t>Syamsudin</w:t>
      </w:r>
      <w:r w:rsidR="45F38A0D">
        <w:rPr/>
        <w:t xml:space="preserve"> </w:t>
      </w:r>
      <w:r w:rsidR="45F38A0D">
        <w:rPr/>
        <w:t>Adeani</w:t>
      </w:r>
      <w:r w:rsidR="45F38A0D">
        <w:rPr/>
        <w:t xml:space="preserve">, R., </w:t>
      </w:r>
      <w:r w:rsidR="45F38A0D">
        <w:rPr/>
        <w:t>Febriani</w:t>
      </w:r>
      <w:r w:rsidR="45F38A0D">
        <w:rPr/>
        <w:t xml:space="preserve">, B. and </w:t>
      </w:r>
      <w:r w:rsidR="45F38A0D">
        <w:rPr/>
        <w:t>Syafryadin</w:t>
      </w:r>
      <w:r w:rsidR="45F38A0D">
        <w:rPr/>
        <w:t xml:space="preserve">, S. (2020) ‘Using Gibbs’ Reflective Cycle in making reflections of literary analysis’, </w:t>
      </w:r>
      <w:r w:rsidRPr="1C0C577E" w:rsidR="45F38A0D">
        <w:rPr>
          <w:i w:val="1"/>
          <w:iCs w:val="1"/>
        </w:rPr>
        <w:t>Indonesian EFL Journal</w:t>
      </w:r>
      <w:r w:rsidR="45F38A0D">
        <w:rPr/>
        <w:t xml:space="preserve">, 6(2), pp. 139–148. </w:t>
      </w:r>
      <w:hyperlink r:id="Rfc1ee664905245b2">
        <w:r w:rsidRPr="1C0C577E" w:rsidR="45F38A0D">
          <w:rPr>
            <w:rStyle w:val="Hyperlink"/>
          </w:rPr>
          <w:t>https://doi.org/10.25134/ieflj.v6i2.3382</w:t>
        </w:r>
      </w:hyperlink>
      <w:r w:rsidR="565F62E9">
        <w:rPr/>
        <w:t xml:space="preserve"> </w:t>
      </w:r>
      <w:r w:rsidR="1E537F35">
        <w:rPr/>
        <w:t>(Accessed: 4 February 2026).</w:t>
      </w:r>
    </w:p>
    <w:p w:rsidR="7D0248A5" w:rsidP="36243749" w:rsidRDefault="11E3CA36" w14:paraId="204EFD28" w14:textId="1E53D375">
      <w:pPr>
        <w:spacing w:before="240" w:after="240" w:line="360" w:lineRule="auto"/>
      </w:pPr>
      <w:r w:rsidR="45F38A0D">
        <w:rPr/>
        <w:t xml:space="preserve">Lee, E.J., Kim, H.S. and Kim, H.Y. (2014) ‘Relationships between core factors of knowledge management in hospital nursing </w:t>
      </w:r>
      <w:r w:rsidR="45F38A0D">
        <w:rPr/>
        <w:t>organisations</w:t>
      </w:r>
      <w:r w:rsidR="45F38A0D">
        <w:rPr/>
        <w:t xml:space="preserve"> and outcomes of nursing performance’, </w:t>
      </w:r>
      <w:r w:rsidRPr="1C0C577E" w:rsidR="45F38A0D">
        <w:rPr>
          <w:i w:val="1"/>
          <w:iCs w:val="1"/>
        </w:rPr>
        <w:t>Journal of Clinical Nursing</w:t>
      </w:r>
      <w:r w:rsidR="45F38A0D">
        <w:rPr/>
        <w:t xml:space="preserve">, 23(23–24), pp. 3513–3524. </w:t>
      </w:r>
      <w:hyperlink r:id="R2be7b87151834cbb">
        <w:r w:rsidRPr="1C0C577E" w:rsidR="45F38A0D">
          <w:rPr>
            <w:rStyle w:val="Hyperlink"/>
          </w:rPr>
          <w:t>https://doi.org/10.1111/jocn.12603</w:t>
        </w:r>
      </w:hyperlink>
      <w:r w:rsidR="38809F10">
        <w:rPr/>
        <w:t xml:space="preserve"> </w:t>
      </w:r>
      <w:r w:rsidR="41B58A57">
        <w:rPr/>
        <w:t>(Accessed: 4 February 2026).</w:t>
      </w:r>
    </w:p>
    <w:p w:rsidR="7D0248A5" w:rsidP="36243749" w:rsidRDefault="11E3CA36" w14:paraId="1BD06147" w14:textId="6D542675">
      <w:pPr>
        <w:spacing w:before="240" w:after="240" w:line="360" w:lineRule="auto"/>
      </w:pPr>
      <w:r w:rsidRPr="36243749">
        <w:t xml:space="preserve">McKinsey &amp; Company (2026) ‘Psychological Safety and the Critical Role of Leadership Development’. Available at: </w:t>
      </w:r>
      <w:hyperlink r:id="rId19">
        <w:r w:rsidRPr="36243749">
          <w:rPr>
            <w:rStyle w:val="Hyperlink"/>
          </w:rPr>
          <w:t>https://www.mckinsey.com/capabilities/people-and-organizational-performance/our-insights/psychological-safety-and-the-critical-role-of-leadership-development</w:t>
        </w:r>
      </w:hyperlink>
      <w:r w:rsidRPr="36243749">
        <w:t xml:space="preserve"> (Accessed: 4 February 2026).</w:t>
      </w:r>
    </w:p>
    <w:p w:rsidR="7D0248A5" w:rsidP="1C0C577E" w:rsidRDefault="11E3CA36" w14:paraId="3D240071" w14:textId="72637F50">
      <w:pPr>
        <w:pStyle w:val="Normal"/>
        <w:spacing w:before="240" w:after="240" w:line="360" w:lineRule="auto"/>
        <w:rPr>
          <w:highlight w:val="yellow"/>
        </w:rPr>
      </w:pPr>
      <w:r w:rsidR="45F38A0D">
        <w:rPr/>
        <w:t xml:space="preserve">Ordoñez de Pablos, P. and Tennyson, R.D. (2014) </w:t>
      </w:r>
      <w:r w:rsidRPr="1C0C577E" w:rsidR="45F38A0D">
        <w:rPr>
          <w:i w:val="1"/>
          <w:iCs w:val="1"/>
        </w:rPr>
        <w:t>Strategic Approaches for Human Capital Management and Development in a Turbulent Economy</w:t>
      </w:r>
      <w:r w:rsidR="45F38A0D">
        <w:rPr/>
        <w:t xml:space="preserve">. Hershey, PA: Business Science Reference. </w:t>
      </w:r>
      <w:hyperlink r:id="Rb65ef8a27bc940b2">
        <w:r w:rsidRPr="1C0C577E" w:rsidR="45F38A0D">
          <w:rPr>
            <w:rStyle w:val="Hyperlink"/>
          </w:rPr>
          <w:t>https://doi.org/10.4018/978-1-4666-4530-1</w:t>
        </w:r>
      </w:hyperlink>
      <w:r w:rsidR="6D310951">
        <w:rPr/>
        <w:t xml:space="preserve"> </w:t>
      </w:r>
      <w:r w:rsidR="75C9DD1C">
        <w:rPr/>
        <w:t>(Accessed: 4 February 2026).</w:t>
      </w:r>
    </w:p>
    <w:p w:rsidR="7D0248A5" w:rsidP="1C0C577E" w:rsidRDefault="11E3CA36" w14:paraId="50C82FC8" w14:textId="6A799837">
      <w:pPr>
        <w:pStyle w:val="Normal"/>
        <w:spacing w:before="0" w:beforeAutospacing="off" w:after="0" w:afterAutospacing="off" w:line="360" w:lineRule="auto"/>
      </w:pPr>
      <w:r w:rsidRPr="1C0C577E" w:rsidR="211DB859">
        <w:rPr>
          <w:rFonts w:ascii="Arial" w:hAnsi="Arial" w:eastAsia="Arial" w:cs="Arial"/>
          <w:noProof w:val="0"/>
          <w:sz w:val="24"/>
          <w:szCs w:val="24"/>
          <w:lang w:val="en-US"/>
        </w:rPr>
        <w:t xml:space="preserve">Parker, S. K., Morgeson, F. P., &amp; Johns, G. (2017). One Hundred Years of Work Design Research: Looking Back and Looking Forward. </w:t>
      </w:r>
      <w:r w:rsidRPr="1C0C577E" w:rsidR="211DB859">
        <w:rPr>
          <w:rFonts w:ascii="Arial" w:hAnsi="Arial" w:eastAsia="Arial" w:cs="Arial"/>
          <w:i w:val="1"/>
          <w:iCs w:val="1"/>
          <w:noProof w:val="0"/>
          <w:sz w:val="24"/>
          <w:szCs w:val="24"/>
          <w:lang w:val="en-US"/>
        </w:rPr>
        <w:t>Journal of Applied Psychology</w:t>
      </w:r>
      <w:r w:rsidRPr="1C0C577E" w:rsidR="211DB859">
        <w:rPr>
          <w:rFonts w:ascii="Arial" w:hAnsi="Arial" w:eastAsia="Arial" w:cs="Arial"/>
          <w:noProof w:val="0"/>
          <w:sz w:val="24"/>
          <w:szCs w:val="24"/>
          <w:lang w:val="en-US"/>
        </w:rPr>
        <w:t xml:space="preserve">, </w:t>
      </w:r>
      <w:r w:rsidRPr="1C0C577E" w:rsidR="211DB859">
        <w:rPr>
          <w:rFonts w:ascii="Arial" w:hAnsi="Arial" w:eastAsia="Arial" w:cs="Arial"/>
          <w:i w:val="1"/>
          <w:iCs w:val="1"/>
          <w:noProof w:val="0"/>
          <w:sz w:val="24"/>
          <w:szCs w:val="24"/>
          <w:lang w:val="en-US"/>
        </w:rPr>
        <w:t>102</w:t>
      </w:r>
      <w:r w:rsidRPr="1C0C577E" w:rsidR="211DB859">
        <w:rPr>
          <w:rFonts w:ascii="Arial" w:hAnsi="Arial" w:eastAsia="Arial" w:cs="Arial"/>
          <w:noProof w:val="0"/>
          <w:sz w:val="24"/>
          <w:szCs w:val="24"/>
          <w:lang w:val="en-US"/>
        </w:rPr>
        <w:t xml:space="preserve">(3), 403–420. </w:t>
      </w:r>
      <w:hyperlink r:id="R32e9b8e5d2864b87">
        <w:r w:rsidRPr="1C0C577E" w:rsidR="211DB859">
          <w:rPr>
            <w:rStyle w:val="Hyperlink"/>
            <w:rFonts w:ascii="Arial" w:hAnsi="Arial" w:eastAsia="Arial" w:cs="Arial"/>
            <w:noProof w:val="0"/>
            <w:sz w:val="24"/>
            <w:szCs w:val="24"/>
            <w:lang w:val="en-US"/>
          </w:rPr>
          <w:t>https://doi.org/10.1037/apl0000106</w:t>
        </w:r>
      </w:hyperlink>
      <w:r w:rsidRPr="1C0C577E" w:rsidR="1F4846FC">
        <w:rPr>
          <w:rFonts w:ascii="Arial" w:hAnsi="Arial" w:eastAsia="Arial" w:cs="Arial"/>
          <w:noProof w:val="0"/>
          <w:sz w:val="24"/>
          <w:szCs w:val="24"/>
          <w:lang w:val="en-US"/>
        </w:rPr>
        <w:t xml:space="preserve"> </w:t>
      </w:r>
      <w:r w:rsidRPr="1C0C577E" w:rsidR="53030E53">
        <w:rPr>
          <w:rFonts w:ascii="Arial" w:hAnsi="Arial" w:eastAsia="Arial" w:cs="Arial"/>
          <w:noProof w:val="0"/>
          <w:sz w:val="24"/>
          <w:szCs w:val="24"/>
          <w:lang w:val="en-US"/>
        </w:rPr>
        <w:t>(Accessed: 4 February 2026).</w:t>
      </w:r>
    </w:p>
    <w:p w:rsidR="7D0248A5" w:rsidP="1C0C577E" w:rsidRDefault="11E3CA36" w14:paraId="581DAA42" w14:textId="1EF06368">
      <w:pPr>
        <w:pStyle w:val="Normal"/>
        <w:spacing w:before="0" w:beforeAutospacing="off" w:after="0" w:afterAutospacing="off" w:line="360" w:lineRule="auto"/>
        <w:rPr>
          <w:rFonts w:ascii="Arial" w:hAnsi="Arial" w:eastAsia="Arial" w:cs="Arial"/>
          <w:noProof w:val="0"/>
          <w:sz w:val="24"/>
          <w:szCs w:val="24"/>
          <w:lang w:val="en-US"/>
        </w:rPr>
      </w:pPr>
    </w:p>
    <w:p w:rsidR="7D0248A5" w:rsidP="1C0C577E" w:rsidRDefault="11E3CA36" w14:paraId="597C0FF8" w14:textId="73E2EAA2">
      <w:pPr>
        <w:pStyle w:val="Normal"/>
        <w:spacing w:before="0" w:beforeAutospacing="off" w:after="0" w:afterAutospacing="off" w:line="360" w:lineRule="auto"/>
        <w:rPr>
          <w:color w:val="auto"/>
        </w:rPr>
      </w:pPr>
      <w:r w:rsidR="45F38A0D">
        <w:rPr/>
        <w:t xml:space="preserve">Schein, E.H. (2017) </w:t>
      </w:r>
      <w:r w:rsidRPr="1C0C577E" w:rsidR="45F38A0D">
        <w:rPr>
          <w:i w:val="1"/>
          <w:iCs w:val="1"/>
        </w:rPr>
        <w:t>Organisational</w:t>
      </w:r>
      <w:r w:rsidRPr="1C0C577E" w:rsidR="45F38A0D">
        <w:rPr>
          <w:i w:val="1"/>
          <w:iCs w:val="1"/>
        </w:rPr>
        <w:t xml:space="preserve"> Culture and Leadership</w:t>
      </w:r>
      <w:r w:rsidR="45F38A0D">
        <w:rPr/>
        <w:t xml:space="preserve">. 5th </w:t>
      </w:r>
      <w:r w:rsidR="45F38A0D">
        <w:rPr/>
        <w:t>edn</w:t>
      </w:r>
      <w:r w:rsidR="45F38A0D">
        <w:rPr/>
        <w:t>.  NJ: Wiley.</w:t>
      </w:r>
    </w:p>
    <w:p w:rsidR="0A7717C2" w:rsidP="1C0C577E" w:rsidRDefault="0A7717C2" w14:paraId="4CF3E970" w14:textId="4FF950E9">
      <w:pPr>
        <w:spacing w:before="240" w:beforeAutospacing="off" w:after="240" w:afterAutospacing="off"/>
      </w:pPr>
      <w:r w:rsidRPr="1C0C577E" w:rsidR="0A7717C2">
        <w:rPr>
          <w:rFonts w:ascii="Arial" w:hAnsi="Arial" w:eastAsia="Arial" w:cs="Arial"/>
          <w:noProof w:val="0"/>
          <w:sz w:val="24"/>
          <w:szCs w:val="24"/>
          <w:lang w:val="en-US"/>
        </w:rPr>
        <w:t xml:space="preserve">Selimovic, J., </w:t>
      </w:r>
      <w:r w:rsidRPr="1C0C577E" w:rsidR="0A7717C2">
        <w:rPr>
          <w:rFonts w:ascii="Arial" w:hAnsi="Arial" w:eastAsia="Arial" w:cs="Arial"/>
          <w:noProof w:val="0"/>
          <w:sz w:val="24"/>
          <w:szCs w:val="24"/>
          <w:lang w:val="en-US"/>
        </w:rPr>
        <w:t>Pilav</w:t>
      </w:r>
      <w:r w:rsidRPr="1C0C577E" w:rsidR="0A7717C2">
        <w:rPr>
          <w:rFonts w:ascii="Arial" w:hAnsi="Arial" w:eastAsia="Arial" w:cs="Arial"/>
          <w:noProof w:val="0"/>
          <w:sz w:val="24"/>
          <w:szCs w:val="24"/>
          <w:lang w:val="en-US"/>
        </w:rPr>
        <w:t xml:space="preserve">-Velic, A., &amp; </w:t>
      </w:r>
      <w:r w:rsidRPr="1C0C577E" w:rsidR="0A7717C2">
        <w:rPr>
          <w:rFonts w:ascii="Arial" w:hAnsi="Arial" w:eastAsia="Arial" w:cs="Arial"/>
          <w:noProof w:val="0"/>
          <w:sz w:val="24"/>
          <w:szCs w:val="24"/>
          <w:lang w:val="en-US"/>
        </w:rPr>
        <w:t>Krndžija</w:t>
      </w:r>
      <w:r w:rsidRPr="1C0C577E" w:rsidR="0A7717C2">
        <w:rPr>
          <w:rFonts w:ascii="Arial" w:hAnsi="Arial" w:eastAsia="Arial" w:cs="Arial"/>
          <w:noProof w:val="0"/>
          <w:sz w:val="24"/>
          <w:szCs w:val="24"/>
          <w:lang w:val="en-US"/>
        </w:rPr>
        <w:t xml:space="preserve">, L. (2021). Digital workplace transformation in the financial service sector: Investigating the relationship between employees’ expectations and intentions. Technology in Society, 66, Article 101640. </w:t>
      </w:r>
      <w:hyperlink r:id="Rb845a3a3019943d7">
        <w:r w:rsidRPr="1C0C577E" w:rsidR="0A7717C2">
          <w:rPr>
            <w:rStyle w:val="Hyperlink"/>
            <w:rFonts w:ascii="Arial" w:hAnsi="Arial" w:eastAsia="Arial" w:cs="Arial"/>
            <w:noProof w:val="0"/>
            <w:sz w:val="24"/>
            <w:szCs w:val="24"/>
            <w:lang w:val="en-US"/>
          </w:rPr>
          <w:t>https://doi.org/10.1016/j.techsoc.2021.101640</w:t>
        </w:r>
      </w:hyperlink>
      <w:r w:rsidRPr="1C0C577E" w:rsidR="2086F726">
        <w:rPr>
          <w:rFonts w:ascii="Arial" w:hAnsi="Arial" w:eastAsia="Arial" w:cs="Arial"/>
          <w:noProof w:val="0"/>
          <w:sz w:val="24"/>
          <w:szCs w:val="24"/>
          <w:lang w:val="en-US"/>
        </w:rPr>
        <w:t xml:space="preserve"> </w:t>
      </w:r>
      <w:r w:rsidRPr="1C0C577E" w:rsidR="50EDA51E">
        <w:rPr>
          <w:rFonts w:ascii="Arial" w:hAnsi="Arial" w:eastAsia="Arial" w:cs="Arial"/>
          <w:noProof w:val="0"/>
          <w:sz w:val="24"/>
          <w:szCs w:val="24"/>
          <w:lang w:val="en-US"/>
        </w:rPr>
        <w:t>(Accessed: 4 February 2026).</w:t>
      </w:r>
    </w:p>
    <w:p w:rsidR="7D0248A5" w:rsidP="1C0C577E" w:rsidRDefault="11E3CA36" w14:paraId="67716845" w14:textId="658D079B">
      <w:pPr>
        <w:pStyle w:val="Normal"/>
        <w:spacing w:before="240" w:after="240" w:line="360" w:lineRule="auto"/>
        <w:rPr>
          <w:rFonts w:ascii="Arial" w:hAnsi="Arial" w:eastAsia="Arial" w:cs="Arial"/>
          <w:noProof w:val="0"/>
          <w:sz w:val="24"/>
          <w:szCs w:val="24"/>
          <w:highlight w:val="yellow"/>
          <w:lang w:val="en-US"/>
        </w:rPr>
      </w:pPr>
      <w:r w:rsidR="45F38A0D">
        <w:rPr/>
        <w:t xml:space="preserve">Srivastava, S., Bajaj, </w:t>
      </w:r>
      <w:r w:rsidR="45F38A0D">
        <w:rPr/>
        <w:t>B.</w:t>
      </w:r>
      <w:r w:rsidR="45F38A0D">
        <w:rPr/>
        <w:t xml:space="preserve"> and Dev, S. (2020) ‘Human Resource Information System adoption and implementation factors: A theoretical analysis’, </w:t>
      </w:r>
      <w:r w:rsidRPr="1C0C577E" w:rsidR="45F38A0D">
        <w:rPr>
          <w:i w:val="1"/>
          <w:iCs w:val="1"/>
        </w:rPr>
        <w:t>International Journal of Human Capital and Information Technology Professionals</w:t>
      </w:r>
      <w:r w:rsidR="45F38A0D">
        <w:rPr/>
        <w:t xml:space="preserve">, 11(4), pp. 80–98. </w:t>
      </w:r>
      <w:hyperlink r:id="Rf6067faaa9254a44">
        <w:r w:rsidRPr="1C0C577E" w:rsidR="45F38A0D">
          <w:rPr>
            <w:rStyle w:val="Hyperlink"/>
          </w:rPr>
          <w:t>https://doi.org/10.4018/IJHCITP.2020100105</w:t>
        </w:r>
      </w:hyperlink>
      <w:r w:rsidR="08952436">
        <w:rPr/>
        <w:t xml:space="preserve"> </w:t>
      </w:r>
      <w:r w:rsidR="4098FC39">
        <w:rPr/>
        <w:t>(Accessed: 4 February 2026).</w:t>
      </w:r>
    </w:p>
    <w:p w:rsidR="45F38A0D" w:rsidP="1C0C577E" w:rsidRDefault="45F38A0D" w14:paraId="4D14C345" w14:textId="5B06C63E">
      <w:pPr>
        <w:spacing w:before="240" w:after="240" w:line="360" w:lineRule="auto"/>
        <w:rPr>
          <w:rFonts w:ascii="Arial" w:hAnsi="Arial" w:eastAsia="Arial" w:cs="Arial"/>
          <w:noProof w:val="0"/>
          <w:sz w:val="24"/>
          <w:szCs w:val="24"/>
          <w:highlight w:val="yellow"/>
          <w:lang w:val="en-US"/>
        </w:rPr>
      </w:pPr>
      <w:r w:rsidR="45F38A0D">
        <w:rPr/>
        <w:t xml:space="preserve">Wang, J. (2012) </w:t>
      </w:r>
      <w:r w:rsidRPr="1C0C577E" w:rsidR="45F38A0D">
        <w:rPr>
          <w:i w:val="1"/>
          <w:iCs w:val="1"/>
        </w:rPr>
        <w:t>Implementation and Integration of Information Systems in the Service Sector</w:t>
      </w:r>
      <w:r w:rsidR="45F38A0D">
        <w:rPr/>
        <w:t xml:space="preserve">. 1st </w:t>
      </w:r>
      <w:r w:rsidR="45F38A0D">
        <w:rPr/>
        <w:t>edn</w:t>
      </w:r>
      <w:r w:rsidR="45F38A0D">
        <w:rPr/>
        <w:t xml:space="preserve">. Hershey, PA: IGI Global Scientific Publishing. </w:t>
      </w:r>
      <w:hyperlink r:id="R4215e9f4c0114912">
        <w:r w:rsidRPr="1C0C577E" w:rsidR="45F38A0D">
          <w:rPr>
            <w:rStyle w:val="Hyperlink"/>
          </w:rPr>
          <w:t>https://doi.org/10.4018/978-1-4666-2649-2</w:t>
        </w:r>
      </w:hyperlink>
      <w:r w:rsidR="07A70A9A">
        <w:rPr/>
        <w:t xml:space="preserve"> </w:t>
      </w:r>
      <w:r w:rsidR="26CF085B">
        <w:rPr/>
        <w:t>(Accessed: 4 February 2026).</w:t>
      </w:r>
    </w:p>
    <w:p w:rsidR="7D0248A5" w:rsidP="36243749" w:rsidRDefault="11E3CA36" w14:paraId="2423A671" w14:textId="182BA86A">
      <w:pPr>
        <w:spacing w:before="240" w:after="240" w:line="360" w:lineRule="auto"/>
      </w:pPr>
      <w:r w:rsidR="45F38A0D">
        <w:rPr/>
        <w:t xml:space="preserve">Westerman, G., Bonnet, </w:t>
      </w:r>
      <w:r w:rsidR="45F38A0D">
        <w:rPr/>
        <w:t>D.</w:t>
      </w:r>
      <w:r w:rsidR="45F38A0D">
        <w:rPr/>
        <w:t xml:space="preserve"> and McAfee, A. (2014)</w:t>
      </w:r>
      <w:r w:rsidR="45F38A0D">
        <w:rPr/>
        <w:t xml:space="preserve"> </w:t>
      </w:r>
      <w:r w:rsidRPr="1C0C577E" w:rsidR="45F38A0D">
        <w:rPr>
          <w:i w:val="1"/>
          <w:iCs w:val="1"/>
        </w:rPr>
        <w:t>Leading</w:t>
      </w:r>
      <w:r w:rsidRPr="1C0C577E" w:rsidR="45F38A0D">
        <w:rPr>
          <w:i w:val="1"/>
          <w:iCs w:val="1"/>
        </w:rPr>
        <w:t xml:space="preserve"> Digital: Turning Technology into Business Transformation</w:t>
      </w:r>
      <w:r w:rsidR="45F38A0D">
        <w:rPr/>
        <w:t>. Harvard Business Review Press.</w:t>
      </w:r>
    </w:p>
    <w:p w:rsidR="13529F93" w:rsidP="1C0C577E" w:rsidRDefault="13529F93" w14:paraId="51C8DB45" w14:textId="1C85BB81">
      <w:pPr>
        <w:spacing w:before="240" w:beforeAutospacing="off" w:after="240" w:afterAutospacing="off"/>
        <w:rPr>
          <w:rFonts w:ascii="Arial" w:hAnsi="Arial" w:eastAsia="Arial" w:cs="Arial"/>
          <w:noProof w:val="0"/>
          <w:sz w:val="24"/>
          <w:szCs w:val="24"/>
          <w:highlight w:val="yellow"/>
          <w:lang w:val="en-US"/>
        </w:rPr>
      </w:pPr>
      <w:r w:rsidRPr="1C0C577E" w:rsidR="13529F93">
        <w:rPr>
          <w:rFonts w:ascii="Arial" w:hAnsi="Arial" w:eastAsia="Arial" w:cs="Arial"/>
          <w:noProof w:val="0"/>
          <w:sz w:val="24"/>
          <w:szCs w:val="24"/>
          <w:lang w:val="en-US"/>
        </w:rPr>
        <w:t xml:space="preserve">Westerman, J. W., &amp; Rosse, J. G. (1997). Reducing the Threat of Rater Nonparticipation in 360-Degree Feedback Systems: An Exploratory Examination of Antecedents to Participation in Upward Ratings. Group &amp; Organization Management, 22(2), 288–309. </w:t>
      </w:r>
      <w:hyperlink r:id="Rfba9bf8b96634cac">
        <w:r w:rsidRPr="1C0C577E" w:rsidR="13529F93">
          <w:rPr>
            <w:rStyle w:val="Hyperlink"/>
            <w:rFonts w:ascii="Arial" w:hAnsi="Arial" w:eastAsia="Arial" w:cs="Arial"/>
            <w:noProof w:val="0"/>
            <w:sz w:val="24"/>
            <w:szCs w:val="24"/>
            <w:lang w:val="en-US"/>
          </w:rPr>
          <w:t>https://doi.org/10.1177/1059601197222008</w:t>
        </w:r>
      </w:hyperlink>
      <w:r w:rsidRPr="1C0C577E" w:rsidR="6371737D">
        <w:rPr>
          <w:rFonts w:ascii="Arial" w:hAnsi="Arial" w:eastAsia="Arial" w:cs="Arial"/>
          <w:noProof w:val="0"/>
          <w:sz w:val="24"/>
          <w:szCs w:val="24"/>
          <w:lang w:val="en-US"/>
        </w:rPr>
        <w:t xml:space="preserve"> </w:t>
      </w:r>
      <w:r w:rsidRPr="1C0C577E" w:rsidR="7318EBD4">
        <w:rPr>
          <w:rFonts w:ascii="Arial" w:hAnsi="Arial" w:eastAsia="Arial" w:cs="Arial"/>
          <w:noProof w:val="0"/>
          <w:sz w:val="24"/>
          <w:szCs w:val="24"/>
          <w:lang w:val="en-US"/>
        </w:rPr>
        <w:t>(Accessed: 4 February 2026).</w:t>
      </w:r>
    </w:p>
    <w:p w:rsidR="5F4877D0" w:rsidP="1C0C577E" w:rsidRDefault="5F4877D0" w14:paraId="6290B6F1" w14:textId="1375B79B">
      <w:pPr>
        <w:spacing w:before="240" w:beforeAutospacing="off" w:after="240" w:afterAutospacing="off"/>
        <w:rPr>
          <w:rFonts w:ascii="Arial" w:hAnsi="Arial" w:eastAsia="Arial" w:cs="Arial"/>
          <w:noProof w:val="0"/>
          <w:sz w:val="24"/>
          <w:szCs w:val="24"/>
          <w:highlight w:val="yellow"/>
          <w:lang w:val="en-US"/>
        </w:rPr>
      </w:pPr>
      <w:r w:rsidR="71CC7F7D">
        <w:rPr/>
        <w:t xml:space="preserve">Zhu, W., Yang, H., Yang, </w:t>
      </w:r>
      <w:r w:rsidR="71CC7F7D">
        <w:rPr/>
        <w:t>B.</w:t>
      </w:r>
      <w:r w:rsidR="71CC7F7D">
        <w:rPr/>
        <w:t xml:space="preserve"> and Sosik, J.J., 2024. Innovative leadership in organizations: Dimensions, measurement, and validation. </w:t>
      </w:r>
      <w:r w:rsidRPr="1C0C577E" w:rsidR="71CC7F7D">
        <w:rPr>
          <w:i w:val="1"/>
          <w:iCs w:val="1"/>
        </w:rPr>
        <w:t>Journal of Business Research</w:t>
      </w:r>
      <w:r w:rsidR="71CC7F7D">
        <w:rPr/>
        <w:t>, </w:t>
      </w:r>
      <w:r w:rsidRPr="1C0C577E" w:rsidR="71CC7F7D">
        <w:rPr>
          <w:i w:val="1"/>
          <w:iCs w:val="1"/>
        </w:rPr>
        <w:t>172</w:t>
      </w:r>
      <w:r w:rsidR="71CC7F7D">
        <w:rPr/>
        <w:t>, p</w:t>
      </w:r>
      <w:r w:rsidR="71CC7F7D">
        <w:rPr/>
        <w:t>.114445</w:t>
      </w:r>
      <w:r w:rsidR="71CC7F7D">
        <w:rPr/>
        <w:t>.</w:t>
      </w:r>
      <w:r w:rsidR="71CC7F7D">
        <w:rPr/>
        <w:t xml:space="preserve"> </w:t>
      </w:r>
      <w:hyperlink r:id="R4a51eddeb8924333">
        <w:r w:rsidRPr="1C0C577E" w:rsidR="71CC7F7D">
          <w:rPr>
            <w:rStyle w:val="Hyperlink"/>
          </w:rPr>
          <w:t>https://doi.org/10.1016/j.jbusres.2023.114445</w:t>
        </w:r>
      </w:hyperlink>
      <w:r w:rsidR="42A055E5">
        <w:rPr/>
        <w:t xml:space="preserve"> </w:t>
      </w:r>
      <w:r w:rsidR="3323C98A">
        <w:rPr/>
        <w:t>(Accessed: 4 February 2026).</w:t>
      </w:r>
    </w:p>
    <w:sectPr w:rsidR="5F4877D0">
      <w:headerReference w:type="default" r:id="rId23"/>
      <w:footerReference w:type="default" r:id="rId24"/>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D762B" w:rsidRDefault="00FD762B" w14:paraId="286EBE55" w14:textId="77777777">
      <w:pPr>
        <w:spacing w:after="0" w:line="240" w:lineRule="auto"/>
      </w:pPr>
      <w:r>
        <w:separator/>
      </w:r>
    </w:p>
  </w:endnote>
  <w:endnote w:type="continuationSeparator" w:id="0">
    <w:p w:rsidR="00FD762B" w:rsidRDefault="00FD762B" w14:paraId="7EFD3E0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51D715" w:rsidTr="6951D715" w14:paraId="07DCC5C9" w14:textId="77777777">
      <w:trPr>
        <w:trHeight w:val="300"/>
      </w:trPr>
      <w:tc>
        <w:tcPr>
          <w:tcW w:w="3120" w:type="dxa"/>
        </w:tcPr>
        <w:p w:rsidR="6951D715" w:rsidP="6951D715" w:rsidRDefault="6951D715" w14:paraId="36661A63" w14:textId="606D2E7C">
          <w:pPr>
            <w:pStyle w:val="Header"/>
            <w:ind w:left="-115"/>
          </w:pPr>
        </w:p>
      </w:tc>
      <w:tc>
        <w:tcPr>
          <w:tcW w:w="3120" w:type="dxa"/>
        </w:tcPr>
        <w:p w:rsidR="6951D715" w:rsidP="6951D715" w:rsidRDefault="6951D715" w14:paraId="15D5B583" w14:textId="4E121A44">
          <w:pPr>
            <w:pStyle w:val="Header"/>
            <w:jc w:val="center"/>
          </w:pPr>
          <w:r>
            <w:fldChar w:fldCharType="begin"/>
          </w:r>
          <w:r>
            <w:instrText>PAGE</w:instrText>
          </w:r>
          <w:r>
            <w:fldChar w:fldCharType="separate"/>
          </w:r>
          <w:r w:rsidR="007B618B">
            <w:rPr>
              <w:noProof/>
            </w:rPr>
            <w:t>1</w:t>
          </w:r>
          <w:r>
            <w:fldChar w:fldCharType="end"/>
          </w:r>
        </w:p>
      </w:tc>
      <w:tc>
        <w:tcPr>
          <w:tcW w:w="3120" w:type="dxa"/>
        </w:tcPr>
        <w:p w:rsidR="6951D715" w:rsidP="6951D715" w:rsidRDefault="6951D715" w14:paraId="0F5FD367" w14:textId="65D3B10D">
          <w:pPr>
            <w:pStyle w:val="Header"/>
            <w:ind w:right="-115"/>
            <w:jc w:val="right"/>
          </w:pPr>
        </w:p>
      </w:tc>
    </w:tr>
  </w:tbl>
  <w:p w:rsidR="6951D715" w:rsidP="6951D715" w:rsidRDefault="6951D715" w14:paraId="7CEDF479" w14:textId="4DA97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D762B" w:rsidRDefault="00FD762B" w14:paraId="226119DD" w14:textId="77777777">
      <w:pPr>
        <w:spacing w:after="0" w:line="240" w:lineRule="auto"/>
      </w:pPr>
      <w:r>
        <w:separator/>
      </w:r>
    </w:p>
  </w:footnote>
  <w:footnote w:type="continuationSeparator" w:id="0">
    <w:p w:rsidR="00FD762B" w:rsidRDefault="00FD762B" w14:paraId="210FE44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51D715" w:rsidTr="6951D715" w14:paraId="4E22991A" w14:textId="77777777">
      <w:trPr>
        <w:trHeight w:val="300"/>
      </w:trPr>
      <w:tc>
        <w:tcPr>
          <w:tcW w:w="3120" w:type="dxa"/>
        </w:tcPr>
        <w:p w:rsidR="6951D715" w:rsidP="6951D715" w:rsidRDefault="6951D715" w14:paraId="00DA7794" w14:textId="074D2453">
          <w:pPr>
            <w:pStyle w:val="Header"/>
            <w:ind w:left="-115"/>
          </w:pPr>
        </w:p>
      </w:tc>
      <w:tc>
        <w:tcPr>
          <w:tcW w:w="3120" w:type="dxa"/>
        </w:tcPr>
        <w:p w:rsidR="6951D715" w:rsidP="6951D715" w:rsidRDefault="6951D715" w14:paraId="0F9FCB90" w14:textId="5071593F">
          <w:pPr>
            <w:pStyle w:val="Header"/>
            <w:jc w:val="center"/>
          </w:pPr>
        </w:p>
      </w:tc>
      <w:tc>
        <w:tcPr>
          <w:tcW w:w="3120" w:type="dxa"/>
        </w:tcPr>
        <w:p w:rsidR="6951D715" w:rsidP="6951D715" w:rsidRDefault="6951D715" w14:paraId="6BF42F19" w14:textId="59D5C4C5">
          <w:pPr>
            <w:pStyle w:val="Header"/>
            <w:ind w:right="-115"/>
            <w:jc w:val="right"/>
          </w:pPr>
        </w:p>
      </w:tc>
    </w:tr>
  </w:tbl>
  <w:p w:rsidR="6951D715" w:rsidP="6951D715" w:rsidRDefault="6951D715" w14:paraId="5C1AF910" w14:textId="344E2005">
    <w:pPr>
      <w:pStyle w:val="Header"/>
    </w:pPr>
  </w:p>
</w:hdr>
</file>

<file path=word/intelligence2.xml><?xml version="1.0" encoding="utf-8"?>
<int2:intelligence xmlns:int2="http://schemas.microsoft.com/office/intelligence/2020/intelligence" xmlns:oel="http://schemas.microsoft.com/office/2019/extlst">
  <int2:observations>
    <int2:textHash int2:hashCode="kByidkXaRxGvMx" int2:id="u37l3L2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446E1"/>
    <w:multiLevelType w:val="hybridMultilevel"/>
    <w:tmpl w:val="03A65EFC"/>
    <w:lvl w:ilvl="0" w:tplc="58181782">
      <w:start w:val="1"/>
      <w:numFmt w:val="bullet"/>
      <w:lvlText w:val=""/>
      <w:lvlJc w:val="left"/>
      <w:pPr>
        <w:ind w:left="720" w:hanging="360"/>
      </w:pPr>
      <w:rPr>
        <w:rFonts w:hint="default" w:ascii="Symbol" w:hAnsi="Symbol"/>
      </w:rPr>
    </w:lvl>
    <w:lvl w:ilvl="1" w:tplc="382A1682">
      <w:start w:val="1"/>
      <w:numFmt w:val="bullet"/>
      <w:lvlText w:val="o"/>
      <w:lvlJc w:val="left"/>
      <w:pPr>
        <w:ind w:left="1440" w:hanging="360"/>
      </w:pPr>
      <w:rPr>
        <w:rFonts w:hint="default" w:ascii="Courier New" w:hAnsi="Courier New"/>
      </w:rPr>
    </w:lvl>
    <w:lvl w:ilvl="2" w:tplc="D9B6B47C">
      <w:start w:val="1"/>
      <w:numFmt w:val="bullet"/>
      <w:lvlText w:val=""/>
      <w:lvlJc w:val="left"/>
      <w:pPr>
        <w:ind w:left="2160" w:hanging="360"/>
      </w:pPr>
      <w:rPr>
        <w:rFonts w:hint="default" w:ascii="Wingdings" w:hAnsi="Wingdings"/>
      </w:rPr>
    </w:lvl>
    <w:lvl w:ilvl="3" w:tplc="A0B26770">
      <w:start w:val="1"/>
      <w:numFmt w:val="bullet"/>
      <w:lvlText w:val=""/>
      <w:lvlJc w:val="left"/>
      <w:pPr>
        <w:ind w:left="2880" w:hanging="360"/>
      </w:pPr>
      <w:rPr>
        <w:rFonts w:hint="default" w:ascii="Symbol" w:hAnsi="Symbol"/>
      </w:rPr>
    </w:lvl>
    <w:lvl w:ilvl="4" w:tplc="B5228B84">
      <w:start w:val="1"/>
      <w:numFmt w:val="bullet"/>
      <w:lvlText w:val="o"/>
      <w:lvlJc w:val="left"/>
      <w:pPr>
        <w:ind w:left="3600" w:hanging="360"/>
      </w:pPr>
      <w:rPr>
        <w:rFonts w:hint="default" w:ascii="Courier New" w:hAnsi="Courier New"/>
      </w:rPr>
    </w:lvl>
    <w:lvl w:ilvl="5" w:tplc="E28EEFD2">
      <w:start w:val="1"/>
      <w:numFmt w:val="bullet"/>
      <w:lvlText w:val=""/>
      <w:lvlJc w:val="left"/>
      <w:pPr>
        <w:ind w:left="4320" w:hanging="360"/>
      </w:pPr>
      <w:rPr>
        <w:rFonts w:hint="default" w:ascii="Wingdings" w:hAnsi="Wingdings"/>
      </w:rPr>
    </w:lvl>
    <w:lvl w:ilvl="6" w:tplc="E1344E28">
      <w:start w:val="1"/>
      <w:numFmt w:val="bullet"/>
      <w:lvlText w:val=""/>
      <w:lvlJc w:val="left"/>
      <w:pPr>
        <w:ind w:left="5040" w:hanging="360"/>
      </w:pPr>
      <w:rPr>
        <w:rFonts w:hint="default" w:ascii="Symbol" w:hAnsi="Symbol"/>
      </w:rPr>
    </w:lvl>
    <w:lvl w:ilvl="7" w:tplc="EB8E5A98">
      <w:start w:val="1"/>
      <w:numFmt w:val="bullet"/>
      <w:lvlText w:val="o"/>
      <w:lvlJc w:val="left"/>
      <w:pPr>
        <w:ind w:left="5760" w:hanging="360"/>
      </w:pPr>
      <w:rPr>
        <w:rFonts w:hint="default" w:ascii="Courier New" w:hAnsi="Courier New"/>
      </w:rPr>
    </w:lvl>
    <w:lvl w:ilvl="8" w:tplc="DC02E900">
      <w:start w:val="1"/>
      <w:numFmt w:val="bullet"/>
      <w:lvlText w:val=""/>
      <w:lvlJc w:val="left"/>
      <w:pPr>
        <w:ind w:left="6480" w:hanging="360"/>
      </w:pPr>
      <w:rPr>
        <w:rFonts w:hint="default" w:ascii="Wingdings" w:hAnsi="Wingdings"/>
      </w:rPr>
    </w:lvl>
  </w:abstractNum>
  <w:abstractNum w:abstractNumId="1" w15:restartNumberingAfterBreak="0">
    <w:nsid w:val="1740404A"/>
    <w:multiLevelType w:val="hybridMultilevel"/>
    <w:tmpl w:val="DB143DCE"/>
    <w:lvl w:ilvl="0" w:tplc="9376C440">
      <w:start w:val="1"/>
      <w:numFmt w:val="bullet"/>
      <w:lvlText w:val=""/>
      <w:lvlJc w:val="left"/>
      <w:pPr>
        <w:ind w:left="720" w:hanging="360"/>
      </w:pPr>
      <w:rPr>
        <w:rFonts w:hint="default" w:ascii="Symbol" w:hAnsi="Symbol"/>
      </w:rPr>
    </w:lvl>
    <w:lvl w:ilvl="1" w:tplc="82B60EBE">
      <w:start w:val="1"/>
      <w:numFmt w:val="bullet"/>
      <w:lvlText w:val="o"/>
      <w:lvlJc w:val="left"/>
      <w:pPr>
        <w:ind w:left="1440" w:hanging="360"/>
      </w:pPr>
      <w:rPr>
        <w:rFonts w:hint="default" w:ascii="Courier New" w:hAnsi="Courier New"/>
      </w:rPr>
    </w:lvl>
    <w:lvl w:ilvl="2" w:tplc="F2761900">
      <w:start w:val="1"/>
      <w:numFmt w:val="bullet"/>
      <w:lvlText w:val=""/>
      <w:lvlJc w:val="left"/>
      <w:pPr>
        <w:ind w:left="2160" w:hanging="360"/>
      </w:pPr>
      <w:rPr>
        <w:rFonts w:hint="default" w:ascii="Wingdings" w:hAnsi="Wingdings"/>
      </w:rPr>
    </w:lvl>
    <w:lvl w:ilvl="3" w:tplc="8460E68E">
      <w:start w:val="1"/>
      <w:numFmt w:val="bullet"/>
      <w:lvlText w:val=""/>
      <w:lvlJc w:val="left"/>
      <w:pPr>
        <w:ind w:left="2880" w:hanging="360"/>
      </w:pPr>
      <w:rPr>
        <w:rFonts w:hint="default" w:ascii="Symbol" w:hAnsi="Symbol"/>
      </w:rPr>
    </w:lvl>
    <w:lvl w:ilvl="4" w:tplc="97C4D5E6">
      <w:start w:val="1"/>
      <w:numFmt w:val="bullet"/>
      <w:lvlText w:val="o"/>
      <w:lvlJc w:val="left"/>
      <w:pPr>
        <w:ind w:left="3600" w:hanging="360"/>
      </w:pPr>
      <w:rPr>
        <w:rFonts w:hint="default" w:ascii="Courier New" w:hAnsi="Courier New"/>
      </w:rPr>
    </w:lvl>
    <w:lvl w:ilvl="5" w:tplc="805249C0">
      <w:start w:val="1"/>
      <w:numFmt w:val="bullet"/>
      <w:lvlText w:val=""/>
      <w:lvlJc w:val="left"/>
      <w:pPr>
        <w:ind w:left="4320" w:hanging="360"/>
      </w:pPr>
      <w:rPr>
        <w:rFonts w:hint="default" w:ascii="Wingdings" w:hAnsi="Wingdings"/>
      </w:rPr>
    </w:lvl>
    <w:lvl w:ilvl="6" w:tplc="BFCA35BA">
      <w:start w:val="1"/>
      <w:numFmt w:val="bullet"/>
      <w:lvlText w:val=""/>
      <w:lvlJc w:val="left"/>
      <w:pPr>
        <w:ind w:left="5040" w:hanging="360"/>
      </w:pPr>
      <w:rPr>
        <w:rFonts w:hint="default" w:ascii="Symbol" w:hAnsi="Symbol"/>
      </w:rPr>
    </w:lvl>
    <w:lvl w:ilvl="7" w:tplc="AF6C78F4">
      <w:start w:val="1"/>
      <w:numFmt w:val="bullet"/>
      <w:lvlText w:val="o"/>
      <w:lvlJc w:val="left"/>
      <w:pPr>
        <w:ind w:left="5760" w:hanging="360"/>
      </w:pPr>
      <w:rPr>
        <w:rFonts w:hint="default" w:ascii="Courier New" w:hAnsi="Courier New"/>
      </w:rPr>
    </w:lvl>
    <w:lvl w:ilvl="8" w:tplc="C186CDCA">
      <w:start w:val="1"/>
      <w:numFmt w:val="bullet"/>
      <w:lvlText w:val=""/>
      <w:lvlJc w:val="left"/>
      <w:pPr>
        <w:ind w:left="6480" w:hanging="360"/>
      </w:pPr>
      <w:rPr>
        <w:rFonts w:hint="default" w:ascii="Wingdings" w:hAnsi="Wingdings"/>
      </w:rPr>
    </w:lvl>
  </w:abstractNum>
  <w:abstractNum w:abstractNumId="2" w15:restartNumberingAfterBreak="0">
    <w:nsid w:val="22CC2E92"/>
    <w:multiLevelType w:val="hybridMultilevel"/>
    <w:tmpl w:val="D918EE00"/>
    <w:lvl w:ilvl="0" w:tplc="0D3621CE">
      <w:start w:val="1"/>
      <w:numFmt w:val="bullet"/>
      <w:lvlText w:val=""/>
      <w:lvlJc w:val="left"/>
      <w:pPr>
        <w:ind w:left="720" w:hanging="360"/>
      </w:pPr>
      <w:rPr>
        <w:rFonts w:hint="default" w:ascii="Symbol" w:hAnsi="Symbol"/>
      </w:rPr>
    </w:lvl>
    <w:lvl w:ilvl="1" w:tplc="426C9898">
      <w:start w:val="1"/>
      <w:numFmt w:val="bullet"/>
      <w:lvlText w:val="o"/>
      <w:lvlJc w:val="left"/>
      <w:pPr>
        <w:ind w:left="1440" w:hanging="360"/>
      </w:pPr>
      <w:rPr>
        <w:rFonts w:hint="default" w:ascii="Courier New" w:hAnsi="Courier New"/>
      </w:rPr>
    </w:lvl>
    <w:lvl w:ilvl="2" w:tplc="68F025C6">
      <w:start w:val="1"/>
      <w:numFmt w:val="bullet"/>
      <w:lvlText w:val=""/>
      <w:lvlJc w:val="left"/>
      <w:pPr>
        <w:ind w:left="2160" w:hanging="360"/>
      </w:pPr>
      <w:rPr>
        <w:rFonts w:hint="default" w:ascii="Wingdings" w:hAnsi="Wingdings"/>
      </w:rPr>
    </w:lvl>
    <w:lvl w:ilvl="3" w:tplc="7916C242">
      <w:start w:val="1"/>
      <w:numFmt w:val="bullet"/>
      <w:lvlText w:val=""/>
      <w:lvlJc w:val="left"/>
      <w:pPr>
        <w:ind w:left="2880" w:hanging="360"/>
      </w:pPr>
      <w:rPr>
        <w:rFonts w:hint="default" w:ascii="Symbol" w:hAnsi="Symbol"/>
      </w:rPr>
    </w:lvl>
    <w:lvl w:ilvl="4" w:tplc="DEC60532">
      <w:start w:val="1"/>
      <w:numFmt w:val="bullet"/>
      <w:lvlText w:val="o"/>
      <w:lvlJc w:val="left"/>
      <w:pPr>
        <w:ind w:left="3600" w:hanging="360"/>
      </w:pPr>
      <w:rPr>
        <w:rFonts w:hint="default" w:ascii="Courier New" w:hAnsi="Courier New"/>
      </w:rPr>
    </w:lvl>
    <w:lvl w:ilvl="5" w:tplc="B9800DFC">
      <w:start w:val="1"/>
      <w:numFmt w:val="bullet"/>
      <w:lvlText w:val=""/>
      <w:lvlJc w:val="left"/>
      <w:pPr>
        <w:ind w:left="4320" w:hanging="360"/>
      </w:pPr>
      <w:rPr>
        <w:rFonts w:hint="default" w:ascii="Wingdings" w:hAnsi="Wingdings"/>
      </w:rPr>
    </w:lvl>
    <w:lvl w:ilvl="6" w:tplc="EB6AF610">
      <w:start w:val="1"/>
      <w:numFmt w:val="bullet"/>
      <w:lvlText w:val=""/>
      <w:lvlJc w:val="left"/>
      <w:pPr>
        <w:ind w:left="5040" w:hanging="360"/>
      </w:pPr>
      <w:rPr>
        <w:rFonts w:hint="default" w:ascii="Symbol" w:hAnsi="Symbol"/>
      </w:rPr>
    </w:lvl>
    <w:lvl w:ilvl="7" w:tplc="84DC5DA6">
      <w:start w:val="1"/>
      <w:numFmt w:val="bullet"/>
      <w:lvlText w:val="o"/>
      <w:lvlJc w:val="left"/>
      <w:pPr>
        <w:ind w:left="5760" w:hanging="360"/>
      </w:pPr>
      <w:rPr>
        <w:rFonts w:hint="default" w:ascii="Courier New" w:hAnsi="Courier New"/>
      </w:rPr>
    </w:lvl>
    <w:lvl w:ilvl="8" w:tplc="3B163E20">
      <w:start w:val="1"/>
      <w:numFmt w:val="bullet"/>
      <w:lvlText w:val=""/>
      <w:lvlJc w:val="left"/>
      <w:pPr>
        <w:ind w:left="6480" w:hanging="360"/>
      </w:pPr>
      <w:rPr>
        <w:rFonts w:hint="default" w:ascii="Wingdings" w:hAnsi="Wingdings"/>
      </w:rPr>
    </w:lvl>
  </w:abstractNum>
  <w:abstractNum w:abstractNumId="3" w15:restartNumberingAfterBreak="0">
    <w:nsid w:val="2CEA2B45"/>
    <w:multiLevelType w:val="hybridMultilevel"/>
    <w:tmpl w:val="FF785D94"/>
    <w:lvl w:ilvl="0" w:tplc="6BEC9B8C">
      <w:start w:val="1"/>
      <w:numFmt w:val="decimal"/>
      <w:lvlText w:val="%1."/>
      <w:lvlJc w:val="left"/>
      <w:pPr>
        <w:ind w:left="720" w:hanging="360"/>
      </w:pPr>
    </w:lvl>
    <w:lvl w:ilvl="1" w:tplc="DB28123E">
      <w:start w:val="1"/>
      <w:numFmt w:val="lowerLetter"/>
      <w:lvlText w:val="%2."/>
      <w:lvlJc w:val="left"/>
      <w:pPr>
        <w:ind w:left="1440" w:hanging="360"/>
      </w:pPr>
    </w:lvl>
    <w:lvl w:ilvl="2" w:tplc="5B4285D4">
      <w:start w:val="1"/>
      <w:numFmt w:val="lowerRoman"/>
      <w:lvlText w:val="%3."/>
      <w:lvlJc w:val="right"/>
      <w:pPr>
        <w:ind w:left="2160" w:hanging="180"/>
      </w:pPr>
    </w:lvl>
    <w:lvl w:ilvl="3" w:tplc="9B080098">
      <w:start w:val="1"/>
      <w:numFmt w:val="decimal"/>
      <w:lvlText w:val="%4."/>
      <w:lvlJc w:val="left"/>
      <w:pPr>
        <w:ind w:left="2880" w:hanging="360"/>
      </w:pPr>
    </w:lvl>
    <w:lvl w:ilvl="4" w:tplc="464C378E">
      <w:start w:val="1"/>
      <w:numFmt w:val="lowerLetter"/>
      <w:lvlText w:val="%5."/>
      <w:lvlJc w:val="left"/>
      <w:pPr>
        <w:ind w:left="3600" w:hanging="360"/>
      </w:pPr>
    </w:lvl>
    <w:lvl w:ilvl="5" w:tplc="C67E7CAA">
      <w:start w:val="1"/>
      <w:numFmt w:val="lowerRoman"/>
      <w:lvlText w:val="%6."/>
      <w:lvlJc w:val="right"/>
      <w:pPr>
        <w:ind w:left="4320" w:hanging="180"/>
      </w:pPr>
    </w:lvl>
    <w:lvl w:ilvl="6" w:tplc="E276675A">
      <w:start w:val="1"/>
      <w:numFmt w:val="decimal"/>
      <w:lvlText w:val="%7."/>
      <w:lvlJc w:val="left"/>
      <w:pPr>
        <w:ind w:left="5040" w:hanging="360"/>
      </w:pPr>
    </w:lvl>
    <w:lvl w:ilvl="7" w:tplc="4D808ED8">
      <w:start w:val="1"/>
      <w:numFmt w:val="lowerLetter"/>
      <w:lvlText w:val="%8."/>
      <w:lvlJc w:val="left"/>
      <w:pPr>
        <w:ind w:left="5760" w:hanging="360"/>
      </w:pPr>
    </w:lvl>
    <w:lvl w:ilvl="8" w:tplc="56E2B55A">
      <w:start w:val="1"/>
      <w:numFmt w:val="lowerRoman"/>
      <w:lvlText w:val="%9."/>
      <w:lvlJc w:val="right"/>
      <w:pPr>
        <w:ind w:left="6480" w:hanging="180"/>
      </w:pPr>
    </w:lvl>
  </w:abstractNum>
  <w:abstractNum w:abstractNumId="4" w15:restartNumberingAfterBreak="0">
    <w:nsid w:val="3BCA77B6"/>
    <w:multiLevelType w:val="hybridMultilevel"/>
    <w:tmpl w:val="9CF025F6"/>
    <w:lvl w:ilvl="0" w:tplc="BF501286">
      <w:start w:val="1"/>
      <w:numFmt w:val="bullet"/>
      <w:lvlText w:val=""/>
      <w:lvlJc w:val="left"/>
      <w:pPr>
        <w:ind w:left="720" w:hanging="360"/>
      </w:pPr>
      <w:rPr>
        <w:rFonts w:hint="default" w:ascii="Symbol" w:hAnsi="Symbol"/>
      </w:rPr>
    </w:lvl>
    <w:lvl w:ilvl="1" w:tplc="FAA4049A">
      <w:start w:val="1"/>
      <w:numFmt w:val="bullet"/>
      <w:lvlText w:val="o"/>
      <w:lvlJc w:val="left"/>
      <w:pPr>
        <w:ind w:left="1440" w:hanging="360"/>
      </w:pPr>
      <w:rPr>
        <w:rFonts w:hint="default" w:ascii="Courier New" w:hAnsi="Courier New"/>
      </w:rPr>
    </w:lvl>
    <w:lvl w:ilvl="2" w:tplc="F412DBB4">
      <w:start w:val="1"/>
      <w:numFmt w:val="bullet"/>
      <w:lvlText w:val=""/>
      <w:lvlJc w:val="left"/>
      <w:pPr>
        <w:ind w:left="2160" w:hanging="360"/>
      </w:pPr>
      <w:rPr>
        <w:rFonts w:hint="default" w:ascii="Wingdings" w:hAnsi="Wingdings"/>
      </w:rPr>
    </w:lvl>
    <w:lvl w:ilvl="3" w:tplc="4AA02D50">
      <w:start w:val="1"/>
      <w:numFmt w:val="bullet"/>
      <w:lvlText w:val=""/>
      <w:lvlJc w:val="left"/>
      <w:pPr>
        <w:ind w:left="2880" w:hanging="360"/>
      </w:pPr>
      <w:rPr>
        <w:rFonts w:hint="default" w:ascii="Symbol" w:hAnsi="Symbol"/>
      </w:rPr>
    </w:lvl>
    <w:lvl w:ilvl="4" w:tplc="A5287440">
      <w:start w:val="1"/>
      <w:numFmt w:val="bullet"/>
      <w:lvlText w:val="o"/>
      <w:lvlJc w:val="left"/>
      <w:pPr>
        <w:ind w:left="3600" w:hanging="360"/>
      </w:pPr>
      <w:rPr>
        <w:rFonts w:hint="default" w:ascii="Courier New" w:hAnsi="Courier New"/>
      </w:rPr>
    </w:lvl>
    <w:lvl w:ilvl="5" w:tplc="3EDAAE86">
      <w:start w:val="1"/>
      <w:numFmt w:val="bullet"/>
      <w:lvlText w:val=""/>
      <w:lvlJc w:val="left"/>
      <w:pPr>
        <w:ind w:left="4320" w:hanging="360"/>
      </w:pPr>
      <w:rPr>
        <w:rFonts w:hint="default" w:ascii="Wingdings" w:hAnsi="Wingdings"/>
      </w:rPr>
    </w:lvl>
    <w:lvl w:ilvl="6" w:tplc="F4C4B462">
      <w:start w:val="1"/>
      <w:numFmt w:val="bullet"/>
      <w:lvlText w:val=""/>
      <w:lvlJc w:val="left"/>
      <w:pPr>
        <w:ind w:left="5040" w:hanging="360"/>
      </w:pPr>
      <w:rPr>
        <w:rFonts w:hint="default" w:ascii="Symbol" w:hAnsi="Symbol"/>
      </w:rPr>
    </w:lvl>
    <w:lvl w:ilvl="7" w:tplc="8A58DAD2">
      <w:start w:val="1"/>
      <w:numFmt w:val="bullet"/>
      <w:lvlText w:val="o"/>
      <w:lvlJc w:val="left"/>
      <w:pPr>
        <w:ind w:left="5760" w:hanging="360"/>
      </w:pPr>
      <w:rPr>
        <w:rFonts w:hint="default" w:ascii="Courier New" w:hAnsi="Courier New"/>
      </w:rPr>
    </w:lvl>
    <w:lvl w:ilvl="8" w:tplc="5C5EDB44">
      <w:start w:val="1"/>
      <w:numFmt w:val="bullet"/>
      <w:lvlText w:val=""/>
      <w:lvlJc w:val="left"/>
      <w:pPr>
        <w:ind w:left="6480" w:hanging="360"/>
      </w:pPr>
      <w:rPr>
        <w:rFonts w:hint="default" w:ascii="Wingdings" w:hAnsi="Wingdings"/>
      </w:rPr>
    </w:lvl>
  </w:abstractNum>
  <w:abstractNum w:abstractNumId="5" w15:restartNumberingAfterBreak="0">
    <w:nsid w:val="59221B53"/>
    <w:multiLevelType w:val="hybridMultilevel"/>
    <w:tmpl w:val="03866998"/>
    <w:lvl w:ilvl="0" w:tplc="8CDA2E26">
      <w:start w:val="1"/>
      <w:numFmt w:val="bullet"/>
      <w:lvlText w:val=""/>
      <w:lvlJc w:val="left"/>
      <w:pPr>
        <w:ind w:left="720" w:hanging="360"/>
      </w:pPr>
      <w:rPr>
        <w:rFonts w:hint="default" w:ascii="Symbol" w:hAnsi="Symbol"/>
      </w:rPr>
    </w:lvl>
    <w:lvl w:ilvl="1" w:tplc="BA0C0F64">
      <w:start w:val="1"/>
      <w:numFmt w:val="bullet"/>
      <w:lvlText w:val="o"/>
      <w:lvlJc w:val="left"/>
      <w:pPr>
        <w:ind w:left="1440" w:hanging="360"/>
      </w:pPr>
      <w:rPr>
        <w:rFonts w:hint="default" w:ascii="Courier New" w:hAnsi="Courier New"/>
      </w:rPr>
    </w:lvl>
    <w:lvl w:ilvl="2" w:tplc="D090CC0A">
      <w:start w:val="1"/>
      <w:numFmt w:val="bullet"/>
      <w:lvlText w:val=""/>
      <w:lvlJc w:val="left"/>
      <w:pPr>
        <w:ind w:left="2160" w:hanging="360"/>
      </w:pPr>
      <w:rPr>
        <w:rFonts w:hint="default" w:ascii="Wingdings" w:hAnsi="Wingdings"/>
      </w:rPr>
    </w:lvl>
    <w:lvl w:ilvl="3" w:tplc="38463622">
      <w:start w:val="1"/>
      <w:numFmt w:val="bullet"/>
      <w:lvlText w:val=""/>
      <w:lvlJc w:val="left"/>
      <w:pPr>
        <w:ind w:left="2880" w:hanging="360"/>
      </w:pPr>
      <w:rPr>
        <w:rFonts w:hint="default" w:ascii="Symbol" w:hAnsi="Symbol"/>
      </w:rPr>
    </w:lvl>
    <w:lvl w:ilvl="4" w:tplc="FD04196E">
      <w:start w:val="1"/>
      <w:numFmt w:val="bullet"/>
      <w:lvlText w:val="o"/>
      <w:lvlJc w:val="left"/>
      <w:pPr>
        <w:ind w:left="3600" w:hanging="360"/>
      </w:pPr>
      <w:rPr>
        <w:rFonts w:hint="default" w:ascii="Courier New" w:hAnsi="Courier New"/>
      </w:rPr>
    </w:lvl>
    <w:lvl w:ilvl="5" w:tplc="DFE03124">
      <w:start w:val="1"/>
      <w:numFmt w:val="bullet"/>
      <w:lvlText w:val=""/>
      <w:lvlJc w:val="left"/>
      <w:pPr>
        <w:ind w:left="4320" w:hanging="360"/>
      </w:pPr>
      <w:rPr>
        <w:rFonts w:hint="default" w:ascii="Wingdings" w:hAnsi="Wingdings"/>
      </w:rPr>
    </w:lvl>
    <w:lvl w:ilvl="6" w:tplc="B8205732">
      <w:start w:val="1"/>
      <w:numFmt w:val="bullet"/>
      <w:lvlText w:val=""/>
      <w:lvlJc w:val="left"/>
      <w:pPr>
        <w:ind w:left="5040" w:hanging="360"/>
      </w:pPr>
      <w:rPr>
        <w:rFonts w:hint="default" w:ascii="Symbol" w:hAnsi="Symbol"/>
      </w:rPr>
    </w:lvl>
    <w:lvl w:ilvl="7" w:tplc="83745BAA">
      <w:start w:val="1"/>
      <w:numFmt w:val="bullet"/>
      <w:lvlText w:val="o"/>
      <w:lvlJc w:val="left"/>
      <w:pPr>
        <w:ind w:left="5760" w:hanging="360"/>
      </w:pPr>
      <w:rPr>
        <w:rFonts w:hint="default" w:ascii="Courier New" w:hAnsi="Courier New"/>
      </w:rPr>
    </w:lvl>
    <w:lvl w:ilvl="8" w:tplc="F5B01CE8">
      <w:start w:val="1"/>
      <w:numFmt w:val="bullet"/>
      <w:lvlText w:val=""/>
      <w:lvlJc w:val="left"/>
      <w:pPr>
        <w:ind w:left="6480" w:hanging="360"/>
      </w:pPr>
      <w:rPr>
        <w:rFonts w:hint="default" w:ascii="Wingdings" w:hAnsi="Wingdings"/>
      </w:rPr>
    </w:lvl>
  </w:abstractNum>
  <w:abstractNum w:abstractNumId="6" w15:restartNumberingAfterBreak="0">
    <w:nsid w:val="5BE6A63D"/>
    <w:multiLevelType w:val="hybridMultilevel"/>
    <w:tmpl w:val="FFFFFFFF"/>
    <w:lvl w:ilvl="0" w:tplc="EAD0C17E">
      <w:start w:val="1"/>
      <w:numFmt w:val="bullet"/>
      <w:lvlText w:val=""/>
      <w:lvlJc w:val="left"/>
      <w:pPr>
        <w:ind w:left="720" w:hanging="360"/>
      </w:pPr>
      <w:rPr>
        <w:rFonts w:hint="default" w:ascii="Symbol" w:hAnsi="Symbol"/>
      </w:rPr>
    </w:lvl>
    <w:lvl w:ilvl="1" w:tplc="AB56A16C">
      <w:start w:val="1"/>
      <w:numFmt w:val="bullet"/>
      <w:lvlText w:val="o"/>
      <w:lvlJc w:val="left"/>
      <w:pPr>
        <w:ind w:left="1440" w:hanging="360"/>
      </w:pPr>
      <w:rPr>
        <w:rFonts w:hint="default" w:ascii="Courier New" w:hAnsi="Courier New"/>
      </w:rPr>
    </w:lvl>
    <w:lvl w:ilvl="2" w:tplc="540816AE">
      <w:start w:val="1"/>
      <w:numFmt w:val="bullet"/>
      <w:lvlText w:val=""/>
      <w:lvlJc w:val="left"/>
      <w:pPr>
        <w:ind w:left="2160" w:hanging="360"/>
      </w:pPr>
      <w:rPr>
        <w:rFonts w:hint="default" w:ascii="Wingdings" w:hAnsi="Wingdings"/>
      </w:rPr>
    </w:lvl>
    <w:lvl w:ilvl="3" w:tplc="6EDC7B6A">
      <w:start w:val="1"/>
      <w:numFmt w:val="bullet"/>
      <w:lvlText w:val=""/>
      <w:lvlJc w:val="left"/>
      <w:pPr>
        <w:ind w:left="2880" w:hanging="360"/>
      </w:pPr>
      <w:rPr>
        <w:rFonts w:hint="default" w:ascii="Symbol" w:hAnsi="Symbol"/>
      </w:rPr>
    </w:lvl>
    <w:lvl w:ilvl="4" w:tplc="FA227630">
      <w:start w:val="1"/>
      <w:numFmt w:val="bullet"/>
      <w:lvlText w:val="o"/>
      <w:lvlJc w:val="left"/>
      <w:pPr>
        <w:ind w:left="3600" w:hanging="360"/>
      </w:pPr>
      <w:rPr>
        <w:rFonts w:hint="default" w:ascii="Courier New" w:hAnsi="Courier New"/>
      </w:rPr>
    </w:lvl>
    <w:lvl w:ilvl="5" w:tplc="B2A87D2E">
      <w:start w:val="1"/>
      <w:numFmt w:val="bullet"/>
      <w:lvlText w:val=""/>
      <w:lvlJc w:val="left"/>
      <w:pPr>
        <w:ind w:left="4320" w:hanging="360"/>
      </w:pPr>
      <w:rPr>
        <w:rFonts w:hint="default" w:ascii="Wingdings" w:hAnsi="Wingdings"/>
      </w:rPr>
    </w:lvl>
    <w:lvl w:ilvl="6" w:tplc="B30A2C04">
      <w:start w:val="1"/>
      <w:numFmt w:val="bullet"/>
      <w:lvlText w:val=""/>
      <w:lvlJc w:val="left"/>
      <w:pPr>
        <w:ind w:left="5040" w:hanging="360"/>
      </w:pPr>
      <w:rPr>
        <w:rFonts w:hint="default" w:ascii="Symbol" w:hAnsi="Symbol"/>
      </w:rPr>
    </w:lvl>
    <w:lvl w:ilvl="7" w:tplc="02A0F764">
      <w:start w:val="1"/>
      <w:numFmt w:val="bullet"/>
      <w:lvlText w:val="o"/>
      <w:lvlJc w:val="left"/>
      <w:pPr>
        <w:ind w:left="5760" w:hanging="360"/>
      </w:pPr>
      <w:rPr>
        <w:rFonts w:hint="default" w:ascii="Courier New" w:hAnsi="Courier New"/>
      </w:rPr>
    </w:lvl>
    <w:lvl w:ilvl="8" w:tplc="75A6DA40">
      <w:start w:val="1"/>
      <w:numFmt w:val="bullet"/>
      <w:lvlText w:val=""/>
      <w:lvlJc w:val="left"/>
      <w:pPr>
        <w:ind w:left="6480" w:hanging="360"/>
      </w:pPr>
      <w:rPr>
        <w:rFonts w:hint="default" w:ascii="Wingdings" w:hAnsi="Wingdings"/>
      </w:rPr>
    </w:lvl>
  </w:abstractNum>
  <w:abstractNum w:abstractNumId="7" w15:restartNumberingAfterBreak="0">
    <w:nsid w:val="698BAF6E"/>
    <w:multiLevelType w:val="hybridMultilevel"/>
    <w:tmpl w:val="FFFFFFFF"/>
    <w:lvl w:ilvl="0" w:tplc="0CD6B7E0">
      <w:start w:val="1"/>
      <w:numFmt w:val="bullet"/>
      <w:lvlText w:val=""/>
      <w:lvlJc w:val="left"/>
      <w:pPr>
        <w:ind w:left="720" w:hanging="360"/>
      </w:pPr>
      <w:rPr>
        <w:rFonts w:hint="default" w:ascii="Symbol" w:hAnsi="Symbol"/>
      </w:rPr>
    </w:lvl>
    <w:lvl w:ilvl="1" w:tplc="BC9C2DA4">
      <w:start w:val="1"/>
      <w:numFmt w:val="bullet"/>
      <w:lvlText w:val="o"/>
      <w:lvlJc w:val="left"/>
      <w:pPr>
        <w:ind w:left="1440" w:hanging="360"/>
      </w:pPr>
      <w:rPr>
        <w:rFonts w:hint="default" w:ascii="Courier New" w:hAnsi="Courier New"/>
      </w:rPr>
    </w:lvl>
    <w:lvl w:ilvl="2" w:tplc="3FECCC82">
      <w:start w:val="1"/>
      <w:numFmt w:val="bullet"/>
      <w:lvlText w:val=""/>
      <w:lvlJc w:val="left"/>
      <w:pPr>
        <w:ind w:left="2160" w:hanging="360"/>
      </w:pPr>
      <w:rPr>
        <w:rFonts w:hint="default" w:ascii="Wingdings" w:hAnsi="Wingdings"/>
      </w:rPr>
    </w:lvl>
    <w:lvl w:ilvl="3" w:tplc="56460FA6">
      <w:start w:val="1"/>
      <w:numFmt w:val="bullet"/>
      <w:lvlText w:val=""/>
      <w:lvlJc w:val="left"/>
      <w:pPr>
        <w:ind w:left="2880" w:hanging="360"/>
      </w:pPr>
      <w:rPr>
        <w:rFonts w:hint="default" w:ascii="Symbol" w:hAnsi="Symbol"/>
      </w:rPr>
    </w:lvl>
    <w:lvl w:ilvl="4" w:tplc="99C6E304">
      <w:start w:val="1"/>
      <w:numFmt w:val="bullet"/>
      <w:lvlText w:val="o"/>
      <w:lvlJc w:val="left"/>
      <w:pPr>
        <w:ind w:left="3600" w:hanging="360"/>
      </w:pPr>
      <w:rPr>
        <w:rFonts w:hint="default" w:ascii="Courier New" w:hAnsi="Courier New"/>
      </w:rPr>
    </w:lvl>
    <w:lvl w:ilvl="5" w:tplc="A468CCC2">
      <w:start w:val="1"/>
      <w:numFmt w:val="bullet"/>
      <w:lvlText w:val=""/>
      <w:lvlJc w:val="left"/>
      <w:pPr>
        <w:ind w:left="4320" w:hanging="360"/>
      </w:pPr>
      <w:rPr>
        <w:rFonts w:hint="default" w:ascii="Wingdings" w:hAnsi="Wingdings"/>
      </w:rPr>
    </w:lvl>
    <w:lvl w:ilvl="6" w:tplc="DA1C2062">
      <w:start w:val="1"/>
      <w:numFmt w:val="bullet"/>
      <w:lvlText w:val=""/>
      <w:lvlJc w:val="left"/>
      <w:pPr>
        <w:ind w:left="5040" w:hanging="360"/>
      </w:pPr>
      <w:rPr>
        <w:rFonts w:hint="default" w:ascii="Symbol" w:hAnsi="Symbol"/>
      </w:rPr>
    </w:lvl>
    <w:lvl w:ilvl="7" w:tplc="B388F676">
      <w:start w:val="1"/>
      <w:numFmt w:val="bullet"/>
      <w:lvlText w:val="o"/>
      <w:lvlJc w:val="left"/>
      <w:pPr>
        <w:ind w:left="5760" w:hanging="360"/>
      </w:pPr>
      <w:rPr>
        <w:rFonts w:hint="default" w:ascii="Courier New" w:hAnsi="Courier New"/>
      </w:rPr>
    </w:lvl>
    <w:lvl w:ilvl="8" w:tplc="B1E0603E">
      <w:start w:val="1"/>
      <w:numFmt w:val="bullet"/>
      <w:lvlText w:val=""/>
      <w:lvlJc w:val="left"/>
      <w:pPr>
        <w:ind w:left="6480" w:hanging="360"/>
      </w:pPr>
      <w:rPr>
        <w:rFonts w:hint="default" w:ascii="Wingdings" w:hAnsi="Wingdings"/>
      </w:rPr>
    </w:lvl>
  </w:abstractNum>
  <w:num w:numId="1" w16cid:durableId="707339712">
    <w:abstractNumId w:val="7"/>
  </w:num>
  <w:num w:numId="2" w16cid:durableId="280694362">
    <w:abstractNumId w:val="6"/>
  </w:num>
  <w:num w:numId="3" w16cid:durableId="1828354491">
    <w:abstractNumId w:val="1"/>
  </w:num>
  <w:num w:numId="4" w16cid:durableId="69735212">
    <w:abstractNumId w:val="4"/>
  </w:num>
  <w:num w:numId="5" w16cid:durableId="1289823029">
    <w:abstractNumId w:val="5"/>
  </w:num>
  <w:num w:numId="6" w16cid:durableId="1471559569">
    <w:abstractNumId w:val="2"/>
  </w:num>
  <w:num w:numId="7" w16cid:durableId="1754234426">
    <w:abstractNumId w:val="0"/>
  </w:num>
  <w:num w:numId="8" w16cid:durableId="518353432">
    <w:abstractNumId w:val="3"/>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99F2462A-4DCF-4E6B-B87F-EFB2FE5A1001}"/>
    <w:docVar w:name="dgnword-eventsink" w:val="2817472238112"/>
  </w:docVars>
  <w:rsids>
    <w:rsidRoot w:val="2A290EC5"/>
    <w:rsid w:val="000B6F28"/>
    <w:rsid w:val="000C47B6"/>
    <w:rsid w:val="001375DA"/>
    <w:rsid w:val="00172030"/>
    <w:rsid w:val="00197293"/>
    <w:rsid w:val="001B709B"/>
    <w:rsid w:val="001C3C0C"/>
    <w:rsid w:val="002260D2"/>
    <w:rsid w:val="002710AB"/>
    <w:rsid w:val="00294F92"/>
    <w:rsid w:val="002A53C8"/>
    <w:rsid w:val="002F1100"/>
    <w:rsid w:val="003254FD"/>
    <w:rsid w:val="003453C2"/>
    <w:rsid w:val="003E4E4D"/>
    <w:rsid w:val="0059305A"/>
    <w:rsid w:val="00595942"/>
    <w:rsid w:val="005D6CC4"/>
    <w:rsid w:val="006062CD"/>
    <w:rsid w:val="006615B7"/>
    <w:rsid w:val="00701248"/>
    <w:rsid w:val="007120EF"/>
    <w:rsid w:val="00764BB7"/>
    <w:rsid w:val="007764AF"/>
    <w:rsid w:val="00780EF2"/>
    <w:rsid w:val="007B618B"/>
    <w:rsid w:val="00813D78"/>
    <w:rsid w:val="00965F74"/>
    <w:rsid w:val="00996D76"/>
    <w:rsid w:val="009E0A41"/>
    <w:rsid w:val="009E4288"/>
    <w:rsid w:val="009E72B0"/>
    <w:rsid w:val="009F5418"/>
    <w:rsid w:val="00A01243"/>
    <w:rsid w:val="00A23EE5"/>
    <w:rsid w:val="00A80C65"/>
    <w:rsid w:val="00A80FEA"/>
    <w:rsid w:val="00B122C4"/>
    <w:rsid w:val="00B13989"/>
    <w:rsid w:val="00B34F94"/>
    <w:rsid w:val="00BF332A"/>
    <w:rsid w:val="00CC4E23"/>
    <w:rsid w:val="00D45B39"/>
    <w:rsid w:val="00DD7037"/>
    <w:rsid w:val="00E257E5"/>
    <w:rsid w:val="00E327BF"/>
    <w:rsid w:val="00E4432F"/>
    <w:rsid w:val="00E5E8B5"/>
    <w:rsid w:val="00E823BB"/>
    <w:rsid w:val="00E9213C"/>
    <w:rsid w:val="00F070D4"/>
    <w:rsid w:val="00F11907"/>
    <w:rsid w:val="00F42F65"/>
    <w:rsid w:val="00FC2986"/>
    <w:rsid w:val="00FD762B"/>
    <w:rsid w:val="011CDBAE"/>
    <w:rsid w:val="014D49C3"/>
    <w:rsid w:val="015133ED"/>
    <w:rsid w:val="015B110C"/>
    <w:rsid w:val="01AF7C76"/>
    <w:rsid w:val="01B994D3"/>
    <w:rsid w:val="021BD0D7"/>
    <w:rsid w:val="02721DFC"/>
    <w:rsid w:val="02721DFC"/>
    <w:rsid w:val="0297C400"/>
    <w:rsid w:val="02B2A787"/>
    <w:rsid w:val="03959C1C"/>
    <w:rsid w:val="03DD2258"/>
    <w:rsid w:val="04BA8BD1"/>
    <w:rsid w:val="051D4A74"/>
    <w:rsid w:val="052A2486"/>
    <w:rsid w:val="06454509"/>
    <w:rsid w:val="0672EBD2"/>
    <w:rsid w:val="06A70BA2"/>
    <w:rsid w:val="06CF633D"/>
    <w:rsid w:val="07101A76"/>
    <w:rsid w:val="073E97D8"/>
    <w:rsid w:val="078B9D7C"/>
    <w:rsid w:val="07A6E526"/>
    <w:rsid w:val="07A70A9A"/>
    <w:rsid w:val="07C2F26F"/>
    <w:rsid w:val="0808111C"/>
    <w:rsid w:val="08489544"/>
    <w:rsid w:val="08952436"/>
    <w:rsid w:val="092FA4A7"/>
    <w:rsid w:val="0988C54C"/>
    <w:rsid w:val="09EBA325"/>
    <w:rsid w:val="0A414684"/>
    <w:rsid w:val="0A7717C2"/>
    <w:rsid w:val="0A7E2C68"/>
    <w:rsid w:val="0AABDBE5"/>
    <w:rsid w:val="0AD9E1AB"/>
    <w:rsid w:val="0B2A012D"/>
    <w:rsid w:val="0B762DA0"/>
    <w:rsid w:val="0B7F21B7"/>
    <w:rsid w:val="0BDE99A8"/>
    <w:rsid w:val="0C121BCF"/>
    <w:rsid w:val="0C35A8FB"/>
    <w:rsid w:val="0C4E37AD"/>
    <w:rsid w:val="0C631D35"/>
    <w:rsid w:val="0C663372"/>
    <w:rsid w:val="0C7F9062"/>
    <w:rsid w:val="0D7083A2"/>
    <w:rsid w:val="0DEB5BDA"/>
    <w:rsid w:val="0E07F0C0"/>
    <w:rsid w:val="0E2B4051"/>
    <w:rsid w:val="0E62D840"/>
    <w:rsid w:val="0EFBF324"/>
    <w:rsid w:val="0F0C4C2D"/>
    <w:rsid w:val="0F404C36"/>
    <w:rsid w:val="0F68FA1C"/>
    <w:rsid w:val="0FE4D415"/>
    <w:rsid w:val="10152EF3"/>
    <w:rsid w:val="1089A897"/>
    <w:rsid w:val="109FCEAC"/>
    <w:rsid w:val="10ED6A11"/>
    <w:rsid w:val="110A9DE5"/>
    <w:rsid w:val="110AD28B"/>
    <w:rsid w:val="11E3CA36"/>
    <w:rsid w:val="122E74B8"/>
    <w:rsid w:val="128BADC3"/>
    <w:rsid w:val="12FB62CB"/>
    <w:rsid w:val="131217E1"/>
    <w:rsid w:val="13529F93"/>
    <w:rsid w:val="1444A9AA"/>
    <w:rsid w:val="149FDA82"/>
    <w:rsid w:val="14A1FDC2"/>
    <w:rsid w:val="14B8B9CE"/>
    <w:rsid w:val="150FA68A"/>
    <w:rsid w:val="1516BE6C"/>
    <w:rsid w:val="151D09BE"/>
    <w:rsid w:val="152E4597"/>
    <w:rsid w:val="15B06146"/>
    <w:rsid w:val="15E3FA21"/>
    <w:rsid w:val="163C953D"/>
    <w:rsid w:val="1669DBDA"/>
    <w:rsid w:val="1678C304"/>
    <w:rsid w:val="16A21A0E"/>
    <w:rsid w:val="16A4B8F9"/>
    <w:rsid w:val="16A9214A"/>
    <w:rsid w:val="16ADE85F"/>
    <w:rsid w:val="1729D748"/>
    <w:rsid w:val="17D8D920"/>
    <w:rsid w:val="18190461"/>
    <w:rsid w:val="1879ADA3"/>
    <w:rsid w:val="19340B5D"/>
    <w:rsid w:val="1964B488"/>
    <w:rsid w:val="1A2A1775"/>
    <w:rsid w:val="1A38E3B1"/>
    <w:rsid w:val="1ACF937C"/>
    <w:rsid w:val="1B36F4FF"/>
    <w:rsid w:val="1B42C1ED"/>
    <w:rsid w:val="1C0C577E"/>
    <w:rsid w:val="1C5F82AC"/>
    <w:rsid w:val="1D545C1E"/>
    <w:rsid w:val="1DA52CC4"/>
    <w:rsid w:val="1E0B5895"/>
    <w:rsid w:val="1E28584B"/>
    <w:rsid w:val="1E537F35"/>
    <w:rsid w:val="1ED22F5C"/>
    <w:rsid w:val="1EFF8D83"/>
    <w:rsid w:val="1F4846FC"/>
    <w:rsid w:val="1F89DCEC"/>
    <w:rsid w:val="1F9AED46"/>
    <w:rsid w:val="2042B3B9"/>
    <w:rsid w:val="2086F726"/>
    <w:rsid w:val="20922901"/>
    <w:rsid w:val="211D384F"/>
    <w:rsid w:val="211DB859"/>
    <w:rsid w:val="218D8C3B"/>
    <w:rsid w:val="219826C1"/>
    <w:rsid w:val="21B9BB11"/>
    <w:rsid w:val="21F8FAF8"/>
    <w:rsid w:val="22120067"/>
    <w:rsid w:val="221F007F"/>
    <w:rsid w:val="22F3A99A"/>
    <w:rsid w:val="23230027"/>
    <w:rsid w:val="23255998"/>
    <w:rsid w:val="23521291"/>
    <w:rsid w:val="23922C99"/>
    <w:rsid w:val="239CEAA3"/>
    <w:rsid w:val="23D29D16"/>
    <w:rsid w:val="24158F61"/>
    <w:rsid w:val="243534C1"/>
    <w:rsid w:val="24467A8C"/>
    <w:rsid w:val="2472F580"/>
    <w:rsid w:val="248D5568"/>
    <w:rsid w:val="249EDD25"/>
    <w:rsid w:val="24C5C637"/>
    <w:rsid w:val="24E739EE"/>
    <w:rsid w:val="25B39348"/>
    <w:rsid w:val="25CC2F50"/>
    <w:rsid w:val="268BAD7F"/>
    <w:rsid w:val="26CF085B"/>
    <w:rsid w:val="26D4F109"/>
    <w:rsid w:val="27121243"/>
    <w:rsid w:val="274A0554"/>
    <w:rsid w:val="275D5A6C"/>
    <w:rsid w:val="27EBC287"/>
    <w:rsid w:val="2823942D"/>
    <w:rsid w:val="286B017A"/>
    <w:rsid w:val="28A9C0FB"/>
    <w:rsid w:val="29441929"/>
    <w:rsid w:val="2967B616"/>
    <w:rsid w:val="29EF8C27"/>
    <w:rsid w:val="2A23D393"/>
    <w:rsid w:val="2A290EC5"/>
    <w:rsid w:val="2A47C32F"/>
    <w:rsid w:val="2A6199B8"/>
    <w:rsid w:val="2A7BF901"/>
    <w:rsid w:val="2B21556C"/>
    <w:rsid w:val="2BA2DBA4"/>
    <w:rsid w:val="2BB39A37"/>
    <w:rsid w:val="2BFC9F35"/>
    <w:rsid w:val="2C355BD6"/>
    <w:rsid w:val="2C54E5F0"/>
    <w:rsid w:val="2C723722"/>
    <w:rsid w:val="2DBC11E3"/>
    <w:rsid w:val="2E021BE7"/>
    <w:rsid w:val="2E4918D3"/>
    <w:rsid w:val="2FA0517D"/>
    <w:rsid w:val="2FD6E38D"/>
    <w:rsid w:val="30EB4E2D"/>
    <w:rsid w:val="312A6B13"/>
    <w:rsid w:val="31302708"/>
    <w:rsid w:val="31B3F961"/>
    <w:rsid w:val="31DB7925"/>
    <w:rsid w:val="31EC6729"/>
    <w:rsid w:val="32518A60"/>
    <w:rsid w:val="326D809C"/>
    <w:rsid w:val="3275D25A"/>
    <w:rsid w:val="3295158C"/>
    <w:rsid w:val="32B421E7"/>
    <w:rsid w:val="331A7AB0"/>
    <w:rsid w:val="3323C98A"/>
    <w:rsid w:val="33CA9395"/>
    <w:rsid w:val="3454E0AF"/>
    <w:rsid w:val="346A6B51"/>
    <w:rsid w:val="34C07E2E"/>
    <w:rsid w:val="34D2C7F8"/>
    <w:rsid w:val="35383040"/>
    <w:rsid w:val="35440B07"/>
    <w:rsid w:val="35C8B38A"/>
    <w:rsid w:val="36243749"/>
    <w:rsid w:val="3772CD01"/>
    <w:rsid w:val="377C7A04"/>
    <w:rsid w:val="37EFD184"/>
    <w:rsid w:val="38809F10"/>
    <w:rsid w:val="38C11F02"/>
    <w:rsid w:val="393CE7DA"/>
    <w:rsid w:val="393D2470"/>
    <w:rsid w:val="3A09FB8A"/>
    <w:rsid w:val="3A2CA5DF"/>
    <w:rsid w:val="3A573D28"/>
    <w:rsid w:val="3ABA4C3D"/>
    <w:rsid w:val="3B24C1DD"/>
    <w:rsid w:val="3B2D03DB"/>
    <w:rsid w:val="3C3C480B"/>
    <w:rsid w:val="3C669E87"/>
    <w:rsid w:val="3D384120"/>
    <w:rsid w:val="3D65E923"/>
    <w:rsid w:val="3D6ECFAC"/>
    <w:rsid w:val="3DBEDAD7"/>
    <w:rsid w:val="3DF6355F"/>
    <w:rsid w:val="3E10ADC5"/>
    <w:rsid w:val="3E15621C"/>
    <w:rsid w:val="3F0810D6"/>
    <w:rsid w:val="407B8754"/>
    <w:rsid w:val="4098FC39"/>
    <w:rsid w:val="409B5ED4"/>
    <w:rsid w:val="40A835BF"/>
    <w:rsid w:val="40D007CF"/>
    <w:rsid w:val="40FA81A4"/>
    <w:rsid w:val="411A2F89"/>
    <w:rsid w:val="4124B83D"/>
    <w:rsid w:val="412B0548"/>
    <w:rsid w:val="41B58A57"/>
    <w:rsid w:val="41CACFC0"/>
    <w:rsid w:val="42045713"/>
    <w:rsid w:val="426F6858"/>
    <w:rsid w:val="42858BF4"/>
    <w:rsid w:val="42A055E5"/>
    <w:rsid w:val="42DACC52"/>
    <w:rsid w:val="42E27EF7"/>
    <w:rsid w:val="4306F264"/>
    <w:rsid w:val="4330E7D8"/>
    <w:rsid w:val="4337F3DA"/>
    <w:rsid w:val="436A1634"/>
    <w:rsid w:val="440AFD99"/>
    <w:rsid w:val="443165C4"/>
    <w:rsid w:val="45A1F477"/>
    <w:rsid w:val="45DFA9AD"/>
    <w:rsid w:val="45F38A0D"/>
    <w:rsid w:val="4605356E"/>
    <w:rsid w:val="465A9B4A"/>
    <w:rsid w:val="4663FD99"/>
    <w:rsid w:val="46B37FDF"/>
    <w:rsid w:val="47D05D67"/>
    <w:rsid w:val="4817C922"/>
    <w:rsid w:val="489183E4"/>
    <w:rsid w:val="48930246"/>
    <w:rsid w:val="48F9B044"/>
    <w:rsid w:val="49046A61"/>
    <w:rsid w:val="49296BC6"/>
    <w:rsid w:val="49406642"/>
    <w:rsid w:val="4979A171"/>
    <w:rsid w:val="4986F1D1"/>
    <w:rsid w:val="4995591E"/>
    <w:rsid w:val="49C68509"/>
    <w:rsid w:val="49D0706A"/>
    <w:rsid w:val="4ABC1BDD"/>
    <w:rsid w:val="4AD47303"/>
    <w:rsid w:val="4ADAD7B9"/>
    <w:rsid w:val="4AEC3B5E"/>
    <w:rsid w:val="4B627E36"/>
    <w:rsid w:val="4BD33BA8"/>
    <w:rsid w:val="4BF0458B"/>
    <w:rsid w:val="4C0CACF3"/>
    <w:rsid w:val="4C2CE01F"/>
    <w:rsid w:val="4C2E11FF"/>
    <w:rsid w:val="4C3D11F8"/>
    <w:rsid w:val="4C8064FB"/>
    <w:rsid w:val="4CBA2FBC"/>
    <w:rsid w:val="4CF30487"/>
    <w:rsid w:val="4D9FA59B"/>
    <w:rsid w:val="4E6CB947"/>
    <w:rsid w:val="4EADDAE8"/>
    <w:rsid w:val="4EB3D0A4"/>
    <w:rsid w:val="4F148B27"/>
    <w:rsid w:val="4F4DAEC3"/>
    <w:rsid w:val="4F6364ED"/>
    <w:rsid w:val="4F69DF9F"/>
    <w:rsid w:val="5083CE88"/>
    <w:rsid w:val="509242FA"/>
    <w:rsid w:val="50E48C8F"/>
    <w:rsid w:val="50E82548"/>
    <w:rsid w:val="50EDA51E"/>
    <w:rsid w:val="512A8CE9"/>
    <w:rsid w:val="517B8BF7"/>
    <w:rsid w:val="51FE5034"/>
    <w:rsid w:val="52213611"/>
    <w:rsid w:val="52AEB412"/>
    <w:rsid w:val="52F16B5A"/>
    <w:rsid w:val="53030E53"/>
    <w:rsid w:val="53651804"/>
    <w:rsid w:val="537C6DBD"/>
    <w:rsid w:val="53B511D5"/>
    <w:rsid w:val="5431C572"/>
    <w:rsid w:val="5474C44F"/>
    <w:rsid w:val="54A16D5A"/>
    <w:rsid w:val="552F694D"/>
    <w:rsid w:val="557C7CDF"/>
    <w:rsid w:val="55DE5383"/>
    <w:rsid w:val="56025F03"/>
    <w:rsid w:val="560F3955"/>
    <w:rsid w:val="561872DB"/>
    <w:rsid w:val="56562926"/>
    <w:rsid w:val="565F62E9"/>
    <w:rsid w:val="56F5C2F2"/>
    <w:rsid w:val="5753B835"/>
    <w:rsid w:val="576DA71E"/>
    <w:rsid w:val="576EA740"/>
    <w:rsid w:val="58703FDD"/>
    <w:rsid w:val="58851FD1"/>
    <w:rsid w:val="58D38282"/>
    <w:rsid w:val="59008FD1"/>
    <w:rsid w:val="59095A1D"/>
    <w:rsid w:val="593E235E"/>
    <w:rsid w:val="59CEAC76"/>
    <w:rsid w:val="5AB623F4"/>
    <w:rsid w:val="5B5D057F"/>
    <w:rsid w:val="5B63D74A"/>
    <w:rsid w:val="5BA99569"/>
    <w:rsid w:val="5C05E5A5"/>
    <w:rsid w:val="5C0FEE8A"/>
    <w:rsid w:val="5D21DF51"/>
    <w:rsid w:val="5E0E8D77"/>
    <w:rsid w:val="5E88554C"/>
    <w:rsid w:val="5E9A16DA"/>
    <w:rsid w:val="5E9CB257"/>
    <w:rsid w:val="5F4877D0"/>
    <w:rsid w:val="5F720B12"/>
    <w:rsid w:val="5FBDF5B0"/>
    <w:rsid w:val="5FD70DAB"/>
    <w:rsid w:val="5FEAE8D8"/>
    <w:rsid w:val="60029292"/>
    <w:rsid w:val="606072A2"/>
    <w:rsid w:val="60A75BA3"/>
    <w:rsid w:val="60EA832E"/>
    <w:rsid w:val="616C0EAA"/>
    <w:rsid w:val="618CA01C"/>
    <w:rsid w:val="61A52F64"/>
    <w:rsid w:val="6208B0F6"/>
    <w:rsid w:val="623D2344"/>
    <w:rsid w:val="62ADADCD"/>
    <w:rsid w:val="62C19C22"/>
    <w:rsid w:val="63088ABC"/>
    <w:rsid w:val="6371737D"/>
    <w:rsid w:val="63D9C001"/>
    <w:rsid w:val="63E3FAC3"/>
    <w:rsid w:val="644639BF"/>
    <w:rsid w:val="648C7893"/>
    <w:rsid w:val="64FB26D5"/>
    <w:rsid w:val="651CAAF9"/>
    <w:rsid w:val="6529A8BE"/>
    <w:rsid w:val="653209E7"/>
    <w:rsid w:val="6562A208"/>
    <w:rsid w:val="65679CB7"/>
    <w:rsid w:val="67133FB3"/>
    <w:rsid w:val="672315C0"/>
    <w:rsid w:val="672DCC7F"/>
    <w:rsid w:val="6776F111"/>
    <w:rsid w:val="67C9545D"/>
    <w:rsid w:val="67D5B3C6"/>
    <w:rsid w:val="67D63C4C"/>
    <w:rsid w:val="67FD787D"/>
    <w:rsid w:val="6827FBA5"/>
    <w:rsid w:val="682AE462"/>
    <w:rsid w:val="683034D5"/>
    <w:rsid w:val="683A82EE"/>
    <w:rsid w:val="687EDA3E"/>
    <w:rsid w:val="68AD5A0D"/>
    <w:rsid w:val="68FBFA3C"/>
    <w:rsid w:val="6941B057"/>
    <w:rsid w:val="6951D715"/>
    <w:rsid w:val="6965CF5F"/>
    <w:rsid w:val="6A00406B"/>
    <w:rsid w:val="6A49ACF4"/>
    <w:rsid w:val="6A7A980C"/>
    <w:rsid w:val="6A819129"/>
    <w:rsid w:val="6AF289C1"/>
    <w:rsid w:val="6B39C54C"/>
    <w:rsid w:val="6B56FA3A"/>
    <w:rsid w:val="6BC6354B"/>
    <w:rsid w:val="6BF4140D"/>
    <w:rsid w:val="6C1BDA6C"/>
    <w:rsid w:val="6C4CD474"/>
    <w:rsid w:val="6C6BF95B"/>
    <w:rsid w:val="6D03A9B6"/>
    <w:rsid w:val="6D05E378"/>
    <w:rsid w:val="6D12294B"/>
    <w:rsid w:val="6D310951"/>
    <w:rsid w:val="6D5FFA98"/>
    <w:rsid w:val="6D63AC97"/>
    <w:rsid w:val="6D9CA5F2"/>
    <w:rsid w:val="6DDD13A7"/>
    <w:rsid w:val="6DEC6983"/>
    <w:rsid w:val="6E0CF00B"/>
    <w:rsid w:val="6E51C46D"/>
    <w:rsid w:val="6E8A16F5"/>
    <w:rsid w:val="6EA87035"/>
    <w:rsid w:val="6F36B595"/>
    <w:rsid w:val="6F40A8CA"/>
    <w:rsid w:val="6F9A11F1"/>
    <w:rsid w:val="6FD105E9"/>
    <w:rsid w:val="705FA6DF"/>
    <w:rsid w:val="7074CD3B"/>
    <w:rsid w:val="70A15F49"/>
    <w:rsid w:val="70EE2924"/>
    <w:rsid w:val="70F36C4A"/>
    <w:rsid w:val="70F65C28"/>
    <w:rsid w:val="7144A763"/>
    <w:rsid w:val="718E3B49"/>
    <w:rsid w:val="71C1A6D8"/>
    <w:rsid w:val="71CC7F7D"/>
    <w:rsid w:val="71E949AB"/>
    <w:rsid w:val="7220BA3A"/>
    <w:rsid w:val="72FC62D9"/>
    <w:rsid w:val="7315A028"/>
    <w:rsid w:val="7318EBD4"/>
    <w:rsid w:val="73351C9A"/>
    <w:rsid w:val="733D27C4"/>
    <w:rsid w:val="7349767E"/>
    <w:rsid w:val="73658FB5"/>
    <w:rsid w:val="736A9329"/>
    <w:rsid w:val="736C6A80"/>
    <w:rsid w:val="73AEE22B"/>
    <w:rsid w:val="7469D524"/>
    <w:rsid w:val="74B04B4B"/>
    <w:rsid w:val="74DB94C4"/>
    <w:rsid w:val="7508F662"/>
    <w:rsid w:val="753018E4"/>
    <w:rsid w:val="753DA7F6"/>
    <w:rsid w:val="75C9DD1C"/>
    <w:rsid w:val="75DF77C7"/>
    <w:rsid w:val="76460EF6"/>
    <w:rsid w:val="77008E0A"/>
    <w:rsid w:val="778D4039"/>
    <w:rsid w:val="77C9ABA3"/>
    <w:rsid w:val="783D87D6"/>
    <w:rsid w:val="785C4DC0"/>
    <w:rsid w:val="786A0C97"/>
    <w:rsid w:val="7880C6E1"/>
    <w:rsid w:val="789C9175"/>
    <w:rsid w:val="78F05BBC"/>
    <w:rsid w:val="78F53780"/>
    <w:rsid w:val="79B258E1"/>
    <w:rsid w:val="79BA2F7E"/>
    <w:rsid w:val="79DE083F"/>
    <w:rsid w:val="7A5FC478"/>
    <w:rsid w:val="7A71D425"/>
    <w:rsid w:val="7AD41C40"/>
    <w:rsid w:val="7BD37DBD"/>
    <w:rsid w:val="7BDFD930"/>
    <w:rsid w:val="7BF28BA0"/>
    <w:rsid w:val="7C1351AF"/>
    <w:rsid w:val="7C1A4523"/>
    <w:rsid w:val="7C601CC1"/>
    <w:rsid w:val="7D0248A5"/>
    <w:rsid w:val="7D3E5CE8"/>
    <w:rsid w:val="7D80181D"/>
    <w:rsid w:val="7D939307"/>
    <w:rsid w:val="7DAB6AC2"/>
    <w:rsid w:val="7E1A0406"/>
    <w:rsid w:val="7E597C4A"/>
    <w:rsid w:val="7E8DF9A9"/>
    <w:rsid w:val="7EA71909"/>
    <w:rsid w:val="7ECA0EAB"/>
    <w:rsid w:val="7EFD2FE0"/>
    <w:rsid w:val="7F059B72"/>
    <w:rsid w:val="7FB48284"/>
    <w:rsid w:val="7FD4EE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0EC5"/>
  <w15:chartTrackingRefBased/>
  <w15:docId w15:val="{53B7302A-025B-497E-9645-B6302A5CF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6951D7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951D7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951D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6951D715"/>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6951D715"/>
    <w:pPr>
      <w:ind w:left="720"/>
      <w:contextualSpacing/>
    </w:pPr>
  </w:style>
  <w:style w:type="character" w:styleId="Hyperlink">
    <w:name w:val="Hyperlink"/>
    <w:basedOn w:val="DefaultParagraphFont"/>
    <w:uiPriority w:val="99"/>
    <w:unhideWhenUsed/>
    <w:rsid w:val="6951D715"/>
    <w:rPr>
      <w:color w:val="467886"/>
      <w:u w:val="single"/>
    </w:rPr>
  </w:style>
  <w:style w:type="paragraph" w:styleId="TOC1">
    <w:name w:val="toc 1"/>
    <w:basedOn w:val="Normal"/>
    <w:next w:val="Normal"/>
    <w:uiPriority w:val="39"/>
    <w:unhideWhenUsed/>
    <w:rsid w:val="6951D715"/>
    <w:pPr>
      <w:spacing w:after="100"/>
    </w:pPr>
  </w:style>
  <w:style w:type="paragraph" w:styleId="TOC2">
    <w:name w:val="toc 2"/>
    <w:basedOn w:val="Normal"/>
    <w:next w:val="Normal"/>
    <w:uiPriority w:val="39"/>
    <w:unhideWhenUsed/>
    <w:rsid w:val="6951D715"/>
    <w:pPr>
      <w:spacing w:after="100"/>
      <w:ind w:left="220"/>
    </w:pPr>
  </w:style>
  <w:style w:type="paragraph" w:styleId="TOC3">
    <w:name w:val="toc 3"/>
    <w:basedOn w:val="Normal"/>
    <w:next w:val="Normal"/>
    <w:uiPriority w:val="39"/>
    <w:unhideWhenUsed/>
    <w:rsid w:val="6951D715"/>
    <w:pPr>
      <w:spacing w:after="100"/>
      <w:ind w:left="440"/>
    </w:pPr>
  </w:style>
  <w:style w:type="paragraph" w:styleId="TOC4">
    <w:name w:val="toc 4"/>
    <w:basedOn w:val="Normal"/>
    <w:next w:val="Normal"/>
    <w:uiPriority w:val="39"/>
    <w:unhideWhenUsed/>
    <w:rsid w:val="6951D715"/>
    <w:pPr>
      <w:spacing w:after="100"/>
      <w:ind w:left="660"/>
    </w:pPr>
  </w:style>
  <w:style w:type="character" w:styleId="Heading1Char" w:customStyle="1">
    <w:name w:val="Heading 1 Char"/>
    <w:basedOn w:val="DefaultParagraphFont"/>
    <w:link w:val="Heading1"/>
    <w:uiPriority w:val="9"/>
    <w:rsid w:val="6951D715"/>
    <w:rPr>
      <w:rFonts w:asciiTheme="majorHAnsi" w:hAnsiTheme="majorHAnsi" w:eastAsiaTheme="majorEastAsia" w:cstheme="majorBidi"/>
      <w:color w:val="0F4761" w:themeColor="accent1" w:themeShade="BF"/>
      <w:sz w:val="40"/>
      <w:szCs w:val="40"/>
    </w:rPr>
  </w:style>
  <w:style w:type="paragraph" w:styleId="Header">
    <w:name w:val="header"/>
    <w:basedOn w:val="Normal"/>
    <w:uiPriority w:val="99"/>
    <w:unhideWhenUsed/>
    <w:rsid w:val="6951D715"/>
    <w:pPr>
      <w:tabs>
        <w:tab w:val="center" w:pos="4680"/>
        <w:tab w:val="right" w:pos="9360"/>
      </w:tabs>
      <w:spacing w:after="0" w:line="240" w:lineRule="auto"/>
    </w:pPr>
  </w:style>
  <w:style w:type="paragraph" w:styleId="Footer">
    <w:name w:val="footer"/>
    <w:basedOn w:val="Normal"/>
    <w:uiPriority w:val="99"/>
    <w:unhideWhenUsed/>
    <w:rsid w:val="6951D71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7B618B"/>
    <w:rPr>
      <w:sz w:val="16"/>
      <w:szCs w:val="16"/>
    </w:rPr>
  </w:style>
  <w:style w:type="paragraph" w:styleId="CommentText">
    <w:name w:val="annotation text"/>
    <w:basedOn w:val="Normal"/>
    <w:link w:val="CommentTextChar"/>
    <w:uiPriority w:val="99"/>
    <w:unhideWhenUsed/>
    <w:rsid w:val="007B618B"/>
    <w:pPr>
      <w:spacing w:line="240" w:lineRule="auto"/>
    </w:pPr>
    <w:rPr>
      <w:sz w:val="20"/>
      <w:szCs w:val="20"/>
    </w:rPr>
  </w:style>
  <w:style w:type="character" w:styleId="CommentTextChar" w:customStyle="1">
    <w:name w:val="Comment Text Char"/>
    <w:basedOn w:val="DefaultParagraphFont"/>
    <w:link w:val="CommentText"/>
    <w:uiPriority w:val="99"/>
    <w:rsid w:val="007B618B"/>
    <w:rPr>
      <w:sz w:val="20"/>
      <w:szCs w:val="20"/>
    </w:rPr>
  </w:style>
  <w:style w:type="paragraph" w:styleId="CommentSubject">
    <w:name w:val="annotation subject"/>
    <w:basedOn w:val="CommentText"/>
    <w:next w:val="CommentText"/>
    <w:link w:val="CommentSubjectChar"/>
    <w:uiPriority w:val="99"/>
    <w:semiHidden/>
    <w:unhideWhenUsed/>
    <w:rsid w:val="007B618B"/>
    <w:rPr>
      <w:b/>
      <w:bCs/>
    </w:rPr>
  </w:style>
  <w:style w:type="character" w:styleId="CommentSubjectChar" w:customStyle="1">
    <w:name w:val="Comment Subject Char"/>
    <w:basedOn w:val="CommentTextChar"/>
    <w:link w:val="CommentSubject"/>
    <w:uiPriority w:val="99"/>
    <w:semiHidden/>
    <w:rsid w:val="007B61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1/relationships/people" Target="people.xm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header" Target="header1.xml" Id="rId23" /><Relationship Type="http://schemas.microsoft.com/office/2020/10/relationships/intelligence" Target="intelligence2.xml" Id="rId28" /><Relationship Type="http://schemas.microsoft.com/office/2016/09/relationships/commentsIds" Target="commentsIds.xml" Id="rId10" /><Relationship Type="http://schemas.openxmlformats.org/officeDocument/2006/relationships/hyperlink" Target="https://www.mckinsey.com/capabilities/people-and-organizational-performance/our-insights/psychological-safety-and-the-critical-role-of-leadership-development" TargetMode="External" Id="rId19"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theme" Target="theme/theme1.xml" Id="rId27" /><Relationship Type="http://schemas.openxmlformats.org/officeDocument/2006/relationships/hyperlink" Target="https://doi.org/10.25134/ieflj.v6i2.3382" TargetMode="External" Id="Ra09e8313cade4b8e" /><Relationship Type="http://schemas.openxmlformats.org/officeDocument/2006/relationships/hyperlink" Target="https://doi.org/10.1111/j.1467-8543.2007.00651.x" TargetMode="External" Id="R94dcaa58e98640ce" /><Relationship Type="http://schemas.openxmlformats.org/officeDocument/2006/relationships/hyperlink" Target="https://www.abacademies.org/articles/cultivating-an-innovation-culture-the-cornerstone-of-organizational-growth.pdf" TargetMode="External" Id="R17d21a4fed854844" /><Relationship Type="http://schemas.openxmlformats.org/officeDocument/2006/relationships/hyperlink" Target="https://doi.org/10.1108/MD-10-2013-0540" TargetMode="External" Id="R18ef28d30ba443f9" /><Relationship Type="http://schemas.openxmlformats.org/officeDocument/2006/relationships/hyperlink" Target="https://doi.org/10.48550/arXiv.2508.13185" TargetMode="External" Id="Ra5717f16da4442de" /><Relationship Type="http://schemas.openxmlformats.org/officeDocument/2006/relationships/hyperlink" Target="https://doi.org/10.1016/0030-5073(76)90016-7" TargetMode="External" Id="R1023aec3a4334c39" /><Relationship Type="http://schemas.openxmlformats.org/officeDocument/2006/relationships/hyperlink" Target="https://doi.org/10.1037/0021-9010.92.5.1332" TargetMode="External" Id="R2473b37993e54fb2" /><Relationship Type="http://schemas.openxmlformats.org/officeDocument/2006/relationships/hyperlink" Target="https://doi.org/10.25134/ieflj.v6i2.3382" TargetMode="External" Id="Rfc1ee664905245b2" /><Relationship Type="http://schemas.openxmlformats.org/officeDocument/2006/relationships/hyperlink" Target="https://doi.org/10.1111/jocn.12603" TargetMode="External" Id="R2be7b87151834cbb" /><Relationship Type="http://schemas.openxmlformats.org/officeDocument/2006/relationships/hyperlink" Target="https://doi.org/10.4018/978-1-4666-4530-1" TargetMode="External" Id="Rb65ef8a27bc940b2" /><Relationship Type="http://schemas.openxmlformats.org/officeDocument/2006/relationships/hyperlink" Target="https://doi.org/10.1037/apl0000106" TargetMode="External" Id="R32e9b8e5d2864b87" /><Relationship Type="http://schemas.openxmlformats.org/officeDocument/2006/relationships/hyperlink" Target="https://doi.org/10.1016/j.techsoc.2021.101640" TargetMode="External" Id="Rb845a3a3019943d7" /><Relationship Type="http://schemas.openxmlformats.org/officeDocument/2006/relationships/hyperlink" Target="https://doi.org/10.4018/IJHCITP.2020100105" TargetMode="External" Id="Rf6067faaa9254a44" /><Relationship Type="http://schemas.openxmlformats.org/officeDocument/2006/relationships/hyperlink" Target="https://doi.org/10.4018/978-1-4666-2649-2" TargetMode="External" Id="R4215e9f4c0114912" /><Relationship Type="http://schemas.openxmlformats.org/officeDocument/2006/relationships/hyperlink" Target="https://doi.org/10.1177/1059601197222008" TargetMode="External" Id="Rfba9bf8b96634cac" /><Relationship Type="http://schemas.openxmlformats.org/officeDocument/2006/relationships/hyperlink" Target="https://doi.org/10.1016/j.jbusres.2023.114445" TargetMode="External" Id="R4a51eddeb89243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Blake (2208796)</dc:creator>
  <keywords/>
  <dc:description/>
  <lastModifiedBy>Alicia Blake (2208796)</lastModifiedBy>
  <revision>3</revision>
  <dcterms:created xsi:type="dcterms:W3CDTF">2026-02-24T13:29:00.0000000Z</dcterms:created>
  <dcterms:modified xsi:type="dcterms:W3CDTF">2026-02-26T09:17:26.2398893Z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b203a6ed-fe85-484b-8d46-59ef97810999</vt:lpwstr>
  </property>
</Properties>
</file>