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419261198"/>
        <w:docPartObj>
          <w:docPartGallery w:val="Cover Pages"/>
          <w:docPartUnique/>
        </w:docPartObj>
      </w:sdtPr>
      <w:sdtEndPr>
        <w:rPr>
          <w:rFonts w:ascii="Times New Roman" w:eastAsiaTheme="minorEastAsia" w:hAnsi="Times New Roman" w:cs="Times New Roman"/>
          <w:b/>
          <w:sz w:val="48"/>
          <w:szCs w:val="48"/>
          <w:lang w:val="en-US"/>
        </w:rPr>
      </w:sdtEndPr>
      <w:sdtContent>
        <w:p w:rsidR="003F1C95" w:rsidRDefault="003F1C95">
          <w:r>
            <w:rPr>
              <w:noProof/>
              <w:lang w:eastAsia="en-GB"/>
            </w:rPr>
            <mc:AlternateContent>
              <mc:Choice Requires="wpg">
                <w:drawing>
                  <wp:anchor distT="0" distB="0" distL="114300" distR="114300" simplePos="0" relativeHeight="251662336" behindDoc="0" locked="0" layoutInCell="1" allowOverlap="1" wp14:anchorId="7570D09C" wp14:editId="03FFF4D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43DA00D"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p>
        <w:p w:rsidR="00896429" w:rsidRPr="00896429" w:rsidRDefault="005F7E6A" w:rsidP="00896429">
          <w:pPr>
            <w:rPr>
              <w:b/>
              <w:caps/>
              <w:color w:val="000000" w:themeColor="text1"/>
              <w:sz w:val="26"/>
              <w:szCs w:val="26"/>
            </w:rPr>
          </w:pPr>
          <w:r>
            <w:rPr>
              <w:noProof/>
              <w:lang w:eastAsia="en-GB"/>
            </w:rPr>
            <mc:AlternateContent>
              <mc:Choice Requires="wps">
                <w:drawing>
                  <wp:anchor distT="0" distB="0" distL="114300" distR="114300" simplePos="0" relativeHeight="251659264" behindDoc="0" locked="0" layoutInCell="1" allowOverlap="1" wp14:anchorId="2333564F" wp14:editId="0382DCB6">
                    <wp:simplePos x="0" y="0"/>
                    <wp:positionH relativeFrom="page">
                      <wp:posOffset>81116</wp:posOffset>
                    </wp:positionH>
                    <wp:positionV relativeFrom="page">
                      <wp:posOffset>1511710</wp:posOffset>
                    </wp:positionV>
                    <wp:extent cx="7425813" cy="3768213"/>
                    <wp:effectExtent l="0" t="0" r="0" b="3810"/>
                    <wp:wrapSquare wrapText="bothSides"/>
                    <wp:docPr id="154" name="Text Box 154"/>
                    <wp:cNvGraphicFramePr/>
                    <a:graphic xmlns:a="http://schemas.openxmlformats.org/drawingml/2006/main">
                      <a:graphicData uri="http://schemas.microsoft.com/office/word/2010/wordprocessingShape">
                        <wps:wsp>
                          <wps:cNvSpPr txBox="1"/>
                          <wps:spPr>
                            <a:xfrm>
                              <a:off x="0" y="0"/>
                              <a:ext cx="7425813" cy="376821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F1C95" w:rsidRDefault="00896429" w:rsidP="00896429">
                                <w:pPr>
                                  <w:rPr>
                                    <w:color w:val="5B9BD5" w:themeColor="accent1"/>
                                    <w:sz w:val="64"/>
                                    <w:szCs w:val="64"/>
                                  </w:rPr>
                                </w:pPr>
                                <w:sdt>
                                  <w:sdtPr>
                                    <w:rPr>
                                      <w:rFonts w:ascii="Times New Roman" w:eastAsia="Calibri" w:hAnsi="Times New Roman" w:cs="Times New Roman"/>
                                      <w:b/>
                                      <w:sz w:val="48"/>
                                      <w:szCs w:val="48"/>
                                    </w:rPr>
                                    <w:alias w:val="Title"/>
                                    <w:tag w:val=""/>
                                    <w:id w:val="-229611754"/>
                                    <w:dataBinding w:prefixMappings="xmlns:ns0='http://purl.org/dc/elements/1.1/' xmlns:ns1='http://schemas.openxmlformats.org/package/2006/metadata/core-properties' " w:xpath="/ns1:coreProperties[1]/ns0:title[1]" w:storeItemID="{6C3C8BC8-F283-45AE-878A-BAB7291924A1}"/>
                                    <w:text w:multiLine="1"/>
                                  </w:sdtPr>
                                  <w:sdtContent>
                                    <w:r w:rsidRPr="00896429">
                                      <w:rPr>
                                        <w:rFonts w:ascii="Times New Roman" w:eastAsia="Calibri" w:hAnsi="Times New Roman" w:cs="Times New Roman"/>
                                        <w:b/>
                                        <w:sz w:val="48"/>
                                        <w:szCs w:val="48"/>
                                      </w:rPr>
                                      <w:t>Research and case scenario</w:t>
                                    </w:r>
                                    <w:r>
                                      <w:rPr>
                                        <w:rFonts w:ascii="Times New Roman" w:eastAsia="Calibri" w:hAnsi="Times New Roman" w:cs="Times New Roman"/>
                                        <w:b/>
                                        <w:sz w:val="48"/>
                                        <w:szCs w:val="48"/>
                                      </w:rPr>
                                      <w:br/>
                                    </w:r>
                                    <w:r w:rsidRPr="00896429">
                                      <w:rPr>
                                        <w:rFonts w:ascii="Times New Roman" w:eastAsia="Calibri" w:hAnsi="Times New Roman" w:cs="Times New Roman"/>
                                        <w:b/>
                                        <w:sz w:val="48"/>
                                        <w:szCs w:val="48"/>
                                      </w:rPr>
                                      <w:t>in Data Security and</w:t>
                                    </w:r>
                                    <w:r>
                                      <w:rPr>
                                        <w:rFonts w:ascii="Times New Roman" w:eastAsia="Calibri" w:hAnsi="Times New Roman" w:cs="Times New Roman"/>
                                        <w:b/>
                                        <w:sz w:val="48"/>
                                        <w:szCs w:val="48"/>
                                      </w:rPr>
                                      <w:br/>
                                    </w:r>
                                    <w:r w:rsidRPr="00896429">
                                      <w:rPr>
                                        <w:rFonts w:ascii="Times New Roman" w:eastAsia="Calibri" w:hAnsi="Times New Roman" w:cs="Times New Roman"/>
                                        <w:b/>
                                        <w:sz w:val="48"/>
                                        <w:szCs w:val="48"/>
                                      </w:rPr>
                                      <w:t>Compliance</w:t>
                                    </w:r>
                                    <w:r w:rsidR="005F7E6A">
                                      <w:rPr>
                                        <w:rFonts w:ascii="Times New Roman" w:eastAsia="Calibri" w:hAnsi="Times New Roman" w:cs="Times New Roman"/>
                                        <w:b/>
                                        <w:sz w:val="48"/>
                                        <w:szCs w:val="48"/>
                                      </w:rPr>
                                      <w:t xml:space="preserve">. </w:t>
                                    </w:r>
                                    <w:r w:rsidRPr="00896429">
                                      <w:rPr>
                                        <w:rFonts w:ascii="Times New Roman" w:eastAsia="Calibri" w:hAnsi="Times New Roman" w:cs="Times New Roman"/>
                                        <w:b/>
                                        <w:sz w:val="48"/>
                                        <w:szCs w:val="48"/>
                                      </w:rPr>
                                      <w:t xml:space="preserve"> </w:t>
                                    </w:r>
                                    <w:r w:rsidR="005F7E6A">
                                      <w:rPr>
                                        <w:rFonts w:ascii="Times New Roman" w:eastAsia="Calibri" w:hAnsi="Times New Roman" w:cs="Times New Roman"/>
                                        <w:b/>
                                        <w:sz w:val="48"/>
                                        <w:szCs w:val="48"/>
                                      </w:rPr>
                                      <w:br/>
                                      <w:t>“</w:t>
                                    </w:r>
                                    <w:r w:rsidRPr="00896429">
                                      <w:rPr>
                                        <w:rFonts w:ascii="Times New Roman" w:eastAsia="Calibri" w:hAnsi="Times New Roman" w:cs="Times New Roman"/>
                                        <w:b/>
                                        <w:sz w:val="48"/>
                                        <w:szCs w:val="48"/>
                                      </w:rPr>
                                      <w:t>Compliance in a Fragmented Regulatory Landscape: Navigating GDPR, DORA, and NIS2 for Critical Infrastructure</w:t>
                                    </w:r>
                                    <w:r w:rsidR="005F7E6A">
                                      <w:rPr>
                                        <w:rFonts w:ascii="Times New Roman" w:eastAsia="Calibri" w:hAnsi="Times New Roman" w:cs="Times New Roman"/>
                                        <w:b/>
                                        <w:sz w:val="48"/>
                                        <w:szCs w:val="48"/>
                                      </w:rPr>
                                      <w:t>”</w:t>
                                    </w:r>
                                  </w:sdtContent>
                                </w:sdt>
                              </w:p>
                              <w:sdt>
                                <w:sdtPr>
                                  <w:rPr>
                                    <w:rFonts w:ascii="Times New Roman" w:eastAsia="Calibri" w:hAnsi="Times New Roman" w:cs="Times New Roman"/>
                                    <w:b/>
                                    <w:sz w:val="36"/>
                                    <w:szCs w:val="36"/>
                                  </w:rPr>
                                  <w:alias w:val="Subtitle"/>
                                  <w:tag w:val=""/>
                                  <w:id w:val="515891735"/>
                                  <w:dataBinding w:prefixMappings="xmlns:ns0='http://purl.org/dc/elements/1.1/' xmlns:ns1='http://schemas.openxmlformats.org/package/2006/metadata/core-properties' " w:xpath="/ns1:coreProperties[1]/ns0:subject[1]" w:storeItemID="{6C3C8BC8-F283-45AE-878A-BAB7291924A1}"/>
                                  <w:text/>
                                </w:sdtPr>
                                <w:sdtContent>
                                  <w:p w:rsidR="003F1C95" w:rsidRDefault="003F1C95">
                                    <w:pPr>
                                      <w:jc w:val="right"/>
                                      <w:rPr>
                                        <w:smallCaps/>
                                        <w:color w:val="404040" w:themeColor="text1" w:themeTint="BF"/>
                                        <w:sz w:val="36"/>
                                        <w:szCs w:val="36"/>
                                      </w:rPr>
                                    </w:pPr>
                                    <w:r w:rsidRPr="00896429">
                                      <w:rPr>
                                        <w:rFonts w:ascii="Times New Roman" w:eastAsia="Calibri" w:hAnsi="Times New Roman" w:cs="Times New Roman"/>
                                        <w:b/>
                                        <w:sz w:val="36"/>
                                        <w:szCs w:val="36"/>
                                      </w:rPr>
                                      <w:t>Task 2 – Designing a Future-Oriented Cybersecurity Programme Using the Equifax Case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333564F" id="_x0000_t202" coordsize="21600,21600" o:spt="202" path="m,l,21600r21600,l21600,xe">
                    <v:stroke joinstyle="miter"/>
                    <v:path gradientshapeok="t" o:connecttype="rect"/>
                  </v:shapetype>
                  <v:shape id="Text Box 154" o:spid="_x0000_s1026" type="#_x0000_t202" style="position:absolute;margin-left:6.4pt;margin-top:119.05pt;width:584.7pt;height:296.7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4wgQIAAGIFAAAOAAAAZHJzL2Uyb0RvYy54bWysVE1PGzEQvVfqf7B8L5sEEqKIDUpBVJUQ&#10;oELF2fHaZFWvx7WdZOmv77N3NyDaC1Uvu+OZN8/z6bPztjFsp3yoyZZ8fDTiTFlJVW2fSv794erT&#10;nLMQha2EIatK/qwCP19+/HC2dws1oQ2ZSnkGEhsWe1fyTYxuURRBblQjwhE5ZWHU5BsRcfRPReXF&#10;HuyNKSaj0azYk6+cJ6lCgPayM/Jl5tdayXirdVCRmZIjtpi/Pn/X6Vssz8TiyQu3qWUfhviHKBpR&#10;W1x6oLoUUbCtr/+gamrpKZCOR5KagrSupco5IJvx6E029xvhVM4FxQnuUKbw/2jlze7Os7pC76Yn&#10;nFnRoEkPqo3sM7Us6VChvQsLAO8doLGFAehBH6BMibfaN+mPlBjsqPXzob6JTkJ5ejKZzsfHnEnY&#10;jk9n8wkO4C9e3J0P8YuihiWh5B4NzHUVu+sQO+gASbdZuqqNyU00lu1LPjuejrLDwQJyYxNW5XHo&#10;aVJKXehZis9GJYyx35RGOXIGSZEHUV0Yz3YCIySkVDbm5DMv0AmlEcR7HHv8S1Tvce7yGG4mGw/O&#10;TW3J5+zfhF39GELWHR41f5V3EmO7bvtWr6l6Rqc9ddsSnLyq0Y1rEeKd8FgPNBcrH2/x0YZQdeol&#10;zjbkf/1Nn/CYWlg522PdSh5+boVXnJmvFvM8no1G2GdsaD5C8FmYzafzpF4ParttLgidGONdcTKL&#10;CRzNIGpPzSMehVW6ECZhJa4t+XoQL2K3/3hUpFqtMgjL6ES8tvdOJurUmDRmD+2j8K6fxYgxvqFh&#10;J8XizUh22ORpabWNpOs8r6m2XUH7mmOR88T3j056KV6fM+rlaVz+BgAA//8DAFBLAwQUAAYACAAA&#10;ACEAe3P4Et8AAAALAQAADwAAAGRycy9kb3ducmV2LnhtbEyPQUvDQBSE74L/YXmCN7vJxkqI2RSR&#10;iFBPVkvx9po8N6HZtyG7beO/d3vS4zDDzDflaraDONHke8ca0kUCgrhxbc9Gw+fHy10OwgfkFgfH&#10;pOGHPKyq66sSi9ad+Z1Om2BELGFfoIYuhLGQ0jcdWfQLNxJH79tNFkOUk5HthOdYbgepkuRBWuw5&#10;LnQ40nNHzWFztBrqNb/Sm8nM+p7rnauXB9x+JVrf3sxPjyACzeEvDBf8iA5VZNq7I7deDFGrSB40&#10;qCxPQVwCaa4UiL2GPEuXIKtS/v9Q/QIAAP//AwBQSwECLQAUAAYACAAAACEAtoM4kv4AAADhAQAA&#10;EwAAAAAAAAAAAAAAAAAAAAAAW0NvbnRlbnRfVHlwZXNdLnhtbFBLAQItABQABgAIAAAAIQA4/SH/&#10;1gAAAJQBAAALAAAAAAAAAAAAAAAAAC8BAABfcmVscy8ucmVsc1BLAQItABQABgAIAAAAIQBri+4w&#10;gQIAAGIFAAAOAAAAAAAAAAAAAAAAAC4CAABkcnMvZTJvRG9jLnhtbFBLAQItABQABgAIAAAAIQB7&#10;c/gS3wAAAAsBAAAPAAAAAAAAAAAAAAAAANsEAABkcnMvZG93bnJldi54bWxQSwUGAAAAAAQABADz&#10;AAAA5wUAAAAA&#10;" filled="f" stroked="f" strokeweight=".5pt">
                    <v:textbox inset="126pt,0,54pt,0">
                      <w:txbxContent>
                        <w:p w:rsidR="003F1C95" w:rsidRDefault="00896429" w:rsidP="00896429">
                          <w:pPr>
                            <w:rPr>
                              <w:color w:val="5B9BD5" w:themeColor="accent1"/>
                              <w:sz w:val="64"/>
                              <w:szCs w:val="64"/>
                            </w:rPr>
                          </w:pPr>
                          <w:sdt>
                            <w:sdtPr>
                              <w:rPr>
                                <w:rFonts w:ascii="Times New Roman" w:eastAsia="Calibri" w:hAnsi="Times New Roman" w:cs="Times New Roman"/>
                                <w:b/>
                                <w:sz w:val="48"/>
                                <w:szCs w:val="48"/>
                              </w:rPr>
                              <w:alias w:val="Title"/>
                              <w:tag w:val=""/>
                              <w:id w:val="-229611754"/>
                              <w:dataBinding w:prefixMappings="xmlns:ns0='http://purl.org/dc/elements/1.1/' xmlns:ns1='http://schemas.openxmlformats.org/package/2006/metadata/core-properties' " w:xpath="/ns1:coreProperties[1]/ns0:title[1]" w:storeItemID="{6C3C8BC8-F283-45AE-878A-BAB7291924A1}"/>
                              <w:text w:multiLine="1"/>
                            </w:sdtPr>
                            <w:sdtContent>
                              <w:r w:rsidRPr="00896429">
                                <w:rPr>
                                  <w:rFonts w:ascii="Times New Roman" w:eastAsia="Calibri" w:hAnsi="Times New Roman" w:cs="Times New Roman"/>
                                  <w:b/>
                                  <w:sz w:val="48"/>
                                  <w:szCs w:val="48"/>
                                </w:rPr>
                                <w:t>Research and case scenario</w:t>
                              </w:r>
                              <w:r>
                                <w:rPr>
                                  <w:rFonts w:ascii="Times New Roman" w:eastAsia="Calibri" w:hAnsi="Times New Roman" w:cs="Times New Roman"/>
                                  <w:b/>
                                  <w:sz w:val="48"/>
                                  <w:szCs w:val="48"/>
                                </w:rPr>
                                <w:br/>
                              </w:r>
                              <w:r w:rsidRPr="00896429">
                                <w:rPr>
                                  <w:rFonts w:ascii="Times New Roman" w:eastAsia="Calibri" w:hAnsi="Times New Roman" w:cs="Times New Roman"/>
                                  <w:b/>
                                  <w:sz w:val="48"/>
                                  <w:szCs w:val="48"/>
                                </w:rPr>
                                <w:t>in Data Security and</w:t>
                              </w:r>
                              <w:r>
                                <w:rPr>
                                  <w:rFonts w:ascii="Times New Roman" w:eastAsia="Calibri" w:hAnsi="Times New Roman" w:cs="Times New Roman"/>
                                  <w:b/>
                                  <w:sz w:val="48"/>
                                  <w:szCs w:val="48"/>
                                </w:rPr>
                                <w:br/>
                              </w:r>
                              <w:r w:rsidRPr="00896429">
                                <w:rPr>
                                  <w:rFonts w:ascii="Times New Roman" w:eastAsia="Calibri" w:hAnsi="Times New Roman" w:cs="Times New Roman"/>
                                  <w:b/>
                                  <w:sz w:val="48"/>
                                  <w:szCs w:val="48"/>
                                </w:rPr>
                                <w:t>Compliance</w:t>
                              </w:r>
                              <w:r w:rsidR="005F7E6A">
                                <w:rPr>
                                  <w:rFonts w:ascii="Times New Roman" w:eastAsia="Calibri" w:hAnsi="Times New Roman" w:cs="Times New Roman"/>
                                  <w:b/>
                                  <w:sz w:val="48"/>
                                  <w:szCs w:val="48"/>
                                </w:rPr>
                                <w:t xml:space="preserve">. </w:t>
                              </w:r>
                              <w:r w:rsidRPr="00896429">
                                <w:rPr>
                                  <w:rFonts w:ascii="Times New Roman" w:eastAsia="Calibri" w:hAnsi="Times New Roman" w:cs="Times New Roman"/>
                                  <w:b/>
                                  <w:sz w:val="48"/>
                                  <w:szCs w:val="48"/>
                                </w:rPr>
                                <w:t xml:space="preserve"> </w:t>
                              </w:r>
                              <w:r w:rsidR="005F7E6A">
                                <w:rPr>
                                  <w:rFonts w:ascii="Times New Roman" w:eastAsia="Calibri" w:hAnsi="Times New Roman" w:cs="Times New Roman"/>
                                  <w:b/>
                                  <w:sz w:val="48"/>
                                  <w:szCs w:val="48"/>
                                </w:rPr>
                                <w:br/>
                                <w:t>“</w:t>
                              </w:r>
                              <w:r w:rsidRPr="00896429">
                                <w:rPr>
                                  <w:rFonts w:ascii="Times New Roman" w:eastAsia="Calibri" w:hAnsi="Times New Roman" w:cs="Times New Roman"/>
                                  <w:b/>
                                  <w:sz w:val="48"/>
                                  <w:szCs w:val="48"/>
                                </w:rPr>
                                <w:t>Compliance in a Fragmented Regulatory Landscape: Navigating GDPR, DORA, and NIS2 for Critical Infrastructure</w:t>
                              </w:r>
                              <w:r w:rsidR="005F7E6A">
                                <w:rPr>
                                  <w:rFonts w:ascii="Times New Roman" w:eastAsia="Calibri" w:hAnsi="Times New Roman" w:cs="Times New Roman"/>
                                  <w:b/>
                                  <w:sz w:val="48"/>
                                  <w:szCs w:val="48"/>
                                </w:rPr>
                                <w:t>”</w:t>
                              </w:r>
                            </w:sdtContent>
                          </w:sdt>
                        </w:p>
                        <w:sdt>
                          <w:sdtPr>
                            <w:rPr>
                              <w:rFonts w:ascii="Times New Roman" w:eastAsia="Calibri" w:hAnsi="Times New Roman" w:cs="Times New Roman"/>
                              <w:b/>
                              <w:sz w:val="36"/>
                              <w:szCs w:val="36"/>
                            </w:rPr>
                            <w:alias w:val="Subtitle"/>
                            <w:tag w:val=""/>
                            <w:id w:val="515891735"/>
                            <w:dataBinding w:prefixMappings="xmlns:ns0='http://purl.org/dc/elements/1.1/' xmlns:ns1='http://schemas.openxmlformats.org/package/2006/metadata/core-properties' " w:xpath="/ns1:coreProperties[1]/ns0:subject[1]" w:storeItemID="{6C3C8BC8-F283-45AE-878A-BAB7291924A1}"/>
                            <w:text/>
                          </w:sdtPr>
                          <w:sdtContent>
                            <w:p w:rsidR="003F1C95" w:rsidRDefault="003F1C95">
                              <w:pPr>
                                <w:jc w:val="right"/>
                                <w:rPr>
                                  <w:smallCaps/>
                                  <w:color w:val="404040" w:themeColor="text1" w:themeTint="BF"/>
                                  <w:sz w:val="36"/>
                                  <w:szCs w:val="36"/>
                                </w:rPr>
                              </w:pPr>
                              <w:r w:rsidRPr="00896429">
                                <w:rPr>
                                  <w:rFonts w:ascii="Times New Roman" w:eastAsia="Calibri" w:hAnsi="Times New Roman" w:cs="Times New Roman"/>
                                  <w:b/>
                                  <w:sz w:val="36"/>
                                  <w:szCs w:val="36"/>
                                </w:rPr>
                                <w:t>Task 2 – Designing a Future-Oriented Cybersecurity Programme Using the Equifax Case</w:t>
                              </w:r>
                            </w:p>
                          </w:sdtContent>
                        </w:sdt>
                      </w:txbxContent>
                    </v:textbox>
                    <w10:wrap type="square" anchorx="page" anchory="page"/>
                  </v:shape>
                </w:pict>
              </mc:Fallback>
            </mc:AlternateContent>
          </w:r>
          <w:r w:rsidR="00896429" w:rsidRPr="00896429">
            <w:rPr>
              <w:b/>
              <w:caps/>
              <w:color w:val="000000" w:themeColor="text1"/>
              <w:sz w:val="26"/>
              <w:szCs w:val="26"/>
            </w:rPr>
            <w:t>Module NaMe: Software solutions for business</w:t>
          </w:r>
        </w:p>
        <w:p w:rsidR="00896429" w:rsidRDefault="00896429" w:rsidP="00896429">
          <w:pPr>
            <w:rPr>
              <w:rFonts w:ascii="Arial" w:hAnsi="Arial" w:cs="Arial"/>
              <w:b/>
              <w:caps/>
              <w:color w:val="000000" w:themeColor="text1"/>
              <w:sz w:val="28"/>
              <w:szCs w:val="28"/>
            </w:rPr>
          </w:pPr>
        </w:p>
        <w:p w:rsidR="00FF1BFE" w:rsidRDefault="00FF1BFE" w:rsidP="00896429">
          <w:pPr>
            <w:rPr>
              <w:rFonts w:ascii="Arial" w:hAnsi="Arial" w:cs="Arial"/>
              <w:b/>
              <w:caps/>
              <w:color w:val="000000" w:themeColor="text1"/>
              <w:sz w:val="28"/>
              <w:szCs w:val="28"/>
            </w:rPr>
          </w:pPr>
          <w:r w:rsidRPr="00FF1BFE">
            <w:rPr>
              <w:rFonts w:ascii="Arial" w:hAnsi="Arial" w:cs="Arial"/>
              <w:b/>
              <w:caps/>
              <w:color w:val="000000" w:themeColor="text1"/>
              <w:sz w:val="28"/>
              <w:szCs w:val="28"/>
            </w:rPr>
            <w:t>Data Security and Compliance</w:t>
          </w:r>
        </w:p>
        <w:p w:rsidR="00896429" w:rsidRDefault="00896429" w:rsidP="00896429">
          <w:pPr>
            <w:rPr>
              <w:rFonts w:ascii="Arial" w:hAnsi="Arial" w:cs="Arial"/>
              <w:b/>
              <w:caps/>
              <w:color w:val="000000" w:themeColor="text1"/>
              <w:sz w:val="28"/>
              <w:szCs w:val="28"/>
            </w:rPr>
          </w:pPr>
          <w:r>
            <w:rPr>
              <w:rFonts w:ascii="Arial" w:hAnsi="Arial" w:cs="Arial"/>
              <w:b/>
              <w:caps/>
              <w:color w:val="000000" w:themeColor="text1"/>
              <w:sz w:val="28"/>
              <w:szCs w:val="28"/>
            </w:rPr>
            <w:t>Module Code: ACCA</w:t>
          </w:r>
          <w:r w:rsidRPr="00896429">
            <w:t xml:space="preserve"> </w:t>
          </w:r>
          <w:r w:rsidRPr="00896429">
            <w:rPr>
              <w:rFonts w:ascii="Arial" w:hAnsi="Arial" w:cs="Arial"/>
              <w:b/>
              <w:caps/>
              <w:color w:val="000000" w:themeColor="text1"/>
              <w:sz w:val="28"/>
              <w:szCs w:val="28"/>
            </w:rPr>
            <w:t>5034</w:t>
          </w:r>
        </w:p>
        <w:p w:rsidR="005F7E6A" w:rsidRPr="00896429" w:rsidRDefault="005F7E6A" w:rsidP="00896429">
          <w:pPr>
            <w:rPr>
              <w:rFonts w:ascii="Arial" w:hAnsi="Arial" w:cs="Arial"/>
              <w:b/>
              <w:caps/>
              <w:color w:val="000000" w:themeColor="text1"/>
              <w:sz w:val="28"/>
              <w:szCs w:val="28"/>
            </w:rPr>
          </w:pPr>
          <w:r w:rsidRPr="005F7E6A">
            <w:rPr>
              <w:rFonts w:ascii="Arial" w:hAnsi="Arial" w:cs="Arial"/>
              <w:b/>
              <w:caps/>
              <w:color w:val="000000" w:themeColor="text1"/>
              <w:sz w:val="28"/>
              <w:szCs w:val="28"/>
            </w:rPr>
            <w:t>Computing Portfolio</w:t>
          </w:r>
        </w:p>
        <w:p w:rsidR="00896429" w:rsidRPr="00896429" w:rsidRDefault="00896429" w:rsidP="00896429">
          <w:pPr>
            <w:rPr>
              <w:b/>
              <w:caps/>
              <w:color w:val="000000" w:themeColor="text1"/>
              <w:sz w:val="28"/>
              <w:szCs w:val="26"/>
            </w:rPr>
          </w:pPr>
          <w:r w:rsidRPr="00896429">
            <w:rPr>
              <w:rFonts w:ascii="Arial" w:hAnsi="Arial" w:cs="Arial"/>
              <w:b/>
              <w:caps/>
              <w:color w:val="000000" w:themeColor="text1"/>
              <w:sz w:val="28"/>
              <w:szCs w:val="28"/>
            </w:rPr>
            <w:t>Lecturer:</w:t>
          </w:r>
          <w:r>
            <w:rPr>
              <w:rFonts w:ascii="Arial" w:hAnsi="Arial" w:cs="Arial"/>
              <w:b/>
              <w:sz w:val="28"/>
              <w:szCs w:val="28"/>
            </w:rPr>
            <w:t xml:space="preserve"> </w:t>
          </w:r>
          <w:proofErr w:type="spellStart"/>
          <w:r>
            <w:rPr>
              <w:rFonts w:ascii="Arial" w:hAnsi="Arial" w:cs="Arial"/>
              <w:b/>
              <w:sz w:val="28"/>
              <w:szCs w:val="28"/>
            </w:rPr>
            <w:t>Dr.</w:t>
          </w:r>
          <w:proofErr w:type="spellEnd"/>
          <w:r w:rsidRPr="00896429">
            <w:t xml:space="preserve"> </w:t>
          </w:r>
          <w:proofErr w:type="spellStart"/>
          <w:r w:rsidRPr="00896429">
            <w:rPr>
              <w:rFonts w:ascii="Arial" w:hAnsi="Arial" w:cs="Arial"/>
              <w:b/>
              <w:sz w:val="28"/>
              <w:szCs w:val="28"/>
            </w:rPr>
            <w:t>Dipo</w:t>
          </w:r>
          <w:proofErr w:type="spellEnd"/>
          <w:r w:rsidRPr="00896429">
            <w:rPr>
              <w:rFonts w:ascii="Arial" w:hAnsi="Arial" w:cs="Arial"/>
              <w:b/>
              <w:sz w:val="28"/>
              <w:szCs w:val="28"/>
            </w:rPr>
            <w:t xml:space="preserve"> </w:t>
          </w:r>
          <w:proofErr w:type="spellStart"/>
          <w:r w:rsidRPr="00896429">
            <w:rPr>
              <w:rFonts w:ascii="Arial" w:hAnsi="Arial" w:cs="Arial"/>
              <w:b/>
              <w:sz w:val="28"/>
              <w:szCs w:val="28"/>
            </w:rPr>
            <w:t>Dunsin</w:t>
          </w:r>
          <w:proofErr w:type="spellEnd"/>
          <w:r>
            <w:rPr>
              <w:rFonts w:ascii="Arial" w:hAnsi="Arial" w:cs="Arial"/>
              <w:b/>
              <w:sz w:val="28"/>
              <w:szCs w:val="28"/>
            </w:rPr>
            <w:t xml:space="preserve"> </w:t>
          </w:r>
        </w:p>
        <w:p w:rsidR="00896429" w:rsidRPr="00896429" w:rsidRDefault="00896429" w:rsidP="00896429">
          <w:pPr>
            <w:rPr>
              <w:b/>
              <w:caps/>
              <w:color w:val="000000" w:themeColor="text1"/>
              <w:sz w:val="28"/>
              <w:szCs w:val="26"/>
            </w:rPr>
          </w:pPr>
        </w:p>
        <w:p w:rsidR="00896429" w:rsidRPr="00896429" w:rsidRDefault="00896429" w:rsidP="00896429">
          <w:pPr>
            <w:rPr>
              <w:b/>
              <w:caps/>
              <w:color w:val="000000" w:themeColor="text1"/>
              <w:sz w:val="28"/>
              <w:szCs w:val="26"/>
            </w:rPr>
          </w:pPr>
        </w:p>
        <w:p w:rsidR="00896429" w:rsidRPr="00896429" w:rsidRDefault="00896429" w:rsidP="00896429">
          <w:pPr>
            <w:rPr>
              <w:b/>
              <w:caps/>
              <w:color w:val="000000" w:themeColor="text1"/>
              <w:sz w:val="28"/>
              <w:szCs w:val="26"/>
            </w:rPr>
          </w:pPr>
          <w:r w:rsidRPr="00896429">
            <w:rPr>
              <w:b/>
              <w:caps/>
              <w:color w:val="000000" w:themeColor="text1"/>
              <w:sz w:val="28"/>
              <w:szCs w:val="26"/>
            </w:rPr>
            <w:t>Student Name Robel Gebregziabher</w:t>
          </w:r>
        </w:p>
        <w:p w:rsidR="00896429" w:rsidRPr="00896429" w:rsidRDefault="00896429" w:rsidP="00896429">
          <w:pPr>
            <w:rPr>
              <w:rFonts w:ascii="Arial" w:hAnsi="Arial" w:cs="Arial"/>
              <w:b/>
              <w:caps/>
              <w:color w:val="000000" w:themeColor="text1"/>
              <w:sz w:val="26"/>
              <w:szCs w:val="26"/>
            </w:rPr>
          </w:pPr>
          <w:r w:rsidRPr="00896429">
            <w:rPr>
              <w:b/>
              <w:caps/>
              <w:color w:val="000000" w:themeColor="text1"/>
              <w:sz w:val="28"/>
              <w:szCs w:val="26"/>
            </w:rPr>
            <w:t>Student Id 2427640</w:t>
          </w:r>
        </w:p>
        <w:p w:rsidR="00896429" w:rsidRDefault="00896429">
          <w:pPr>
            <w:rPr>
              <w:rFonts w:ascii="Times New Roman" w:hAnsi="Times New Roman" w:cs="Times New Roman"/>
              <w:b/>
              <w:sz w:val="48"/>
              <w:szCs w:val="48"/>
            </w:rPr>
          </w:pPr>
        </w:p>
        <w:p w:rsidR="00896429" w:rsidRPr="00896429" w:rsidRDefault="00896429" w:rsidP="00896429">
          <w:pPr>
            <w:spacing w:after="40" w:line="240" w:lineRule="auto"/>
            <w:jc w:val="center"/>
            <w:rPr>
              <w:rFonts w:eastAsiaTheme="minorEastAsia"/>
              <w:caps/>
              <w:sz w:val="28"/>
              <w:szCs w:val="28"/>
              <w:lang w:val="en-US"/>
            </w:rPr>
          </w:pPr>
          <w:sdt>
            <w:sdtPr>
              <w:rPr>
                <w:rFonts w:eastAsiaTheme="minorEastAsia"/>
                <w:caps/>
                <w:sz w:val="28"/>
                <w:szCs w:val="28"/>
                <w:lang w:val="en-US"/>
              </w:rPr>
              <w:alias w:val="Date"/>
              <w:tag w:val=""/>
              <w:id w:val="-760988843"/>
              <w:showingPlcHdr/>
              <w:dataBinding w:prefixMappings="xmlns:ns0='http://schemas.microsoft.com/office/2006/coverPageProps' " w:xpath="/ns0:CoverPageProperties[1]/ns0:PublishDate[1]" w:storeItemID="{55AF091B-3C7A-41E3-B477-F2FDAA23CFDA}"/>
              <w:date w:fullDate="2025-04-10T00:00:00Z">
                <w:dateFormat w:val="MMMM d, yyyy"/>
                <w:lid w:val="en-US"/>
                <w:storeMappedDataAs w:val="dateTime"/>
                <w:calendar w:val="gregorian"/>
              </w:date>
            </w:sdtPr>
            <w:sdtContent>
              <w:r>
                <w:rPr>
                  <w:rFonts w:eastAsiaTheme="minorEastAsia"/>
                  <w:caps/>
                  <w:sz w:val="28"/>
                  <w:szCs w:val="28"/>
                  <w:lang w:val="en-US"/>
                </w:rPr>
                <w:t xml:space="preserve">     </w:t>
              </w:r>
            </w:sdtContent>
          </w:sdt>
        </w:p>
        <w:p w:rsidR="00896429" w:rsidRPr="00896429" w:rsidRDefault="00896429" w:rsidP="00896429">
          <w:pPr>
            <w:spacing w:after="0" w:line="240" w:lineRule="auto"/>
            <w:jc w:val="center"/>
            <w:rPr>
              <w:rFonts w:eastAsiaTheme="minorEastAsia"/>
              <w:b/>
              <w:caps/>
              <w:sz w:val="26"/>
              <w:szCs w:val="26"/>
              <w:lang w:val="en-US"/>
            </w:rPr>
          </w:pPr>
          <w:r w:rsidRPr="00896429">
            <w:rPr>
              <w:rFonts w:eastAsiaTheme="minorEastAsia"/>
              <w:b/>
              <w:caps/>
              <w:sz w:val="26"/>
              <w:szCs w:val="26"/>
              <w:lang w:val="en-US"/>
            </w:rPr>
            <w:t>Trinity saint david University of Wales</w:t>
          </w:r>
        </w:p>
        <w:p w:rsidR="00896429" w:rsidRPr="00896429" w:rsidRDefault="00896429" w:rsidP="00896429">
          <w:pPr>
            <w:pStyle w:val="NoSpacing"/>
            <w:jc w:val="center"/>
            <w:rPr>
              <w:rFonts w:ascii="Times New Roman" w:hAnsi="Times New Roman" w:cs="Times New Roman"/>
              <w:b/>
              <w:sz w:val="48"/>
              <w:szCs w:val="48"/>
            </w:rPr>
          </w:pPr>
          <w:r w:rsidRPr="00896429">
            <w:rPr>
              <w:b/>
              <w:caps/>
              <w:sz w:val="26"/>
              <w:szCs w:val="26"/>
            </w:rPr>
            <w:t>london Campus</w:t>
          </w:r>
          <w:r w:rsidRPr="00896429">
            <w:rPr>
              <w:b/>
              <w:caps/>
              <w:sz w:val="26"/>
              <w:szCs w:val="26"/>
            </w:rPr>
            <w:t xml:space="preserve"> </w:t>
          </w:r>
          <w:sdt>
            <w:sdtPr>
              <w:rPr>
                <w:b/>
                <w:caps/>
                <w:sz w:val="26"/>
                <w:szCs w:val="26"/>
              </w:rPr>
              <w:alias w:val="Address"/>
              <w:tag w:val=""/>
              <w:id w:val="-2102782209"/>
              <w:showingPlcHdr/>
              <w:dataBinding w:prefixMappings="xmlns:ns0='http://schemas.microsoft.com/office/2006/coverPageProps' " w:xpath="/ns0:CoverPageProperties[1]/ns0:CompanyAddress[1]" w:storeItemID="{55AF091B-3C7A-41E3-B477-F2FDAA23CFDA}"/>
              <w:text/>
            </w:sdtPr>
            <w:sdtContent>
              <w:r w:rsidRPr="00896429">
                <w:rPr>
                  <w:b/>
                  <w:caps/>
                  <w:sz w:val="26"/>
                  <w:szCs w:val="26"/>
                </w:rPr>
                <w:t xml:space="preserve">     </w:t>
              </w:r>
            </w:sdtContent>
          </w:sdt>
          <w:r w:rsidRPr="00896429">
            <w:rPr>
              <w:rFonts w:ascii="Times New Roman" w:hAnsi="Times New Roman" w:cs="Times New Roman"/>
              <w:b/>
              <w:sz w:val="48"/>
              <w:szCs w:val="48"/>
            </w:rPr>
            <w:t xml:space="preserve"> </w:t>
          </w:r>
        </w:p>
        <w:p w:rsidR="00896429" w:rsidRPr="00FF1BFE" w:rsidRDefault="00FF1BFE" w:rsidP="00FF1BFE">
          <w:pPr>
            <w:pStyle w:val="NoSpacing"/>
            <w:tabs>
              <w:tab w:val="left" w:pos="3635"/>
            </w:tabs>
            <w:rPr>
              <w:rFonts w:ascii="Times New Roman" w:hAnsi="Times New Roman" w:cs="Times New Roman"/>
              <w:b/>
              <w:sz w:val="28"/>
              <w:szCs w:val="28"/>
            </w:rPr>
          </w:pPr>
          <w:r>
            <w:rPr>
              <w:rFonts w:ascii="Times New Roman" w:hAnsi="Times New Roman" w:cs="Times New Roman"/>
              <w:b/>
              <w:sz w:val="48"/>
              <w:szCs w:val="48"/>
            </w:rPr>
            <w:tab/>
          </w:r>
          <w:r w:rsidRPr="00FF1BFE">
            <w:rPr>
              <w:rFonts w:ascii="Times New Roman" w:hAnsi="Times New Roman" w:cs="Times New Roman"/>
              <w:b/>
              <w:sz w:val="28"/>
              <w:szCs w:val="28"/>
            </w:rPr>
            <w:t>August</w:t>
          </w:r>
          <w:bookmarkStart w:id="0" w:name="_GoBack"/>
          <w:bookmarkEnd w:id="0"/>
          <w:r w:rsidRPr="00FF1BFE">
            <w:rPr>
              <w:rFonts w:ascii="Times New Roman" w:hAnsi="Times New Roman" w:cs="Times New Roman"/>
              <w:b/>
              <w:sz w:val="28"/>
              <w:szCs w:val="28"/>
            </w:rPr>
            <w:t>11,2026</w:t>
          </w:r>
        </w:p>
        <w:p w:rsidR="003F1C95" w:rsidRPr="00896429" w:rsidRDefault="003F1C95" w:rsidP="00896429">
          <w:pPr>
            <w:pStyle w:val="NoSpacing"/>
            <w:jc w:val="center"/>
            <w:rPr>
              <w:rFonts w:ascii="Times New Roman" w:hAnsi="Times New Roman" w:cs="Times New Roman"/>
              <w:b/>
              <w:sz w:val="48"/>
              <w:szCs w:val="48"/>
            </w:rPr>
          </w:pPr>
        </w:p>
      </w:sdtContent>
    </w:sdt>
    <w:p w:rsidR="00BA707B" w:rsidRDefault="00BA707B" w:rsidP="004B2CFD">
      <w:pPr>
        <w:rPr>
          <w:rFonts w:ascii="Times New Roman" w:hAnsi="Times New Roman" w:cs="Times New Roman"/>
          <w:b/>
          <w:sz w:val="48"/>
          <w:szCs w:val="48"/>
        </w:rPr>
      </w:pPr>
    </w:p>
    <w:bookmarkStart w:id="1" w:name="_Toc237227025" w:displacedByCustomXml="next"/>
    <w:sdt>
      <w:sdtPr>
        <w:id w:val="1908566112"/>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rsidR="00BA707B" w:rsidRPr="00FF1BFE" w:rsidRDefault="00FF1BFE" w:rsidP="00BA707B">
          <w:pPr>
            <w:pStyle w:val="Heading1"/>
            <w:rPr>
              <w:b/>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 xml:space="preserve">                                          </w:t>
          </w:r>
          <w:r w:rsidR="00BA707B" w:rsidRPr="00FF1BFE">
            <w:rPr>
              <w:b/>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 of Contents</w:t>
          </w:r>
          <w:bookmarkEnd w:id="1"/>
        </w:p>
        <w:p w:rsidR="003F1C95" w:rsidRDefault="00BA707B">
          <w:pPr>
            <w:pStyle w:val="TOC1"/>
            <w:tabs>
              <w:tab w:val="right" w:leader="dot" w:pos="9016"/>
            </w:tabs>
            <w:rPr>
              <w:noProof/>
            </w:rPr>
          </w:pPr>
          <w:r>
            <w:fldChar w:fldCharType="begin"/>
          </w:r>
          <w:r>
            <w:instrText xml:space="preserve"> TOC \o "1-3" \h \z \u </w:instrText>
          </w:r>
          <w:r>
            <w:fldChar w:fldCharType="separate"/>
          </w:r>
          <w:hyperlink w:anchor="_Toc237227025" w:history="1">
            <w:r w:rsidR="003F1C95" w:rsidRPr="00E81605">
              <w:rPr>
                <w:rStyle w:val="Hyperlink"/>
                <w:noProof/>
              </w:rPr>
              <w:t>Table of Contents</w:t>
            </w:r>
            <w:r w:rsidR="003F1C95">
              <w:rPr>
                <w:noProof/>
                <w:webHidden/>
              </w:rPr>
              <w:tab/>
            </w:r>
            <w:r w:rsidR="003F1C95">
              <w:rPr>
                <w:noProof/>
                <w:webHidden/>
              </w:rPr>
              <w:fldChar w:fldCharType="begin"/>
            </w:r>
            <w:r w:rsidR="003F1C95">
              <w:rPr>
                <w:noProof/>
                <w:webHidden/>
              </w:rPr>
              <w:instrText xml:space="preserve"> PAGEREF _Toc237227025 \h </w:instrText>
            </w:r>
            <w:r w:rsidR="003F1C95">
              <w:rPr>
                <w:noProof/>
                <w:webHidden/>
              </w:rPr>
            </w:r>
            <w:r w:rsidR="003F1C95">
              <w:rPr>
                <w:noProof/>
                <w:webHidden/>
              </w:rPr>
              <w:fldChar w:fldCharType="separate"/>
            </w:r>
            <w:r w:rsidR="003F1C95">
              <w:rPr>
                <w:noProof/>
                <w:webHidden/>
              </w:rPr>
              <w:t>1</w:t>
            </w:r>
            <w:r w:rsidR="003F1C95">
              <w:rPr>
                <w:noProof/>
                <w:webHidden/>
              </w:rPr>
              <w:fldChar w:fldCharType="end"/>
            </w:r>
          </w:hyperlink>
        </w:p>
        <w:p w:rsidR="003F1C95" w:rsidRDefault="003F1C95">
          <w:pPr>
            <w:pStyle w:val="TOC1"/>
            <w:tabs>
              <w:tab w:val="right" w:leader="dot" w:pos="9016"/>
            </w:tabs>
            <w:rPr>
              <w:noProof/>
            </w:rPr>
          </w:pPr>
          <w:hyperlink w:anchor="_Toc237227026" w:history="1">
            <w:r w:rsidRPr="00E81605">
              <w:rPr>
                <w:rStyle w:val="Hyperlink"/>
                <w:noProof/>
              </w:rPr>
              <w:t>Abstract</w:t>
            </w:r>
            <w:r>
              <w:rPr>
                <w:noProof/>
                <w:webHidden/>
              </w:rPr>
              <w:tab/>
            </w:r>
            <w:r>
              <w:rPr>
                <w:noProof/>
                <w:webHidden/>
              </w:rPr>
              <w:fldChar w:fldCharType="begin"/>
            </w:r>
            <w:r>
              <w:rPr>
                <w:noProof/>
                <w:webHidden/>
              </w:rPr>
              <w:instrText xml:space="preserve"> PAGEREF _Toc237227026 \h </w:instrText>
            </w:r>
            <w:r>
              <w:rPr>
                <w:noProof/>
                <w:webHidden/>
              </w:rPr>
            </w:r>
            <w:r>
              <w:rPr>
                <w:noProof/>
                <w:webHidden/>
              </w:rPr>
              <w:fldChar w:fldCharType="separate"/>
            </w:r>
            <w:r>
              <w:rPr>
                <w:noProof/>
                <w:webHidden/>
              </w:rPr>
              <w:t>2</w:t>
            </w:r>
            <w:r>
              <w:rPr>
                <w:noProof/>
                <w:webHidden/>
              </w:rPr>
              <w:fldChar w:fldCharType="end"/>
            </w:r>
          </w:hyperlink>
        </w:p>
        <w:p w:rsidR="003F1C95" w:rsidRDefault="003F1C95">
          <w:pPr>
            <w:pStyle w:val="TOC1"/>
            <w:tabs>
              <w:tab w:val="right" w:leader="dot" w:pos="9016"/>
            </w:tabs>
            <w:rPr>
              <w:noProof/>
            </w:rPr>
          </w:pPr>
          <w:hyperlink w:anchor="_Toc237227027" w:history="1">
            <w:r w:rsidRPr="00E81605">
              <w:rPr>
                <w:rStyle w:val="Hyperlink"/>
                <w:noProof/>
              </w:rPr>
              <w:t>Introduction</w:t>
            </w:r>
            <w:r>
              <w:rPr>
                <w:noProof/>
                <w:webHidden/>
              </w:rPr>
              <w:tab/>
            </w:r>
            <w:r>
              <w:rPr>
                <w:noProof/>
                <w:webHidden/>
              </w:rPr>
              <w:fldChar w:fldCharType="begin"/>
            </w:r>
            <w:r>
              <w:rPr>
                <w:noProof/>
                <w:webHidden/>
              </w:rPr>
              <w:instrText xml:space="preserve"> PAGEREF _Toc237227027 \h </w:instrText>
            </w:r>
            <w:r>
              <w:rPr>
                <w:noProof/>
                <w:webHidden/>
              </w:rPr>
            </w:r>
            <w:r>
              <w:rPr>
                <w:noProof/>
                <w:webHidden/>
              </w:rPr>
              <w:fldChar w:fldCharType="separate"/>
            </w:r>
            <w:r>
              <w:rPr>
                <w:noProof/>
                <w:webHidden/>
              </w:rPr>
              <w:t>3</w:t>
            </w:r>
            <w:r>
              <w:rPr>
                <w:noProof/>
                <w:webHidden/>
              </w:rPr>
              <w:fldChar w:fldCharType="end"/>
            </w:r>
          </w:hyperlink>
        </w:p>
        <w:p w:rsidR="003F1C95" w:rsidRDefault="003F1C95">
          <w:pPr>
            <w:pStyle w:val="TOC2"/>
            <w:tabs>
              <w:tab w:val="right" w:leader="dot" w:pos="9016"/>
            </w:tabs>
            <w:rPr>
              <w:noProof/>
            </w:rPr>
          </w:pPr>
          <w:hyperlink w:anchor="_Toc237227028" w:history="1">
            <w:r w:rsidRPr="00E81605">
              <w:rPr>
                <w:rStyle w:val="Hyperlink"/>
                <w:noProof/>
              </w:rPr>
              <w:t>1.1 The Changing Nature of Cybersecurity Compliance</w:t>
            </w:r>
            <w:r>
              <w:rPr>
                <w:noProof/>
                <w:webHidden/>
              </w:rPr>
              <w:tab/>
            </w:r>
            <w:r>
              <w:rPr>
                <w:noProof/>
                <w:webHidden/>
              </w:rPr>
              <w:fldChar w:fldCharType="begin"/>
            </w:r>
            <w:r>
              <w:rPr>
                <w:noProof/>
                <w:webHidden/>
              </w:rPr>
              <w:instrText xml:space="preserve"> PAGEREF _Toc237227028 \h </w:instrText>
            </w:r>
            <w:r>
              <w:rPr>
                <w:noProof/>
                <w:webHidden/>
              </w:rPr>
            </w:r>
            <w:r>
              <w:rPr>
                <w:noProof/>
                <w:webHidden/>
              </w:rPr>
              <w:fldChar w:fldCharType="separate"/>
            </w:r>
            <w:r>
              <w:rPr>
                <w:noProof/>
                <w:webHidden/>
              </w:rPr>
              <w:t>4</w:t>
            </w:r>
            <w:r>
              <w:rPr>
                <w:noProof/>
                <w:webHidden/>
              </w:rPr>
              <w:fldChar w:fldCharType="end"/>
            </w:r>
          </w:hyperlink>
        </w:p>
        <w:p w:rsidR="003F1C95" w:rsidRDefault="003F1C95">
          <w:pPr>
            <w:pStyle w:val="TOC2"/>
            <w:tabs>
              <w:tab w:val="right" w:leader="dot" w:pos="9016"/>
            </w:tabs>
            <w:rPr>
              <w:noProof/>
            </w:rPr>
          </w:pPr>
          <w:hyperlink w:anchor="_Toc237227029" w:history="1">
            <w:r w:rsidRPr="00E81605">
              <w:rPr>
                <w:rStyle w:val="Hyperlink"/>
                <w:noProof/>
              </w:rPr>
              <w:t>1.2 GDPR: Data Protection and Accountability</w:t>
            </w:r>
            <w:r>
              <w:rPr>
                <w:noProof/>
                <w:webHidden/>
              </w:rPr>
              <w:tab/>
            </w:r>
            <w:r>
              <w:rPr>
                <w:noProof/>
                <w:webHidden/>
              </w:rPr>
              <w:fldChar w:fldCharType="begin"/>
            </w:r>
            <w:r>
              <w:rPr>
                <w:noProof/>
                <w:webHidden/>
              </w:rPr>
              <w:instrText xml:space="preserve"> PAGEREF _Toc237227029 \h </w:instrText>
            </w:r>
            <w:r>
              <w:rPr>
                <w:noProof/>
                <w:webHidden/>
              </w:rPr>
            </w:r>
            <w:r>
              <w:rPr>
                <w:noProof/>
                <w:webHidden/>
              </w:rPr>
              <w:fldChar w:fldCharType="separate"/>
            </w:r>
            <w:r>
              <w:rPr>
                <w:noProof/>
                <w:webHidden/>
              </w:rPr>
              <w:t>4</w:t>
            </w:r>
            <w:r>
              <w:rPr>
                <w:noProof/>
                <w:webHidden/>
              </w:rPr>
              <w:fldChar w:fldCharType="end"/>
            </w:r>
          </w:hyperlink>
        </w:p>
        <w:p w:rsidR="003F1C95" w:rsidRDefault="003F1C95">
          <w:pPr>
            <w:pStyle w:val="TOC2"/>
            <w:tabs>
              <w:tab w:val="right" w:leader="dot" w:pos="9016"/>
            </w:tabs>
            <w:rPr>
              <w:noProof/>
            </w:rPr>
          </w:pPr>
          <w:hyperlink w:anchor="_Toc237227030" w:history="1">
            <w:r w:rsidRPr="00E81605">
              <w:rPr>
                <w:rStyle w:val="Hyperlink"/>
                <w:noProof/>
              </w:rPr>
              <w:t>1.3 DORA: From Cybersecurity to Digital Operational Durability</w:t>
            </w:r>
            <w:r>
              <w:rPr>
                <w:noProof/>
                <w:webHidden/>
              </w:rPr>
              <w:tab/>
            </w:r>
            <w:r>
              <w:rPr>
                <w:noProof/>
                <w:webHidden/>
              </w:rPr>
              <w:fldChar w:fldCharType="begin"/>
            </w:r>
            <w:r>
              <w:rPr>
                <w:noProof/>
                <w:webHidden/>
              </w:rPr>
              <w:instrText xml:space="preserve"> PAGEREF _Toc237227030 \h </w:instrText>
            </w:r>
            <w:r>
              <w:rPr>
                <w:noProof/>
                <w:webHidden/>
              </w:rPr>
            </w:r>
            <w:r>
              <w:rPr>
                <w:noProof/>
                <w:webHidden/>
              </w:rPr>
              <w:fldChar w:fldCharType="separate"/>
            </w:r>
            <w:r>
              <w:rPr>
                <w:noProof/>
                <w:webHidden/>
              </w:rPr>
              <w:t>5</w:t>
            </w:r>
            <w:r>
              <w:rPr>
                <w:noProof/>
                <w:webHidden/>
              </w:rPr>
              <w:fldChar w:fldCharType="end"/>
            </w:r>
          </w:hyperlink>
        </w:p>
        <w:p w:rsidR="003F1C95" w:rsidRDefault="003F1C95">
          <w:pPr>
            <w:pStyle w:val="TOC2"/>
            <w:tabs>
              <w:tab w:val="right" w:leader="dot" w:pos="9016"/>
            </w:tabs>
            <w:rPr>
              <w:noProof/>
            </w:rPr>
          </w:pPr>
          <w:hyperlink w:anchor="_Toc237227031" w:history="1">
            <w:r w:rsidRPr="00E81605">
              <w:rPr>
                <w:rStyle w:val="Hyperlink"/>
                <w:noProof/>
              </w:rPr>
              <w:t>1.4 NIS2 and Critical Infrastructure</w:t>
            </w:r>
            <w:r>
              <w:rPr>
                <w:noProof/>
                <w:webHidden/>
              </w:rPr>
              <w:tab/>
            </w:r>
            <w:r>
              <w:rPr>
                <w:noProof/>
                <w:webHidden/>
              </w:rPr>
              <w:fldChar w:fldCharType="begin"/>
            </w:r>
            <w:r>
              <w:rPr>
                <w:noProof/>
                <w:webHidden/>
              </w:rPr>
              <w:instrText xml:space="preserve"> PAGEREF _Toc237227031 \h </w:instrText>
            </w:r>
            <w:r>
              <w:rPr>
                <w:noProof/>
                <w:webHidden/>
              </w:rPr>
            </w:r>
            <w:r>
              <w:rPr>
                <w:noProof/>
                <w:webHidden/>
              </w:rPr>
              <w:fldChar w:fldCharType="separate"/>
            </w:r>
            <w:r>
              <w:rPr>
                <w:noProof/>
                <w:webHidden/>
              </w:rPr>
              <w:t>6</w:t>
            </w:r>
            <w:r>
              <w:rPr>
                <w:noProof/>
                <w:webHidden/>
              </w:rPr>
              <w:fldChar w:fldCharType="end"/>
            </w:r>
          </w:hyperlink>
        </w:p>
        <w:p w:rsidR="003F1C95" w:rsidRDefault="003F1C95">
          <w:pPr>
            <w:pStyle w:val="TOC2"/>
            <w:tabs>
              <w:tab w:val="right" w:leader="dot" w:pos="9016"/>
            </w:tabs>
            <w:rPr>
              <w:noProof/>
            </w:rPr>
          </w:pPr>
          <w:hyperlink w:anchor="_Toc237227032" w:history="1">
            <w:r w:rsidRPr="00E81605">
              <w:rPr>
                <w:rStyle w:val="Hyperlink"/>
                <w:noProof/>
              </w:rPr>
              <w:t>1.5 Comparing GDPR, DORA and NIS2</w:t>
            </w:r>
            <w:r>
              <w:rPr>
                <w:noProof/>
                <w:webHidden/>
              </w:rPr>
              <w:tab/>
            </w:r>
            <w:r>
              <w:rPr>
                <w:noProof/>
                <w:webHidden/>
              </w:rPr>
              <w:fldChar w:fldCharType="begin"/>
            </w:r>
            <w:r>
              <w:rPr>
                <w:noProof/>
                <w:webHidden/>
              </w:rPr>
              <w:instrText xml:space="preserve"> PAGEREF _Toc237227032 \h </w:instrText>
            </w:r>
            <w:r>
              <w:rPr>
                <w:noProof/>
                <w:webHidden/>
              </w:rPr>
            </w:r>
            <w:r>
              <w:rPr>
                <w:noProof/>
                <w:webHidden/>
              </w:rPr>
              <w:fldChar w:fldCharType="separate"/>
            </w:r>
            <w:r>
              <w:rPr>
                <w:noProof/>
                <w:webHidden/>
              </w:rPr>
              <w:t>6</w:t>
            </w:r>
            <w:r>
              <w:rPr>
                <w:noProof/>
                <w:webHidden/>
              </w:rPr>
              <w:fldChar w:fldCharType="end"/>
            </w:r>
          </w:hyperlink>
        </w:p>
        <w:p w:rsidR="003F1C95" w:rsidRDefault="003F1C95">
          <w:pPr>
            <w:pStyle w:val="TOC2"/>
            <w:tabs>
              <w:tab w:val="right" w:leader="dot" w:pos="9016"/>
            </w:tabs>
            <w:rPr>
              <w:noProof/>
            </w:rPr>
          </w:pPr>
          <w:hyperlink w:anchor="_Toc237227033" w:history="1">
            <w:r w:rsidRPr="00E81605">
              <w:rPr>
                <w:rStyle w:val="Hyperlink"/>
                <w:noProof/>
              </w:rPr>
              <w:t>1.6 The Problem of Regulatory Fragmentation</w:t>
            </w:r>
            <w:r>
              <w:rPr>
                <w:noProof/>
                <w:webHidden/>
              </w:rPr>
              <w:tab/>
            </w:r>
            <w:r>
              <w:rPr>
                <w:noProof/>
                <w:webHidden/>
              </w:rPr>
              <w:fldChar w:fldCharType="begin"/>
            </w:r>
            <w:r>
              <w:rPr>
                <w:noProof/>
                <w:webHidden/>
              </w:rPr>
              <w:instrText xml:space="preserve"> PAGEREF _Toc237227033 \h </w:instrText>
            </w:r>
            <w:r>
              <w:rPr>
                <w:noProof/>
                <w:webHidden/>
              </w:rPr>
            </w:r>
            <w:r>
              <w:rPr>
                <w:noProof/>
                <w:webHidden/>
              </w:rPr>
              <w:fldChar w:fldCharType="separate"/>
            </w:r>
            <w:r>
              <w:rPr>
                <w:noProof/>
                <w:webHidden/>
              </w:rPr>
              <w:t>7</w:t>
            </w:r>
            <w:r>
              <w:rPr>
                <w:noProof/>
                <w:webHidden/>
              </w:rPr>
              <w:fldChar w:fldCharType="end"/>
            </w:r>
          </w:hyperlink>
        </w:p>
        <w:p w:rsidR="003F1C95" w:rsidRDefault="003F1C95">
          <w:pPr>
            <w:pStyle w:val="TOC2"/>
            <w:tabs>
              <w:tab w:val="right" w:leader="dot" w:pos="9016"/>
            </w:tabs>
            <w:rPr>
              <w:noProof/>
            </w:rPr>
          </w:pPr>
          <w:hyperlink w:anchor="_Toc237227034" w:history="1">
            <w:r w:rsidRPr="00E81605">
              <w:rPr>
                <w:rStyle w:val="Hyperlink"/>
                <w:noProof/>
              </w:rPr>
              <w:t>1.7 A Unified Anticipate–Protect–Detect–Respond Model</w:t>
            </w:r>
            <w:r>
              <w:rPr>
                <w:noProof/>
                <w:webHidden/>
              </w:rPr>
              <w:tab/>
            </w:r>
            <w:r>
              <w:rPr>
                <w:noProof/>
                <w:webHidden/>
              </w:rPr>
              <w:fldChar w:fldCharType="begin"/>
            </w:r>
            <w:r>
              <w:rPr>
                <w:noProof/>
                <w:webHidden/>
              </w:rPr>
              <w:instrText xml:space="preserve"> PAGEREF _Toc237227034 \h </w:instrText>
            </w:r>
            <w:r>
              <w:rPr>
                <w:noProof/>
                <w:webHidden/>
              </w:rPr>
            </w:r>
            <w:r>
              <w:rPr>
                <w:noProof/>
                <w:webHidden/>
              </w:rPr>
              <w:fldChar w:fldCharType="separate"/>
            </w:r>
            <w:r>
              <w:rPr>
                <w:noProof/>
                <w:webHidden/>
              </w:rPr>
              <w:t>7</w:t>
            </w:r>
            <w:r>
              <w:rPr>
                <w:noProof/>
                <w:webHidden/>
              </w:rPr>
              <w:fldChar w:fldCharType="end"/>
            </w:r>
          </w:hyperlink>
        </w:p>
        <w:p w:rsidR="003F1C95" w:rsidRDefault="003F1C95">
          <w:pPr>
            <w:pStyle w:val="TOC2"/>
            <w:tabs>
              <w:tab w:val="right" w:leader="dot" w:pos="9016"/>
            </w:tabs>
            <w:rPr>
              <w:noProof/>
            </w:rPr>
          </w:pPr>
          <w:hyperlink w:anchor="_Toc237227035" w:history="1">
            <w:r w:rsidRPr="00E81605">
              <w:rPr>
                <w:rStyle w:val="Hyperlink"/>
                <w:noProof/>
              </w:rPr>
              <w:t>1.8 Persistent Monitoring and Compliance</w:t>
            </w:r>
            <w:r>
              <w:rPr>
                <w:noProof/>
                <w:webHidden/>
              </w:rPr>
              <w:tab/>
            </w:r>
            <w:r>
              <w:rPr>
                <w:noProof/>
                <w:webHidden/>
              </w:rPr>
              <w:fldChar w:fldCharType="begin"/>
            </w:r>
            <w:r>
              <w:rPr>
                <w:noProof/>
                <w:webHidden/>
              </w:rPr>
              <w:instrText xml:space="preserve"> PAGEREF _Toc237227035 \h </w:instrText>
            </w:r>
            <w:r>
              <w:rPr>
                <w:noProof/>
                <w:webHidden/>
              </w:rPr>
            </w:r>
            <w:r>
              <w:rPr>
                <w:noProof/>
                <w:webHidden/>
              </w:rPr>
              <w:fldChar w:fldCharType="separate"/>
            </w:r>
            <w:r>
              <w:rPr>
                <w:noProof/>
                <w:webHidden/>
              </w:rPr>
              <w:t>8</w:t>
            </w:r>
            <w:r>
              <w:rPr>
                <w:noProof/>
                <w:webHidden/>
              </w:rPr>
              <w:fldChar w:fldCharType="end"/>
            </w:r>
          </w:hyperlink>
        </w:p>
        <w:p w:rsidR="003F1C95" w:rsidRDefault="003F1C95">
          <w:pPr>
            <w:pStyle w:val="TOC2"/>
            <w:tabs>
              <w:tab w:val="right" w:leader="dot" w:pos="9016"/>
            </w:tabs>
            <w:rPr>
              <w:noProof/>
            </w:rPr>
          </w:pPr>
          <w:hyperlink w:anchor="_Toc237227036" w:history="1">
            <w:r w:rsidRPr="00E81605">
              <w:rPr>
                <w:rStyle w:val="Hyperlink"/>
                <w:noProof/>
              </w:rPr>
              <w:t>1.9 Critical Evaluation</w:t>
            </w:r>
            <w:r>
              <w:rPr>
                <w:noProof/>
                <w:webHidden/>
              </w:rPr>
              <w:tab/>
            </w:r>
            <w:r>
              <w:rPr>
                <w:noProof/>
                <w:webHidden/>
              </w:rPr>
              <w:fldChar w:fldCharType="begin"/>
            </w:r>
            <w:r>
              <w:rPr>
                <w:noProof/>
                <w:webHidden/>
              </w:rPr>
              <w:instrText xml:space="preserve"> PAGEREF _Toc237227036 \h </w:instrText>
            </w:r>
            <w:r>
              <w:rPr>
                <w:noProof/>
                <w:webHidden/>
              </w:rPr>
            </w:r>
            <w:r>
              <w:rPr>
                <w:noProof/>
                <w:webHidden/>
              </w:rPr>
              <w:fldChar w:fldCharType="separate"/>
            </w:r>
            <w:r>
              <w:rPr>
                <w:noProof/>
                <w:webHidden/>
              </w:rPr>
              <w:t>8</w:t>
            </w:r>
            <w:r>
              <w:rPr>
                <w:noProof/>
                <w:webHidden/>
              </w:rPr>
              <w:fldChar w:fldCharType="end"/>
            </w:r>
          </w:hyperlink>
        </w:p>
        <w:p w:rsidR="003F1C95" w:rsidRDefault="003F1C95">
          <w:pPr>
            <w:pStyle w:val="TOC1"/>
            <w:tabs>
              <w:tab w:val="right" w:leader="dot" w:pos="9016"/>
            </w:tabs>
            <w:rPr>
              <w:noProof/>
            </w:rPr>
          </w:pPr>
          <w:hyperlink w:anchor="_Toc237227037" w:history="1">
            <w:r w:rsidRPr="00E81605">
              <w:rPr>
                <w:rStyle w:val="Hyperlink"/>
                <w:noProof/>
              </w:rPr>
              <w:t>2.1 Case Overview</w:t>
            </w:r>
            <w:r>
              <w:rPr>
                <w:noProof/>
                <w:webHidden/>
              </w:rPr>
              <w:tab/>
            </w:r>
            <w:r>
              <w:rPr>
                <w:noProof/>
                <w:webHidden/>
              </w:rPr>
              <w:fldChar w:fldCharType="begin"/>
            </w:r>
            <w:r>
              <w:rPr>
                <w:noProof/>
                <w:webHidden/>
              </w:rPr>
              <w:instrText xml:space="preserve"> PAGEREF _Toc237227037 \h </w:instrText>
            </w:r>
            <w:r>
              <w:rPr>
                <w:noProof/>
                <w:webHidden/>
              </w:rPr>
            </w:r>
            <w:r>
              <w:rPr>
                <w:noProof/>
                <w:webHidden/>
              </w:rPr>
              <w:fldChar w:fldCharType="separate"/>
            </w:r>
            <w:r>
              <w:rPr>
                <w:noProof/>
                <w:webHidden/>
              </w:rPr>
              <w:t>10</w:t>
            </w:r>
            <w:r>
              <w:rPr>
                <w:noProof/>
                <w:webHidden/>
              </w:rPr>
              <w:fldChar w:fldCharType="end"/>
            </w:r>
          </w:hyperlink>
        </w:p>
        <w:p w:rsidR="003F1C95" w:rsidRDefault="003F1C95">
          <w:pPr>
            <w:pStyle w:val="TOC2"/>
            <w:tabs>
              <w:tab w:val="right" w:leader="dot" w:pos="9016"/>
            </w:tabs>
            <w:rPr>
              <w:noProof/>
            </w:rPr>
          </w:pPr>
          <w:hyperlink w:anchor="_Toc237227038" w:history="1">
            <w:r w:rsidRPr="00E81605">
              <w:rPr>
                <w:rStyle w:val="Hyperlink"/>
                <w:noProof/>
              </w:rPr>
              <w:t>2.2 Organizational Structure and Accountability</w:t>
            </w:r>
            <w:r>
              <w:rPr>
                <w:noProof/>
                <w:webHidden/>
              </w:rPr>
              <w:tab/>
            </w:r>
            <w:r>
              <w:rPr>
                <w:noProof/>
                <w:webHidden/>
              </w:rPr>
              <w:fldChar w:fldCharType="begin"/>
            </w:r>
            <w:r>
              <w:rPr>
                <w:noProof/>
                <w:webHidden/>
              </w:rPr>
              <w:instrText xml:space="preserve"> PAGEREF _Toc237227038 \h </w:instrText>
            </w:r>
            <w:r>
              <w:rPr>
                <w:noProof/>
                <w:webHidden/>
              </w:rPr>
            </w:r>
            <w:r>
              <w:rPr>
                <w:noProof/>
                <w:webHidden/>
              </w:rPr>
              <w:fldChar w:fldCharType="separate"/>
            </w:r>
            <w:r>
              <w:rPr>
                <w:noProof/>
                <w:webHidden/>
              </w:rPr>
              <w:t>11</w:t>
            </w:r>
            <w:r>
              <w:rPr>
                <w:noProof/>
                <w:webHidden/>
              </w:rPr>
              <w:fldChar w:fldCharType="end"/>
            </w:r>
          </w:hyperlink>
        </w:p>
        <w:p w:rsidR="003F1C95" w:rsidRDefault="003F1C95">
          <w:pPr>
            <w:pStyle w:val="TOC2"/>
            <w:tabs>
              <w:tab w:val="right" w:leader="dot" w:pos="9016"/>
            </w:tabs>
            <w:rPr>
              <w:noProof/>
            </w:rPr>
          </w:pPr>
          <w:hyperlink w:anchor="_Toc237227039" w:history="1">
            <w:r w:rsidRPr="00E81605">
              <w:rPr>
                <w:rStyle w:val="Hyperlink"/>
                <w:noProof/>
              </w:rPr>
              <w:t>2.3 Policies and Procedures</w:t>
            </w:r>
            <w:r>
              <w:rPr>
                <w:noProof/>
                <w:webHidden/>
              </w:rPr>
              <w:tab/>
            </w:r>
            <w:r>
              <w:rPr>
                <w:noProof/>
                <w:webHidden/>
              </w:rPr>
              <w:fldChar w:fldCharType="begin"/>
            </w:r>
            <w:r>
              <w:rPr>
                <w:noProof/>
                <w:webHidden/>
              </w:rPr>
              <w:instrText xml:space="preserve"> PAGEREF _Toc237227039 \h </w:instrText>
            </w:r>
            <w:r>
              <w:rPr>
                <w:noProof/>
                <w:webHidden/>
              </w:rPr>
            </w:r>
            <w:r>
              <w:rPr>
                <w:noProof/>
                <w:webHidden/>
              </w:rPr>
              <w:fldChar w:fldCharType="separate"/>
            </w:r>
            <w:r>
              <w:rPr>
                <w:noProof/>
                <w:webHidden/>
              </w:rPr>
              <w:t>12</w:t>
            </w:r>
            <w:r>
              <w:rPr>
                <w:noProof/>
                <w:webHidden/>
              </w:rPr>
              <w:fldChar w:fldCharType="end"/>
            </w:r>
          </w:hyperlink>
        </w:p>
        <w:p w:rsidR="003F1C95" w:rsidRDefault="003F1C95">
          <w:pPr>
            <w:pStyle w:val="TOC2"/>
            <w:tabs>
              <w:tab w:val="right" w:leader="dot" w:pos="9016"/>
            </w:tabs>
            <w:rPr>
              <w:noProof/>
            </w:rPr>
          </w:pPr>
          <w:hyperlink w:anchor="_Toc237227040" w:history="1">
            <w:r w:rsidRPr="00E81605">
              <w:rPr>
                <w:rStyle w:val="Hyperlink"/>
                <w:noProof/>
              </w:rPr>
              <w:t>2.4 Governance and Tactical Alignment Using NIST CSF 2.0</w:t>
            </w:r>
            <w:r>
              <w:rPr>
                <w:noProof/>
                <w:webHidden/>
              </w:rPr>
              <w:tab/>
            </w:r>
            <w:r>
              <w:rPr>
                <w:noProof/>
                <w:webHidden/>
              </w:rPr>
              <w:fldChar w:fldCharType="begin"/>
            </w:r>
            <w:r>
              <w:rPr>
                <w:noProof/>
                <w:webHidden/>
              </w:rPr>
              <w:instrText xml:space="preserve"> PAGEREF _Toc237227040 \h </w:instrText>
            </w:r>
            <w:r>
              <w:rPr>
                <w:noProof/>
                <w:webHidden/>
              </w:rPr>
            </w:r>
            <w:r>
              <w:rPr>
                <w:noProof/>
                <w:webHidden/>
              </w:rPr>
              <w:fldChar w:fldCharType="separate"/>
            </w:r>
            <w:r>
              <w:rPr>
                <w:noProof/>
                <w:webHidden/>
              </w:rPr>
              <w:t>14</w:t>
            </w:r>
            <w:r>
              <w:rPr>
                <w:noProof/>
                <w:webHidden/>
              </w:rPr>
              <w:fldChar w:fldCharType="end"/>
            </w:r>
          </w:hyperlink>
        </w:p>
        <w:p w:rsidR="003F1C95" w:rsidRDefault="003F1C95">
          <w:pPr>
            <w:pStyle w:val="TOC2"/>
            <w:tabs>
              <w:tab w:val="right" w:leader="dot" w:pos="9016"/>
            </w:tabs>
            <w:rPr>
              <w:noProof/>
            </w:rPr>
          </w:pPr>
          <w:hyperlink w:anchor="_Toc237227041" w:history="1">
            <w:r w:rsidRPr="00E81605">
              <w:rPr>
                <w:rStyle w:val="Hyperlink"/>
                <w:noProof/>
              </w:rPr>
              <w:t>2.5 Business Continuity, Confidence and Long-Term Resilience</w:t>
            </w:r>
            <w:r>
              <w:rPr>
                <w:noProof/>
                <w:webHidden/>
              </w:rPr>
              <w:tab/>
            </w:r>
            <w:r>
              <w:rPr>
                <w:noProof/>
                <w:webHidden/>
              </w:rPr>
              <w:fldChar w:fldCharType="begin"/>
            </w:r>
            <w:r>
              <w:rPr>
                <w:noProof/>
                <w:webHidden/>
              </w:rPr>
              <w:instrText xml:space="preserve"> PAGEREF _Toc237227041 \h </w:instrText>
            </w:r>
            <w:r>
              <w:rPr>
                <w:noProof/>
                <w:webHidden/>
              </w:rPr>
            </w:r>
            <w:r>
              <w:rPr>
                <w:noProof/>
                <w:webHidden/>
              </w:rPr>
              <w:fldChar w:fldCharType="separate"/>
            </w:r>
            <w:r>
              <w:rPr>
                <w:noProof/>
                <w:webHidden/>
              </w:rPr>
              <w:t>15</w:t>
            </w:r>
            <w:r>
              <w:rPr>
                <w:noProof/>
                <w:webHidden/>
              </w:rPr>
              <w:fldChar w:fldCharType="end"/>
            </w:r>
          </w:hyperlink>
        </w:p>
        <w:p w:rsidR="003F1C95" w:rsidRDefault="003F1C95">
          <w:pPr>
            <w:pStyle w:val="TOC2"/>
            <w:tabs>
              <w:tab w:val="right" w:leader="dot" w:pos="9016"/>
            </w:tabs>
            <w:rPr>
              <w:noProof/>
            </w:rPr>
          </w:pPr>
          <w:hyperlink w:anchor="_Toc237227042" w:history="1">
            <w:r w:rsidRPr="00E81605">
              <w:rPr>
                <w:rStyle w:val="Hyperlink"/>
                <w:noProof/>
              </w:rPr>
              <w:t>2.6 High-Level Risk Assessment</w:t>
            </w:r>
            <w:r>
              <w:rPr>
                <w:noProof/>
                <w:webHidden/>
              </w:rPr>
              <w:tab/>
            </w:r>
            <w:r>
              <w:rPr>
                <w:noProof/>
                <w:webHidden/>
              </w:rPr>
              <w:fldChar w:fldCharType="begin"/>
            </w:r>
            <w:r>
              <w:rPr>
                <w:noProof/>
                <w:webHidden/>
              </w:rPr>
              <w:instrText xml:space="preserve"> PAGEREF _Toc237227042 \h </w:instrText>
            </w:r>
            <w:r>
              <w:rPr>
                <w:noProof/>
                <w:webHidden/>
              </w:rPr>
            </w:r>
            <w:r>
              <w:rPr>
                <w:noProof/>
                <w:webHidden/>
              </w:rPr>
              <w:fldChar w:fldCharType="separate"/>
            </w:r>
            <w:r>
              <w:rPr>
                <w:noProof/>
                <w:webHidden/>
              </w:rPr>
              <w:t>15</w:t>
            </w:r>
            <w:r>
              <w:rPr>
                <w:noProof/>
                <w:webHidden/>
              </w:rPr>
              <w:fldChar w:fldCharType="end"/>
            </w:r>
          </w:hyperlink>
        </w:p>
        <w:p w:rsidR="003F1C95" w:rsidRDefault="003F1C95">
          <w:pPr>
            <w:pStyle w:val="TOC2"/>
            <w:tabs>
              <w:tab w:val="right" w:leader="dot" w:pos="9016"/>
            </w:tabs>
            <w:rPr>
              <w:noProof/>
            </w:rPr>
          </w:pPr>
          <w:hyperlink w:anchor="_Toc237227043" w:history="1">
            <w:r w:rsidRPr="00E81605">
              <w:rPr>
                <w:rStyle w:val="Hyperlink"/>
                <w:noProof/>
              </w:rPr>
              <w:t>2.7 Internet-Facing Assets</w:t>
            </w:r>
            <w:r>
              <w:rPr>
                <w:noProof/>
                <w:webHidden/>
              </w:rPr>
              <w:tab/>
            </w:r>
            <w:r>
              <w:rPr>
                <w:noProof/>
                <w:webHidden/>
              </w:rPr>
              <w:fldChar w:fldCharType="begin"/>
            </w:r>
            <w:r>
              <w:rPr>
                <w:noProof/>
                <w:webHidden/>
              </w:rPr>
              <w:instrText xml:space="preserve"> PAGEREF _Toc237227043 \h </w:instrText>
            </w:r>
            <w:r>
              <w:rPr>
                <w:noProof/>
                <w:webHidden/>
              </w:rPr>
            </w:r>
            <w:r>
              <w:rPr>
                <w:noProof/>
                <w:webHidden/>
              </w:rPr>
              <w:fldChar w:fldCharType="separate"/>
            </w:r>
            <w:r>
              <w:rPr>
                <w:noProof/>
                <w:webHidden/>
              </w:rPr>
              <w:t>16</w:t>
            </w:r>
            <w:r>
              <w:rPr>
                <w:noProof/>
                <w:webHidden/>
              </w:rPr>
              <w:fldChar w:fldCharType="end"/>
            </w:r>
          </w:hyperlink>
        </w:p>
        <w:p w:rsidR="003F1C95" w:rsidRDefault="003F1C95">
          <w:pPr>
            <w:pStyle w:val="TOC2"/>
            <w:tabs>
              <w:tab w:val="right" w:leader="dot" w:pos="9016"/>
            </w:tabs>
            <w:rPr>
              <w:noProof/>
            </w:rPr>
          </w:pPr>
          <w:hyperlink w:anchor="_Toc237227044" w:history="1">
            <w:r w:rsidRPr="00E81605">
              <w:rPr>
                <w:rStyle w:val="Hyperlink"/>
                <w:noProof/>
              </w:rPr>
              <w:t>2.8 Supply-Chain Exposure</w:t>
            </w:r>
            <w:r>
              <w:rPr>
                <w:noProof/>
                <w:webHidden/>
              </w:rPr>
              <w:tab/>
            </w:r>
            <w:r>
              <w:rPr>
                <w:noProof/>
                <w:webHidden/>
              </w:rPr>
              <w:fldChar w:fldCharType="begin"/>
            </w:r>
            <w:r>
              <w:rPr>
                <w:noProof/>
                <w:webHidden/>
              </w:rPr>
              <w:instrText xml:space="preserve"> PAGEREF _Toc237227044 \h </w:instrText>
            </w:r>
            <w:r>
              <w:rPr>
                <w:noProof/>
                <w:webHidden/>
              </w:rPr>
            </w:r>
            <w:r>
              <w:rPr>
                <w:noProof/>
                <w:webHidden/>
              </w:rPr>
              <w:fldChar w:fldCharType="separate"/>
            </w:r>
            <w:r>
              <w:rPr>
                <w:noProof/>
                <w:webHidden/>
              </w:rPr>
              <w:t>16</w:t>
            </w:r>
            <w:r>
              <w:rPr>
                <w:noProof/>
                <w:webHidden/>
              </w:rPr>
              <w:fldChar w:fldCharType="end"/>
            </w:r>
          </w:hyperlink>
        </w:p>
        <w:p w:rsidR="003F1C95" w:rsidRDefault="003F1C95">
          <w:pPr>
            <w:pStyle w:val="TOC2"/>
            <w:tabs>
              <w:tab w:val="right" w:leader="dot" w:pos="9016"/>
            </w:tabs>
            <w:rPr>
              <w:noProof/>
            </w:rPr>
          </w:pPr>
          <w:hyperlink w:anchor="_Toc237227045" w:history="1">
            <w:r w:rsidRPr="00E81605">
              <w:rPr>
                <w:rStyle w:val="Hyperlink"/>
                <w:noProof/>
              </w:rPr>
              <w:t>2.9 Security Architecture</w:t>
            </w:r>
            <w:r>
              <w:rPr>
                <w:noProof/>
                <w:webHidden/>
              </w:rPr>
              <w:tab/>
            </w:r>
            <w:r>
              <w:rPr>
                <w:noProof/>
                <w:webHidden/>
              </w:rPr>
              <w:fldChar w:fldCharType="begin"/>
            </w:r>
            <w:r>
              <w:rPr>
                <w:noProof/>
                <w:webHidden/>
              </w:rPr>
              <w:instrText xml:space="preserve"> PAGEREF _Toc237227045 \h </w:instrText>
            </w:r>
            <w:r>
              <w:rPr>
                <w:noProof/>
                <w:webHidden/>
              </w:rPr>
            </w:r>
            <w:r>
              <w:rPr>
                <w:noProof/>
                <w:webHidden/>
              </w:rPr>
              <w:fldChar w:fldCharType="separate"/>
            </w:r>
            <w:r>
              <w:rPr>
                <w:noProof/>
                <w:webHidden/>
              </w:rPr>
              <w:t>17</w:t>
            </w:r>
            <w:r>
              <w:rPr>
                <w:noProof/>
                <w:webHidden/>
              </w:rPr>
              <w:fldChar w:fldCharType="end"/>
            </w:r>
          </w:hyperlink>
        </w:p>
        <w:p w:rsidR="003F1C95" w:rsidRDefault="003F1C95">
          <w:pPr>
            <w:pStyle w:val="TOC2"/>
            <w:tabs>
              <w:tab w:val="right" w:leader="dot" w:pos="9016"/>
            </w:tabs>
            <w:rPr>
              <w:noProof/>
            </w:rPr>
          </w:pPr>
          <w:hyperlink w:anchor="_Toc237227046" w:history="1">
            <w:r w:rsidRPr="00E81605">
              <w:rPr>
                <w:rStyle w:val="Hyperlink"/>
                <w:noProof/>
              </w:rPr>
              <w:t>2.10 Continuous Detection and Automated Response</w:t>
            </w:r>
            <w:r>
              <w:rPr>
                <w:noProof/>
                <w:webHidden/>
              </w:rPr>
              <w:tab/>
            </w:r>
            <w:r>
              <w:rPr>
                <w:noProof/>
                <w:webHidden/>
              </w:rPr>
              <w:fldChar w:fldCharType="begin"/>
            </w:r>
            <w:r>
              <w:rPr>
                <w:noProof/>
                <w:webHidden/>
              </w:rPr>
              <w:instrText xml:space="preserve"> PAGEREF _Toc237227046 \h </w:instrText>
            </w:r>
            <w:r>
              <w:rPr>
                <w:noProof/>
                <w:webHidden/>
              </w:rPr>
            </w:r>
            <w:r>
              <w:rPr>
                <w:noProof/>
                <w:webHidden/>
              </w:rPr>
              <w:fldChar w:fldCharType="separate"/>
            </w:r>
            <w:r>
              <w:rPr>
                <w:noProof/>
                <w:webHidden/>
              </w:rPr>
              <w:t>18</w:t>
            </w:r>
            <w:r>
              <w:rPr>
                <w:noProof/>
                <w:webHidden/>
              </w:rPr>
              <w:fldChar w:fldCharType="end"/>
            </w:r>
          </w:hyperlink>
        </w:p>
        <w:p w:rsidR="003F1C95" w:rsidRDefault="003F1C95">
          <w:pPr>
            <w:pStyle w:val="TOC2"/>
            <w:tabs>
              <w:tab w:val="right" w:leader="dot" w:pos="9016"/>
            </w:tabs>
            <w:rPr>
              <w:noProof/>
            </w:rPr>
          </w:pPr>
          <w:hyperlink w:anchor="_Toc237227047" w:history="1">
            <w:r w:rsidRPr="00E81605">
              <w:rPr>
                <w:rStyle w:val="Hyperlink"/>
                <w:noProof/>
              </w:rPr>
              <w:t>2.11 Incident Response and Regulatory Notification</w:t>
            </w:r>
            <w:r>
              <w:rPr>
                <w:noProof/>
                <w:webHidden/>
              </w:rPr>
              <w:tab/>
            </w:r>
            <w:r>
              <w:rPr>
                <w:noProof/>
                <w:webHidden/>
              </w:rPr>
              <w:fldChar w:fldCharType="begin"/>
            </w:r>
            <w:r>
              <w:rPr>
                <w:noProof/>
                <w:webHidden/>
              </w:rPr>
              <w:instrText xml:space="preserve"> PAGEREF _Toc237227047 \h </w:instrText>
            </w:r>
            <w:r>
              <w:rPr>
                <w:noProof/>
                <w:webHidden/>
              </w:rPr>
            </w:r>
            <w:r>
              <w:rPr>
                <w:noProof/>
                <w:webHidden/>
              </w:rPr>
              <w:fldChar w:fldCharType="separate"/>
            </w:r>
            <w:r>
              <w:rPr>
                <w:noProof/>
                <w:webHidden/>
              </w:rPr>
              <w:t>19</w:t>
            </w:r>
            <w:r>
              <w:rPr>
                <w:noProof/>
                <w:webHidden/>
              </w:rPr>
              <w:fldChar w:fldCharType="end"/>
            </w:r>
          </w:hyperlink>
        </w:p>
        <w:p w:rsidR="003F1C95" w:rsidRDefault="003F1C95">
          <w:pPr>
            <w:pStyle w:val="TOC2"/>
            <w:tabs>
              <w:tab w:val="right" w:leader="dot" w:pos="9016"/>
            </w:tabs>
            <w:rPr>
              <w:noProof/>
            </w:rPr>
          </w:pPr>
          <w:hyperlink w:anchor="_Toc237227048" w:history="1">
            <w:r w:rsidRPr="00E81605">
              <w:rPr>
                <w:rStyle w:val="Hyperlink"/>
                <w:noProof/>
              </w:rPr>
              <w:t>2.12 Data Protection Controls</w:t>
            </w:r>
            <w:r>
              <w:rPr>
                <w:noProof/>
                <w:webHidden/>
              </w:rPr>
              <w:tab/>
            </w:r>
            <w:r>
              <w:rPr>
                <w:noProof/>
                <w:webHidden/>
              </w:rPr>
              <w:fldChar w:fldCharType="begin"/>
            </w:r>
            <w:r>
              <w:rPr>
                <w:noProof/>
                <w:webHidden/>
              </w:rPr>
              <w:instrText xml:space="preserve"> PAGEREF _Toc237227048 \h </w:instrText>
            </w:r>
            <w:r>
              <w:rPr>
                <w:noProof/>
                <w:webHidden/>
              </w:rPr>
            </w:r>
            <w:r>
              <w:rPr>
                <w:noProof/>
                <w:webHidden/>
              </w:rPr>
              <w:fldChar w:fldCharType="separate"/>
            </w:r>
            <w:r>
              <w:rPr>
                <w:noProof/>
                <w:webHidden/>
              </w:rPr>
              <w:t>20</w:t>
            </w:r>
            <w:r>
              <w:rPr>
                <w:noProof/>
                <w:webHidden/>
              </w:rPr>
              <w:fldChar w:fldCharType="end"/>
            </w:r>
          </w:hyperlink>
        </w:p>
        <w:p w:rsidR="003F1C95" w:rsidRDefault="003F1C95">
          <w:pPr>
            <w:pStyle w:val="TOC2"/>
            <w:tabs>
              <w:tab w:val="right" w:leader="dot" w:pos="9016"/>
            </w:tabs>
            <w:rPr>
              <w:noProof/>
            </w:rPr>
          </w:pPr>
          <w:hyperlink w:anchor="_Toc237227049" w:history="1">
            <w:r w:rsidRPr="00E81605">
              <w:rPr>
                <w:rStyle w:val="Hyperlink"/>
                <w:noProof/>
              </w:rPr>
              <w:t>2.13 Measurement and Key Performance Indicators</w:t>
            </w:r>
            <w:r>
              <w:rPr>
                <w:noProof/>
                <w:webHidden/>
              </w:rPr>
              <w:tab/>
            </w:r>
            <w:r>
              <w:rPr>
                <w:noProof/>
                <w:webHidden/>
              </w:rPr>
              <w:fldChar w:fldCharType="begin"/>
            </w:r>
            <w:r>
              <w:rPr>
                <w:noProof/>
                <w:webHidden/>
              </w:rPr>
              <w:instrText xml:space="preserve"> PAGEREF _Toc237227049 \h </w:instrText>
            </w:r>
            <w:r>
              <w:rPr>
                <w:noProof/>
                <w:webHidden/>
              </w:rPr>
            </w:r>
            <w:r>
              <w:rPr>
                <w:noProof/>
                <w:webHidden/>
              </w:rPr>
              <w:fldChar w:fldCharType="separate"/>
            </w:r>
            <w:r>
              <w:rPr>
                <w:noProof/>
                <w:webHidden/>
              </w:rPr>
              <w:t>20</w:t>
            </w:r>
            <w:r>
              <w:rPr>
                <w:noProof/>
                <w:webHidden/>
              </w:rPr>
              <w:fldChar w:fldCharType="end"/>
            </w:r>
          </w:hyperlink>
        </w:p>
        <w:p w:rsidR="003F1C95" w:rsidRDefault="003F1C95">
          <w:pPr>
            <w:pStyle w:val="TOC2"/>
            <w:tabs>
              <w:tab w:val="right" w:leader="dot" w:pos="9016"/>
            </w:tabs>
            <w:rPr>
              <w:noProof/>
            </w:rPr>
          </w:pPr>
          <w:hyperlink w:anchor="_Toc237227050" w:history="1">
            <w:r w:rsidRPr="00E81605">
              <w:rPr>
                <w:rStyle w:val="Hyperlink"/>
                <w:noProof/>
              </w:rPr>
              <w:t>2.14 Implementation Roadmap</w:t>
            </w:r>
            <w:r>
              <w:rPr>
                <w:noProof/>
                <w:webHidden/>
              </w:rPr>
              <w:tab/>
            </w:r>
            <w:r>
              <w:rPr>
                <w:noProof/>
                <w:webHidden/>
              </w:rPr>
              <w:fldChar w:fldCharType="begin"/>
            </w:r>
            <w:r>
              <w:rPr>
                <w:noProof/>
                <w:webHidden/>
              </w:rPr>
              <w:instrText xml:space="preserve"> PAGEREF _Toc237227050 \h </w:instrText>
            </w:r>
            <w:r>
              <w:rPr>
                <w:noProof/>
                <w:webHidden/>
              </w:rPr>
            </w:r>
            <w:r>
              <w:rPr>
                <w:noProof/>
                <w:webHidden/>
              </w:rPr>
              <w:fldChar w:fldCharType="separate"/>
            </w:r>
            <w:r>
              <w:rPr>
                <w:noProof/>
                <w:webHidden/>
              </w:rPr>
              <w:t>21</w:t>
            </w:r>
            <w:r>
              <w:rPr>
                <w:noProof/>
                <w:webHidden/>
              </w:rPr>
              <w:fldChar w:fldCharType="end"/>
            </w:r>
          </w:hyperlink>
        </w:p>
        <w:p w:rsidR="003F1C95" w:rsidRDefault="003F1C95">
          <w:pPr>
            <w:pStyle w:val="TOC2"/>
            <w:tabs>
              <w:tab w:val="right" w:leader="dot" w:pos="9016"/>
            </w:tabs>
            <w:rPr>
              <w:noProof/>
            </w:rPr>
          </w:pPr>
          <w:hyperlink w:anchor="_Toc237227051" w:history="1">
            <w:r w:rsidRPr="00E81605">
              <w:rPr>
                <w:rStyle w:val="Hyperlink"/>
                <w:noProof/>
              </w:rPr>
              <w:t>2.15 Critical Evaluation of the Proposed Programme</w:t>
            </w:r>
            <w:r>
              <w:rPr>
                <w:noProof/>
                <w:webHidden/>
              </w:rPr>
              <w:tab/>
            </w:r>
            <w:r>
              <w:rPr>
                <w:noProof/>
                <w:webHidden/>
              </w:rPr>
              <w:fldChar w:fldCharType="begin"/>
            </w:r>
            <w:r>
              <w:rPr>
                <w:noProof/>
                <w:webHidden/>
              </w:rPr>
              <w:instrText xml:space="preserve"> PAGEREF _Toc237227051 \h </w:instrText>
            </w:r>
            <w:r>
              <w:rPr>
                <w:noProof/>
                <w:webHidden/>
              </w:rPr>
            </w:r>
            <w:r>
              <w:rPr>
                <w:noProof/>
                <w:webHidden/>
              </w:rPr>
              <w:fldChar w:fldCharType="separate"/>
            </w:r>
            <w:r>
              <w:rPr>
                <w:noProof/>
                <w:webHidden/>
              </w:rPr>
              <w:t>22</w:t>
            </w:r>
            <w:r>
              <w:rPr>
                <w:noProof/>
                <w:webHidden/>
              </w:rPr>
              <w:fldChar w:fldCharType="end"/>
            </w:r>
          </w:hyperlink>
        </w:p>
        <w:p w:rsidR="003F1C95" w:rsidRDefault="003F1C95">
          <w:pPr>
            <w:pStyle w:val="TOC1"/>
            <w:tabs>
              <w:tab w:val="right" w:leader="dot" w:pos="9016"/>
            </w:tabs>
            <w:rPr>
              <w:noProof/>
            </w:rPr>
          </w:pPr>
          <w:hyperlink w:anchor="_Toc237227052" w:history="1">
            <w:r w:rsidRPr="00E81605">
              <w:rPr>
                <w:rStyle w:val="Hyperlink"/>
                <w:noProof/>
              </w:rPr>
              <w:t>Conclusion</w:t>
            </w:r>
            <w:r>
              <w:rPr>
                <w:noProof/>
                <w:webHidden/>
              </w:rPr>
              <w:tab/>
            </w:r>
            <w:r>
              <w:rPr>
                <w:noProof/>
                <w:webHidden/>
              </w:rPr>
              <w:fldChar w:fldCharType="begin"/>
            </w:r>
            <w:r>
              <w:rPr>
                <w:noProof/>
                <w:webHidden/>
              </w:rPr>
              <w:instrText xml:space="preserve"> PAGEREF _Toc237227052 \h </w:instrText>
            </w:r>
            <w:r>
              <w:rPr>
                <w:noProof/>
                <w:webHidden/>
              </w:rPr>
            </w:r>
            <w:r>
              <w:rPr>
                <w:noProof/>
                <w:webHidden/>
              </w:rPr>
              <w:fldChar w:fldCharType="separate"/>
            </w:r>
            <w:r>
              <w:rPr>
                <w:noProof/>
                <w:webHidden/>
              </w:rPr>
              <w:t>22</w:t>
            </w:r>
            <w:r>
              <w:rPr>
                <w:noProof/>
                <w:webHidden/>
              </w:rPr>
              <w:fldChar w:fldCharType="end"/>
            </w:r>
          </w:hyperlink>
        </w:p>
        <w:p w:rsidR="003F1C95" w:rsidRDefault="003F1C95">
          <w:pPr>
            <w:pStyle w:val="TOC1"/>
            <w:tabs>
              <w:tab w:val="right" w:leader="dot" w:pos="9016"/>
            </w:tabs>
            <w:rPr>
              <w:noProof/>
            </w:rPr>
          </w:pPr>
          <w:hyperlink w:anchor="_Toc237227053" w:history="1">
            <w:r w:rsidRPr="00E81605">
              <w:rPr>
                <w:rStyle w:val="Hyperlink"/>
                <w:noProof/>
              </w:rPr>
              <w:t>References</w:t>
            </w:r>
            <w:r>
              <w:rPr>
                <w:noProof/>
                <w:webHidden/>
              </w:rPr>
              <w:tab/>
            </w:r>
            <w:r>
              <w:rPr>
                <w:noProof/>
                <w:webHidden/>
              </w:rPr>
              <w:fldChar w:fldCharType="begin"/>
            </w:r>
            <w:r>
              <w:rPr>
                <w:noProof/>
                <w:webHidden/>
              </w:rPr>
              <w:instrText xml:space="preserve"> PAGEREF _Toc237227053 \h </w:instrText>
            </w:r>
            <w:r>
              <w:rPr>
                <w:noProof/>
                <w:webHidden/>
              </w:rPr>
            </w:r>
            <w:r>
              <w:rPr>
                <w:noProof/>
                <w:webHidden/>
              </w:rPr>
              <w:fldChar w:fldCharType="separate"/>
            </w:r>
            <w:r>
              <w:rPr>
                <w:noProof/>
                <w:webHidden/>
              </w:rPr>
              <w:t>24</w:t>
            </w:r>
            <w:r>
              <w:rPr>
                <w:noProof/>
                <w:webHidden/>
              </w:rPr>
              <w:fldChar w:fldCharType="end"/>
            </w:r>
          </w:hyperlink>
        </w:p>
        <w:p w:rsidR="003F1C95" w:rsidRDefault="003F1C95">
          <w:pPr>
            <w:pStyle w:val="TOC1"/>
            <w:tabs>
              <w:tab w:val="right" w:leader="dot" w:pos="9016"/>
            </w:tabs>
            <w:rPr>
              <w:noProof/>
            </w:rPr>
          </w:pPr>
          <w:hyperlink w:anchor="_Toc237227054" w:history="1">
            <w:r w:rsidRPr="00E81605">
              <w:rPr>
                <w:rStyle w:val="Hyperlink"/>
                <w:noProof/>
              </w:rPr>
              <w:t>Regulatory and research source notes</w:t>
            </w:r>
            <w:r>
              <w:rPr>
                <w:noProof/>
                <w:webHidden/>
              </w:rPr>
              <w:tab/>
            </w:r>
            <w:r>
              <w:rPr>
                <w:noProof/>
                <w:webHidden/>
              </w:rPr>
              <w:fldChar w:fldCharType="begin"/>
            </w:r>
            <w:r>
              <w:rPr>
                <w:noProof/>
                <w:webHidden/>
              </w:rPr>
              <w:instrText xml:space="preserve"> PAGEREF _Toc237227054 \h </w:instrText>
            </w:r>
            <w:r>
              <w:rPr>
                <w:noProof/>
                <w:webHidden/>
              </w:rPr>
            </w:r>
            <w:r>
              <w:rPr>
                <w:noProof/>
                <w:webHidden/>
              </w:rPr>
              <w:fldChar w:fldCharType="separate"/>
            </w:r>
            <w:r>
              <w:rPr>
                <w:noProof/>
                <w:webHidden/>
              </w:rPr>
              <w:t>25</w:t>
            </w:r>
            <w:r>
              <w:rPr>
                <w:noProof/>
                <w:webHidden/>
              </w:rPr>
              <w:fldChar w:fldCharType="end"/>
            </w:r>
          </w:hyperlink>
        </w:p>
        <w:p w:rsidR="005F7E6A" w:rsidRPr="005F7E6A" w:rsidRDefault="00BA707B" w:rsidP="004B2CFD">
          <w:pPr>
            <w:rPr>
              <w:b/>
              <w:bCs/>
              <w:noProof/>
            </w:rPr>
          </w:pPr>
          <w:r>
            <w:rPr>
              <w:b/>
              <w:bCs/>
              <w:noProof/>
            </w:rPr>
            <w:fldChar w:fldCharType="end"/>
          </w:r>
        </w:p>
      </w:sdtContent>
    </w:sdt>
    <w:p w:rsidR="004B2CFD" w:rsidRPr="005F7E6A" w:rsidRDefault="004B2CFD" w:rsidP="004B2CFD">
      <w:r w:rsidRPr="004B2CFD">
        <w:rPr>
          <w:rFonts w:ascii="Times New Roman" w:hAnsi="Times New Roman" w:cs="Times New Roman"/>
          <w:b/>
          <w:sz w:val="48"/>
          <w:szCs w:val="48"/>
        </w:rPr>
        <w:lastRenderedPageBreak/>
        <w:t>Compliance in a Fragmented Regulatory Landscape: Navigating GDPR, DORA, and NIS2 for Critical Infrastructure</w:t>
      </w:r>
    </w:p>
    <w:p w:rsidR="004B2CFD" w:rsidRPr="00FF1BFE" w:rsidRDefault="004B2CFD" w:rsidP="00BA707B">
      <w:pPr>
        <w:pStyle w:val="Heading1"/>
        <w:rPr>
          <w:rFonts w:ascii="Times New Roman" w:hAnsi="Times New Roman" w:cs="Times New Roman"/>
          <w:b/>
          <w:sz w:val="40"/>
          <w:szCs w:val="40"/>
        </w:rPr>
      </w:pPr>
      <w:r w:rsidRPr="004B2CFD">
        <w:rPr>
          <w:sz w:val="24"/>
          <w:szCs w:val="24"/>
        </w:rPr>
        <w:br/>
      </w:r>
      <w:r w:rsidRPr="00FF1BFE">
        <w:rPr>
          <w:rFonts w:ascii="Times New Roman" w:hAnsi="Times New Roman" w:cs="Times New Roman"/>
          <w:b/>
          <w:color w:val="auto"/>
          <w:sz w:val="40"/>
          <w:szCs w:val="40"/>
        </w:rPr>
        <w:t xml:space="preserve">   </w:t>
      </w:r>
      <w:r w:rsidR="005F7E6A">
        <w:rPr>
          <w:rFonts w:ascii="Times New Roman" w:hAnsi="Times New Roman" w:cs="Times New Roman"/>
          <w:b/>
          <w:color w:val="auto"/>
          <w:sz w:val="40"/>
          <w:szCs w:val="40"/>
        </w:rPr>
        <w:t xml:space="preserve">                              </w:t>
      </w:r>
      <w:r w:rsidRPr="00FF1BFE">
        <w:rPr>
          <w:rFonts w:ascii="Times New Roman" w:hAnsi="Times New Roman" w:cs="Times New Roman"/>
          <w:b/>
          <w:color w:val="auto"/>
          <w:sz w:val="40"/>
          <w:szCs w:val="40"/>
        </w:rPr>
        <w:t xml:space="preserve"> </w:t>
      </w:r>
      <w:bookmarkStart w:id="2" w:name="_Toc237227026"/>
      <w:r w:rsidRPr="00FF1BFE">
        <w:rPr>
          <w:rFonts w:ascii="Times New Roman" w:hAnsi="Times New Roman" w:cs="Times New Roman"/>
          <w:b/>
          <w:color w:val="auto"/>
          <w:sz w:val="40"/>
          <w:szCs w:val="40"/>
        </w:rPr>
        <w:t>Abstract</w:t>
      </w:r>
      <w:bookmarkEnd w:id="2"/>
      <w:r w:rsidRPr="00FF1BFE">
        <w:rPr>
          <w:rFonts w:ascii="Times New Roman" w:hAnsi="Times New Roman" w:cs="Times New Roman"/>
          <w:b/>
          <w:color w:val="auto"/>
          <w:sz w:val="40"/>
          <w:szCs w:val="40"/>
        </w:rPr>
        <w:t xml:space="preserve"> </w:t>
      </w:r>
    </w:p>
    <w:p w:rsidR="004B2CFD" w:rsidRPr="004B2CFD" w:rsidRDefault="004B2CFD" w:rsidP="004B2CFD">
      <w:pPr>
        <w:jc w:val="both"/>
        <w:rPr>
          <w:rFonts w:ascii="Times New Roman" w:hAnsi="Times New Roman" w:cs="Times New Roman"/>
          <w:sz w:val="24"/>
          <w:szCs w:val="24"/>
        </w:rPr>
      </w:pPr>
      <w:r w:rsidRPr="004B2CFD">
        <w:rPr>
          <w:rFonts w:ascii="Times New Roman" w:hAnsi="Times New Roman" w:cs="Times New Roman"/>
          <w:sz w:val="24"/>
          <w:szCs w:val="24"/>
        </w:rPr>
        <w:t xml:space="preserve">The rapid digitization of business, public services, and critical infrastructure has created a complex cybersecurity and regulatory landscape. Organizations within the European Union are often simultaneously subject to the General Data Protection Regulation (GDPR), the Digital Operational Resilience Act (DORA), the Network and Information Security Directive 2 (NIS2), and sector-specific requirements. Although these regulatory instruments have distinct objectives, they increasingly converge around common expectations for risk management, governance, accountability, incident response, supply-chain security, and </w:t>
      </w:r>
      <w:r>
        <w:rPr>
          <w:rFonts w:ascii="Times New Roman" w:hAnsi="Times New Roman" w:cs="Times New Roman"/>
          <w:sz w:val="24"/>
          <w:szCs w:val="24"/>
        </w:rPr>
        <w:t>organisational</w:t>
      </w:r>
      <w:r w:rsidR="00FF1BFE">
        <w:rPr>
          <w:rFonts w:ascii="Times New Roman" w:hAnsi="Times New Roman" w:cs="Times New Roman"/>
          <w:sz w:val="24"/>
          <w:szCs w:val="24"/>
        </w:rPr>
        <w:t xml:space="preserve"> resilience.</w:t>
      </w:r>
    </w:p>
    <w:p w:rsidR="004B2CFD" w:rsidRPr="004B2CFD" w:rsidRDefault="004B2CFD" w:rsidP="004B2CFD">
      <w:pPr>
        <w:jc w:val="both"/>
        <w:rPr>
          <w:rFonts w:ascii="Times New Roman" w:hAnsi="Times New Roman" w:cs="Times New Roman"/>
          <w:sz w:val="24"/>
          <w:szCs w:val="24"/>
        </w:rPr>
      </w:pPr>
      <w:r w:rsidRPr="004B2CFD">
        <w:rPr>
          <w:rFonts w:ascii="Times New Roman" w:hAnsi="Times New Roman" w:cs="Times New Roman"/>
          <w:sz w:val="24"/>
          <w:szCs w:val="24"/>
        </w:rPr>
        <w:t>This report pursues the following objectives:</w:t>
      </w:r>
    </w:p>
    <w:p w:rsidR="004B2CFD" w:rsidRPr="004B2CFD" w:rsidRDefault="004B2CFD" w:rsidP="004B2CFD">
      <w:pPr>
        <w:jc w:val="both"/>
        <w:rPr>
          <w:rFonts w:ascii="Times New Roman" w:hAnsi="Times New Roman" w:cs="Times New Roman"/>
          <w:sz w:val="24"/>
          <w:szCs w:val="24"/>
        </w:rPr>
      </w:pPr>
      <w:r w:rsidRPr="004B2CFD">
        <w:rPr>
          <w:rFonts w:ascii="Times New Roman" w:hAnsi="Times New Roman" w:cs="Times New Roman"/>
          <w:sz w:val="24"/>
          <w:szCs w:val="24"/>
        </w:rPr>
        <w:t>• To clarify how organizations can align overlapping requirements of GDPR, DORA and NIS2 within a unified cybersecurity and compliance programme;</w:t>
      </w:r>
    </w:p>
    <w:p w:rsidR="004B2CFD" w:rsidRPr="004B2CFD" w:rsidRDefault="004B2CFD" w:rsidP="004B2CFD">
      <w:pPr>
        <w:jc w:val="both"/>
        <w:rPr>
          <w:rFonts w:ascii="Times New Roman" w:hAnsi="Times New Roman" w:cs="Times New Roman"/>
          <w:sz w:val="24"/>
          <w:szCs w:val="24"/>
        </w:rPr>
      </w:pPr>
      <w:r w:rsidRPr="004B2CFD">
        <w:rPr>
          <w:rFonts w:ascii="Times New Roman" w:hAnsi="Times New Roman" w:cs="Times New Roman"/>
          <w:sz w:val="24"/>
          <w:szCs w:val="24"/>
        </w:rPr>
        <w:t>• To evaluate the effectiveness of the NIST Cybersecurity Framework (CSF) 2.0 as an integrating framework for addressing these regulatory obligations and improving cyber resilience;</w:t>
      </w:r>
    </w:p>
    <w:p w:rsidR="004B2CFD" w:rsidRPr="004B2CFD" w:rsidRDefault="004B2CFD" w:rsidP="004B2CFD">
      <w:pPr>
        <w:jc w:val="both"/>
        <w:rPr>
          <w:rFonts w:ascii="Times New Roman" w:hAnsi="Times New Roman" w:cs="Times New Roman"/>
          <w:sz w:val="24"/>
          <w:szCs w:val="24"/>
        </w:rPr>
      </w:pPr>
      <w:r w:rsidRPr="004B2CFD">
        <w:rPr>
          <w:rFonts w:ascii="Times New Roman" w:hAnsi="Times New Roman" w:cs="Times New Roman"/>
          <w:sz w:val="24"/>
          <w:szCs w:val="24"/>
        </w:rPr>
        <w:t>• To demonstrate practical application of these principles through analysis of the 2017 Equifax data breach;</w:t>
      </w:r>
    </w:p>
    <w:p w:rsidR="004B2CFD" w:rsidRPr="004B2CFD" w:rsidRDefault="004B2CFD" w:rsidP="004B2CFD">
      <w:pPr>
        <w:jc w:val="both"/>
        <w:rPr>
          <w:rFonts w:ascii="Times New Roman" w:hAnsi="Times New Roman" w:cs="Times New Roman"/>
          <w:sz w:val="24"/>
          <w:szCs w:val="24"/>
        </w:rPr>
      </w:pPr>
      <w:r w:rsidRPr="004B2CFD">
        <w:rPr>
          <w:rFonts w:ascii="Times New Roman" w:hAnsi="Times New Roman" w:cs="Times New Roman"/>
          <w:sz w:val="24"/>
          <w:szCs w:val="24"/>
        </w:rPr>
        <w:t>• To propose a future-oriented cybersecurity programme that anticipates, protects against, detects and automatically responds to threats in</w:t>
      </w:r>
      <w:r w:rsidR="00FF1BFE">
        <w:rPr>
          <w:rFonts w:ascii="Times New Roman" w:hAnsi="Times New Roman" w:cs="Times New Roman"/>
          <w:sz w:val="24"/>
          <w:szCs w:val="24"/>
        </w:rPr>
        <w:t xml:space="preserve"> highly regulated environments.</w:t>
      </w:r>
    </w:p>
    <w:p w:rsidR="004B2CFD" w:rsidRPr="004B2CFD" w:rsidRDefault="004B2CFD" w:rsidP="004B2CFD">
      <w:pPr>
        <w:jc w:val="both"/>
        <w:rPr>
          <w:rFonts w:ascii="Times New Roman" w:hAnsi="Times New Roman" w:cs="Times New Roman"/>
          <w:sz w:val="24"/>
          <w:szCs w:val="24"/>
        </w:rPr>
      </w:pPr>
      <w:r w:rsidRPr="004B2CFD">
        <w:rPr>
          <w:rFonts w:ascii="Times New Roman" w:hAnsi="Times New Roman" w:cs="Times New Roman"/>
          <w:sz w:val="24"/>
          <w:szCs w:val="24"/>
        </w:rPr>
        <w:t>The NIST Cybersecurity Framework (CSF) 2.0 is selected as the integrating framework because its six functions—Govern, Identify, Protect, Detect, Respond, and Recover—provide a practical structure for translating regulatory requirements into enterprise cybersecurity outcomes. These principles are subsequently applied to the 2017 Equifax data breach, where an unpatched Apache Struts vulnerability, insufficient asset visibility, ineffective monitoring, and governance weaknesses resulted in the compromise of approximately 147 million individuals. This report proposes a future-oriented cybersecurity programme that incorporates organizational accountability, policies, governance, risk assessment, compliance, incident response, and technical protection controls. The analysis demonstrates that effective compliance should not be viewed solely as a documentation exercise; instead, regulatory obligations must be embedded within a risk-based security operating model supported by measurable controls, continuous monitoring, automation, and executive accountability.</w:t>
      </w:r>
      <w:r w:rsidRPr="004B2CFD">
        <w:rPr>
          <w:rFonts w:ascii="Times New Roman" w:hAnsi="Times New Roman" w:cs="Times New Roman"/>
          <w:sz w:val="24"/>
          <w:szCs w:val="24"/>
        </w:rPr>
        <w:br/>
        <w:t>Keywords: GDPR, DORA, NIS2, cybersecurity compliance, NIST CSF 2.0, critical infrastructure, business continuity, Equifax, vulnerability management, incident response.</w:t>
      </w:r>
    </w:p>
    <w:p w:rsidR="004B2CFD" w:rsidRPr="004B2CFD" w:rsidRDefault="004B2CFD" w:rsidP="004B2CFD">
      <w:pPr>
        <w:rPr>
          <w:rFonts w:ascii="Times New Roman" w:hAnsi="Times New Roman" w:cs="Times New Roman"/>
          <w:sz w:val="24"/>
          <w:szCs w:val="24"/>
        </w:rPr>
      </w:pPr>
    </w:p>
    <w:p w:rsidR="004B2CFD" w:rsidRPr="00FF1BFE" w:rsidRDefault="004B2CFD" w:rsidP="00BA707B">
      <w:pPr>
        <w:pStyle w:val="Heading1"/>
        <w:rPr>
          <w:rFonts w:ascii="Times New Roman" w:hAnsi="Times New Roman" w:cs="Times New Roman"/>
          <w:b/>
          <w:color w:val="auto"/>
          <w:sz w:val="48"/>
          <w:szCs w:val="48"/>
        </w:rPr>
      </w:pPr>
      <w:r>
        <w:lastRenderedPageBreak/>
        <w:t xml:space="preserve">                                 </w:t>
      </w:r>
      <w:r w:rsidRPr="00FF1BFE">
        <w:rPr>
          <w:rFonts w:ascii="Times New Roman" w:hAnsi="Times New Roman" w:cs="Times New Roman"/>
          <w:b/>
          <w:color w:val="auto"/>
          <w:sz w:val="48"/>
          <w:szCs w:val="48"/>
        </w:rPr>
        <w:t xml:space="preserve">   </w:t>
      </w:r>
      <w:bookmarkStart w:id="3" w:name="_Toc237227027"/>
      <w:r w:rsidRPr="00FF1BFE">
        <w:rPr>
          <w:rFonts w:ascii="Times New Roman" w:hAnsi="Times New Roman" w:cs="Times New Roman"/>
          <w:b/>
          <w:color w:val="auto"/>
          <w:sz w:val="48"/>
          <w:szCs w:val="48"/>
        </w:rPr>
        <w:t>Introduction</w:t>
      </w:r>
      <w:bookmarkEnd w:id="3"/>
    </w:p>
    <w:p w:rsidR="004B2CFD" w:rsidRDefault="004B2CFD" w:rsidP="004B2CFD">
      <w:pPr>
        <w:rPr>
          <w:rFonts w:ascii="Times New Roman" w:hAnsi="Times New Roman" w:cs="Times New Roman"/>
          <w:sz w:val="24"/>
          <w:szCs w:val="24"/>
        </w:rPr>
      </w:pPr>
      <w:r w:rsidRPr="004B2CFD">
        <w:rPr>
          <w:rFonts w:ascii="Times New Roman" w:hAnsi="Times New Roman" w:cs="Times New Roman"/>
          <w:sz w:val="24"/>
          <w:szCs w:val="24"/>
        </w:rPr>
        <w:br/>
        <w:t xml:space="preserve">Cybersecurity has transitioned from a primarily information technology </w:t>
      </w:r>
      <w:proofErr w:type="gramStart"/>
      <w:r w:rsidRPr="004B2CFD">
        <w:rPr>
          <w:rFonts w:ascii="Times New Roman" w:hAnsi="Times New Roman" w:cs="Times New Roman"/>
          <w:sz w:val="24"/>
          <w:szCs w:val="24"/>
        </w:rPr>
        <w:t>concern</w:t>
      </w:r>
      <w:proofErr w:type="gramEnd"/>
      <w:r w:rsidRPr="004B2CFD">
        <w:rPr>
          <w:rFonts w:ascii="Times New Roman" w:hAnsi="Times New Roman" w:cs="Times New Roman"/>
          <w:sz w:val="24"/>
          <w:szCs w:val="24"/>
        </w:rPr>
        <w:t xml:space="preserve"> to an enterprise-wide issue encompassing governance, resilience, and regulatory compliance. Organisations now rely on interconnected cloud platforms, software-as-a-service (SaaS), application programming interfaces, third-party providers, remote work technologies, and complex digital supply chains. While these interconnections offer opportunities for efficiency and innovation, they also expand the number of potential attack vectors. Consequently, a vulnerability in a supplier, cloud service, or internet-facing application can have repercussions extending well beyond the originating technical system.</w:t>
      </w:r>
      <w:r w:rsidRPr="004B2CFD">
        <w:rPr>
          <w:rFonts w:ascii="Times New Roman" w:hAnsi="Times New Roman" w:cs="Times New Roman"/>
          <w:sz w:val="24"/>
          <w:szCs w:val="24"/>
        </w:rPr>
        <w:br/>
        <w:t>The regulatory environment has developed in response to this changing risk landscape. Within the European Union, the General Data Protection Regulation (GDPR) establishes requirements for protecting personal data and the entitlements of individuals. The Digital Operational Durability Act (DORA) establishes a more specific operational durability framework for financial entities and addresses information and communication technology (ICT) risk, incident management, resilience testing and ICT third-party risk. NIS2 seeks to establish a high common level of cybersecurity across the Union and expands requirements for organizations operating in important and essential sectors. NIS2 also introduces stronger expectations regarding governance, supply-chain security, incident management and cybersecurity risk-management measures [1]–[3].</w:t>
      </w:r>
      <w:r w:rsidRPr="004B2CFD">
        <w:rPr>
          <w:rFonts w:ascii="Times New Roman" w:hAnsi="Times New Roman" w:cs="Times New Roman"/>
          <w:sz w:val="24"/>
          <w:szCs w:val="24"/>
        </w:rPr>
        <w:br/>
        <w:t>The challenge is not simply that organizations must comply with several regulations. The deeper problem is that the regulations overlap without being identical. GDPR is primarily concerned with personal-data protection and individual protections; DORA focuses on digital operational durability in financial services; and NIS2 focuses on cybersecurity and resilience across essential and important sectors. An organization may therefore have to satisfy different definitions, reporting channels, deadlines, supervisory authorities and evidence requirements for a single cyber incident.</w:t>
      </w:r>
      <w:r w:rsidRPr="004B2CFD">
        <w:rPr>
          <w:rFonts w:ascii="Times New Roman" w:hAnsi="Times New Roman" w:cs="Times New Roman"/>
          <w:sz w:val="24"/>
          <w:szCs w:val="24"/>
        </w:rPr>
        <w:br/>
        <w:t>This situation may lead to a fragmented compliance model, in which security teams develop separate controls, documentation, and reporting processes for each regulation. Such an approach increases cost and complexity while failing to address underlying cyber risks. A more effective strategy is to establish a unified cybersecurity control environment and map individual regulatory obligations onto this framework.</w:t>
      </w:r>
      <w:r w:rsidRPr="004B2CFD">
        <w:rPr>
          <w:rFonts w:ascii="Times New Roman" w:hAnsi="Times New Roman" w:cs="Times New Roman"/>
          <w:sz w:val="24"/>
          <w:szCs w:val="24"/>
        </w:rPr>
        <w:br/>
        <w:t>This report argues that NIST CSF 2.0 provides an appropriate organizing structure for this purpose. The framework adds the Govern function to the traditional Identify, Protect, Detect, Respond and Recover lifecycle, strengthening the principle that cybersecurity should be integrated with enterprise risk management instead of isolated within technical departments [4]. The report first evaluates GDPR, DORA and NIS2 and then applies the resulting principles to the Equifax 2017 breach. The second task proposes a structured cybersecurity programme designed to prevent a comparable failure through stronger accountability, policies, risk management, security architecture, monitoring and automated response.</w:t>
      </w:r>
    </w:p>
    <w:p w:rsidR="004B2CFD" w:rsidRPr="004B2CFD" w:rsidRDefault="004B2CFD" w:rsidP="004B2CFD">
      <w:pPr>
        <w:rPr>
          <w:rFonts w:ascii="Times New Roman" w:hAnsi="Times New Roman" w:cs="Times New Roman"/>
          <w:sz w:val="24"/>
          <w:szCs w:val="24"/>
        </w:rPr>
      </w:pPr>
    </w:p>
    <w:p w:rsidR="004B2CFD" w:rsidRPr="004B2CFD" w:rsidRDefault="004B2CFD" w:rsidP="004B2CFD">
      <w:pPr>
        <w:rPr>
          <w:rFonts w:ascii="Times New Roman" w:hAnsi="Times New Roman" w:cs="Times New Roman"/>
          <w:b/>
          <w:sz w:val="36"/>
          <w:szCs w:val="36"/>
        </w:rPr>
      </w:pPr>
      <w:r w:rsidRPr="004B2CFD">
        <w:rPr>
          <w:rFonts w:ascii="Times New Roman" w:hAnsi="Times New Roman" w:cs="Times New Roman"/>
          <w:b/>
          <w:sz w:val="36"/>
          <w:szCs w:val="36"/>
        </w:rPr>
        <w:t>Task 1 – Compliance in a Disjointed World: GDPR, DORA and NIS2</w:t>
      </w:r>
    </w:p>
    <w:p w:rsidR="004B2CFD" w:rsidRPr="004B2CFD" w:rsidRDefault="004B2CFD" w:rsidP="004B2CFD">
      <w:pPr>
        <w:rPr>
          <w:rFonts w:ascii="Times New Roman" w:hAnsi="Times New Roman" w:cs="Times New Roman"/>
          <w:sz w:val="24"/>
          <w:szCs w:val="24"/>
        </w:rPr>
      </w:pPr>
    </w:p>
    <w:p w:rsidR="004B2CFD" w:rsidRPr="00FF1BFE" w:rsidRDefault="004B2CFD" w:rsidP="00BA707B">
      <w:pPr>
        <w:pStyle w:val="Heading2"/>
        <w:rPr>
          <w:rFonts w:ascii="Times New Roman" w:hAnsi="Times New Roman" w:cs="Times New Roman"/>
          <w:sz w:val="36"/>
          <w:szCs w:val="36"/>
        </w:rPr>
      </w:pPr>
      <w:r w:rsidRPr="004B2CFD">
        <w:rPr>
          <w:sz w:val="24"/>
          <w:szCs w:val="24"/>
        </w:rPr>
        <w:br/>
      </w:r>
      <w:bookmarkStart w:id="4" w:name="_Toc237227028"/>
      <w:r w:rsidRPr="00FF1BFE">
        <w:rPr>
          <w:rFonts w:ascii="Times New Roman" w:hAnsi="Times New Roman" w:cs="Times New Roman"/>
          <w:color w:val="auto"/>
          <w:sz w:val="36"/>
          <w:szCs w:val="36"/>
        </w:rPr>
        <w:t>1.1 The Changing Nature of Cybersecurity Compliance</w:t>
      </w:r>
      <w:bookmarkEnd w:id="4"/>
    </w:p>
    <w:p w:rsidR="004B2CFD" w:rsidRPr="004B2CFD" w:rsidRDefault="004B2CFD" w:rsidP="004B2CFD">
      <w:pPr>
        <w:rPr>
          <w:rFonts w:ascii="Times New Roman" w:hAnsi="Times New Roman" w:cs="Times New Roman"/>
          <w:sz w:val="24"/>
          <w:szCs w:val="24"/>
        </w:rPr>
      </w:pPr>
      <w:r w:rsidRPr="004B2CFD">
        <w:rPr>
          <w:rFonts w:ascii="Times New Roman" w:hAnsi="Times New Roman" w:cs="Times New Roman"/>
          <w:sz w:val="24"/>
          <w:szCs w:val="24"/>
        </w:rPr>
        <w:br/>
        <w:t>Traditional compliance programmes often concentrate on demonstrating that policies and procedures exist. However, the modern regulatory environment increasingly expects organizations to demonstrate that security controls actually operate and reduce risk. This represents an important shift from documentary compliance towards business continuity.</w:t>
      </w:r>
      <w:r w:rsidRPr="004B2CFD">
        <w:rPr>
          <w:rFonts w:ascii="Times New Roman" w:hAnsi="Times New Roman" w:cs="Times New Roman"/>
          <w:sz w:val="24"/>
          <w:szCs w:val="24"/>
        </w:rPr>
        <w:br/>
        <w:t>The distinction is important because a company may have a vulnerability-management policy but still fail to patch a critical internet-facing application. Similarly, an organization may have an incident response plan but fail to detect an attacker for several weeks. Compliance documentation therefore provides limited protection if it is disconnected from operational security.</w:t>
      </w:r>
      <w:r w:rsidRPr="004B2CFD">
        <w:rPr>
          <w:rFonts w:ascii="Times New Roman" w:hAnsi="Times New Roman" w:cs="Times New Roman"/>
          <w:sz w:val="24"/>
          <w:szCs w:val="24"/>
        </w:rPr>
        <w:br/>
        <w:t>NIST CSF 2.0 provides a useful method for connecting governance and compliance to operational capability. Its six functions are Govern, Identify, Protect, Detect, Respond and Recover [4]. The functions are not intended to prescribe one particular technology stack; instead, they establish outcomes that organizations can achieve using appropriate controls.</w:t>
      </w:r>
      <w:r w:rsidRPr="004B2CFD">
        <w:rPr>
          <w:rFonts w:ascii="Times New Roman" w:hAnsi="Times New Roman" w:cs="Times New Roman"/>
          <w:sz w:val="24"/>
          <w:szCs w:val="24"/>
        </w:rPr>
        <w:br/>
        <w:t>A mature organization should interpret regulations as requirements for outcomes rather than as isolated checklists. For example, GDPR Article 32 mandates appropriate technical and organizational measures based on risk, including encryption, resilience, restoration capability, and regular testing [1]. The practical outcome extends beyond merely possessing an encryption policy; organizations must demonstrate where sensitive information is stored, how it is encrypted, who has access, how access is monitored, and how systems can be restored after a compromise.</w:t>
      </w:r>
    </w:p>
    <w:p w:rsidR="004B2CFD" w:rsidRPr="004B2CFD" w:rsidRDefault="004B2CFD" w:rsidP="004B2CFD">
      <w:pPr>
        <w:rPr>
          <w:rFonts w:ascii="Times New Roman" w:hAnsi="Times New Roman" w:cs="Times New Roman"/>
          <w:sz w:val="24"/>
          <w:szCs w:val="24"/>
        </w:rPr>
      </w:pPr>
      <w:bookmarkStart w:id="5" w:name="_Toc237227029"/>
      <w:r w:rsidRPr="00FF1BFE">
        <w:rPr>
          <w:rStyle w:val="Heading2Char"/>
          <w:rFonts w:ascii="Times New Roman" w:hAnsi="Times New Roman" w:cs="Times New Roman"/>
          <w:b/>
          <w:color w:val="auto"/>
          <w:sz w:val="36"/>
          <w:szCs w:val="36"/>
        </w:rPr>
        <w:t>1.2 GDPR: Data Protection and Accountability</w:t>
      </w:r>
      <w:bookmarkEnd w:id="5"/>
      <w:r w:rsidRPr="004B2CFD">
        <w:rPr>
          <w:rFonts w:ascii="Times New Roman" w:hAnsi="Times New Roman" w:cs="Times New Roman"/>
          <w:sz w:val="24"/>
          <w:szCs w:val="24"/>
        </w:rPr>
        <w:br/>
        <w:t xml:space="preserve">The GDPR represents one of the most important regulatory developments in modern data protection. Its central principles include lawfulness, fairness and openness, purpose limitation, data </w:t>
      </w:r>
      <w:r>
        <w:rPr>
          <w:rFonts w:ascii="Times New Roman" w:hAnsi="Times New Roman" w:cs="Times New Roman"/>
          <w:sz w:val="24"/>
          <w:szCs w:val="24"/>
        </w:rPr>
        <w:t>minimisation</w:t>
      </w:r>
      <w:r w:rsidRPr="004B2CFD">
        <w:rPr>
          <w:rFonts w:ascii="Times New Roman" w:hAnsi="Times New Roman" w:cs="Times New Roman"/>
          <w:sz w:val="24"/>
          <w:szCs w:val="24"/>
        </w:rPr>
        <w:t>, accuracy, storage limitation, security and confidentiality, and accountability [1].</w:t>
      </w:r>
      <w:r w:rsidRPr="004B2CFD">
        <w:rPr>
          <w:rFonts w:ascii="Times New Roman" w:hAnsi="Times New Roman" w:cs="Times New Roman"/>
          <w:sz w:val="24"/>
          <w:szCs w:val="24"/>
        </w:rPr>
        <w:br/>
        <w:t xml:space="preserve">The accountability principle is particularly important for cybersecurity because it requires </w:t>
      </w:r>
      <w:r>
        <w:rPr>
          <w:rFonts w:ascii="Times New Roman" w:hAnsi="Times New Roman" w:cs="Times New Roman"/>
          <w:sz w:val="24"/>
          <w:szCs w:val="24"/>
        </w:rPr>
        <w:t>organisations</w:t>
      </w:r>
      <w:r w:rsidRPr="004B2CFD">
        <w:rPr>
          <w:rFonts w:ascii="Times New Roman" w:hAnsi="Times New Roman" w:cs="Times New Roman"/>
          <w:sz w:val="24"/>
          <w:szCs w:val="24"/>
        </w:rPr>
        <w:t xml:space="preserve"> not only to comply but also to demonstrate compliance. Article 32 requires security measures proportionate to the risks associated with processing personal data. These measures comprise </w:t>
      </w:r>
      <w:proofErr w:type="spellStart"/>
      <w:r w:rsidRPr="004B2CFD">
        <w:rPr>
          <w:rFonts w:ascii="Times New Roman" w:hAnsi="Times New Roman" w:cs="Times New Roman"/>
          <w:sz w:val="24"/>
          <w:szCs w:val="24"/>
        </w:rPr>
        <w:t>pseudonymization</w:t>
      </w:r>
      <w:proofErr w:type="spellEnd"/>
      <w:r w:rsidRPr="004B2CFD">
        <w:rPr>
          <w:rFonts w:ascii="Times New Roman" w:hAnsi="Times New Roman" w:cs="Times New Roman"/>
          <w:sz w:val="24"/>
          <w:szCs w:val="24"/>
        </w:rPr>
        <w:t xml:space="preserve"> and encryption, preserving confidentiality, integrity and availability, restoring access following incidents and regularly testing the effectiveness of security controls [1].</w:t>
      </w:r>
      <w:r w:rsidRPr="004B2CFD">
        <w:rPr>
          <w:rFonts w:ascii="Times New Roman" w:hAnsi="Times New Roman" w:cs="Times New Roman"/>
          <w:sz w:val="24"/>
          <w:szCs w:val="24"/>
        </w:rPr>
        <w:br/>
        <w:t>GDPR therefore connects privacy with information security. A personal-data breach is not simply a legal problem occurring after a technical incident. Weak security architecture, inadequate access controls, poor vulnerability management or ineffective monitoring can all become GDPR compliance issues when they expose personal information.</w:t>
      </w:r>
      <w:r w:rsidRPr="004B2CFD">
        <w:rPr>
          <w:rFonts w:ascii="Times New Roman" w:hAnsi="Times New Roman" w:cs="Times New Roman"/>
          <w:sz w:val="24"/>
          <w:szCs w:val="24"/>
        </w:rPr>
        <w:br/>
        <w:t xml:space="preserve">GDPR also establishes a substantial breach notification requirement. Where a personal-data breach is likely to present a risk to individuals, the controller generally must notify the relevant supervisory authority without undue delay and, where feasible, within 72 hours of becoming aware of the breach. Where the breach is likely to result in a high risk to individuals, affected data subjects must also be informed unless an applicable exception is </w:t>
      </w:r>
      <w:r w:rsidRPr="004B2CFD">
        <w:rPr>
          <w:rFonts w:ascii="Times New Roman" w:hAnsi="Times New Roman" w:cs="Times New Roman"/>
          <w:sz w:val="24"/>
          <w:szCs w:val="24"/>
        </w:rPr>
        <w:lastRenderedPageBreak/>
        <w:t>present [1].</w:t>
      </w:r>
      <w:r w:rsidRPr="004B2CFD">
        <w:rPr>
          <w:rFonts w:ascii="Times New Roman" w:hAnsi="Times New Roman" w:cs="Times New Roman"/>
          <w:sz w:val="24"/>
          <w:szCs w:val="24"/>
        </w:rPr>
        <w:br/>
        <w:t xml:space="preserve">This requirement has major operational implications. Organizations must be able to identify an incident, establish whether personal data is involved, assess risk, identify the appropriate </w:t>
      </w:r>
      <w:r w:rsidR="00FF1BFE" w:rsidRPr="004B2CFD">
        <w:rPr>
          <w:rFonts w:ascii="Times New Roman" w:hAnsi="Times New Roman" w:cs="Times New Roman"/>
          <w:sz w:val="24"/>
          <w:szCs w:val="24"/>
        </w:rPr>
        <w:t>regulatory</w:t>
      </w:r>
      <w:r w:rsidRPr="004B2CFD">
        <w:rPr>
          <w:rFonts w:ascii="Times New Roman" w:hAnsi="Times New Roman" w:cs="Times New Roman"/>
          <w:sz w:val="24"/>
          <w:szCs w:val="24"/>
        </w:rPr>
        <w:t xml:space="preserve"> and prepare accurate communications rapidly. Consequently, GDPR compliance depends on the effectiveness of technical detection and incident response abilities.</w:t>
      </w:r>
      <w:r w:rsidRPr="004B2CFD">
        <w:rPr>
          <w:rFonts w:ascii="Times New Roman" w:hAnsi="Times New Roman" w:cs="Times New Roman"/>
          <w:sz w:val="24"/>
          <w:szCs w:val="24"/>
        </w:rPr>
        <w:br/>
        <w:t>Nevertheless, GDPR has limitations as a comprehensive cybersecurity framework. It is primarily a data-protection regulation rather than an operational durability standard. While Article 32 requires 'appropriate technical and organizational measures,' the Regulation does not specify which technologies or practices satisfy this requirement. This ambiguity can create challenges for organizations seeking clear guidance on necessary controls and may result in inconsistent implementation across sectors and Member States. Enforcement practices also vary significantly between jurisdictions, complicating efforts by multinational organizations to maintain a consistent approach. Furthermore, GDPR does not prescribe a complete security architecture or mandate adoption of a specific cybersecurity framework, potentially leaving gaps in areas such as continuous monitoring, supply-chain risk, and resilience. As a result, organizations require additional security governance mechanisms to operationalize GDPR requirements and ensure that cybersecurity programmes are comprehensive and aligned with broader regulatory and operational needs.</w:t>
      </w:r>
    </w:p>
    <w:p w:rsidR="004B2CFD" w:rsidRPr="00FF1BFE" w:rsidRDefault="004B2CFD" w:rsidP="00BA707B">
      <w:pPr>
        <w:pStyle w:val="Heading2"/>
        <w:rPr>
          <w:rFonts w:ascii="Times New Roman" w:hAnsi="Times New Roman" w:cs="Times New Roman"/>
          <w:b/>
          <w:sz w:val="36"/>
          <w:szCs w:val="36"/>
        </w:rPr>
      </w:pPr>
      <w:bookmarkStart w:id="6" w:name="_Toc237227030"/>
      <w:r w:rsidRPr="00FF1BFE">
        <w:rPr>
          <w:rFonts w:ascii="Times New Roman" w:hAnsi="Times New Roman" w:cs="Times New Roman"/>
          <w:b/>
          <w:color w:val="auto"/>
          <w:sz w:val="36"/>
          <w:szCs w:val="36"/>
        </w:rPr>
        <w:t>1.3 DORA: From Cybersecurity to Digital Operational Durability</w:t>
      </w:r>
      <w:bookmarkEnd w:id="6"/>
    </w:p>
    <w:p w:rsidR="004B2CFD" w:rsidRPr="004B2CFD" w:rsidRDefault="004B2CFD" w:rsidP="004B2CFD">
      <w:pPr>
        <w:rPr>
          <w:rFonts w:ascii="Times New Roman" w:hAnsi="Times New Roman" w:cs="Times New Roman"/>
          <w:sz w:val="24"/>
          <w:szCs w:val="24"/>
        </w:rPr>
      </w:pPr>
      <w:r w:rsidRPr="004B2CFD">
        <w:rPr>
          <w:rFonts w:ascii="Times New Roman" w:hAnsi="Times New Roman" w:cs="Times New Roman"/>
          <w:sz w:val="24"/>
          <w:szCs w:val="24"/>
        </w:rPr>
        <w:br/>
        <w:t>DORA addresses the financial sector and places digital operational durability at the centre of ICT governance. It applies to financial entities and establishes requirements covering ICT risk management, ICT-related incident reporting, operational durability testing and ICT third-party risk management [2].</w:t>
      </w:r>
      <w:r w:rsidRPr="004B2CFD">
        <w:rPr>
          <w:rFonts w:ascii="Times New Roman" w:hAnsi="Times New Roman" w:cs="Times New Roman"/>
          <w:sz w:val="24"/>
          <w:szCs w:val="24"/>
        </w:rPr>
        <w:br/>
        <w:t>One of DORA’s most significant features lies in its emphasis on management accountability. The management body is ultimately responsible for ICT risk and must approve and oversee the ICT risk-management framework. DORA also requires financial entities to form clear roles and responsibilities and to maintain appropriate governance arrangements [2].</w:t>
      </w:r>
      <w:r w:rsidRPr="004B2CFD">
        <w:rPr>
          <w:rFonts w:ascii="Times New Roman" w:hAnsi="Times New Roman" w:cs="Times New Roman"/>
          <w:sz w:val="24"/>
          <w:szCs w:val="24"/>
        </w:rPr>
        <w:br/>
        <w:t>This is important because cybersecurity failures regularly arise from organizational, rather than purely technical, weaknesses. A vulnerability may be technically known but remain unresolved because nobody has clearly accepted responsibility for remediation. DORA tackles this problem by requiring governance structures in which senior management has explicit responsibility for ICT risk.</w:t>
      </w:r>
      <w:r w:rsidRPr="004B2CFD">
        <w:rPr>
          <w:rFonts w:ascii="Times New Roman" w:hAnsi="Times New Roman" w:cs="Times New Roman"/>
          <w:sz w:val="24"/>
          <w:szCs w:val="24"/>
        </w:rPr>
        <w:br/>
        <w:t>DORA also requires financial entities to identify and document ICT-supported business functions, information assets and ICT assets, including their dependencies. Inventories should be maintained and updated, while ICT vulnerabilities and sources of risk should be continuously identified [2]. This requirement directly addresses one of the weaknesses demonstrated by major breaches: organizations cannot protect assets that they do not know exist.</w:t>
      </w:r>
      <w:r w:rsidRPr="004B2CFD">
        <w:rPr>
          <w:rFonts w:ascii="Times New Roman" w:hAnsi="Times New Roman" w:cs="Times New Roman"/>
          <w:sz w:val="24"/>
          <w:szCs w:val="24"/>
        </w:rPr>
        <w:br/>
        <w:t>Another major feature is third-party risk. Financial organizations increasingly depend on cloud providers, managed service providers, SaaS platforms and other ICT suppliers. DORA recognizes that outsourcing does not outsource accountability. The financial entity remains responsible for managing its ICT risk even when technology services are delivered by another organization.</w:t>
      </w:r>
      <w:r w:rsidRPr="004B2CFD">
        <w:rPr>
          <w:rFonts w:ascii="Times New Roman" w:hAnsi="Times New Roman" w:cs="Times New Roman"/>
          <w:sz w:val="24"/>
          <w:szCs w:val="24"/>
        </w:rPr>
        <w:br/>
      </w:r>
      <w:r w:rsidRPr="004B2CFD">
        <w:rPr>
          <w:rFonts w:ascii="Times New Roman" w:hAnsi="Times New Roman" w:cs="Times New Roman"/>
          <w:sz w:val="24"/>
          <w:szCs w:val="24"/>
        </w:rPr>
        <w:lastRenderedPageBreak/>
        <w:t>DORA therefore represents a movement towards resilience as opposed to simple prevention. The objective is not to assume that every cyberattack can be prevented. Instead, organizations should be capable of resisting attacks, detecting incidents quickly, continuing important services, recovering systems and gaining insights from failures.</w:t>
      </w:r>
    </w:p>
    <w:p w:rsidR="004B2CFD" w:rsidRPr="00FF1BFE" w:rsidRDefault="004B2CFD" w:rsidP="00BA707B">
      <w:pPr>
        <w:pStyle w:val="Heading2"/>
        <w:rPr>
          <w:rFonts w:ascii="Times New Roman" w:hAnsi="Times New Roman" w:cs="Times New Roman"/>
          <w:color w:val="auto"/>
          <w:sz w:val="36"/>
          <w:szCs w:val="36"/>
        </w:rPr>
      </w:pPr>
      <w:bookmarkStart w:id="7" w:name="_Toc237227031"/>
      <w:r w:rsidRPr="00FF1BFE">
        <w:rPr>
          <w:rFonts w:ascii="Times New Roman" w:hAnsi="Times New Roman" w:cs="Times New Roman"/>
          <w:color w:val="auto"/>
          <w:sz w:val="36"/>
          <w:szCs w:val="36"/>
        </w:rPr>
        <w:t>1.4 NIS2 and Critical Infrastructure</w:t>
      </w:r>
      <w:bookmarkEnd w:id="7"/>
    </w:p>
    <w:p w:rsidR="004B2CFD" w:rsidRPr="004B2CFD" w:rsidRDefault="004B2CFD" w:rsidP="004B2CFD">
      <w:pPr>
        <w:rPr>
          <w:rFonts w:ascii="Times New Roman" w:hAnsi="Times New Roman" w:cs="Times New Roman"/>
          <w:sz w:val="24"/>
          <w:szCs w:val="24"/>
        </w:rPr>
      </w:pPr>
      <w:r w:rsidRPr="004B2CFD">
        <w:rPr>
          <w:rFonts w:ascii="Times New Roman" w:hAnsi="Times New Roman" w:cs="Times New Roman"/>
          <w:sz w:val="24"/>
          <w:szCs w:val="24"/>
        </w:rPr>
        <w:br/>
        <w:t>NIS2 expands the European cybersecurity regime beyond the sectors covered by the first NIS Directive. It seeks to achieve a high common level of cybersecurity across the Union and applies to organizations operating in a range of essential and important sectors [3].</w:t>
      </w:r>
      <w:r w:rsidRPr="004B2CFD">
        <w:rPr>
          <w:rFonts w:ascii="Times New Roman" w:hAnsi="Times New Roman" w:cs="Times New Roman"/>
          <w:sz w:val="24"/>
          <w:szCs w:val="24"/>
        </w:rPr>
        <w:br/>
        <w:t>The Directive requires risk-management measures addressing areas such as incident handling, business continuity, crisis management, supply-chain security, vulnerability management, access control, cryptography, asset management and security in network and information systems [3], [5].</w:t>
      </w:r>
      <w:r w:rsidRPr="004B2CFD">
        <w:rPr>
          <w:rFonts w:ascii="Times New Roman" w:hAnsi="Times New Roman" w:cs="Times New Roman"/>
          <w:sz w:val="24"/>
          <w:szCs w:val="24"/>
        </w:rPr>
        <w:br/>
        <w:t>The breadth of these requirements demonstrates that NIS2 is not limited to technical security. It requires organizations to establish organizational processes capable of managing cybersecurity risk systematically.</w:t>
      </w:r>
      <w:r w:rsidRPr="004B2CFD">
        <w:rPr>
          <w:rFonts w:ascii="Times New Roman" w:hAnsi="Times New Roman" w:cs="Times New Roman"/>
          <w:sz w:val="24"/>
          <w:szCs w:val="24"/>
        </w:rPr>
        <w:br/>
        <w:t>NIS2 also establishes substantial incident-reporting obligations. For significant incidents, an early warning should generally be submitted within 24 hours of awareness, followed by an incident notification within 72 hours and a final report within one month [3]. These requirements create a strong incentive for organizations to develop mature incident classification and reporting processes.</w:t>
      </w:r>
      <w:r w:rsidRPr="004B2CFD">
        <w:rPr>
          <w:rFonts w:ascii="Times New Roman" w:hAnsi="Times New Roman" w:cs="Times New Roman"/>
          <w:sz w:val="24"/>
          <w:szCs w:val="24"/>
        </w:rPr>
        <w:br/>
        <w:t>ENISA’s technical guidance further connects NIS2 with practical security measures, including risk-management policies, incident handling, business continuity, supply-chain security, secure acquisition and development, asset management, cryptography and access control [5].</w:t>
      </w:r>
      <w:r w:rsidRPr="004B2CFD">
        <w:rPr>
          <w:rFonts w:ascii="Times New Roman" w:hAnsi="Times New Roman" w:cs="Times New Roman"/>
          <w:sz w:val="24"/>
          <w:szCs w:val="24"/>
        </w:rPr>
        <w:br/>
        <w:t>A critical issue is that NIS2 constitutes a Directive rather than a Regulation. Member States transpose it into national law, meaning implementation can differ between jurisdictions. This creates an additional level of complexity for multinational organizations. The organization must therefore understand both the European-level requirement and the applicable national implementation.</w:t>
      </w:r>
    </w:p>
    <w:p w:rsidR="004B2CFD" w:rsidRPr="00FF1BFE" w:rsidRDefault="004B2CFD" w:rsidP="00BA707B">
      <w:pPr>
        <w:pStyle w:val="Heading2"/>
        <w:rPr>
          <w:rFonts w:ascii="Times New Roman" w:hAnsi="Times New Roman" w:cs="Times New Roman"/>
          <w:b/>
          <w:sz w:val="36"/>
          <w:szCs w:val="36"/>
        </w:rPr>
      </w:pPr>
      <w:bookmarkStart w:id="8" w:name="_Toc237227032"/>
      <w:r w:rsidRPr="00FF1BFE">
        <w:rPr>
          <w:rFonts w:ascii="Times New Roman" w:hAnsi="Times New Roman" w:cs="Times New Roman"/>
          <w:b/>
          <w:color w:val="auto"/>
          <w:sz w:val="36"/>
          <w:szCs w:val="36"/>
        </w:rPr>
        <w:t>1.5 Comparing GDPR, DORA and NIS2</w:t>
      </w:r>
      <w:bookmarkEnd w:id="8"/>
    </w:p>
    <w:p w:rsidR="004B2CFD" w:rsidRPr="004B2CFD" w:rsidRDefault="004B2CFD" w:rsidP="004B2CFD">
      <w:pPr>
        <w:rPr>
          <w:rFonts w:ascii="Times New Roman" w:hAnsi="Times New Roman" w:cs="Times New Roman"/>
          <w:sz w:val="24"/>
          <w:szCs w:val="24"/>
        </w:rPr>
      </w:pPr>
      <w:r w:rsidRPr="004B2CFD">
        <w:rPr>
          <w:rFonts w:ascii="Times New Roman" w:hAnsi="Times New Roman" w:cs="Times New Roman"/>
          <w:sz w:val="24"/>
          <w:szCs w:val="24"/>
        </w:rPr>
        <w:br/>
        <w:t>Although the three instruments differ in purpose, they share substantial common ground.</w:t>
      </w:r>
      <w:r w:rsidRPr="004B2CFD">
        <w:rPr>
          <w:rFonts w:ascii="Times New Roman" w:hAnsi="Times New Roman" w:cs="Times New Roman"/>
          <w:sz w:val="24"/>
          <w:szCs w:val="24"/>
        </w:rPr>
        <w:br/>
        <w:t>Area GDPR DORA NIS2</w:t>
      </w:r>
      <w:r w:rsidRPr="004B2CFD">
        <w:rPr>
          <w:rFonts w:ascii="Times New Roman" w:hAnsi="Times New Roman" w:cs="Times New Roman"/>
          <w:sz w:val="24"/>
          <w:szCs w:val="24"/>
        </w:rPr>
        <w:br/>
        <w:t>Main objective Protection of personal data and individual protections Digital operational durability in finance High common level of cybersecurity</w:t>
      </w:r>
      <w:r w:rsidRPr="004B2CFD">
        <w:rPr>
          <w:rFonts w:ascii="Times New Roman" w:hAnsi="Times New Roman" w:cs="Times New Roman"/>
          <w:sz w:val="24"/>
          <w:szCs w:val="24"/>
        </w:rPr>
        <w:br/>
        <w:t>Main focus: Privacy, data protection and accountability; ICT risk and operational resilience; cybersecurity and critical/important sectors</w:t>
      </w:r>
      <w:r w:rsidRPr="004B2CFD">
        <w:rPr>
          <w:rFonts w:ascii="Times New Roman" w:hAnsi="Times New Roman" w:cs="Times New Roman"/>
          <w:sz w:val="24"/>
          <w:szCs w:val="24"/>
        </w:rPr>
        <w:br/>
        <w:t>Governance: Accountability of controllers/processors; management body ultimately responsible for ICT risk; management responsibility and cybersecurity governance</w:t>
      </w:r>
      <w:r w:rsidRPr="004B2CFD">
        <w:rPr>
          <w:rFonts w:ascii="Times New Roman" w:hAnsi="Times New Roman" w:cs="Times New Roman"/>
          <w:sz w:val="24"/>
          <w:szCs w:val="24"/>
        </w:rPr>
        <w:br/>
        <w:t>Risk management: Risk to individuals and personal data; ICT and operational risk; cybersecurity risk</w:t>
      </w:r>
      <w:r w:rsidRPr="004B2CFD">
        <w:rPr>
          <w:rFonts w:ascii="Times New Roman" w:hAnsi="Times New Roman" w:cs="Times New Roman"/>
          <w:sz w:val="24"/>
          <w:szCs w:val="24"/>
        </w:rPr>
        <w:br/>
        <w:t>Incident response: Personal-data breach notification; ICT incident management/reporting; major incident notification</w:t>
      </w:r>
      <w:r w:rsidRPr="004B2CFD">
        <w:rPr>
          <w:rFonts w:ascii="Times New Roman" w:hAnsi="Times New Roman" w:cs="Times New Roman"/>
          <w:sz w:val="24"/>
          <w:szCs w:val="24"/>
        </w:rPr>
        <w:br/>
      </w:r>
      <w:r w:rsidRPr="004B2CFD">
        <w:rPr>
          <w:rFonts w:ascii="Times New Roman" w:hAnsi="Times New Roman" w:cs="Times New Roman"/>
          <w:sz w:val="24"/>
          <w:szCs w:val="24"/>
        </w:rPr>
        <w:lastRenderedPageBreak/>
        <w:t>Supply chain: Processor and third-party obligations; strong ICT third-party risk management; supply-chain security</w:t>
      </w:r>
      <w:r w:rsidRPr="004B2CFD">
        <w:rPr>
          <w:rFonts w:ascii="Times New Roman" w:hAnsi="Times New Roman" w:cs="Times New Roman"/>
          <w:sz w:val="24"/>
          <w:szCs w:val="24"/>
        </w:rPr>
        <w:br/>
        <w:t>Resilience: Security and restoration requirements; extensive functional resilience requirements; business continuity and crisis management</w:t>
      </w:r>
      <w:r w:rsidRPr="004B2CFD">
        <w:rPr>
          <w:rFonts w:ascii="Times New Roman" w:hAnsi="Times New Roman" w:cs="Times New Roman"/>
          <w:sz w:val="24"/>
          <w:szCs w:val="24"/>
        </w:rPr>
        <w:br/>
        <w:t>Technical controls: Risk-appropriate security measures; security, monitoring, authentication, encryption and resilience; risk-management and technical/organisational measures</w:t>
      </w:r>
      <w:r w:rsidRPr="004B2CFD">
        <w:rPr>
          <w:rFonts w:ascii="Times New Roman" w:hAnsi="Times New Roman" w:cs="Times New Roman"/>
          <w:sz w:val="24"/>
          <w:szCs w:val="24"/>
        </w:rPr>
        <w:br/>
        <w:t>Regulatory overlap presents both challenges and opportunities. Rather than developing three separate compliance programmes, organizations should establish a unified control library.</w:t>
      </w:r>
      <w:r w:rsidRPr="004B2CFD">
        <w:rPr>
          <w:rFonts w:ascii="Times New Roman" w:hAnsi="Times New Roman" w:cs="Times New Roman"/>
          <w:sz w:val="24"/>
          <w:szCs w:val="24"/>
        </w:rPr>
        <w:br/>
        <w:t>For example, one vulnerability-management process can support GDPR security requirements, DORA ICT risk management and NIS2 risk-management measures. Similarly, a single Security Information and Event Management (SIEM) platform can support monitoring and incident investigation across several governing frameworks.</w:t>
      </w:r>
      <w:r w:rsidRPr="004B2CFD">
        <w:rPr>
          <w:rFonts w:ascii="Times New Roman" w:hAnsi="Times New Roman" w:cs="Times New Roman"/>
          <w:sz w:val="24"/>
          <w:szCs w:val="24"/>
        </w:rPr>
        <w:br/>
        <w:t>Control harmonization is therefore a critical success factor.</w:t>
      </w:r>
    </w:p>
    <w:p w:rsidR="004B2CFD" w:rsidRPr="004B2CFD" w:rsidRDefault="004B2CFD" w:rsidP="004B2CFD">
      <w:pPr>
        <w:rPr>
          <w:rFonts w:ascii="Times New Roman" w:hAnsi="Times New Roman" w:cs="Times New Roman"/>
          <w:sz w:val="24"/>
          <w:szCs w:val="24"/>
        </w:rPr>
      </w:pPr>
    </w:p>
    <w:p w:rsidR="004B2CFD" w:rsidRPr="00FF1BFE" w:rsidRDefault="004B2CFD" w:rsidP="00BA707B">
      <w:pPr>
        <w:pStyle w:val="Heading2"/>
        <w:rPr>
          <w:rFonts w:ascii="Times New Roman" w:hAnsi="Times New Roman" w:cs="Times New Roman"/>
          <w:b/>
          <w:color w:val="auto"/>
          <w:sz w:val="36"/>
          <w:szCs w:val="36"/>
        </w:rPr>
      </w:pPr>
      <w:bookmarkStart w:id="9" w:name="_Toc237227033"/>
      <w:r w:rsidRPr="00FF1BFE">
        <w:rPr>
          <w:rFonts w:ascii="Times New Roman" w:hAnsi="Times New Roman" w:cs="Times New Roman"/>
          <w:b/>
          <w:color w:val="auto"/>
          <w:sz w:val="36"/>
          <w:szCs w:val="36"/>
        </w:rPr>
        <w:t>1.6 The Problem of Regulatory Fragmentation</w:t>
      </w:r>
      <w:bookmarkEnd w:id="9"/>
    </w:p>
    <w:p w:rsidR="004B2CFD" w:rsidRPr="004B2CFD" w:rsidRDefault="004B2CFD" w:rsidP="004B2CFD">
      <w:pPr>
        <w:rPr>
          <w:rFonts w:ascii="Times New Roman" w:hAnsi="Times New Roman" w:cs="Times New Roman"/>
          <w:sz w:val="24"/>
          <w:szCs w:val="24"/>
        </w:rPr>
      </w:pPr>
      <w:r w:rsidRPr="004B2CFD">
        <w:rPr>
          <w:rFonts w:ascii="Times New Roman" w:hAnsi="Times New Roman" w:cs="Times New Roman"/>
          <w:sz w:val="24"/>
          <w:szCs w:val="24"/>
        </w:rPr>
        <w:br/>
        <w:t>Regulatory fragmentation creates three major risks.</w:t>
      </w:r>
      <w:r w:rsidRPr="004B2CFD">
        <w:rPr>
          <w:rFonts w:ascii="Times New Roman" w:hAnsi="Times New Roman" w:cs="Times New Roman"/>
          <w:sz w:val="24"/>
          <w:szCs w:val="24"/>
        </w:rPr>
        <w:br/>
        <w:t xml:space="preserve">First, </w:t>
      </w:r>
      <w:r>
        <w:rPr>
          <w:rFonts w:ascii="Times New Roman" w:hAnsi="Times New Roman" w:cs="Times New Roman"/>
          <w:sz w:val="24"/>
          <w:szCs w:val="24"/>
        </w:rPr>
        <w:t>organisations</w:t>
      </w:r>
      <w:r w:rsidRPr="004B2CFD">
        <w:rPr>
          <w:rFonts w:ascii="Times New Roman" w:hAnsi="Times New Roman" w:cs="Times New Roman"/>
          <w:sz w:val="24"/>
          <w:szCs w:val="24"/>
        </w:rPr>
        <w:t xml:space="preserve"> may experience duplicated compliance work. Different departments may maintain separate GDPR, DORA and NIS2 assessments even though the underlying controls are similar.</w:t>
      </w:r>
      <w:r w:rsidRPr="004B2CFD">
        <w:rPr>
          <w:rFonts w:ascii="Times New Roman" w:hAnsi="Times New Roman" w:cs="Times New Roman"/>
          <w:sz w:val="24"/>
          <w:szCs w:val="24"/>
        </w:rPr>
        <w:br/>
        <w:t>Second, fragmentation may create conflicting priorities. A data protection team may focus on personal-data processing while an ICT risk team focuses on business continuity and a compliance department focuses on regulatory evidence. Without common governance, these groups may not share the same understanding of risk.</w:t>
      </w:r>
      <w:r w:rsidRPr="004B2CFD">
        <w:rPr>
          <w:rFonts w:ascii="Times New Roman" w:hAnsi="Times New Roman" w:cs="Times New Roman"/>
          <w:sz w:val="24"/>
          <w:szCs w:val="24"/>
        </w:rPr>
        <w:br/>
        <w:t>Third, compliance fragmentation may create a false sense of security. An organization may achieve a high documentation score while leaving fundamental vulnerabilities unresolved.</w:t>
      </w:r>
      <w:r w:rsidRPr="004B2CFD">
        <w:rPr>
          <w:rFonts w:ascii="Times New Roman" w:hAnsi="Times New Roman" w:cs="Times New Roman"/>
          <w:sz w:val="24"/>
          <w:szCs w:val="24"/>
        </w:rPr>
        <w:br/>
        <w:t>The solution is not to reduce regulatory requirements, but to integrate them within an enterprise risk architecture. NIST CSF 2.0 is particularly valuable because its functions provide a common language for technical, legal, compliance, and executive stakeholders [4].</w:t>
      </w:r>
    </w:p>
    <w:p w:rsidR="004B2CFD" w:rsidRPr="004B2CFD" w:rsidRDefault="004B2CFD" w:rsidP="004B2CFD">
      <w:pPr>
        <w:rPr>
          <w:rFonts w:ascii="Times New Roman" w:hAnsi="Times New Roman" w:cs="Times New Roman"/>
          <w:sz w:val="24"/>
          <w:szCs w:val="24"/>
        </w:rPr>
      </w:pPr>
    </w:p>
    <w:p w:rsidR="004B2CFD" w:rsidRPr="00FF1BFE" w:rsidRDefault="004B2CFD" w:rsidP="00BA707B">
      <w:pPr>
        <w:pStyle w:val="Heading2"/>
        <w:rPr>
          <w:rFonts w:ascii="Times New Roman" w:hAnsi="Times New Roman" w:cs="Times New Roman"/>
          <w:b/>
          <w:color w:val="auto"/>
          <w:sz w:val="36"/>
          <w:szCs w:val="36"/>
        </w:rPr>
      </w:pPr>
      <w:bookmarkStart w:id="10" w:name="_Toc237227034"/>
      <w:r w:rsidRPr="00FF1BFE">
        <w:rPr>
          <w:rFonts w:ascii="Times New Roman" w:hAnsi="Times New Roman" w:cs="Times New Roman"/>
          <w:b/>
          <w:color w:val="auto"/>
          <w:sz w:val="36"/>
          <w:szCs w:val="36"/>
        </w:rPr>
        <w:t>1.7 A Unified Anticipate–Protect–Detect–Respond Model</w:t>
      </w:r>
      <w:bookmarkEnd w:id="10"/>
    </w:p>
    <w:p w:rsidR="004B2CFD" w:rsidRPr="004B2CFD" w:rsidRDefault="004B2CFD" w:rsidP="004B2CFD">
      <w:pPr>
        <w:rPr>
          <w:rFonts w:ascii="Times New Roman" w:hAnsi="Times New Roman" w:cs="Times New Roman"/>
          <w:sz w:val="24"/>
          <w:szCs w:val="24"/>
        </w:rPr>
      </w:pPr>
      <w:r>
        <w:rPr>
          <w:rFonts w:ascii="Times New Roman" w:hAnsi="Times New Roman" w:cs="Times New Roman"/>
          <w:sz w:val="24"/>
          <w:szCs w:val="24"/>
        </w:rPr>
        <w:br/>
        <w:t>The assignment requires organisations to anticipate, protect, detect and automatically respond to threats. These concepts can be mapped to NIST CSF 2.0 as follows:</w:t>
      </w:r>
      <w:r>
        <w:rPr>
          <w:rFonts w:ascii="Times New Roman" w:hAnsi="Times New Roman" w:cs="Times New Roman"/>
          <w:sz w:val="24"/>
          <w:szCs w:val="24"/>
        </w:rPr>
        <w:br/>
        <w:t>Security objective NIST CSF 2.0 Practical capability</w:t>
      </w:r>
      <w:r>
        <w:rPr>
          <w:rFonts w:ascii="Times New Roman" w:hAnsi="Times New Roman" w:cs="Times New Roman"/>
          <w:sz w:val="24"/>
          <w:szCs w:val="24"/>
        </w:rPr>
        <w:br/>
        <w:t>Anticipate: Govern + Identify: risk assessment, asset inventory, threat intelligence, supply-chain analysis</w:t>
      </w:r>
      <w:r>
        <w:rPr>
          <w:rFonts w:ascii="Times New Roman" w:hAnsi="Times New Roman" w:cs="Times New Roman"/>
          <w:sz w:val="24"/>
          <w:szCs w:val="24"/>
        </w:rPr>
        <w:br/>
        <w:t>Protect: MFA, encryption, segmentation, secure development, patching</w:t>
      </w:r>
      <w:r>
        <w:rPr>
          <w:rFonts w:ascii="Times New Roman" w:hAnsi="Times New Roman" w:cs="Times New Roman"/>
          <w:sz w:val="24"/>
          <w:szCs w:val="24"/>
        </w:rPr>
        <w:br/>
        <w:t>Detect: SIEM, EDR, network monitoring, vulnerability scanning</w:t>
      </w:r>
      <w:r>
        <w:rPr>
          <w:rFonts w:ascii="Times New Roman" w:hAnsi="Times New Roman" w:cs="Times New Roman"/>
          <w:sz w:val="24"/>
          <w:szCs w:val="24"/>
        </w:rPr>
        <w:br/>
        <w:t>Respond: Automated containment, incident response, notification</w:t>
      </w:r>
      <w:r>
        <w:rPr>
          <w:rFonts w:ascii="Times New Roman" w:hAnsi="Times New Roman" w:cs="Times New Roman"/>
          <w:sz w:val="24"/>
          <w:szCs w:val="24"/>
        </w:rPr>
        <w:br/>
        <w:t>Restore: Recover backups, disaster recovery, resilience testing and lessons learned</w:t>
      </w:r>
      <w:r>
        <w:rPr>
          <w:rFonts w:ascii="Times New Roman" w:hAnsi="Times New Roman" w:cs="Times New Roman"/>
          <w:sz w:val="24"/>
          <w:szCs w:val="24"/>
        </w:rPr>
        <w:br/>
        <w:t xml:space="preserve">Automation is particularly important because the volume of security events can exceed human analytical capacity. A Security Operations Centre can integrate SIEM, Endpoint </w:t>
      </w:r>
      <w:r>
        <w:rPr>
          <w:rFonts w:ascii="Times New Roman" w:hAnsi="Times New Roman" w:cs="Times New Roman"/>
          <w:sz w:val="24"/>
          <w:szCs w:val="24"/>
        </w:rPr>
        <w:lastRenderedPageBreak/>
        <w:t>Detection and Response (EDR), vulnerability management systems and threat intelligence. For example, if an EDR platform detects malicious activity on a critical endpoint, an automated playbook could isolate the endpoint, disable a compromised credential, preserve forensic evidence and create an incident record.</w:t>
      </w:r>
      <w:r>
        <w:rPr>
          <w:rFonts w:ascii="Times New Roman" w:hAnsi="Times New Roman" w:cs="Times New Roman"/>
          <w:sz w:val="24"/>
          <w:szCs w:val="24"/>
        </w:rPr>
        <w:br/>
        <w:t>Automation must, however, be carefully governed. Excessive automation can cause operational disruption if detection rules produce false positives. The appropriate model is therefore risk-based automation: high-confidence events can trigger immediate containment, while ambiguous events require human approval.</w:t>
      </w:r>
    </w:p>
    <w:p w:rsidR="004B2CFD" w:rsidRPr="00FF1BFE" w:rsidRDefault="004B2CFD" w:rsidP="00BA707B">
      <w:pPr>
        <w:pStyle w:val="Heading2"/>
        <w:rPr>
          <w:rFonts w:ascii="Times New Roman" w:hAnsi="Times New Roman" w:cs="Times New Roman"/>
          <w:b/>
          <w:color w:val="auto"/>
          <w:sz w:val="36"/>
          <w:szCs w:val="36"/>
        </w:rPr>
      </w:pPr>
      <w:bookmarkStart w:id="11" w:name="_Toc237227035"/>
      <w:r w:rsidRPr="00FF1BFE">
        <w:rPr>
          <w:rFonts w:ascii="Times New Roman" w:hAnsi="Times New Roman" w:cs="Times New Roman"/>
          <w:b/>
          <w:color w:val="auto"/>
          <w:sz w:val="36"/>
          <w:szCs w:val="36"/>
        </w:rPr>
        <w:t>1.8 Persistent Monitoring and Compliance</w:t>
      </w:r>
      <w:bookmarkEnd w:id="11"/>
    </w:p>
    <w:p w:rsidR="004B2CFD" w:rsidRPr="004B2CFD" w:rsidRDefault="004B2CFD" w:rsidP="004B2CFD">
      <w:pPr>
        <w:rPr>
          <w:rFonts w:ascii="Times New Roman" w:hAnsi="Times New Roman" w:cs="Times New Roman"/>
          <w:sz w:val="24"/>
          <w:szCs w:val="24"/>
        </w:rPr>
      </w:pPr>
      <w:r w:rsidRPr="004B2CFD">
        <w:rPr>
          <w:rFonts w:ascii="Times New Roman" w:hAnsi="Times New Roman" w:cs="Times New Roman"/>
          <w:sz w:val="24"/>
          <w:szCs w:val="24"/>
        </w:rPr>
        <w:br/>
        <w:t>Ongoing monitoring is central to modern compliance because security conditions change continuously. A system that is secure today may become vulnerable after a software update, configuration change or newly disclosed vulnerability.</w:t>
      </w:r>
      <w:r w:rsidRPr="004B2CFD">
        <w:rPr>
          <w:rFonts w:ascii="Times New Roman" w:hAnsi="Times New Roman" w:cs="Times New Roman"/>
          <w:sz w:val="24"/>
          <w:szCs w:val="24"/>
        </w:rPr>
        <w:br/>
        <w:t>DORA explicitly requires continuous monitoring of ICT systems and security, while NIS2 promotes effective risk-management measures and incident handling [2], [3]. GDPR’s risk-based security requirements similarly imply that security controls should remain effective over time rather than being assessed only annually [1].</w:t>
      </w:r>
      <w:r w:rsidRPr="004B2CFD">
        <w:rPr>
          <w:rFonts w:ascii="Times New Roman" w:hAnsi="Times New Roman" w:cs="Times New Roman"/>
          <w:sz w:val="24"/>
          <w:szCs w:val="24"/>
        </w:rPr>
        <w:br/>
        <w:t>A mature monitoring architecture should include:</w:t>
      </w:r>
      <w:r w:rsidRPr="004B2CFD">
        <w:rPr>
          <w:rFonts w:ascii="Times New Roman" w:hAnsi="Times New Roman" w:cs="Times New Roman"/>
          <w:sz w:val="24"/>
          <w:szCs w:val="24"/>
        </w:rPr>
        <w:br/>
        <w:t>• Asset discovery and inventory;</w:t>
      </w:r>
      <w:r w:rsidRPr="004B2CFD">
        <w:rPr>
          <w:rFonts w:ascii="Times New Roman" w:hAnsi="Times New Roman" w:cs="Times New Roman"/>
          <w:sz w:val="24"/>
          <w:szCs w:val="24"/>
        </w:rPr>
        <w:br/>
        <w:t>• Continuous vulnerability scanning;</w:t>
      </w:r>
      <w:r w:rsidRPr="004B2CFD">
        <w:rPr>
          <w:rFonts w:ascii="Times New Roman" w:hAnsi="Times New Roman" w:cs="Times New Roman"/>
          <w:sz w:val="24"/>
          <w:szCs w:val="24"/>
        </w:rPr>
        <w:br/>
        <w:t>• Cloud Security Posture Management (CSPM);</w:t>
      </w:r>
      <w:r w:rsidRPr="004B2CFD">
        <w:rPr>
          <w:rFonts w:ascii="Times New Roman" w:hAnsi="Times New Roman" w:cs="Times New Roman"/>
          <w:sz w:val="24"/>
          <w:szCs w:val="24"/>
        </w:rPr>
        <w:br/>
        <w:t>• EDR;</w:t>
      </w:r>
      <w:r w:rsidRPr="004B2CFD">
        <w:rPr>
          <w:rFonts w:ascii="Times New Roman" w:hAnsi="Times New Roman" w:cs="Times New Roman"/>
          <w:sz w:val="24"/>
          <w:szCs w:val="24"/>
        </w:rPr>
        <w:br/>
        <w:t>• SIEM;</w:t>
      </w:r>
      <w:r w:rsidRPr="004B2CFD">
        <w:rPr>
          <w:rFonts w:ascii="Times New Roman" w:hAnsi="Times New Roman" w:cs="Times New Roman"/>
          <w:sz w:val="24"/>
          <w:szCs w:val="24"/>
        </w:rPr>
        <w:br/>
        <w:t>• Identity and access monitoring;</w:t>
      </w:r>
      <w:r w:rsidRPr="004B2CFD">
        <w:rPr>
          <w:rFonts w:ascii="Times New Roman" w:hAnsi="Times New Roman" w:cs="Times New Roman"/>
          <w:sz w:val="24"/>
          <w:szCs w:val="24"/>
        </w:rPr>
        <w:br/>
        <w:t>• Data Loss Prevention (DLP);</w:t>
      </w:r>
      <w:r w:rsidRPr="004B2CFD">
        <w:rPr>
          <w:rFonts w:ascii="Times New Roman" w:hAnsi="Times New Roman" w:cs="Times New Roman"/>
          <w:sz w:val="24"/>
          <w:szCs w:val="24"/>
        </w:rPr>
        <w:br/>
        <w:t>• Network detection;</w:t>
      </w:r>
      <w:r w:rsidRPr="004B2CFD">
        <w:rPr>
          <w:rFonts w:ascii="Times New Roman" w:hAnsi="Times New Roman" w:cs="Times New Roman"/>
          <w:sz w:val="24"/>
          <w:szCs w:val="24"/>
        </w:rPr>
        <w:br/>
        <w:t>• Threat intelligence;</w:t>
      </w:r>
      <w:r w:rsidRPr="004B2CFD">
        <w:rPr>
          <w:rFonts w:ascii="Times New Roman" w:hAnsi="Times New Roman" w:cs="Times New Roman"/>
          <w:sz w:val="24"/>
          <w:szCs w:val="24"/>
        </w:rPr>
        <w:br/>
        <w:t>• Automated patch-management reporting.</w:t>
      </w:r>
      <w:r w:rsidRPr="004B2CFD">
        <w:rPr>
          <w:rFonts w:ascii="Times New Roman" w:hAnsi="Times New Roman" w:cs="Times New Roman"/>
          <w:sz w:val="24"/>
          <w:szCs w:val="24"/>
        </w:rPr>
        <w:br/>
        <w:t>The value of these tools should be assessed by their ability to reduce the time between exposure, detection, and response, rather than by the volume of alerts generated.</w:t>
      </w:r>
    </w:p>
    <w:p w:rsidR="004B2CFD" w:rsidRDefault="004B2CFD" w:rsidP="004B2CFD">
      <w:pPr>
        <w:rPr>
          <w:rFonts w:ascii="Times New Roman" w:hAnsi="Times New Roman" w:cs="Times New Roman"/>
          <w:b/>
          <w:sz w:val="36"/>
          <w:szCs w:val="36"/>
        </w:rPr>
      </w:pPr>
    </w:p>
    <w:p w:rsidR="00FF1BFE" w:rsidRDefault="00FF1BFE" w:rsidP="004B2CFD">
      <w:pPr>
        <w:rPr>
          <w:rFonts w:ascii="Times New Roman" w:hAnsi="Times New Roman" w:cs="Times New Roman"/>
          <w:b/>
          <w:sz w:val="36"/>
          <w:szCs w:val="36"/>
        </w:rPr>
      </w:pPr>
    </w:p>
    <w:p w:rsidR="00FF1BFE" w:rsidRDefault="00FF1BFE" w:rsidP="004B2CFD">
      <w:pPr>
        <w:rPr>
          <w:rFonts w:ascii="Times New Roman" w:hAnsi="Times New Roman" w:cs="Times New Roman"/>
          <w:b/>
          <w:sz w:val="36"/>
          <w:szCs w:val="36"/>
        </w:rPr>
      </w:pPr>
    </w:p>
    <w:p w:rsidR="00FF1BFE" w:rsidRDefault="00FF1BFE" w:rsidP="004B2CFD">
      <w:pPr>
        <w:rPr>
          <w:rFonts w:ascii="Times New Roman" w:hAnsi="Times New Roman" w:cs="Times New Roman"/>
          <w:b/>
          <w:sz w:val="36"/>
          <w:szCs w:val="36"/>
        </w:rPr>
      </w:pPr>
    </w:p>
    <w:p w:rsidR="00FF1BFE" w:rsidRDefault="00FF1BFE" w:rsidP="004B2CFD">
      <w:pPr>
        <w:rPr>
          <w:rFonts w:ascii="Times New Roman" w:hAnsi="Times New Roman" w:cs="Times New Roman"/>
          <w:b/>
          <w:sz w:val="36"/>
          <w:szCs w:val="36"/>
        </w:rPr>
      </w:pPr>
    </w:p>
    <w:p w:rsidR="00FF1BFE" w:rsidRDefault="00FF1BFE" w:rsidP="004B2CFD">
      <w:pPr>
        <w:rPr>
          <w:rFonts w:ascii="Times New Roman" w:hAnsi="Times New Roman" w:cs="Times New Roman"/>
          <w:b/>
          <w:sz w:val="36"/>
          <w:szCs w:val="36"/>
        </w:rPr>
      </w:pPr>
    </w:p>
    <w:p w:rsidR="004B2CFD" w:rsidRPr="00FF1BFE" w:rsidRDefault="004B2CFD" w:rsidP="00BA707B">
      <w:pPr>
        <w:pStyle w:val="Heading2"/>
        <w:rPr>
          <w:rFonts w:ascii="Times New Roman" w:hAnsi="Times New Roman" w:cs="Times New Roman"/>
          <w:b/>
          <w:color w:val="auto"/>
          <w:sz w:val="36"/>
          <w:szCs w:val="36"/>
        </w:rPr>
      </w:pPr>
      <w:bookmarkStart w:id="12" w:name="_Toc237227036"/>
      <w:r w:rsidRPr="00FF1BFE">
        <w:rPr>
          <w:rFonts w:ascii="Times New Roman" w:hAnsi="Times New Roman" w:cs="Times New Roman"/>
          <w:b/>
          <w:color w:val="auto"/>
          <w:sz w:val="36"/>
          <w:szCs w:val="36"/>
        </w:rPr>
        <w:lastRenderedPageBreak/>
        <w:t>1.9 Critical Evaluation</w:t>
      </w:r>
      <w:bookmarkEnd w:id="12"/>
    </w:p>
    <w:p w:rsidR="004B2CFD" w:rsidRPr="004B2CFD" w:rsidRDefault="004B2CFD" w:rsidP="004B2CFD">
      <w:pPr>
        <w:rPr>
          <w:rFonts w:ascii="Times New Roman" w:hAnsi="Times New Roman" w:cs="Times New Roman"/>
          <w:sz w:val="24"/>
          <w:szCs w:val="24"/>
        </w:rPr>
      </w:pPr>
      <w:r w:rsidRPr="004B2CFD">
        <w:rPr>
          <w:rFonts w:ascii="Times New Roman" w:hAnsi="Times New Roman" w:cs="Times New Roman"/>
          <w:sz w:val="24"/>
          <w:szCs w:val="24"/>
        </w:rPr>
        <w:br/>
        <w:t>The regulatory developments considered above represent considerable progress in cybersecurity governance, but regulation alone cannot guarantee security. One limitation is that regulations generally establish outcomes rather than guaranteeing that an organization can prevent every attack. This is appropriate because technology and threats develop too rapidly for legislation to specify every technical control.</w:t>
      </w:r>
      <w:r w:rsidRPr="004B2CFD">
        <w:rPr>
          <w:rFonts w:ascii="Times New Roman" w:hAnsi="Times New Roman" w:cs="Times New Roman"/>
          <w:sz w:val="24"/>
          <w:szCs w:val="24"/>
        </w:rPr>
        <w:br/>
        <w:t>Another limitation is the cost of compliance. Smaller organizations may lack the specialist personnel required to interpret several overlapping regulatory requirements. Excessive compliance complexity can therefore divert resources away from practical security improvements.</w:t>
      </w:r>
    </w:p>
    <w:p w:rsidR="004B2CFD" w:rsidRPr="004B2CFD" w:rsidRDefault="004B2CFD" w:rsidP="004B2CFD">
      <w:pPr>
        <w:rPr>
          <w:rFonts w:ascii="Times New Roman" w:hAnsi="Times New Roman" w:cs="Times New Roman"/>
          <w:sz w:val="24"/>
          <w:szCs w:val="24"/>
        </w:rPr>
      </w:pPr>
    </w:p>
    <w:p w:rsidR="004B2CFD" w:rsidRDefault="004B2CFD" w:rsidP="004B2CFD">
      <w:pPr>
        <w:rPr>
          <w:rFonts w:ascii="Times New Roman" w:hAnsi="Times New Roman" w:cs="Times New Roman"/>
          <w:sz w:val="24"/>
          <w:szCs w:val="24"/>
        </w:rPr>
      </w:pPr>
      <w:r w:rsidRPr="004B2CFD">
        <w:rPr>
          <w:rFonts w:ascii="Times New Roman" w:hAnsi="Times New Roman" w:cs="Times New Roman"/>
          <w:sz w:val="24"/>
          <w:szCs w:val="24"/>
        </w:rPr>
        <w:t>To address these challenges, SMEs can consider several mitigation strategies. First, adopting established security frameworks with simplified controls—such as the NIST CSF Implementation Tiers or CIS Controls—can provide a practical baseline without the complexity of custom frameworks. Second, SMEs should prioritize risk-based controls aligned to their most critical assets and highest regulatory risks, rather than attempting to meet every requirement in full detail. Third, SMEs can leverage shared services and managed security providers, which can offer access to expertise and monitoring at a lower cost than in-house resources. Fourth, using regulatory compliance mapping tools or external advisory services can help streamline evidence collection and reduce duplication. Where possible, aligning documentation and controls so that a single policy or procedure meets the requirements of GDPR, DORA and NIS2 can further minimize administrative overhead. Finally, participating in industry forums or regulatory sandboxes may provide SMEs with pragmatic guidance and shared resources. By prioritizing controls that deliver actual risk reduction and adopting scalable frameworks, SMEs can meet core compliance expectations while focusing their resources on practical security outcomes.</w:t>
      </w:r>
      <w:r w:rsidRPr="004B2CFD">
        <w:rPr>
          <w:rFonts w:ascii="Times New Roman" w:hAnsi="Times New Roman" w:cs="Times New Roman"/>
          <w:sz w:val="24"/>
          <w:szCs w:val="24"/>
        </w:rPr>
        <w:br/>
        <w:t>There is also a risk that organisations may become compliance-driven rather than risk-driven, prioritising controls that are easily auditable over those that most effectively reduce risk.</w:t>
      </w:r>
      <w:r w:rsidRPr="004B2CFD">
        <w:rPr>
          <w:rFonts w:ascii="Times New Roman" w:hAnsi="Times New Roman" w:cs="Times New Roman"/>
          <w:sz w:val="24"/>
          <w:szCs w:val="24"/>
        </w:rPr>
        <w:br/>
        <w:t>The most effective approach is to treat regulations as a minimum governance baseline and to use risk-based frameworks such as NIST CSF 2.0 and ISO/IEC 27001 to establish a broader management system. In this model, compliance serves as evidence that the organization’s security programme is functioning, rather than as the primary objective of the programme.</w:t>
      </w:r>
    </w:p>
    <w:p w:rsidR="004B2CFD" w:rsidRDefault="004B2CFD" w:rsidP="004B2CFD">
      <w:pPr>
        <w:rPr>
          <w:rFonts w:ascii="Times New Roman" w:hAnsi="Times New Roman" w:cs="Times New Roman"/>
          <w:sz w:val="24"/>
          <w:szCs w:val="24"/>
        </w:rPr>
      </w:pPr>
    </w:p>
    <w:p w:rsidR="004B2CFD" w:rsidRDefault="004B2CFD" w:rsidP="004B2CFD">
      <w:pPr>
        <w:rPr>
          <w:rFonts w:ascii="Times New Roman" w:hAnsi="Times New Roman" w:cs="Times New Roman"/>
          <w:sz w:val="24"/>
          <w:szCs w:val="24"/>
        </w:rPr>
      </w:pPr>
    </w:p>
    <w:p w:rsidR="004B2CFD" w:rsidRDefault="004B2CFD" w:rsidP="004B2CFD">
      <w:pPr>
        <w:rPr>
          <w:rFonts w:ascii="Times New Roman" w:hAnsi="Times New Roman" w:cs="Times New Roman"/>
          <w:sz w:val="24"/>
          <w:szCs w:val="24"/>
        </w:rPr>
      </w:pPr>
    </w:p>
    <w:p w:rsidR="004B2CFD" w:rsidRDefault="004B2CFD" w:rsidP="004B2CFD">
      <w:pPr>
        <w:rPr>
          <w:rFonts w:ascii="Times New Roman" w:hAnsi="Times New Roman" w:cs="Times New Roman"/>
          <w:sz w:val="24"/>
          <w:szCs w:val="24"/>
        </w:rPr>
      </w:pPr>
    </w:p>
    <w:p w:rsidR="004B2CFD" w:rsidRDefault="004B2CFD" w:rsidP="004B2CFD">
      <w:pPr>
        <w:rPr>
          <w:rFonts w:ascii="Times New Roman" w:hAnsi="Times New Roman" w:cs="Times New Roman"/>
          <w:sz w:val="24"/>
          <w:szCs w:val="24"/>
        </w:rPr>
      </w:pPr>
    </w:p>
    <w:p w:rsidR="00BA707B" w:rsidRDefault="00BA707B" w:rsidP="004B2CFD">
      <w:pPr>
        <w:rPr>
          <w:rFonts w:ascii="Times New Roman" w:hAnsi="Times New Roman" w:cs="Times New Roman"/>
          <w:sz w:val="24"/>
          <w:szCs w:val="24"/>
        </w:rPr>
      </w:pPr>
    </w:p>
    <w:p w:rsidR="00BA707B" w:rsidRDefault="00BA707B" w:rsidP="004B2CFD">
      <w:pPr>
        <w:rPr>
          <w:rFonts w:ascii="Times New Roman" w:hAnsi="Times New Roman" w:cs="Times New Roman"/>
          <w:sz w:val="24"/>
          <w:szCs w:val="24"/>
        </w:rPr>
      </w:pPr>
    </w:p>
    <w:p w:rsidR="00BA707B" w:rsidRDefault="00BA707B" w:rsidP="004B2CFD">
      <w:pPr>
        <w:rPr>
          <w:rFonts w:ascii="Times New Roman" w:hAnsi="Times New Roman" w:cs="Times New Roman"/>
          <w:sz w:val="24"/>
          <w:szCs w:val="24"/>
        </w:rPr>
      </w:pPr>
    </w:p>
    <w:p w:rsidR="00BA707B" w:rsidRDefault="00BA707B" w:rsidP="004B2CFD">
      <w:pPr>
        <w:rPr>
          <w:rFonts w:ascii="Times New Roman" w:hAnsi="Times New Roman" w:cs="Times New Roman"/>
          <w:sz w:val="24"/>
          <w:szCs w:val="24"/>
        </w:rPr>
      </w:pPr>
    </w:p>
    <w:p w:rsidR="00BA707B" w:rsidRDefault="00BA707B" w:rsidP="004B2CFD">
      <w:pPr>
        <w:rPr>
          <w:rFonts w:ascii="Times New Roman" w:hAnsi="Times New Roman" w:cs="Times New Roman"/>
          <w:sz w:val="24"/>
          <w:szCs w:val="24"/>
        </w:rPr>
      </w:pPr>
    </w:p>
    <w:p w:rsidR="00BA707B" w:rsidRDefault="00BA707B" w:rsidP="004B2CFD">
      <w:pPr>
        <w:rPr>
          <w:rFonts w:ascii="Times New Roman" w:hAnsi="Times New Roman" w:cs="Times New Roman"/>
          <w:sz w:val="24"/>
          <w:szCs w:val="24"/>
        </w:rPr>
      </w:pPr>
    </w:p>
    <w:p w:rsidR="00BA707B" w:rsidRDefault="00BA707B" w:rsidP="004B2CFD">
      <w:pPr>
        <w:rPr>
          <w:rFonts w:ascii="Times New Roman" w:hAnsi="Times New Roman" w:cs="Times New Roman"/>
          <w:sz w:val="24"/>
          <w:szCs w:val="24"/>
        </w:rPr>
      </w:pPr>
    </w:p>
    <w:p w:rsidR="004B2CFD" w:rsidRPr="004B2CFD" w:rsidRDefault="004B2CFD" w:rsidP="004B2CFD">
      <w:pPr>
        <w:rPr>
          <w:rFonts w:ascii="Times New Roman" w:hAnsi="Times New Roman" w:cs="Times New Roman"/>
          <w:sz w:val="24"/>
          <w:szCs w:val="24"/>
        </w:rPr>
      </w:pPr>
    </w:p>
    <w:p w:rsidR="004B2CFD" w:rsidRDefault="004B2CFD" w:rsidP="004B2CFD">
      <w:pPr>
        <w:rPr>
          <w:rFonts w:ascii="Times New Roman" w:hAnsi="Times New Roman" w:cs="Times New Roman"/>
          <w:sz w:val="24"/>
          <w:szCs w:val="24"/>
        </w:rPr>
      </w:pPr>
      <w:r w:rsidRPr="004B2CFD">
        <w:rPr>
          <w:rFonts w:ascii="Times New Roman" w:hAnsi="Times New Roman" w:cs="Times New Roman"/>
          <w:sz w:val="48"/>
          <w:szCs w:val="48"/>
        </w:rPr>
        <w:t>Task 2 – Designing a Future-Oriented Cybersecurity Programme Using the Equifax Case</w:t>
      </w:r>
    </w:p>
    <w:p w:rsidR="004B2CFD" w:rsidRPr="00FF1BFE" w:rsidRDefault="004B2CFD" w:rsidP="003F1C95">
      <w:pPr>
        <w:pStyle w:val="Heading1"/>
        <w:rPr>
          <w:rFonts w:ascii="Times New Roman" w:hAnsi="Times New Roman" w:cs="Times New Roman"/>
          <w:b/>
          <w:sz w:val="36"/>
          <w:szCs w:val="36"/>
        </w:rPr>
      </w:pPr>
      <w:r>
        <w:rPr>
          <w:sz w:val="24"/>
          <w:szCs w:val="24"/>
        </w:rPr>
        <w:br/>
      </w:r>
      <w:bookmarkStart w:id="13" w:name="_Toc237227037"/>
      <w:r w:rsidRPr="00FF1BFE">
        <w:rPr>
          <w:rFonts w:ascii="Times New Roman" w:hAnsi="Times New Roman" w:cs="Times New Roman"/>
          <w:b/>
          <w:color w:val="auto"/>
          <w:sz w:val="36"/>
          <w:szCs w:val="36"/>
        </w:rPr>
        <w:t>2.1 Case Overview</w:t>
      </w:r>
      <w:bookmarkEnd w:id="13"/>
    </w:p>
    <w:p w:rsidR="004B2CFD" w:rsidRPr="004B2CFD" w:rsidRDefault="004B2CFD" w:rsidP="004B2CFD">
      <w:pPr>
        <w:rPr>
          <w:rFonts w:ascii="Times New Roman" w:hAnsi="Times New Roman" w:cs="Times New Roman"/>
          <w:sz w:val="24"/>
          <w:szCs w:val="24"/>
        </w:rPr>
      </w:pPr>
      <w:r>
        <w:rPr>
          <w:rFonts w:ascii="Times New Roman" w:hAnsi="Times New Roman" w:cs="Times New Roman"/>
          <w:sz w:val="24"/>
          <w:szCs w:val="24"/>
        </w:rPr>
        <w:br/>
        <w:t>The 2017 Equifax data breach is a key example of how a relatively straightforward technical vulnerability can escalate into a major organisational failure. Attackers exploited a known vulnerability in Apache Struts within an internet-facing Equifax application. The breach ultimately exposed sensitive information relating to approximately 147 million people. Government investigations identified weaknesses in identification, detection, segmentation and data governance [6].</w:t>
      </w:r>
      <w:r>
        <w:rPr>
          <w:rFonts w:ascii="Times New Roman" w:hAnsi="Times New Roman" w:cs="Times New Roman"/>
          <w:sz w:val="24"/>
          <w:szCs w:val="24"/>
        </w:rPr>
        <w:br/>
        <w:t>The Federal Trade Commission subsequently alleged that Equifax had failed to take reasonable measures to secure sensitive personal information. The settlement ultimately required Equifax to pay at least $575 million and potentially up to $700 million [7].</w:t>
      </w:r>
      <w:r>
        <w:rPr>
          <w:rFonts w:ascii="Times New Roman" w:hAnsi="Times New Roman" w:cs="Times New Roman"/>
          <w:sz w:val="24"/>
          <w:szCs w:val="24"/>
        </w:rPr>
        <w:br/>
        <w:t>The case is significant because the breach cannot reasonably be explained by the vulnerability alone. Vulnerabilities are unavoidable in contemporary software environments. The more important question is why the organisation was unable to identify, patch, detect and contain exploitation of a known weakness.</w:t>
      </w:r>
      <w:r>
        <w:rPr>
          <w:rFonts w:ascii="Times New Roman" w:hAnsi="Times New Roman" w:cs="Times New Roman"/>
          <w:sz w:val="24"/>
          <w:szCs w:val="24"/>
        </w:rPr>
        <w:br/>
        <w:t>The proposed cybersecurity programme therefore addresses the organisational system surrounding vulnerability management rather than focusing exclusively on the Apache Struts vulnerability.</w:t>
      </w:r>
    </w:p>
    <w:p w:rsidR="00E927FB" w:rsidRDefault="00E927FB" w:rsidP="004B2CFD">
      <w:pPr>
        <w:rPr>
          <w:rFonts w:ascii="Times New Roman" w:hAnsi="Times New Roman" w:cs="Times New Roman"/>
          <w:b/>
          <w:sz w:val="36"/>
          <w:szCs w:val="36"/>
        </w:rPr>
      </w:pPr>
    </w:p>
    <w:p w:rsidR="00E927FB" w:rsidRDefault="00E927FB" w:rsidP="004B2CFD">
      <w:pPr>
        <w:rPr>
          <w:rFonts w:ascii="Times New Roman" w:hAnsi="Times New Roman" w:cs="Times New Roman"/>
          <w:b/>
          <w:sz w:val="36"/>
          <w:szCs w:val="36"/>
        </w:rPr>
      </w:pPr>
    </w:p>
    <w:p w:rsidR="00E927FB" w:rsidRDefault="00E927FB" w:rsidP="004B2CFD">
      <w:pPr>
        <w:rPr>
          <w:rFonts w:ascii="Times New Roman" w:hAnsi="Times New Roman" w:cs="Times New Roman"/>
          <w:b/>
          <w:sz w:val="36"/>
          <w:szCs w:val="36"/>
        </w:rPr>
      </w:pPr>
    </w:p>
    <w:p w:rsidR="00E927FB" w:rsidRDefault="00E927FB" w:rsidP="004B2CFD">
      <w:pPr>
        <w:rPr>
          <w:rFonts w:ascii="Times New Roman" w:hAnsi="Times New Roman" w:cs="Times New Roman"/>
          <w:b/>
          <w:sz w:val="36"/>
          <w:szCs w:val="36"/>
        </w:rPr>
      </w:pPr>
    </w:p>
    <w:p w:rsidR="00E927FB" w:rsidRDefault="00E927FB" w:rsidP="004B2CFD">
      <w:pPr>
        <w:rPr>
          <w:rFonts w:ascii="Times New Roman" w:hAnsi="Times New Roman" w:cs="Times New Roman"/>
          <w:b/>
          <w:sz w:val="36"/>
          <w:szCs w:val="36"/>
        </w:rPr>
      </w:pPr>
    </w:p>
    <w:p w:rsidR="00E927FB" w:rsidRDefault="00E927FB" w:rsidP="004B2CFD">
      <w:pPr>
        <w:rPr>
          <w:rFonts w:ascii="Times New Roman" w:hAnsi="Times New Roman" w:cs="Times New Roman"/>
          <w:b/>
          <w:sz w:val="36"/>
          <w:szCs w:val="36"/>
        </w:rPr>
      </w:pPr>
    </w:p>
    <w:p w:rsidR="00FF1BFE" w:rsidRDefault="00FF1BFE" w:rsidP="004B2CFD">
      <w:pPr>
        <w:rPr>
          <w:rFonts w:ascii="Times New Roman" w:hAnsi="Times New Roman" w:cs="Times New Roman"/>
          <w:b/>
          <w:sz w:val="36"/>
          <w:szCs w:val="36"/>
        </w:rPr>
      </w:pPr>
    </w:p>
    <w:p w:rsidR="004B2CFD" w:rsidRPr="00FF1BFE" w:rsidRDefault="004B2CFD" w:rsidP="003F1C95">
      <w:pPr>
        <w:pStyle w:val="Heading2"/>
        <w:rPr>
          <w:rFonts w:ascii="Times New Roman" w:hAnsi="Times New Roman" w:cs="Times New Roman"/>
          <w:color w:val="auto"/>
          <w:sz w:val="36"/>
          <w:szCs w:val="36"/>
        </w:rPr>
      </w:pPr>
      <w:bookmarkStart w:id="14" w:name="_Toc237227038"/>
      <w:r w:rsidRPr="00FF1BFE">
        <w:rPr>
          <w:rFonts w:ascii="Times New Roman" w:hAnsi="Times New Roman" w:cs="Times New Roman"/>
          <w:color w:val="auto"/>
          <w:sz w:val="36"/>
          <w:szCs w:val="36"/>
        </w:rPr>
        <w:t>2.2 Organizational Structure and Accountability</w:t>
      </w:r>
      <w:bookmarkEnd w:id="14"/>
    </w:p>
    <w:p w:rsidR="004B2CFD" w:rsidRDefault="004B2CFD" w:rsidP="004B2CFD">
      <w:pPr>
        <w:rPr>
          <w:rFonts w:ascii="Times New Roman" w:hAnsi="Times New Roman" w:cs="Times New Roman"/>
          <w:sz w:val="24"/>
          <w:szCs w:val="24"/>
        </w:rPr>
      </w:pPr>
      <w:r w:rsidRPr="004B2CFD">
        <w:rPr>
          <w:rFonts w:ascii="Times New Roman" w:hAnsi="Times New Roman" w:cs="Times New Roman"/>
          <w:sz w:val="24"/>
          <w:szCs w:val="24"/>
        </w:rPr>
        <w:t>A central lesson from Equifax is that cybersecurity responsibility must be visible at executive and board level.</w:t>
      </w:r>
      <w:r w:rsidRPr="004B2CFD">
        <w:rPr>
          <w:rFonts w:ascii="Times New Roman" w:hAnsi="Times New Roman" w:cs="Times New Roman"/>
          <w:sz w:val="24"/>
          <w:szCs w:val="24"/>
        </w:rPr>
        <w:br/>
        <w:t>The proposed governance model is:</w:t>
      </w:r>
    </w:p>
    <w:p w:rsidR="004B2CFD" w:rsidRPr="004B2CFD" w:rsidRDefault="004B2CFD" w:rsidP="004B2CFD">
      <w:pPr>
        <w:rPr>
          <w:rFonts w:ascii="Times New Roman" w:hAnsi="Times New Roman" w:cs="Times New Roman"/>
          <w:sz w:val="24"/>
          <w:szCs w:val="24"/>
        </w:rPr>
      </w:pPr>
      <w:r w:rsidRPr="004B2CFD">
        <w:rPr>
          <w:rFonts w:ascii="Times New Roman" w:hAnsi="Times New Roman" w:cs="Times New Roman"/>
          <w:sz w:val="24"/>
          <w:szCs w:val="24"/>
        </w:rPr>
        <w:br/>
      </w:r>
      <w:r w:rsidR="00E927FB" w:rsidRPr="00E927FB">
        <w:rPr>
          <w:rFonts w:ascii="Times New Roman" w:hAnsi="Times New Roman" w:cs="Times New Roman"/>
          <w:sz w:val="24"/>
          <w:szCs w:val="24"/>
        </w:rPr>
        <w:drawing>
          <wp:inline distT="0" distB="0" distL="0" distR="0" wp14:anchorId="027BE139" wp14:editId="657BEE98">
            <wp:extent cx="5731510" cy="63119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6311900"/>
                    </a:xfrm>
                    <a:prstGeom prst="rect">
                      <a:avLst/>
                    </a:prstGeom>
                  </pic:spPr>
                </pic:pic>
              </a:graphicData>
            </a:graphic>
          </wp:inline>
        </w:drawing>
      </w:r>
      <w:r w:rsidRPr="004B2CFD">
        <w:rPr>
          <w:rFonts w:ascii="Times New Roman" w:hAnsi="Times New Roman" w:cs="Times New Roman"/>
          <w:sz w:val="24"/>
          <w:szCs w:val="24"/>
        </w:rPr>
        <w:br/>
        <w:t>Infrastructure / Cloud / IT Operations</w:t>
      </w:r>
      <w:r w:rsidRPr="004B2CFD">
        <w:rPr>
          <w:rFonts w:ascii="Times New Roman" w:hAnsi="Times New Roman" w:cs="Times New Roman"/>
          <w:sz w:val="24"/>
          <w:szCs w:val="24"/>
        </w:rPr>
        <w:br/>
        <w:t>The Chief Information Security Officer (CISO) should have sufficient independence and authority to report material cybersecurity risks directly to the board or a board risk committee. This is consistent with the governance emphasis of NIST CSF 2.0 and DORA’s requirement for management responsibility for ICT risk [2], [4].</w:t>
      </w:r>
      <w:r w:rsidRPr="004B2CFD">
        <w:rPr>
          <w:rFonts w:ascii="Times New Roman" w:hAnsi="Times New Roman" w:cs="Times New Roman"/>
          <w:sz w:val="24"/>
          <w:szCs w:val="24"/>
        </w:rPr>
        <w:br/>
      </w:r>
      <w:r w:rsidRPr="004B2CFD">
        <w:rPr>
          <w:rFonts w:ascii="Times New Roman" w:hAnsi="Times New Roman" w:cs="Times New Roman"/>
          <w:sz w:val="24"/>
          <w:szCs w:val="24"/>
        </w:rPr>
        <w:lastRenderedPageBreak/>
        <w:t>The following role allocation is recommended:</w:t>
      </w:r>
      <w:r w:rsidRPr="004B2CFD">
        <w:rPr>
          <w:rFonts w:ascii="Times New Roman" w:hAnsi="Times New Roman" w:cs="Times New Roman"/>
          <w:sz w:val="24"/>
          <w:szCs w:val="24"/>
        </w:rPr>
        <w:br/>
        <w:t>Role Primary responsibility Reporting/oversight</w:t>
      </w:r>
      <w:r w:rsidRPr="004B2CFD">
        <w:rPr>
          <w:rFonts w:ascii="Times New Roman" w:hAnsi="Times New Roman" w:cs="Times New Roman"/>
          <w:sz w:val="24"/>
          <w:szCs w:val="24"/>
        </w:rPr>
        <w:br/>
        <w:t>Board Risk Committee Cyber risk oversight and risk appetite Board</w:t>
      </w:r>
      <w:r w:rsidRPr="004B2CFD">
        <w:rPr>
          <w:rFonts w:ascii="Times New Roman" w:hAnsi="Times New Roman" w:cs="Times New Roman"/>
          <w:sz w:val="24"/>
          <w:szCs w:val="24"/>
        </w:rPr>
        <w:br/>
        <w:t>CEO Executive accountability Board</w:t>
      </w:r>
      <w:r w:rsidRPr="004B2CFD">
        <w:rPr>
          <w:rFonts w:ascii="Times New Roman" w:hAnsi="Times New Roman" w:cs="Times New Roman"/>
          <w:sz w:val="24"/>
          <w:szCs w:val="24"/>
        </w:rPr>
        <w:br/>
        <w:t>CISO Enterprise cybersecurity strategy CEO/Board Risk Committee</w:t>
      </w:r>
      <w:r w:rsidRPr="004B2CFD">
        <w:rPr>
          <w:rFonts w:ascii="Times New Roman" w:hAnsi="Times New Roman" w:cs="Times New Roman"/>
          <w:sz w:val="24"/>
          <w:szCs w:val="24"/>
        </w:rPr>
        <w:br/>
        <w:t>CIO Technology operations and resilience CEO</w:t>
      </w:r>
      <w:r w:rsidRPr="004B2CFD">
        <w:rPr>
          <w:rFonts w:ascii="Times New Roman" w:hAnsi="Times New Roman" w:cs="Times New Roman"/>
          <w:sz w:val="24"/>
          <w:szCs w:val="24"/>
        </w:rPr>
        <w:br/>
        <w:t>DPO Privacy and GDPR compliance Independent statutory role</w:t>
      </w:r>
      <w:r w:rsidRPr="004B2CFD">
        <w:rPr>
          <w:rFonts w:ascii="Times New Roman" w:hAnsi="Times New Roman" w:cs="Times New Roman"/>
          <w:sz w:val="24"/>
          <w:szCs w:val="24"/>
        </w:rPr>
        <w:br/>
        <w:t>Security Architect Secure architecture and segmentation CISO</w:t>
      </w:r>
      <w:r w:rsidRPr="004B2CFD">
        <w:rPr>
          <w:rFonts w:ascii="Times New Roman" w:hAnsi="Times New Roman" w:cs="Times New Roman"/>
          <w:sz w:val="24"/>
          <w:szCs w:val="24"/>
        </w:rPr>
        <w:br/>
        <w:t>Security Operations Manager Detection and response CISO</w:t>
      </w:r>
      <w:r w:rsidRPr="004B2CFD">
        <w:rPr>
          <w:rFonts w:ascii="Times New Roman" w:hAnsi="Times New Roman" w:cs="Times New Roman"/>
          <w:sz w:val="24"/>
          <w:szCs w:val="24"/>
        </w:rPr>
        <w:br/>
        <w:t>Vulnerability Manager Vulnerability and patch governance CISO</w:t>
      </w:r>
      <w:r w:rsidRPr="004B2CFD">
        <w:rPr>
          <w:rFonts w:ascii="Times New Roman" w:hAnsi="Times New Roman" w:cs="Times New Roman"/>
          <w:sz w:val="24"/>
          <w:szCs w:val="24"/>
        </w:rPr>
        <w:br/>
        <w:t xml:space="preserve">Application Security Lead Secure SDLC and </w:t>
      </w:r>
      <w:proofErr w:type="spellStart"/>
      <w:r w:rsidRPr="004B2CFD">
        <w:rPr>
          <w:rFonts w:ascii="Times New Roman" w:hAnsi="Times New Roman" w:cs="Times New Roman"/>
          <w:sz w:val="24"/>
          <w:szCs w:val="24"/>
        </w:rPr>
        <w:t>DevSecOps</w:t>
      </w:r>
      <w:proofErr w:type="spellEnd"/>
      <w:r w:rsidRPr="004B2CFD">
        <w:rPr>
          <w:rFonts w:ascii="Times New Roman" w:hAnsi="Times New Roman" w:cs="Times New Roman"/>
          <w:sz w:val="24"/>
          <w:szCs w:val="24"/>
        </w:rPr>
        <w:t xml:space="preserve"> CISO/Engineering</w:t>
      </w:r>
      <w:r w:rsidRPr="004B2CFD">
        <w:rPr>
          <w:rFonts w:ascii="Times New Roman" w:hAnsi="Times New Roman" w:cs="Times New Roman"/>
          <w:sz w:val="24"/>
          <w:szCs w:val="24"/>
        </w:rPr>
        <w:br/>
        <w:t>Risk Manager Enterprise cyber risk register CRO/CISO</w:t>
      </w:r>
      <w:r w:rsidRPr="004B2CFD">
        <w:rPr>
          <w:rFonts w:ascii="Times New Roman" w:hAnsi="Times New Roman" w:cs="Times New Roman"/>
          <w:sz w:val="24"/>
          <w:szCs w:val="24"/>
        </w:rPr>
        <w:br/>
        <w:t>Internal Audit Independent assurance Audit Committee</w:t>
      </w:r>
      <w:r w:rsidRPr="004B2CFD">
        <w:rPr>
          <w:rFonts w:ascii="Times New Roman" w:hAnsi="Times New Roman" w:cs="Times New Roman"/>
          <w:sz w:val="24"/>
          <w:szCs w:val="24"/>
        </w:rPr>
        <w:br/>
        <w:t>This structure separates operational responsibility from independent assurance. Internal Audit should not operate security controls because it must remain sufficiently independent to assess whether the controls are effective.</w:t>
      </w:r>
      <w:r w:rsidRPr="004B2CFD">
        <w:rPr>
          <w:rFonts w:ascii="Times New Roman" w:hAnsi="Times New Roman" w:cs="Times New Roman"/>
          <w:sz w:val="24"/>
          <w:szCs w:val="24"/>
        </w:rPr>
        <w:br/>
        <w:t>A further principle should be risk ownership. Every critical system should have a named business owner. Security teams should identify and advise on risks, but business owners should formally accept or reject residual risks. This prevents the common situation in which a security team reports a security issue but no executive or business owner is accountable for the decision to leave it unresolved.</w:t>
      </w:r>
    </w:p>
    <w:p w:rsidR="00E927FB" w:rsidRPr="00FF1BFE" w:rsidRDefault="004B2CFD" w:rsidP="003F1C95">
      <w:pPr>
        <w:pStyle w:val="Heading2"/>
        <w:rPr>
          <w:rFonts w:ascii="Times New Roman" w:hAnsi="Times New Roman" w:cs="Times New Roman"/>
          <w:b/>
          <w:color w:val="auto"/>
          <w:sz w:val="36"/>
          <w:szCs w:val="36"/>
        </w:rPr>
      </w:pPr>
      <w:bookmarkStart w:id="15" w:name="_Toc237227039"/>
      <w:r w:rsidRPr="00FF1BFE">
        <w:rPr>
          <w:rFonts w:ascii="Times New Roman" w:hAnsi="Times New Roman" w:cs="Times New Roman"/>
          <w:b/>
          <w:color w:val="auto"/>
          <w:sz w:val="36"/>
          <w:szCs w:val="36"/>
        </w:rPr>
        <w:t>2.3 Policies and Procedures</w:t>
      </w:r>
      <w:bookmarkEnd w:id="15"/>
    </w:p>
    <w:p w:rsidR="004B2CFD" w:rsidRPr="004B2CFD" w:rsidRDefault="004B2CFD" w:rsidP="004B2CFD">
      <w:pPr>
        <w:rPr>
          <w:rFonts w:ascii="Times New Roman" w:hAnsi="Times New Roman" w:cs="Times New Roman"/>
          <w:sz w:val="24"/>
          <w:szCs w:val="24"/>
        </w:rPr>
      </w:pPr>
      <w:r w:rsidRPr="004B2CFD">
        <w:rPr>
          <w:rFonts w:ascii="Times New Roman" w:hAnsi="Times New Roman" w:cs="Times New Roman"/>
          <w:sz w:val="24"/>
          <w:szCs w:val="24"/>
        </w:rPr>
        <w:br/>
        <w:t>The cybersecurity programme should be supported by formal policies that are measurable and auditable.</w:t>
      </w:r>
      <w:r w:rsidRPr="004B2CFD">
        <w:rPr>
          <w:rFonts w:ascii="Times New Roman" w:hAnsi="Times New Roman" w:cs="Times New Roman"/>
          <w:sz w:val="24"/>
          <w:szCs w:val="24"/>
        </w:rPr>
        <w:br/>
        <w:t>Vulnerability Management Policy</w:t>
      </w:r>
      <w:r w:rsidRPr="004B2CFD">
        <w:rPr>
          <w:rFonts w:ascii="Times New Roman" w:hAnsi="Times New Roman" w:cs="Times New Roman"/>
          <w:sz w:val="24"/>
          <w:szCs w:val="24"/>
        </w:rPr>
        <w:br/>
        <w:t>The vulnerability-management policy should require:</w:t>
      </w:r>
    </w:p>
    <w:p w:rsidR="004B2CFD" w:rsidRPr="004B2CFD" w:rsidRDefault="004B2CFD" w:rsidP="004B2CFD">
      <w:pPr>
        <w:numPr>
          <w:ilvl w:val="0"/>
          <w:numId w:val="1"/>
        </w:numPr>
        <w:rPr>
          <w:rFonts w:ascii="Times New Roman" w:hAnsi="Times New Roman" w:cs="Times New Roman"/>
          <w:sz w:val="24"/>
          <w:szCs w:val="24"/>
        </w:rPr>
      </w:pPr>
      <w:r w:rsidRPr="004B2CFD">
        <w:rPr>
          <w:rFonts w:ascii="Times New Roman" w:hAnsi="Times New Roman" w:cs="Times New Roman"/>
          <w:sz w:val="24"/>
          <w:szCs w:val="24"/>
        </w:rPr>
        <w:t>Continuous identification of assets.</w:t>
      </w:r>
    </w:p>
    <w:p w:rsidR="004B2CFD" w:rsidRPr="004B2CFD" w:rsidRDefault="004B2CFD" w:rsidP="004B2CFD">
      <w:pPr>
        <w:numPr>
          <w:ilvl w:val="0"/>
          <w:numId w:val="1"/>
        </w:numPr>
        <w:rPr>
          <w:rFonts w:ascii="Times New Roman" w:hAnsi="Times New Roman" w:cs="Times New Roman"/>
          <w:sz w:val="24"/>
          <w:szCs w:val="24"/>
        </w:rPr>
      </w:pPr>
      <w:r w:rsidRPr="004B2CFD">
        <w:rPr>
          <w:rFonts w:ascii="Times New Roman" w:hAnsi="Times New Roman" w:cs="Times New Roman"/>
          <w:sz w:val="24"/>
          <w:szCs w:val="24"/>
        </w:rPr>
        <w:t>Automated vulnerability scanning.</w:t>
      </w:r>
    </w:p>
    <w:p w:rsidR="004B2CFD" w:rsidRPr="004B2CFD" w:rsidRDefault="004B2CFD" w:rsidP="004B2CFD">
      <w:pPr>
        <w:numPr>
          <w:ilvl w:val="0"/>
          <w:numId w:val="1"/>
        </w:numPr>
        <w:rPr>
          <w:rFonts w:ascii="Times New Roman" w:hAnsi="Times New Roman" w:cs="Times New Roman"/>
          <w:sz w:val="24"/>
          <w:szCs w:val="24"/>
        </w:rPr>
      </w:pPr>
      <w:r w:rsidRPr="004B2CFD">
        <w:rPr>
          <w:rFonts w:ascii="Times New Roman" w:hAnsi="Times New Roman" w:cs="Times New Roman"/>
          <w:sz w:val="24"/>
          <w:szCs w:val="24"/>
        </w:rPr>
        <w:t>Risk-based vulnerability scoring.</w:t>
      </w:r>
    </w:p>
    <w:p w:rsidR="004B2CFD" w:rsidRPr="004B2CFD" w:rsidRDefault="004B2CFD" w:rsidP="004B2CFD">
      <w:pPr>
        <w:numPr>
          <w:ilvl w:val="0"/>
          <w:numId w:val="1"/>
        </w:numPr>
        <w:rPr>
          <w:rFonts w:ascii="Times New Roman" w:hAnsi="Times New Roman" w:cs="Times New Roman"/>
          <w:sz w:val="24"/>
          <w:szCs w:val="24"/>
        </w:rPr>
      </w:pPr>
      <w:r w:rsidRPr="004B2CFD">
        <w:rPr>
          <w:rFonts w:ascii="Times New Roman" w:hAnsi="Times New Roman" w:cs="Times New Roman"/>
          <w:sz w:val="24"/>
          <w:szCs w:val="24"/>
        </w:rPr>
        <w:t>Prioritization of internet-facing and business-critical assets.</w:t>
      </w:r>
    </w:p>
    <w:p w:rsidR="004B2CFD" w:rsidRPr="004B2CFD" w:rsidRDefault="004B2CFD" w:rsidP="004B2CFD">
      <w:pPr>
        <w:numPr>
          <w:ilvl w:val="0"/>
          <w:numId w:val="1"/>
        </w:numPr>
        <w:rPr>
          <w:rFonts w:ascii="Times New Roman" w:hAnsi="Times New Roman" w:cs="Times New Roman"/>
          <w:sz w:val="24"/>
          <w:szCs w:val="24"/>
        </w:rPr>
      </w:pPr>
      <w:r w:rsidRPr="004B2CFD">
        <w:rPr>
          <w:rFonts w:ascii="Times New Roman" w:hAnsi="Times New Roman" w:cs="Times New Roman"/>
          <w:sz w:val="24"/>
          <w:szCs w:val="24"/>
        </w:rPr>
        <w:t>Defined remediation deadlines.</w:t>
      </w:r>
    </w:p>
    <w:p w:rsidR="004B2CFD" w:rsidRPr="004B2CFD" w:rsidRDefault="004B2CFD" w:rsidP="004B2CFD">
      <w:pPr>
        <w:numPr>
          <w:ilvl w:val="0"/>
          <w:numId w:val="1"/>
        </w:numPr>
        <w:rPr>
          <w:rFonts w:ascii="Times New Roman" w:hAnsi="Times New Roman" w:cs="Times New Roman"/>
          <w:sz w:val="24"/>
          <w:szCs w:val="24"/>
        </w:rPr>
      </w:pPr>
      <w:r w:rsidRPr="004B2CFD">
        <w:rPr>
          <w:rFonts w:ascii="Times New Roman" w:hAnsi="Times New Roman" w:cs="Times New Roman"/>
          <w:sz w:val="24"/>
          <w:szCs w:val="24"/>
        </w:rPr>
        <w:t>Exception management.</w:t>
      </w:r>
    </w:p>
    <w:p w:rsidR="004B2CFD" w:rsidRPr="004B2CFD" w:rsidRDefault="004B2CFD" w:rsidP="004B2CFD">
      <w:pPr>
        <w:numPr>
          <w:ilvl w:val="0"/>
          <w:numId w:val="1"/>
        </w:numPr>
        <w:rPr>
          <w:rFonts w:ascii="Times New Roman" w:hAnsi="Times New Roman" w:cs="Times New Roman"/>
          <w:sz w:val="24"/>
          <w:szCs w:val="24"/>
        </w:rPr>
      </w:pPr>
      <w:r w:rsidRPr="004B2CFD">
        <w:rPr>
          <w:rFonts w:ascii="Times New Roman" w:hAnsi="Times New Roman" w:cs="Times New Roman"/>
          <w:sz w:val="24"/>
          <w:szCs w:val="24"/>
        </w:rPr>
        <w:t>Independent verification of remediation.</w:t>
      </w:r>
      <w:r w:rsidRPr="004B2CFD">
        <w:rPr>
          <w:rFonts w:ascii="Times New Roman" w:hAnsi="Times New Roman" w:cs="Times New Roman"/>
          <w:sz w:val="24"/>
          <w:szCs w:val="24"/>
        </w:rPr>
        <w:br/>
        <w:t>A suggested Service Level Agreement (SLA) is:</w:t>
      </w:r>
      <w:r w:rsidRPr="004B2CFD">
        <w:rPr>
          <w:rFonts w:ascii="Times New Roman" w:hAnsi="Times New Roman" w:cs="Times New Roman"/>
          <w:sz w:val="24"/>
          <w:szCs w:val="24"/>
        </w:rPr>
        <w:br/>
        <w:t>Risk Example Target remediation</w:t>
      </w:r>
      <w:r w:rsidRPr="004B2CFD">
        <w:rPr>
          <w:rFonts w:ascii="Times New Roman" w:hAnsi="Times New Roman" w:cs="Times New Roman"/>
          <w:sz w:val="24"/>
          <w:szCs w:val="24"/>
        </w:rPr>
        <w:br/>
        <w:t>Critical Known exploited vulnerability on internet-facing system 24–72 hours</w:t>
      </w:r>
      <w:r w:rsidRPr="004B2CFD">
        <w:rPr>
          <w:rFonts w:ascii="Times New Roman" w:hAnsi="Times New Roman" w:cs="Times New Roman"/>
          <w:sz w:val="24"/>
          <w:szCs w:val="24"/>
        </w:rPr>
        <w:br/>
        <w:t>High Critical business application vulnerability 7 days</w:t>
      </w:r>
      <w:r w:rsidRPr="004B2CFD">
        <w:rPr>
          <w:rFonts w:ascii="Times New Roman" w:hAnsi="Times New Roman" w:cs="Times New Roman"/>
          <w:sz w:val="24"/>
          <w:szCs w:val="24"/>
        </w:rPr>
        <w:br/>
        <w:t>Medium Internal vulnerability 30 days</w:t>
      </w:r>
      <w:r w:rsidRPr="004B2CFD">
        <w:rPr>
          <w:rFonts w:ascii="Times New Roman" w:hAnsi="Times New Roman" w:cs="Times New Roman"/>
          <w:sz w:val="24"/>
          <w:szCs w:val="24"/>
        </w:rPr>
        <w:br/>
        <w:t>Low Limited-impact vulnerability 90 days</w:t>
      </w:r>
      <w:r w:rsidRPr="004B2CFD">
        <w:rPr>
          <w:rFonts w:ascii="Times New Roman" w:hAnsi="Times New Roman" w:cs="Times New Roman"/>
          <w:sz w:val="24"/>
          <w:szCs w:val="24"/>
        </w:rPr>
        <w:br/>
        <w:t>These targets should be adapted to organizational risk rather than treated as universal legal requirements.</w:t>
      </w:r>
      <w:r w:rsidRPr="004B2CFD">
        <w:rPr>
          <w:rFonts w:ascii="Times New Roman" w:hAnsi="Times New Roman" w:cs="Times New Roman"/>
          <w:sz w:val="24"/>
          <w:szCs w:val="24"/>
        </w:rPr>
        <w:br/>
      </w:r>
      <w:r w:rsidRPr="004B2CFD">
        <w:rPr>
          <w:rFonts w:ascii="Times New Roman" w:hAnsi="Times New Roman" w:cs="Times New Roman"/>
          <w:sz w:val="24"/>
          <w:szCs w:val="24"/>
        </w:rPr>
        <w:lastRenderedPageBreak/>
        <w:t>The most important improvement over a traditional patching policy is automatic escalation. If a critical vulnerability exceeds its SLA, the vulnerability-management platform should automatically notify the asset owner, security leadership and, where appropriate, the risk owner.</w:t>
      </w:r>
    </w:p>
    <w:p w:rsidR="00E927FB" w:rsidRDefault="004B2CFD" w:rsidP="004B2CFD">
      <w:pPr>
        <w:rPr>
          <w:rFonts w:ascii="Times New Roman" w:hAnsi="Times New Roman" w:cs="Times New Roman"/>
          <w:sz w:val="24"/>
          <w:szCs w:val="24"/>
        </w:rPr>
      </w:pPr>
      <w:r w:rsidRPr="00E927FB">
        <w:rPr>
          <w:rFonts w:ascii="Times New Roman" w:hAnsi="Times New Roman" w:cs="Times New Roman"/>
          <w:b/>
          <w:sz w:val="28"/>
          <w:szCs w:val="28"/>
        </w:rPr>
        <w:t>Patch Management Policy</w:t>
      </w:r>
    </w:p>
    <w:p w:rsidR="00E927FB" w:rsidRDefault="004B2CFD" w:rsidP="004B2CFD">
      <w:pPr>
        <w:rPr>
          <w:rFonts w:ascii="Times New Roman" w:hAnsi="Times New Roman" w:cs="Times New Roman"/>
          <w:sz w:val="24"/>
          <w:szCs w:val="24"/>
        </w:rPr>
      </w:pPr>
      <w:r w:rsidRPr="004B2CFD">
        <w:rPr>
          <w:rFonts w:ascii="Times New Roman" w:hAnsi="Times New Roman" w:cs="Times New Roman"/>
          <w:sz w:val="24"/>
          <w:szCs w:val="24"/>
        </w:rPr>
        <w:br/>
        <w:t>Patch management ought to follow a controlled lifecycle:</w:t>
      </w:r>
    </w:p>
    <w:p w:rsidR="00E927FB" w:rsidRPr="00E927FB" w:rsidRDefault="00E927FB" w:rsidP="00E927FB">
      <w:pPr>
        <w:rPr>
          <w:rFonts w:ascii="Times New Roman" w:hAnsi="Times New Roman" w:cs="Times New Roman"/>
          <w:sz w:val="24"/>
          <w:szCs w:val="24"/>
        </w:rPr>
      </w:pPr>
    </w:p>
    <w:p w:rsidR="00E927FB" w:rsidRDefault="004B2CFD" w:rsidP="004B2CFD">
      <w:pPr>
        <w:rPr>
          <w:rFonts w:ascii="Times New Roman" w:hAnsi="Times New Roman" w:cs="Times New Roman"/>
          <w:sz w:val="24"/>
          <w:szCs w:val="24"/>
        </w:rPr>
      </w:pPr>
      <w:r w:rsidRPr="004B2CFD">
        <w:rPr>
          <w:rFonts w:ascii="Times New Roman" w:hAnsi="Times New Roman" w:cs="Times New Roman"/>
          <w:sz w:val="24"/>
          <w:szCs w:val="24"/>
        </w:rPr>
        <w:br/>
      </w:r>
      <w:r w:rsidR="00E927FB" w:rsidRPr="00E927FB">
        <w:rPr>
          <w:rFonts w:ascii="Times New Roman" w:hAnsi="Times New Roman" w:cs="Times New Roman"/>
          <w:sz w:val="24"/>
          <w:szCs w:val="24"/>
        </w:rPr>
        <w:drawing>
          <wp:inline distT="0" distB="0" distL="0" distR="0" wp14:anchorId="5E7D2179" wp14:editId="017A1127">
            <wp:extent cx="4467960" cy="4513006"/>
            <wp:effectExtent l="0" t="0" r="889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34171" cy="4579885"/>
                    </a:xfrm>
                    <a:prstGeom prst="rect">
                      <a:avLst/>
                    </a:prstGeom>
                  </pic:spPr>
                </pic:pic>
              </a:graphicData>
            </a:graphic>
          </wp:inline>
        </w:drawing>
      </w:r>
    </w:p>
    <w:p w:rsidR="004B2CFD" w:rsidRPr="004B2CFD" w:rsidRDefault="004B2CFD" w:rsidP="004B2CFD">
      <w:pPr>
        <w:rPr>
          <w:rFonts w:ascii="Times New Roman" w:hAnsi="Times New Roman" w:cs="Times New Roman"/>
          <w:sz w:val="24"/>
          <w:szCs w:val="24"/>
        </w:rPr>
      </w:pPr>
      <w:r w:rsidRPr="004B2CFD">
        <w:rPr>
          <w:rFonts w:ascii="Times New Roman" w:hAnsi="Times New Roman" w:cs="Times New Roman"/>
          <w:sz w:val="24"/>
          <w:szCs w:val="24"/>
        </w:rPr>
        <w:br/>
        <w:t>The Equifax case demonstrates why merely distributing a patch notification is insufficient. The organization must verify that the patch has actually been applied to the vulnerable asset.</w:t>
      </w:r>
      <w:r w:rsidRPr="004B2CFD">
        <w:rPr>
          <w:rFonts w:ascii="Times New Roman" w:hAnsi="Times New Roman" w:cs="Times New Roman"/>
          <w:sz w:val="24"/>
          <w:szCs w:val="24"/>
        </w:rPr>
        <w:br/>
        <w:t>Patch compliance should therefore be measured using indicators such as:</w:t>
      </w:r>
      <w:r w:rsidRPr="004B2CFD">
        <w:rPr>
          <w:rFonts w:ascii="Times New Roman" w:hAnsi="Times New Roman" w:cs="Times New Roman"/>
          <w:sz w:val="24"/>
          <w:szCs w:val="24"/>
        </w:rPr>
        <w:br/>
        <w:t>• Percentage of critical assets inventoried;</w:t>
      </w:r>
      <w:r w:rsidRPr="004B2CFD">
        <w:rPr>
          <w:rFonts w:ascii="Times New Roman" w:hAnsi="Times New Roman" w:cs="Times New Roman"/>
          <w:sz w:val="24"/>
          <w:szCs w:val="24"/>
        </w:rPr>
        <w:br/>
        <w:t>• Percentage of major vulnerabilities patched within SLA;</w:t>
      </w:r>
      <w:r w:rsidRPr="004B2CFD">
        <w:rPr>
          <w:rFonts w:ascii="Times New Roman" w:hAnsi="Times New Roman" w:cs="Times New Roman"/>
          <w:sz w:val="24"/>
          <w:szCs w:val="24"/>
        </w:rPr>
        <w:br/>
        <w:t>• Mean time to remediate;</w:t>
      </w:r>
      <w:r w:rsidRPr="004B2CFD">
        <w:rPr>
          <w:rFonts w:ascii="Times New Roman" w:hAnsi="Times New Roman" w:cs="Times New Roman"/>
          <w:sz w:val="24"/>
          <w:szCs w:val="24"/>
        </w:rPr>
        <w:br/>
        <w:t>• Number of overdue severe vulnerabilities;</w:t>
      </w:r>
      <w:r w:rsidRPr="004B2CFD">
        <w:rPr>
          <w:rFonts w:ascii="Times New Roman" w:hAnsi="Times New Roman" w:cs="Times New Roman"/>
          <w:sz w:val="24"/>
          <w:szCs w:val="24"/>
        </w:rPr>
        <w:br/>
        <w:t>• Percentage of emergency patches successfully verified;</w:t>
      </w:r>
      <w:r w:rsidRPr="004B2CFD">
        <w:rPr>
          <w:rFonts w:ascii="Times New Roman" w:hAnsi="Times New Roman" w:cs="Times New Roman"/>
          <w:sz w:val="24"/>
          <w:szCs w:val="24"/>
        </w:rPr>
        <w:br/>
        <w:t>• Number of assets outside vulnerability-management coverage.</w:t>
      </w:r>
    </w:p>
    <w:p w:rsidR="004B2CFD" w:rsidRPr="004B2CFD" w:rsidRDefault="004B2CFD" w:rsidP="004B2CFD">
      <w:pPr>
        <w:rPr>
          <w:rFonts w:ascii="Times New Roman" w:hAnsi="Times New Roman" w:cs="Times New Roman"/>
          <w:sz w:val="24"/>
          <w:szCs w:val="24"/>
        </w:rPr>
      </w:pPr>
      <w:r w:rsidRPr="004B2CFD">
        <w:rPr>
          <w:rFonts w:ascii="Times New Roman" w:hAnsi="Times New Roman" w:cs="Times New Roman"/>
          <w:sz w:val="24"/>
          <w:szCs w:val="24"/>
        </w:rPr>
        <w:lastRenderedPageBreak/>
        <w:t>Secure Software Development Policy</w:t>
      </w:r>
      <w:r w:rsidRPr="004B2CFD">
        <w:rPr>
          <w:rFonts w:ascii="Times New Roman" w:hAnsi="Times New Roman" w:cs="Times New Roman"/>
          <w:sz w:val="24"/>
          <w:szCs w:val="24"/>
        </w:rPr>
        <w:br/>
        <w:t>The Secure Software Development Lifecycle (SSDLC) should integrate security into development rather than treating security as a final-stage review.</w:t>
      </w:r>
      <w:r w:rsidRPr="004B2CFD">
        <w:rPr>
          <w:rFonts w:ascii="Times New Roman" w:hAnsi="Times New Roman" w:cs="Times New Roman"/>
          <w:sz w:val="24"/>
          <w:szCs w:val="24"/>
        </w:rPr>
        <w:br/>
        <w:t>Required controls should include:</w:t>
      </w:r>
      <w:r w:rsidRPr="004B2CFD">
        <w:rPr>
          <w:rFonts w:ascii="Times New Roman" w:hAnsi="Times New Roman" w:cs="Times New Roman"/>
          <w:sz w:val="24"/>
          <w:szCs w:val="24"/>
        </w:rPr>
        <w:br/>
        <w:t>• Threat modelling;</w:t>
      </w:r>
      <w:r w:rsidRPr="004B2CFD">
        <w:rPr>
          <w:rFonts w:ascii="Times New Roman" w:hAnsi="Times New Roman" w:cs="Times New Roman"/>
          <w:sz w:val="24"/>
          <w:szCs w:val="24"/>
        </w:rPr>
        <w:br/>
        <w:t>• Secure coding standards;</w:t>
      </w:r>
      <w:r w:rsidRPr="004B2CFD">
        <w:rPr>
          <w:rFonts w:ascii="Times New Roman" w:hAnsi="Times New Roman" w:cs="Times New Roman"/>
          <w:sz w:val="24"/>
          <w:szCs w:val="24"/>
        </w:rPr>
        <w:br/>
        <w:t>• Software composition analysis;</w:t>
      </w:r>
      <w:r w:rsidRPr="004B2CFD">
        <w:rPr>
          <w:rFonts w:ascii="Times New Roman" w:hAnsi="Times New Roman" w:cs="Times New Roman"/>
          <w:sz w:val="24"/>
          <w:szCs w:val="24"/>
        </w:rPr>
        <w:br/>
        <w:t>• Static Application Security Testing (SAST);</w:t>
      </w:r>
      <w:r w:rsidRPr="004B2CFD">
        <w:rPr>
          <w:rFonts w:ascii="Times New Roman" w:hAnsi="Times New Roman" w:cs="Times New Roman"/>
          <w:sz w:val="24"/>
          <w:szCs w:val="24"/>
        </w:rPr>
        <w:br/>
        <w:t>• Dynamic Application Security Testing (DAST);</w:t>
      </w:r>
      <w:r w:rsidRPr="004B2CFD">
        <w:rPr>
          <w:rFonts w:ascii="Times New Roman" w:hAnsi="Times New Roman" w:cs="Times New Roman"/>
          <w:sz w:val="24"/>
          <w:szCs w:val="24"/>
        </w:rPr>
        <w:br/>
        <w:t>• Dependency scanning;</w:t>
      </w:r>
      <w:r w:rsidRPr="004B2CFD">
        <w:rPr>
          <w:rFonts w:ascii="Times New Roman" w:hAnsi="Times New Roman" w:cs="Times New Roman"/>
          <w:sz w:val="24"/>
          <w:szCs w:val="24"/>
        </w:rPr>
        <w:br/>
        <w:t>• Secrets detection;</w:t>
      </w:r>
      <w:r w:rsidRPr="004B2CFD">
        <w:rPr>
          <w:rFonts w:ascii="Times New Roman" w:hAnsi="Times New Roman" w:cs="Times New Roman"/>
          <w:sz w:val="24"/>
          <w:szCs w:val="24"/>
        </w:rPr>
        <w:br/>
        <w:t>• Code review;</w:t>
      </w:r>
      <w:r w:rsidRPr="004B2CFD">
        <w:rPr>
          <w:rFonts w:ascii="Times New Roman" w:hAnsi="Times New Roman" w:cs="Times New Roman"/>
          <w:sz w:val="24"/>
          <w:szCs w:val="24"/>
        </w:rPr>
        <w:br/>
        <w:t>• Security testing before production;</w:t>
      </w:r>
      <w:r w:rsidRPr="004B2CFD">
        <w:rPr>
          <w:rFonts w:ascii="Times New Roman" w:hAnsi="Times New Roman" w:cs="Times New Roman"/>
          <w:sz w:val="24"/>
          <w:szCs w:val="24"/>
        </w:rPr>
        <w:br/>
        <w:t>• Vulnerability disclosure processes.</w:t>
      </w:r>
      <w:r w:rsidRPr="004B2CFD">
        <w:rPr>
          <w:rFonts w:ascii="Times New Roman" w:hAnsi="Times New Roman" w:cs="Times New Roman"/>
          <w:sz w:val="24"/>
          <w:szCs w:val="24"/>
        </w:rPr>
        <w:br/>
        <w:t>The objective is to reduce the probability that insecure applications become internet-facing vulnerability points.</w:t>
      </w:r>
    </w:p>
    <w:p w:rsidR="004B2CFD" w:rsidRPr="004B2CFD" w:rsidRDefault="004B2CFD" w:rsidP="004B2CFD">
      <w:pPr>
        <w:rPr>
          <w:rFonts w:ascii="Times New Roman" w:hAnsi="Times New Roman" w:cs="Times New Roman"/>
          <w:sz w:val="24"/>
          <w:szCs w:val="24"/>
        </w:rPr>
      </w:pPr>
      <w:r w:rsidRPr="004B2CFD">
        <w:rPr>
          <w:rFonts w:ascii="Times New Roman" w:hAnsi="Times New Roman" w:cs="Times New Roman"/>
          <w:sz w:val="24"/>
          <w:szCs w:val="24"/>
        </w:rPr>
        <w:t>Asset Visibility Policy</w:t>
      </w:r>
      <w:r w:rsidRPr="004B2CFD">
        <w:rPr>
          <w:rFonts w:ascii="Times New Roman" w:hAnsi="Times New Roman" w:cs="Times New Roman"/>
          <w:sz w:val="24"/>
          <w:szCs w:val="24"/>
        </w:rPr>
        <w:br/>
        <w:t>An organization cannot protect an unknown asset.</w:t>
      </w:r>
      <w:r w:rsidRPr="004B2CFD">
        <w:rPr>
          <w:rFonts w:ascii="Times New Roman" w:hAnsi="Times New Roman" w:cs="Times New Roman"/>
          <w:sz w:val="24"/>
          <w:szCs w:val="24"/>
        </w:rPr>
        <w:br/>
        <w:t>The policy should require a continuously maintained Configuration Management Database (CMDB) or equivalent asset inventory containing:</w:t>
      </w:r>
      <w:r w:rsidRPr="004B2CFD">
        <w:rPr>
          <w:rFonts w:ascii="Times New Roman" w:hAnsi="Times New Roman" w:cs="Times New Roman"/>
          <w:sz w:val="24"/>
          <w:szCs w:val="24"/>
        </w:rPr>
        <w:br/>
        <w:t>• Hardware;</w:t>
      </w:r>
      <w:r w:rsidRPr="004B2CFD">
        <w:rPr>
          <w:rFonts w:ascii="Times New Roman" w:hAnsi="Times New Roman" w:cs="Times New Roman"/>
          <w:sz w:val="24"/>
          <w:szCs w:val="24"/>
        </w:rPr>
        <w:br/>
        <w:t>• Virtual machines;</w:t>
      </w:r>
      <w:r w:rsidRPr="004B2CFD">
        <w:rPr>
          <w:rFonts w:ascii="Times New Roman" w:hAnsi="Times New Roman" w:cs="Times New Roman"/>
          <w:sz w:val="24"/>
          <w:szCs w:val="24"/>
        </w:rPr>
        <w:br/>
        <w:t>• Cloud workloads;</w:t>
      </w:r>
      <w:r w:rsidRPr="004B2CFD">
        <w:rPr>
          <w:rFonts w:ascii="Times New Roman" w:hAnsi="Times New Roman" w:cs="Times New Roman"/>
          <w:sz w:val="24"/>
          <w:szCs w:val="24"/>
        </w:rPr>
        <w:br/>
        <w:t>• Applications;</w:t>
      </w:r>
      <w:r w:rsidRPr="004B2CFD">
        <w:rPr>
          <w:rFonts w:ascii="Times New Roman" w:hAnsi="Times New Roman" w:cs="Times New Roman"/>
          <w:sz w:val="24"/>
          <w:szCs w:val="24"/>
        </w:rPr>
        <w:br/>
        <w:t>• Databases;</w:t>
      </w:r>
      <w:r w:rsidRPr="004B2CFD">
        <w:rPr>
          <w:rFonts w:ascii="Times New Roman" w:hAnsi="Times New Roman" w:cs="Times New Roman"/>
          <w:sz w:val="24"/>
          <w:szCs w:val="24"/>
        </w:rPr>
        <w:br/>
        <w:t>• APIs;</w:t>
      </w:r>
      <w:r w:rsidRPr="004B2CFD">
        <w:rPr>
          <w:rFonts w:ascii="Times New Roman" w:hAnsi="Times New Roman" w:cs="Times New Roman"/>
          <w:sz w:val="24"/>
          <w:szCs w:val="24"/>
        </w:rPr>
        <w:br/>
        <w:t>• SaaS applications;</w:t>
      </w:r>
      <w:r w:rsidRPr="004B2CFD">
        <w:rPr>
          <w:rFonts w:ascii="Times New Roman" w:hAnsi="Times New Roman" w:cs="Times New Roman"/>
          <w:sz w:val="24"/>
          <w:szCs w:val="24"/>
        </w:rPr>
        <w:br/>
        <w:t>• Network devices;</w:t>
      </w:r>
      <w:r w:rsidRPr="004B2CFD">
        <w:rPr>
          <w:rFonts w:ascii="Times New Roman" w:hAnsi="Times New Roman" w:cs="Times New Roman"/>
          <w:sz w:val="24"/>
          <w:szCs w:val="24"/>
        </w:rPr>
        <w:br/>
        <w:t>• Internet-facing services;</w:t>
      </w:r>
      <w:r w:rsidRPr="004B2CFD">
        <w:rPr>
          <w:rFonts w:ascii="Times New Roman" w:hAnsi="Times New Roman" w:cs="Times New Roman"/>
          <w:sz w:val="24"/>
          <w:szCs w:val="24"/>
        </w:rPr>
        <w:br/>
        <w:t>• Data repositories;</w:t>
      </w:r>
      <w:r w:rsidRPr="004B2CFD">
        <w:rPr>
          <w:rFonts w:ascii="Times New Roman" w:hAnsi="Times New Roman" w:cs="Times New Roman"/>
          <w:sz w:val="24"/>
          <w:szCs w:val="24"/>
        </w:rPr>
        <w:br/>
        <w:t>• Third-party connections.</w:t>
      </w:r>
      <w:r w:rsidRPr="004B2CFD">
        <w:rPr>
          <w:rFonts w:ascii="Times New Roman" w:hAnsi="Times New Roman" w:cs="Times New Roman"/>
          <w:sz w:val="24"/>
          <w:szCs w:val="24"/>
        </w:rPr>
        <w:br/>
        <w:t>Every asset should have an owner, business criticality, data classification and security baseline.</w:t>
      </w:r>
      <w:r w:rsidRPr="004B2CFD">
        <w:rPr>
          <w:rFonts w:ascii="Times New Roman" w:hAnsi="Times New Roman" w:cs="Times New Roman"/>
          <w:sz w:val="24"/>
          <w:szCs w:val="24"/>
        </w:rPr>
        <w:br/>
        <w:t>This directly addresses the identification weakness demonstrated by Equifax.</w:t>
      </w:r>
    </w:p>
    <w:p w:rsidR="004B2CFD" w:rsidRPr="004B2CFD" w:rsidRDefault="004B2CFD" w:rsidP="004B2CFD">
      <w:pPr>
        <w:rPr>
          <w:rFonts w:ascii="Times New Roman" w:hAnsi="Times New Roman" w:cs="Times New Roman"/>
          <w:sz w:val="24"/>
          <w:szCs w:val="24"/>
        </w:rPr>
      </w:pPr>
      <w:bookmarkStart w:id="16" w:name="_Toc237227040"/>
      <w:r w:rsidRPr="00FF1BFE">
        <w:rPr>
          <w:rStyle w:val="Heading2Char"/>
          <w:b/>
          <w:color w:val="auto"/>
          <w:sz w:val="36"/>
          <w:szCs w:val="36"/>
        </w:rPr>
        <w:t>2.4 Governance and Tactical Alignment Using NIST CSF 2.0</w:t>
      </w:r>
      <w:bookmarkEnd w:id="16"/>
      <w:r w:rsidRPr="004B2CFD">
        <w:rPr>
          <w:rFonts w:ascii="Times New Roman" w:hAnsi="Times New Roman" w:cs="Times New Roman"/>
          <w:sz w:val="24"/>
          <w:szCs w:val="24"/>
        </w:rPr>
        <w:br/>
        <w:t>NIST CSF 2.0 provides the central framework for the proposed programme. Its six functions create a lifecycle rather than a collection of disconnected controls [4].</w:t>
      </w:r>
      <w:r w:rsidRPr="004B2CFD">
        <w:rPr>
          <w:rFonts w:ascii="Times New Roman" w:hAnsi="Times New Roman" w:cs="Times New Roman"/>
          <w:sz w:val="24"/>
          <w:szCs w:val="24"/>
        </w:rPr>
        <w:br/>
        <w:t>CSF Function Equifax-related objective Proposed capability</w:t>
      </w:r>
      <w:r w:rsidRPr="004B2CFD">
        <w:rPr>
          <w:rFonts w:ascii="Times New Roman" w:hAnsi="Times New Roman" w:cs="Times New Roman"/>
          <w:sz w:val="24"/>
          <w:szCs w:val="24"/>
        </w:rPr>
        <w:br/>
        <w:t>Govern Establish accountability Board oversight, CISO, risk appetite</w:t>
      </w:r>
      <w:r w:rsidRPr="004B2CFD">
        <w:rPr>
          <w:rFonts w:ascii="Times New Roman" w:hAnsi="Times New Roman" w:cs="Times New Roman"/>
          <w:sz w:val="24"/>
          <w:szCs w:val="24"/>
        </w:rPr>
        <w:br/>
        <w:t>Identify Discover critical assets Asset inventory, data mapping, risk assessment</w:t>
      </w:r>
      <w:r w:rsidRPr="004B2CFD">
        <w:rPr>
          <w:rFonts w:ascii="Times New Roman" w:hAnsi="Times New Roman" w:cs="Times New Roman"/>
          <w:sz w:val="24"/>
          <w:szCs w:val="24"/>
        </w:rPr>
        <w:br/>
        <w:t>Protect Stop exploitation Patching, MFA, encryption, segmentation</w:t>
      </w:r>
      <w:r w:rsidRPr="004B2CFD">
        <w:rPr>
          <w:rFonts w:ascii="Times New Roman" w:hAnsi="Times New Roman" w:cs="Times New Roman"/>
          <w:sz w:val="24"/>
          <w:szCs w:val="24"/>
        </w:rPr>
        <w:br/>
        <w:t>Detect Identify attacks quickly SIEM, EDR, network monitoring</w:t>
      </w:r>
      <w:r w:rsidRPr="004B2CFD">
        <w:rPr>
          <w:rFonts w:ascii="Times New Roman" w:hAnsi="Times New Roman" w:cs="Times New Roman"/>
          <w:sz w:val="24"/>
          <w:szCs w:val="24"/>
        </w:rPr>
        <w:br/>
        <w:t>Respond Contain incidents Automated isolation and response playbooks</w:t>
      </w:r>
      <w:r w:rsidRPr="004B2CFD">
        <w:rPr>
          <w:rFonts w:ascii="Times New Roman" w:hAnsi="Times New Roman" w:cs="Times New Roman"/>
          <w:sz w:val="24"/>
          <w:szCs w:val="24"/>
        </w:rPr>
        <w:br/>
        <w:t>Recover Restore operations Backups, disaster recovery, resilience testing</w:t>
      </w:r>
      <w:r w:rsidRPr="004B2CFD">
        <w:rPr>
          <w:rFonts w:ascii="Times New Roman" w:hAnsi="Times New Roman" w:cs="Times New Roman"/>
          <w:sz w:val="24"/>
          <w:szCs w:val="24"/>
        </w:rPr>
        <w:br/>
        <w:t xml:space="preserve">The newly introduced Govern function is especially important because cybersecurity </w:t>
      </w:r>
      <w:r w:rsidRPr="004B2CFD">
        <w:rPr>
          <w:rFonts w:ascii="Times New Roman" w:hAnsi="Times New Roman" w:cs="Times New Roman"/>
          <w:sz w:val="24"/>
          <w:szCs w:val="24"/>
        </w:rPr>
        <w:lastRenderedPageBreak/>
        <w:t>decisions need to be aligned with organisational aims. NIST describes CSF 2.0 as a framework for grasping, assessing, prioritizing and communicating cybersecurity risk rather than a prescriptive checklist [4].</w:t>
      </w:r>
      <w:r w:rsidRPr="004B2CFD">
        <w:rPr>
          <w:rFonts w:ascii="Times New Roman" w:hAnsi="Times New Roman" w:cs="Times New Roman"/>
          <w:sz w:val="24"/>
          <w:szCs w:val="24"/>
        </w:rPr>
        <w:br/>
        <w:t>The organization should establish a Current Profile representing its existing cybersecurity posture and a Target Profile representing its desired security state. The gap between the two becomes the cybersecurity improvement roadmap.</w:t>
      </w:r>
      <w:r w:rsidRPr="004B2CFD">
        <w:rPr>
          <w:rFonts w:ascii="Times New Roman" w:hAnsi="Times New Roman" w:cs="Times New Roman"/>
          <w:sz w:val="24"/>
          <w:szCs w:val="24"/>
        </w:rPr>
        <w:br/>
        <w:t>This approach helps prevent the common error of acquiring security technologies without a clear understanding of the specific risks they are intended to mitigate.</w:t>
      </w:r>
    </w:p>
    <w:p w:rsidR="004B2CFD" w:rsidRPr="004B2CFD" w:rsidRDefault="004B2CFD" w:rsidP="004B2CFD">
      <w:pPr>
        <w:rPr>
          <w:rFonts w:ascii="Times New Roman" w:hAnsi="Times New Roman" w:cs="Times New Roman"/>
          <w:sz w:val="24"/>
          <w:szCs w:val="24"/>
        </w:rPr>
      </w:pPr>
      <w:bookmarkStart w:id="17" w:name="_Toc237227041"/>
      <w:r w:rsidRPr="00FF1BFE">
        <w:rPr>
          <w:rStyle w:val="Heading2Char"/>
          <w:rFonts w:ascii="Times New Roman" w:hAnsi="Times New Roman" w:cs="Times New Roman"/>
          <w:color w:val="auto"/>
          <w:sz w:val="36"/>
          <w:szCs w:val="36"/>
        </w:rPr>
        <w:t>2.5 Business Continuity, Confidence and Long-Term Resilience</w:t>
      </w:r>
      <w:bookmarkEnd w:id="17"/>
      <w:r w:rsidRPr="004B2CFD">
        <w:rPr>
          <w:rFonts w:ascii="Times New Roman" w:hAnsi="Times New Roman" w:cs="Times New Roman"/>
          <w:sz w:val="24"/>
          <w:szCs w:val="24"/>
        </w:rPr>
        <w:br/>
        <w:t>Cybersecurity should support business continuity rather than operate independently of it.</w:t>
      </w:r>
      <w:r w:rsidRPr="004B2CFD">
        <w:rPr>
          <w:rFonts w:ascii="Times New Roman" w:hAnsi="Times New Roman" w:cs="Times New Roman"/>
          <w:sz w:val="24"/>
          <w:szCs w:val="24"/>
        </w:rPr>
        <w:br/>
        <w:t>A critical service should have:</w:t>
      </w:r>
      <w:r w:rsidRPr="004B2CFD">
        <w:rPr>
          <w:rFonts w:ascii="Times New Roman" w:hAnsi="Times New Roman" w:cs="Times New Roman"/>
          <w:sz w:val="24"/>
          <w:szCs w:val="24"/>
        </w:rPr>
        <w:br/>
        <w:t>• Recovery Time Objective (RTO);</w:t>
      </w:r>
      <w:r w:rsidRPr="004B2CFD">
        <w:rPr>
          <w:rFonts w:ascii="Times New Roman" w:hAnsi="Times New Roman" w:cs="Times New Roman"/>
          <w:sz w:val="24"/>
          <w:szCs w:val="24"/>
        </w:rPr>
        <w:br/>
        <w:t>• Recovery Point Objective (RPO);</w:t>
      </w:r>
      <w:r w:rsidRPr="004B2CFD">
        <w:rPr>
          <w:rFonts w:ascii="Times New Roman" w:hAnsi="Times New Roman" w:cs="Times New Roman"/>
          <w:sz w:val="24"/>
          <w:szCs w:val="24"/>
        </w:rPr>
        <w:br/>
        <w:t>• Business impact analysis;</w:t>
      </w:r>
      <w:r w:rsidRPr="004B2CFD">
        <w:rPr>
          <w:rFonts w:ascii="Times New Roman" w:hAnsi="Times New Roman" w:cs="Times New Roman"/>
          <w:sz w:val="24"/>
          <w:szCs w:val="24"/>
        </w:rPr>
        <w:br/>
        <w:t>• Dependency mapping;</w:t>
      </w:r>
      <w:r w:rsidRPr="004B2CFD">
        <w:rPr>
          <w:rFonts w:ascii="Times New Roman" w:hAnsi="Times New Roman" w:cs="Times New Roman"/>
          <w:sz w:val="24"/>
          <w:szCs w:val="24"/>
        </w:rPr>
        <w:br/>
        <w:t>• Backup strategy;</w:t>
      </w:r>
      <w:r w:rsidRPr="004B2CFD">
        <w:rPr>
          <w:rFonts w:ascii="Times New Roman" w:hAnsi="Times New Roman" w:cs="Times New Roman"/>
          <w:sz w:val="24"/>
          <w:szCs w:val="24"/>
        </w:rPr>
        <w:br/>
        <w:t>• Alternative processing capability;</w:t>
      </w:r>
      <w:r w:rsidRPr="004B2CFD">
        <w:rPr>
          <w:rFonts w:ascii="Times New Roman" w:hAnsi="Times New Roman" w:cs="Times New Roman"/>
          <w:sz w:val="24"/>
          <w:szCs w:val="24"/>
        </w:rPr>
        <w:br/>
        <w:t>• Crisis communication arrangements;</w:t>
      </w:r>
      <w:r w:rsidRPr="004B2CFD">
        <w:rPr>
          <w:rFonts w:ascii="Times New Roman" w:hAnsi="Times New Roman" w:cs="Times New Roman"/>
          <w:sz w:val="24"/>
          <w:szCs w:val="24"/>
        </w:rPr>
        <w:br/>
        <w:t>• Recovery testing.</w:t>
      </w:r>
      <w:r w:rsidRPr="004B2CFD">
        <w:rPr>
          <w:rFonts w:ascii="Times New Roman" w:hAnsi="Times New Roman" w:cs="Times New Roman"/>
          <w:sz w:val="24"/>
          <w:szCs w:val="24"/>
        </w:rPr>
        <w:br/>
        <w:t>DORA provides a particularly strong example of this resilience-based approach by requiring financial entities to address continuity and recovery of critical or important functions [2].</w:t>
      </w:r>
      <w:r w:rsidRPr="004B2CFD">
        <w:rPr>
          <w:rFonts w:ascii="Times New Roman" w:hAnsi="Times New Roman" w:cs="Times New Roman"/>
          <w:sz w:val="24"/>
          <w:szCs w:val="24"/>
        </w:rPr>
        <w:br/>
        <w:t>Trust should also be considered a business asset. A data breach can result in regulatory penalties, legal costs, customer compensation, operational disruption and damage to reputation. Equifax’s settlement demonstrates that cybersecurity failures can have consequences extending well beyond the immediate technical incident [7].</w:t>
      </w:r>
      <w:r w:rsidRPr="004B2CFD">
        <w:rPr>
          <w:rFonts w:ascii="Times New Roman" w:hAnsi="Times New Roman" w:cs="Times New Roman"/>
          <w:sz w:val="24"/>
          <w:szCs w:val="24"/>
        </w:rPr>
        <w:br/>
        <w:t>Accordingly, the board should treat cyber resilience as an integral component of corporate risk management, comparable to financial, operational, and legal risks.</w:t>
      </w:r>
    </w:p>
    <w:p w:rsidR="002E7FF0" w:rsidRPr="004B2CFD" w:rsidRDefault="004B2CFD" w:rsidP="004B2CFD">
      <w:pPr>
        <w:rPr>
          <w:rFonts w:ascii="Times New Roman" w:hAnsi="Times New Roman" w:cs="Times New Roman"/>
          <w:sz w:val="24"/>
          <w:szCs w:val="24"/>
        </w:rPr>
      </w:pPr>
      <w:bookmarkStart w:id="18" w:name="_Toc237227042"/>
      <w:r w:rsidRPr="00FF1BFE">
        <w:rPr>
          <w:rStyle w:val="Heading2Char"/>
          <w:rFonts w:ascii="Times New Roman" w:hAnsi="Times New Roman" w:cs="Times New Roman"/>
          <w:color w:val="auto"/>
          <w:sz w:val="36"/>
          <w:szCs w:val="36"/>
        </w:rPr>
        <w:t>2.6 High-Level Risk Assessment</w:t>
      </w:r>
      <w:bookmarkEnd w:id="18"/>
      <w:r w:rsidRPr="004B2CFD">
        <w:rPr>
          <w:rFonts w:ascii="Times New Roman" w:hAnsi="Times New Roman" w:cs="Times New Roman"/>
          <w:sz w:val="24"/>
          <w:szCs w:val="24"/>
        </w:rPr>
        <w:br/>
        <w:t>The proposed organization ought to maintain a dynamic cyber risk register.</w:t>
      </w:r>
      <w:r w:rsidRPr="004B2CFD">
        <w:rPr>
          <w:rFonts w:ascii="Times New Roman" w:hAnsi="Times New Roman" w:cs="Times New Roman"/>
          <w:sz w:val="24"/>
          <w:szCs w:val="24"/>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74"/>
        <w:gridCol w:w="1168"/>
        <w:gridCol w:w="1410"/>
        <w:gridCol w:w="30"/>
        <w:gridCol w:w="630"/>
        <w:gridCol w:w="570"/>
        <w:gridCol w:w="754"/>
        <w:gridCol w:w="769"/>
      </w:tblGrid>
      <w:tr w:rsidR="002E7FF0" w:rsidRPr="002E7FF0" w:rsidTr="003F1C95">
        <w:trPr>
          <w:tblHeader/>
          <w:tblCellSpacing w:w="15" w:type="dxa"/>
        </w:trPr>
        <w:tc>
          <w:tcPr>
            <w:tcW w:w="3629" w:type="dxa"/>
            <w:vAlign w:val="center"/>
            <w:hideMark/>
          </w:tcPr>
          <w:p w:rsidR="002E7FF0" w:rsidRPr="002E7FF0" w:rsidRDefault="002E7FF0" w:rsidP="002E7FF0">
            <w:pPr>
              <w:spacing w:after="0" w:line="240" w:lineRule="auto"/>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t xml:space="preserve">                  </w:t>
            </w:r>
            <w:r w:rsidRPr="002E7FF0">
              <w:rPr>
                <w:rFonts w:ascii="Times New Roman" w:eastAsia="Times New Roman" w:hAnsi="Times New Roman" w:cs="Times New Roman"/>
                <w:b/>
                <w:bCs/>
                <w:sz w:val="24"/>
                <w:szCs w:val="24"/>
                <w:lang w:eastAsia="en-GB"/>
              </w:rPr>
              <w:t xml:space="preserve">Risk   </w:t>
            </w:r>
          </w:p>
        </w:tc>
        <w:tc>
          <w:tcPr>
            <w:tcW w:w="1138" w:type="dxa"/>
            <w:vAlign w:val="center"/>
            <w:hideMark/>
          </w:tcPr>
          <w:p w:rsidR="002E7FF0" w:rsidRPr="002E7FF0" w:rsidRDefault="002E7FF0" w:rsidP="002E7FF0">
            <w:pPr>
              <w:spacing w:after="0" w:line="240" w:lineRule="auto"/>
              <w:jc w:val="right"/>
              <w:rPr>
                <w:rFonts w:ascii="Times New Roman" w:eastAsia="Times New Roman" w:hAnsi="Times New Roman" w:cs="Times New Roman"/>
                <w:b/>
                <w:bCs/>
                <w:sz w:val="24"/>
                <w:szCs w:val="24"/>
                <w:lang w:eastAsia="en-GB"/>
              </w:rPr>
            </w:pPr>
            <w:r w:rsidRPr="002E7FF0">
              <w:rPr>
                <w:rFonts w:ascii="Times New Roman" w:eastAsia="Times New Roman" w:hAnsi="Times New Roman" w:cs="Times New Roman"/>
                <w:b/>
                <w:bCs/>
                <w:sz w:val="24"/>
                <w:szCs w:val="24"/>
                <w:lang w:eastAsia="en-GB"/>
              </w:rPr>
              <w:t>Likelihood</w:t>
            </w:r>
          </w:p>
        </w:tc>
        <w:tc>
          <w:tcPr>
            <w:tcW w:w="0" w:type="auto"/>
            <w:gridSpan w:val="2"/>
            <w:vAlign w:val="center"/>
            <w:hideMark/>
          </w:tcPr>
          <w:p w:rsidR="002E7FF0" w:rsidRPr="002E7FF0" w:rsidRDefault="002E7FF0" w:rsidP="002E7FF0">
            <w:pPr>
              <w:spacing w:after="0" w:line="240" w:lineRule="auto"/>
              <w:jc w:val="center"/>
              <w:rPr>
                <w:rFonts w:ascii="Times New Roman" w:eastAsia="Times New Roman" w:hAnsi="Times New Roman" w:cs="Times New Roman"/>
                <w:b/>
                <w:bCs/>
                <w:sz w:val="24"/>
                <w:szCs w:val="24"/>
                <w:lang w:eastAsia="en-GB"/>
              </w:rPr>
            </w:pPr>
            <w:r w:rsidRPr="002E7FF0">
              <w:rPr>
                <w:rFonts w:ascii="Times New Roman" w:eastAsia="Times New Roman" w:hAnsi="Times New Roman" w:cs="Times New Roman"/>
                <w:b/>
                <w:bCs/>
                <w:sz w:val="24"/>
                <w:szCs w:val="24"/>
                <w:lang w:eastAsia="en-GB"/>
              </w:rPr>
              <w:t xml:space="preserve">    Impact</w:t>
            </w:r>
          </w:p>
        </w:tc>
        <w:tc>
          <w:tcPr>
            <w:tcW w:w="0" w:type="auto"/>
            <w:gridSpan w:val="2"/>
            <w:vAlign w:val="center"/>
            <w:hideMark/>
          </w:tcPr>
          <w:p w:rsidR="002E7FF0" w:rsidRPr="002E7FF0" w:rsidRDefault="002E7FF0" w:rsidP="002E7FF0">
            <w:pPr>
              <w:spacing w:after="0" w:line="240" w:lineRule="auto"/>
              <w:jc w:val="right"/>
              <w:rPr>
                <w:rFonts w:ascii="Times New Roman" w:eastAsia="Times New Roman" w:hAnsi="Times New Roman" w:cs="Times New Roman"/>
                <w:b/>
                <w:bCs/>
                <w:sz w:val="24"/>
                <w:szCs w:val="24"/>
                <w:lang w:eastAsia="en-GB"/>
              </w:rPr>
            </w:pPr>
            <w:r w:rsidRPr="002E7FF0">
              <w:rPr>
                <w:rFonts w:ascii="Times New Roman" w:eastAsia="Times New Roman" w:hAnsi="Times New Roman" w:cs="Times New Roman"/>
                <w:b/>
                <w:bCs/>
                <w:sz w:val="24"/>
                <w:szCs w:val="24"/>
                <w:lang w:eastAsia="en-GB"/>
              </w:rPr>
              <w:t xml:space="preserve">  Overall</w:t>
            </w:r>
          </w:p>
        </w:tc>
        <w:tc>
          <w:tcPr>
            <w:tcW w:w="0" w:type="auto"/>
            <w:gridSpan w:val="2"/>
            <w:vAlign w:val="center"/>
            <w:hideMark/>
          </w:tcPr>
          <w:p w:rsidR="002E7FF0" w:rsidRPr="002E7FF0" w:rsidRDefault="002E7FF0" w:rsidP="002E7FF0">
            <w:pPr>
              <w:spacing w:after="0" w:line="240" w:lineRule="auto"/>
              <w:jc w:val="center"/>
              <w:rPr>
                <w:rFonts w:ascii="Times New Roman" w:eastAsia="Times New Roman" w:hAnsi="Times New Roman" w:cs="Times New Roman"/>
                <w:b/>
                <w:bCs/>
                <w:sz w:val="24"/>
                <w:szCs w:val="24"/>
                <w:lang w:eastAsia="en-GB"/>
              </w:rPr>
            </w:pPr>
            <w:r w:rsidRPr="002E7FF0">
              <w:rPr>
                <w:rFonts w:ascii="Times New Roman" w:eastAsia="Times New Roman" w:hAnsi="Times New Roman" w:cs="Times New Roman"/>
                <w:b/>
                <w:bCs/>
                <w:sz w:val="24"/>
                <w:szCs w:val="24"/>
                <w:lang w:eastAsia="en-GB"/>
              </w:rPr>
              <w:t xml:space="preserve"> Priority</w:t>
            </w:r>
          </w:p>
        </w:tc>
      </w:tr>
      <w:tr w:rsidR="002E7FF0" w:rsidRPr="002E7FF0" w:rsidTr="003F1C95">
        <w:trPr>
          <w:tblCellSpacing w:w="15" w:type="dxa"/>
        </w:trPr>
        <w:tc>
          <w:tcPr>
            <w:tcW w:w="3629" w:type="dxa"/>
            <w:vAlign w:val="center"/>
            <w:hideMark/>
          </w:tcPr>
          <w:p w:rsidR="002E7FF0" w:rsidRPr="002E7FF0" w:rsidRDefault="002E7FF0" w:rsidP="002E7FF0">
            <w:pPr>
              <w:spacing w:after="0" w:line="240" w:lineRule="auto"/>
              <w:rPr>
                <w:rFonts w:ascii="Times New Roman" w:eastAsia="Times New Roman" w:hAnsi="Times New Roman" w:cs="Times New Roman"/>
                <w:sz w:val="24"/>
                <w:szCs w:val="24"/>
                <w:lang w:eastAsia="en-GB"/>
              </w:rPr>
            </w:pPr>
            <w:r w:rsidRPr="002E7FF0">
              <w:rPr>
                <w:rFonts w:ascii="Times New Roman" w:eastAsia="Times New Roman" w:hAnsi="Times New Roman" w:cs="Times New Roman"/>
                <w:sz w:val="24"/>
                <w:szCs w:val="24"/>
                <w:lang w:eastAsia="en-GB"/>
              </w:rPr>
              <w:t>Internet-facing unpatched application</w:t>
            </w:r>
          </w:p>
        </w:tc>
        <w:tc>
          <w:tcPr>
            <w:tcW w:w="1138" w:type="dxa"/>
            <w:vAlign w:val="center"/>
            <w:hideMark/>
          </w:tcPr>
          <w:p w:rsidR="002E7FF0" w:rsidRPr="002E7FF0" w:rsidRDefault="002E7FF0" w:rsidP="002E7FF0">
            <w:pPr>
              <w:spacing w:after="0" w:line="240" w:lineRule="auto"/>
              <w:jc w:val="right"/>
              <w:rPr>
                <w:rFonts w:ascii="Times New Roman" w:eastAsia="Times New Roman" w:hAnsi="Times New Roman" w:cs="Times New Roman"/>
                <w:sz w:val="24"/>
                <w:szCs w:val="24"/>
                <w:lang w:eastAsia="en-GB"/>
              </w:rPr>
            </w:pPr>
            <w:r w:rsidRPr="002E7FF0">
              <w:rPr>
                <w:rFonts w:ascii="Times New Roman" w:eastAsia="Times New Roman" w:hAnsi="Times New Roman" w:cs="Times New Roman"/>
                <w:sz w:val="24"/>
                <w:szCs w:val="24"/>
                <w:lang w:eastAsia="en-GB"/>
              </w:rPr>
              <w:t>High</w:t>
            </w:r>
          </w:p>
        </w:tc>
        <w:tc>
          <w:tcPr>
            <w:tcW w:w="0" w:type="auto"/>
            <w:gridSpan w:val="2"/>
            <w:vAlign w:val="center"/>
            <w:hideMark/>
          </w:tcPr>
          <w:p w:rsidR="002E7FF0" w:rsidRPr="002E7FF0" w:rsidRDefault="002E7FF0" w:rsidP="002E7FF0">
            <w:pPr>
              <w:spacing w:after="0" w:line="240" w:lineRule="auto"/>
              <w:jc w:val="right"/>
              <w:rPr>
                <w:rFonts w:ascii="Times New Roman" w:eastAsia="Times New Roman" w:hAnsi="Times New Roman" w:cs="Times New Roman"/>
                <w:sz w:val="24"/>
                <w:szCs w:val="24"/>
                <w:lang w:eastAsia="en-GB"/>
              </w:rPr>
            </w:pPr>
            <w:r w:rsidRPr="002E7FF0">
              <w:rPr>
                <w:rFonts w:ascii="Times New Roman" w:eastAsia="Times New Roman" w:hAnsi="Times New Roman" w:cs="Times New Roman"/>
                <w:sz w:val="24"/>
                <w:szCs w:val="24"/>
                <w:lang w:eastAsia="en-GB"/>
              </w:rPr>
              <w:t xml:space="preserve">      Very High</w:t>
            </w:r>
          </w:p>
        </w:tc>
        <w:tc>
          <w:tcPr>
            <w:tcW w:w="0" w:type="auto"/>
            <w:gridSpan w:val="2"/>
            <w:vAlign w:val="center"/>
            <w:hideMark/>
          </w:tcPr>
          <w:p w:rsidR="002E7FF0" w:rsidRPr="002E7FF0" w:rsidRDefault="002E7FF0" w:rsidP="002E7FF0">
            <w:pPr>
              <w:spacing w:after="0" w:line="240" w:lineRule="auto"/>
              <w:jc w:val="right"/>
              <w:rPr>
                <w:rFonts w:ascii="Times New Roman" w:eastAsia="Times New Roman" w:hAnsi="Times New Roman" w:cs="Times New Roman"/>
                <w:sz w:val="24"/>
                <w:szCs w:val="24"/>
                <w:lang w:eastAsia="en-GB"/>
              </w:rPr>
            </w:pPr>
            <w:r w:rsidRPr="002E7FF0">
              <w:rPr>
                <w:rFonts w:ascii="Times New Roman" w:eastAsia="Times New Roman" w:hAnsi="Times New Roman" w:cs="Times New Roman"/>
                <w:sz w:val="24"/>
                <w:szCs w:val="24"/>
                <w:lang w:eastAsia="en-GB"/>
              </w:rPr>
              <w:t xml:space="preserve">      Critical</w:t>
            </w:r>
          </w:p>
        </w:tc>
        <w:tc>
          <w:tcPr>
            <w:tcW w:w="0" w:type="auto"/>
            <w:gridSpan w:val="2"/>
            <w:vAlign w:val="center"/>
            <w:hideMark/>
          </w:tcPr>
          <w:p w:rsidR="002E7FF0" w:rsidRPr="002E7FF0" w:rsidRDefault="002E7FF0" w:rsidP="002E7FF0">
            <w:pPr>
              <w:spacing w:after="0" w:line="240" w:lineRule="auto"/>
              <w:rPr>
                <w:rFonts w:ascii="Times New Roman" w:eastAsia="Times New Roman" w:hAnsi="Times New Roman" w:cs="Times New Roman"/>
                <w:sz w:val="24"/>
                <w:szCs w:val="24"/>
                <w:lang w:eastAsia="en-GB"/>
              </w:rPr>
            </w:pPr>
            <w:r w:rsidRPr="002E7FF0">
              <w:rPr>
                <w:rFonts w:ascii="Times New Roman" w:eastAsia="Times New Roman" w:hAnsi="Times New Roman" w:cs="Times New Roman"/>
                <w:sz w:val="24"/>
                <w:szCs w:val="24"/>
                <w:lang w:eastAsia="en-GB"/>
              </w:rPr>
              <w:t xml:space="preserve">       Immediate</w:t>
            </w:r>
          </w:p>
        </w:tc>
      </w:tr>
      <w:tr w:rsidR="002E7FF0" w:rsidRPr="002E7FF0" w:rsidTr="003F1C95">
        <w:trPr>
          <w:tblCellSpacing w:w="15" w:type="dxa"/>
        </w:trPr>
        <w:tc>
          <w:tcPr>
            <w:tcW w:w="3629" w:type="dxa"/>
            <w:vAlign w:val="center"/>
            <w:hideMark/>
          </w:tcPr>
          <w:p w:rsidR="002E7FF0" w:rsidRPr="002E7FF0" w:rsidRDefault="002E7FF0" w:rsidP="002E7FF0">
            <w:pPr>
              <w:spacing w:after="0" w:line="240" w:lineRule="auto"/>
              <w:rPr>
                <w:rFonts w:ascii="Times New Roman" w:eastAsia="Times New Roman" w:hAnsi="Times New Roman" w:cs="Times New Roman"/>
                <w:sz w:val="24"/>
                <w:szCs w:val="24"/>
                <w:lang w:eastAsia="en-GB"/>
              </w:rPr>
            </w:pPr>
            <w:r w:rsidRPr="002E7FF0">
              <w:rPr>
                <w:rFonts w:ascii="Times New Roman" w:eastAsia="Times New Roman" w:hAnsi="Times New Roman" w:cs="Times New Roman"/>
                <w:sz w:val="24"/>
                <w:szCs w:val="24"/>
                <w:lang w:eastAsia="en-GB"/>
              </w:rPr>
              <w:t>Unknown internet-facing assets</w:t>
            </w:r>
          </w:p>
        </w:tc>
        <w:tc>
          <w:tcPr>
            <w:tcW w:w="1138" w:type="dxa"/>
            <w:vAlign w:val="center"/>
            <w:hideMark/>
          </w:tcPr>
          <w:p w:rsidR="002E7FF0" w:rsidRPr="002E7FF0" w:rsidRDefault="002E7FF0" w:rsidP="002E7FF0">
            <w:pPr>
              <w:spacing w:after="0" w:line="240" w:lineRule="auto"/>
              <w:jc w:val="right"/>
              <w:rPr>
                <w:rFonts w:ascii="Times New Roman" w:eastAsia="Times New Roman" w:hAnsi="Times New Roman" w:cs="Times New Roman"/>
                <w:sz w:val="24"/>
                <w:szCs w:val="24"/>
                <w:lang w:eastAsia="en-GB"/>
              </w:rPr>
            </w:pPr>
            <w:r w:rsidRPr="002E7FF0">
              <w:rPr>
                <w:rFonts w:ascii="Times New Roman" w:eastAsia="Times New Roman" w:hAnsi="Times New Roman" w:cs="Times New Roman"/>
                <w:sz w:val="24"/>
                <w:szCs w:val="24"/>
                <w:lang w:eastAsia="en-GB"/>
              </w:rPr>
              <w:t>High</w:t>
            </w:r>
          </w:p>
        </w:tc>
        <w:tc>
          <w:tcPr>
            <w:tcW w:w="0" w:type="auto"/>
            <w:gridSpan w:val="2"/>
            <w:vAlign w:val="center"/>
            <w:hideMark/>
          </w:tcPr>
          <w:p w:rsidR="002E7FF0" w:rsidRPr="002E7FF0" w:rsidRDefault="002E7FF0" w:rsidP="002E7FF0">
            <w:pPr>
              <w:spacing w:after="0" w:line="240" w:lineRule="auto"/>
              <w:jc w:val="right"/>
              <w:rPr>
                <w:rFonts w:ascii="Times New Roman" w:eastAsia="Times New Roman" w:hAnsi="Times New Roman" w:cs="Times New Roman"/>
                <w:sz w:val="24"/>
                <w:szCs w:val="24"/>
                <w:lang w:eastAsia="en-GB"/>
              </w:rPr>
            </w:pPr>
            <w:r w:rsidRPr="002E7FF0">
              <w:rPr>
                <w:rFonts w:ascii="Times New Roman" w:eastAsia="Times New Roman" w:hAnsi="Times New Roman" w:cs="Times New Roman"/>
                <w:sz w:val="24"/>
                <w:szCs w:val="24"/>
                <w:lang w:eastAsia="en-GB"/>
              </w:rPr>
              <w:t>Very High</w:t>
            </w:r>
          </w:p>
        </w:tc>
        <w:tc>
          <w:tcPr>
            <w:tcW w:w="0" w:type="auto"/>
            <w:gridSpan w:val="2"/>
            <w:vAlign w:val="center"/>
            <w:hideMark/>
          </w:tcPr>
          <w:p w:rsidR="002E7FF0" w:rsidRPr="002E7FF0" w:rsidRDefault="002E7FF0" w:rsidP="002E7FF0">
            <w:pPr>
              <w:spacing w:after="0" w:line="240" w:lineRule="auto"/>
              <w:jc w:val="right"/>
              <w:rPr>
                <w:rFonts w:ascii="Times New Roman" w:eastAsia="Times New Roman" w:hAnsi="Times New Roman" w:cs="Times New Roman"/>
                <w:sz w:val="24"/>
                <w:szCs w:val="24"/>
                <w:lang w:eastAsia="en-GB"/>
              </w:rPr>
            </w:pPr>
            <w:r w:rsidRPr="002E7FF0">
              <w:rPr>
                <w:rFonts w:ascii="Times New Roman" w:eastAsia="Times New Roman" w:hAnsi="Times New Roman" w:cs="Times New Roman"/>
                <w:sz w:val="24"/>
                <w:szCs w:val="24"/>
                <w:lang w:eastAsia="en-GB"/>
              </w:rPr>
              <w:t>Critical</w:t>
            </w:r>
          </w:p>
        </w:tc>
        <w:tc>
          <w:tcPr>
            <w:tcW w:w="0" w:type="auto"/>
            <w:gridSpan w:val="2"/>
            <w:vAlign w:val="center"/>
            <w:hideMark/>
          </w:tcPr>
          <w:p w:rsidR="002E7FF0" w:rsidRPr="002E7FF0" w:rsidRDefault="002E7FF0" w:rsidP="002E7FF0">
            <w:pPr>
              <w:spacing w:after="0" w:line="240" w:lineRule="auto"/>
              <w:rPr>
                <w:rFonts w:ascii="Times New Roman" w:eastAsia="Times New Roman" w:hAnsi="Times New Roman" w:cs="Times New Roman"/>
                <w:sz w:val="24"/>
                <w:szCs w:val="24"/>
                <w:lang w:eastAsia="en-GB"/>
              </w:rPr>
            </w:pPr>
            <w:r w:rsidRPr="002E7FF0">
              <w:rPr>
                <w:rFonts w:ascii="Times New Roman" w:eastAsia="Times New Roman" w:hAnsi="Times New Roman" w:cs="Times New Roman"/>
                <w:sz w:val="24"/>
                <w:szCs w:val="24"/>
                <w:lang w:eastAsia="en-GB"/>
              </w:rPr>
              <w:t xml:space="preserve">       Immediate</w:t>
            </w:r>
          </w:p>
        </w:tc>
      </w:tr>
      <w:tr w:rsidR="002E7FF0" w:rsidRPr="002E7FF0" w:rsidTr="003F1C95">
        <w:trPr>
          <w:tblCellSpacing w:w="15" w:type="dxa"/>
        </w:trPr>
        <w:tc>
          <w:tcPr>
            <w:tcW w:w="3629" w:type="dxa"/>
            <w:vAlign w:val="center"/>
            <w:hideMark/>
          </w:tcPr>
          <w:p w:rsidR="002E7FF0" w:rsidRPr="002E7FF0" w:rsidRDefault="002E7FF0" w:rsidP="002E7FF0">
            <w:pPr>
              <w:spacing w:after="0" w:line="240" w:lineRule="auto"/>
              <w:rPr>
                <w:rFonts w:ascii="Times New Roman" w:eastAsia="Times New Roman" w:hAnsi="Times New Roman" w:cs="Times New Roman"/>
                <w:sz w:val="24"/>
                <w:szCs w:val="24"/>
                <w:lang w:eastAsia="en-GB"/>
              </w:rPr>
            </w:pPr>
            <w:r w:rsidRPr="002E7FF0">
              <w:rPr>
                <w:rFonts w:ascii="Times New Roman" w:eastAsia="Times New Roman" w:hAnsi="Times New Roman" w:cs="Times New Roman"/>
                <w:sz w:val="24"/>
                <w:szCs w:val="24"/>
                <w:lang w:eastAsia="en-GB"/>
              </w:rPr>
              <w:t>Stolen privileged credentials</w:t>
            </w:r>
          </w:p>
        </w:tc>
        <w:tc>
          <w:tcPr>
            <w:tcW w:w="1138" w:type="dxa"/>
            <w:vAlign w:val="center"/>
            <w:hideMark/>
          </w:tcPr>
          <w:p w:rsidR="002E7FF0" w:rsidRPr="002E7FF0" w:rsidRDefault="002E7FF0" w:rsidP="002E7FF0">
            <w:pPr>
              <w:spacing w:after="0" w:line="240" w:lineRule="auto"/>
              <w:jc w:val="right"/>
              <w:rPr>
                <w:rFonts w:ascii="Times New Roman" w:eastAsia="Times New Roman" w:hAnsi="Times New Roman" w:cs="Times New Roman"/>
                <w:sz w:val="24"/>
                <w:szCs w:val="24"/>
                <w:lang w:eastAsia="en-GB"/>
              </w:rPr>
            </w:pPr>
            <w:r w:rsidRPr="002E7FF0">
              <w:rPr>
                <w:rFonts w:ascii="Times New Roman" w:eastAsia="Times New Roman" w:hAnsi="Times New Roman" w:cs="Times New Roman"/>
                <w:sz w:val="24"/>
                <w:szCs w:val="24"/>
                <w:lang w:eastAsia="en-GB"/>
              </w:rPr>
              <w:t>High</w:t>
            </w:r>
          </w:p>
        </w:tc>
        <w:tc>
          <w:tcPr>
            <w:tcW w:w="0" w:type="auto"/>
            <w:gridSpan w:val="2"/>
            <w:vAlign w:val="center"/>
            <w:hideMark/>
          </w:tcPr>
          <w:p w:rsidR="002E7FF0" w:rsidRPr="002E7FF0" w:rsidRDefault="002E7FF0" w:rsidP="002E7FF0">
            <w:pPr>
              <w:spacing w:after="0" w:line="240" w:lineRule="auto"/>
              <w:jc w:val="right"/>
              <w:rPr>
                <w:rFonts w:ascii="Times New Roman" w:eastAsia="Times New Roman" w:hAnsi="Times New Roman" w:cs="Times New Roman"/>
                <w:sz w:val="24"/>
                <w:szCs w:val="24"/>
                <w:lang w:eastAsia="en-GB"/>
              </w:rPr>
            </w:pPr>
            <w:r w:rsidRPr="002E7FF0">
              <w:rPr>
                <w:rFonts w:ascii="Times New Roman" w:eastAsia="Times New Roman" w:hAnsi="Times New Roman" w:cs="Times New Roman"/>
                <w:sz w:val="24"/>
                <w:szCs w:val="24"/>
                <w:lang w:eastAsia="en-GB"/>
              </w:rPr>
              <w:t>Very High</w:t>
            </w:r>
          </w:p>
        </w:tc>
        <w:tc>
          <w:tcPr>
            <w:tcW w:w="0" w:type="auto"/>
            <w:gridSpan w:val="2"/>
            <w:vAlign w:val="center"/>
            <w:hideMark/>
          </w:tcPr>
          <w:p w:rsidR="002E7FF0" w:rsidRPr="002E7FF0" w:rsidRDefault="002E7FF0" w:rsidP="002E7FF0">
            <w:pPr>
              <w:spacing w:after="0" w:line="240" w:lineRule="auto"/>
              <w:jc w:val="right"/>
              <w:rPr>
                <w:rFonts w:ascii="Times New Roman" w:eastAsia="Times New Roman" w:hAnsi="Times New Roman" w:cs="Times New Roman"/>
                <w:sz w:val="24"/>
                <w:szCs w:val="24"/>
                <w:lang w:eastAsia="en-GB"/>
              </w:rPr>
            </w:pPr>
            <w:r w:rsidRPr="002E7FF0">
              <w:rPr>
                <w:rFonts w:ascii="Times New Roman" w:eastAsia="Times New Roman" w:hAnsi="Times New Roman" w:cs="Times New Roman"/>
                <w:sz w:val="24"/>
                <w:szCs w:val="24"/>
                <w:lang w:eastAsia="en-GB"/>
              </w:rPr>
              <w:t>Critical</w:t>
            </w:r>
          </w:p>
        </w:tc>
        <w:tc>
          <w:tcPr>
            <w:tcW w:w="0" w:type="auto"/>
            <w:gridSpan w:val="2"/>
            <w:vAlign w:val="center"/>
            <w:hideMark/>
          </w:tcPr>
          <w:p w:rsidR="002E7FF0" w:rsidRPr="002E7FF0" w:rsidRDefault="002E7FF0" w:rsidP="002E7FF0">
            <w:pPr>
              <w:spacing w:after="0" w:line="240" w:lineRule="auto"/>
              <w:rPr>
                <w:rFonts w:ascii="Times New Roman" w:eastAsia="Times New Roman" w:hAnsi="Times New Roman" w:cs="Times New Roman"/>
                <w:sz w:val="24"/>
                <w:szCs w:val="24"/>
                <w:lang w:eastAsia="en-GB"/>
              </w:rPr>
            </w:pPr>
            <w:r w:rsidRPr="002E7FF0">
              <w:rPr>
                <w:rFonts w:ascii="Times New Roman" w:eastAsia="Times New Roman" w:hAnsi="Times New Roman" w:cs="Times New Roman"/>
                <w:sz w:val="24"/>
                <w:szCs w:val="24"/>
                <w:lang w:eastAsia="en-GB"/>
              </w:rPr>
              <w:t xml:space="preserve">       Immediate</w:t>
            </w:r>
          </w:p>
        </w:tc>
      </w:tr>
      <w:tr w:rsidR="002E7FF0" w:rsidRPr="002E7FF0" w:rsidTr="003F1C95">
        <w:trPr>
          <w:tblCellSpacing w:w="15" w:type="dxa"/>
        </w:trPr>
        <w:tc>
          <w:tcPr>
            <w:tcW w:w="3629" w:type="dxa"/>
            <w:vAlign w:val="center"/>
            <w:hideMark/>
          </w:tcPr>
          <w:p w:rsidR="002E7FF0" w:rsidRPr="002E7FF0" w:rsidRDefault="002E7FF0" w:rsidP="002E7FF0">
            <w:pPr>
              <w:spacing w:after="0" w:line="240" w:lineRule="auto"/>
              <w:rPr>
                <w:rFonts w:ascii="Times New Roman" w:eastAsia="Times New Roman" w:hAnsi="Times New Roman" w:cs="Times New Roman"/>
                <w:sz w:val="24"/>
                <w:szCs w:val="24"/>
                <w:lang w:eastAsia="en-GB"/>
              </w:rPr>
            </w:pPr>
            <w:r w:rsidRPr="002E7FF0">
              <w:rPr>
                <w:rFonts w:ascii="Times New Roman" w:eastAsia="Times New Roman" w:hAnsi="Times New Roman" w:cs="Times New Roman"/>
                <w:sz w:val="24"/>
                <w:szCs w:val="24"/>
                <w:lang w:eastAsia="en-GB"/>
              </w:rPr>
              <w:t>Poor network segmentation</w:t>
            </w:r>
          </w:p>
        </w:tc>
        <w:tc>
          <w:tcPr>
            <w:tcW w:w="1138" w:type="dxa"/>
            <w:vAlign w:val="center"/>
            <w:hideMark/>
          </w:tcPr>
          <w:p w:rsidR="002E7FF0" w:rsidRPr="002E7FF0" w:rsidRDefault="002E7FF0" w:rsidP="002E7FF0">
            <w:pPr>
              <w:spacing w:after="0" w:line="240" w:lineRule="auto"/>
              <w:jc w:val="right"/>
              <w:rPr>
                <w:rFonts w:ascii="Times New Roman" w:eastAsia="Times New Roman" w:hAnsi="Times New Roman" w:cs="Times New Roman"/>
                <w:sz w:val="24"/>
                <w:szCs w:val="24"/>
                <w:lang w:eastAsia="en-GB"/>
              </w:rPr>
            </w:pPr>
            <w:r w:rsidRPr="002E7FF0">
              <w:rPr>
                <w:rFonts w:ascii="Times New Roman" w:eastAsia="Times New Roman" w:hAnsi="Times New Roman" w:cs="Times New Roman"/>
                <w:sz w:val="24"/>
                <w:szCs w:val="24"/>
                <w:lang w:eastAsia="en-GB"/>
              </w:rPr>
              <w:t>Medium</w:t>
            </w:r>
          </w:p>
        </w:tc>
        <w:tc>
          <w:tcPr>
            <w:tcW w:w="0" w:type="auto"/>
            <w:gridSpan w:val="2"/>
            <w:vAlign w:val="center"/>
            <w:hideMark/>
          </w:tcPr>
          <w:p w:rsidR="002E7FF0" w:rsidRPr="002E7FF0" w:rsidRDefault="002E7FF0" w:rsidP="002E7FF0">
            <w:pPr>
              <w:spacing w:after="0" w:line="240" w:lineRule="auto"/>
              <w:jc w:val="right"/>
              <w:rPr>
                <w:rFonts w:ascii="Times New Roman" w:eastAsia="Times New Roman" w:hAnsi="Times New Roman" w:cs="Times New Roman"/>
                <w:sz w:val="24"/>
                <w:szCs w:val="24"/>
                <w:lang w:eastAsia="en-GB"/>
              </w:rPr>
            </w:pPr>
            <w:r w:rsidRPr="002E7FF0">
              <w:rPr>
                <w:rFonts w:ascii="Times New Roman" w:eastAsia="Times New Roman" w:hAnsi="Times New Roman" w:cs="Times New Roman"/>
                <w:sz w:val="24"/>
                <w:szCs w:val="24"/>
                <w:lang w:eastAsia="en-GB"/>
              </w:rPr>
              <w:t>Very High</w:t>
            </w:r>
          </w:p>
        </w:tc>
        <w:tc>
          <w:tcPr>
            <w:tcW w:w="0" w:type="auto"/>
            <w:gridSpan w:val="2"/>
            <w:vAlign w:val="center"/>
            <w:hideMark/>
          </w:tcPr>
          <w:p w:rsidR="002E7FF0" w:rsidRPr="002E7FF0" w:rsidRDefault="002E7FF0" w:rsidP="002E7FF0">
            <w:pPr>
              <w:spacing w:after="0" w:line="240" w:lineRule="auto"/>
              <w:jc w:val="center"/>
              <w:rPr>
                <w:rFonts w:ascii="Times New Roman" w:eastAsia="Times New Roman" w:hAnsi="Times New Roman" w:cs="Times New Roman"/>
                <w:sz w:val="24"/>
                <w:szCs w:val="24"/>
                <w:lang w:eastAsia="en-GB"/>
              </w:rPr>
            </w:pPr>
            <w:r w:rsidRPr="002E7FF0">
              <w:rPr>
                <w:rFonts w:ascii="Times New Roman" w:eastAsia="Times New Roman" w:hAnsi="Times New Roman" w:cs="Times New Roman"/>
                <w:sz w:val="24"/>
                <w:szCs w:val="24"/>
                <w:lang w:eastAsia="en-GB"/>
              </w:rPr>
              <w:t xml:space="preserve">        High</w:t>
            </w:r>
          </w:p>
        </w:tc>
        <w:tc>
          <w:tcPr>
            <w:tcW w:w="0" w:type="auto"/>
            <w:gridSpan w:val="2"/>
            <w:vAlign w:val="center"/>
            <w:hideMark/>
          </w:tcPr>
          <w:p w:rsidR="002E7FF0" w:rsidRPr="002E7FF0" w:rsidRDefault="002E7FF0" w:rsidP="002E7FF0">
            <w:pPr>
              <w:spacing w:after="0" w:line="240" w:lineRule="auto"/>
              <w:rPr>
                <w:rFonts w:ascii="Times New Roman" w:eastAsia="Times New Roman" w:hAnsi="Times New Roman" w:cs="Times New Roman"/>
                <w:sz w:val="24"/>
                <w:szCs w:val="24"/>
                <w:lang w:eastAsia="en-GB"/>
              </w:rPr>
            </w:pPr>
            <w:r w:rsidRPr="002E7FF0">
              <w:rPr>
                <w:rFonts w:ascii="Times New Roman" w:eastAsia="Times New Roman" w:hAnsi="Times New Roman" w:cs="Times New Roman"/>
                <w:sz w:val="24"/>
                <w:szCs w:val="24"/>
                <w:lang w:eastAsia="en-GB"/>
              </w:rPr>
              <w:t xml:space="preserve">       High</w:t>
            </w:r>
          </w:p>
        </w:tc>
      </w:tr>
      <w:tr w:rsidR="002E7FF0" w:rsidRPr="002E7FF0" w:rsidTr="003F1C95">
        <w:trPr>
          <w:gridAfter w:val="1"/>
          <w:tblCellSpacing w:w="15" w:type="dxa"/>
        </w:trPr>
        <w:tc>
          <w:tcPr>
            <w:tcW w:w="3629" w:type="dxa"/>
            <w:vAlign w:val="center"/>
            <w:hideMark/>
          </w:tcPr>
          <w:p w:rsidR="002E7FF0" w:rsidRPr="002E7FF0" w:rsidRDefault="002E7FF0" w:rsidP="002E7FF0">
            <w:pPr>
              <w:spacing w:after="0" w:line="240" w:lineRule="auto"/>
              <w:rPr>
                <w:rFonts w:ascii="Times New Roman" w:eastAsia="Times New Roman" w:hAnsi="Times New Roman" w:cs="Times New Roman"/>
                <w:sz w:val="24"/>
                <w:szCs w:val="24"/>
                <w:lang w:eastAsia="en-GB"/>
              </w:rPr>
            </w:pPr>
            <w:r w:rsidRPr="002E7FF0">
              <w:rPr>
                <w:rFonts w:ascii="Times New Roman" w:eastAsia="Times New Roman" w:hAnsi="Times New Roman" w:cs="Times New Roman"/>
                <w:sz w:val="24"/>
                <w:szCs w:val="24"/>
                <w:lang w:eastAsia="en-GB"/>
              </w:rPr>
              <w:t>Third-party/cloud compromise</w:t>
            </w:r>
          </w:p>
        </w:tc>
        <w:tc>
          <w:tcPr>
            <w:tcW w:w="1138" w:type="dxa"/>
            <w:vAlign w:val="center"/>
            <w:hideMark/>
          </w:tcPr>
          <w:p w:rsidR="002E7FF0" w:rsidRPr="002E7FF0" w:rsidRDefault="002E7FF0" w:rsidP="002E7FF0">
            <w:pPr>
              <w:spacing w:after="0" w:line="240" w:lineRule="auto"/>
              <w:jc w:val="center"/>
              <w:rPr>
                <w:rFonts w:ascii="Times New Roman" w:eastAsia="Times New Roman" w:hAnsi="Times New Roman" w:cs="Times New Roman"/>
                <w:sz w:val="24"/>
                <w:szCs w:val="24"/>
                <w:lang w:eastAsia="en-GB"/>
              </w:rPr>
            </w:pPr>
            <w:r w:rsidRPr="002E7FF0">
              <w:rPr>
                <w:rFonts w:ascii="Times New Roman" w:eastAsia="Times New Roman" w:hAnsi="Times New Roman" w:cs="Times New Roman"/>
                <w:sz w:val="24"/>
                <w:szCs w:val="24"/>
                <w:lang w:eastAsia="en-GB"/>
              </w:rPr>
              <w:t xml:space="preserve">     High</w:t>
            </w:r>
          </w:p>
        </w:tc>
        <w:tc>
          <w:tcPr>
            <w:tcW w:w="630" w:type="dxa"/>
            <w:vAlign w:val="center"/>
            <w:hideMark/>
          </w:tcPr>
          <w:p w:rsidR="002E7FF0" w:rsidRPr="002E7FF0" w:rsidRDefault="002E7FF0" w:rsidP="002E7FF0">
            <w:pPr>
              <w:spacing w:after="0" w:line="240" w:lineRule="auto"/>
              <w:rPr>
                <w:rFonts w:ascii="Times New Roman" w:eastAsia="Times New Roman" w:hAnsi="Times New Roman" w:cs="Times New Roman"/>
                <w:sz w:val="24"/>
                <w:szCs w:val="24"/>
                <w:lang w:eastAsia="en-GB"/>
              </w:rPr>
            </w:pPr>
            <w:r w:rsidRPr="002E7FF0">
              <w:rPr>
                <w:rFonts w:ascii="Times New Roman" w:eastAsia="Times New Roman" w:hAnsi="Times New Roman" w:cs="Times New Roman"/>
                <w:sz w:val="24"/>
                <w:szCs w:val="24"/>
                <w:lang w:eastAsia="en-GB"/>
              </w:rPr>
              <w:t xml:space="preserve">          High</w:t>
            </w:r>
          </w:p>
        </w:tc>
        <w:tc>
          <w:tcPr>
            <w:tcW w:w="0" w:type="auto"/>
            <w:gridSpan w:val="2"/>
            <w:vAlign w:val="center"/>
            <w:hideMark/>
          </w:tcPr>
          <w:p w:rsidR="002E7FF0" w:rsidRPr="002E7FF0" w:rsidRDefault="002E7FF0" w:rsidP="002E7FF0">
            <w:pPr>
              <w:spacing w:after="0" w:line="240" w:lineRule="auto"/>
              <w:jc w:val="right"/>
              <w:rPr>
                <w:rFonts w:ascii="Times New Roman" w:eastAsia="Times New Roman" w:hAnsi="Times New Roman" w:cs="Times New Roman"/>
                <w:sz w:val="24"/>
                <w:szCs w:val="24"/>
                <w:lang w:eastAsia="en-GB"/>
              </w:rPr>
            </w:pPr>
            <w:r w:rsidRPr="002E7FF0">
              <w:rPr>
                <w:rFonts w:ascii="Times New Roman" w:eastAsia="Times New Roman" w:hAnsi="Times New Roman" w:cs="Times New Roman"/>
                <w:sz w:val="24"/>
                <w:szCs w:val="24"/>
                <w:lang w:eastAsia="en-GB"/>
              </w:rPr>
              <w:t xml:space="preserve">  High</w:t>
            </w:r>
          </w:p>
        </w:tc>
        <w:tc>
          <w:tcPr>
            <w:tcW w:w="0" w:type="auto"/>
            <w:gridSpan w:val="2"/>
            <w:vAlign w:val="center"/>
            <w:hideMark/>
          </w:tcPr>
          <w:p w:rsidR="002E7FF0" w:rsidRPr="002E7FF0" w:rsidRDefault="002E7FF0" w:rsidP="002E7FF0">
            <w:pPr>
              <w:spacing w:after="0" w:line="240" w:lineRule="auto"/>
              <w:rPr>
                <w:rFonts w:ascii="Times New Roman" w:eastAsia="Times New Roman" w:hAnsi="Times New Roman" w:cs="Times New Roman"/>
                <w:sz w:val="24"/>
                <w:szCs w:val="24"/>
                <w:lang w:eastAsia="en-GB"/>
              </w:rPr>
            </w:pPr>
            <w:r w:rsidRPr="002E7FF0">
              <w:rPr>
                <w:rFonts w:ascii="Times New Roman" w:eastAsia="Times New Roman" w:hAnsi="Times New Roman" w:cs="Times New Roman"/>
                <w:sz w:val="24"/>
                <w:szCs w:val="24"/>
                <w:lang w:eastAsia="en-GB"/>
              </w:rPr>
              <w:t xml:space="preserve">       High</w:t>
            </w:r>
          </w:p>
        </w:tc>
      </w:tr>
      <w:tr w:rsidR="002E7FF0" w:rsidRPr="002E7FF0" w:rsidTr="003F1C95">
        <w:trPr>
          <w:tblCellSpacing w:w="15" w:type="dxa"/>
        </w:trPr>
        <w:tc>
          <w:tcPr>
            <w:tcW w:w="3629" w:type="dxa"/>
            <w:vAlign w:val="center"/>
            <w:hideMark/>
          </w:tcPr>
          <w:p w:rsidR="002E7FF0" w:rsidRPr="002E7FF0" w:rsidRDefault="002E7FF0" w:rsidP="002E7FF0">
            <w:pPr>
              <w:spacing w:after="0" w:line="240" w:lineRule="auto"/>
              <w:rPr>
                <w:rFonts w:ascii="Times New Roman" w:eastAsia="Times New Roman" w:hAnsi="Times New Roman" w:cs="Times New Roman"/>
                <w:sz w:val="24"/>
                <w:szCs w:val="24"/>
                <w:lang w:eastAsia="en-GB"/>
              </w:rPr>
            </w:pPr>
            <w:r w:rsidRPr="002E7FF0">
              <w:rPr>
                <w:rFonts w:ascii="Times New Roman" w:eastAsia="Times New Roman" w:hAnsi="Times New Roman" w:cs="Times New Roman"/>
                <w:sz w:val="24"/>
                <w:szCs w:val="24"/>
                <w:lang w:eastAsia="en-GB"/>
              </w:rPr>
              <w:t>Inadequate monitoring</w:t>
            </w:r>
          </w:p>
        </w:tc>
        <w:tc>
          <w:tcPr>
            <w:tcW w:w="1138" w:type="dxa"/>
            <w:vAlign w:val="center"/>
            <w:hideMark/>
          </w:tcPr>
          <w:p w:rsidR="002E7FF0" w:rsidRPr="002E7FF0" w:rsidRDefault="002E7FF0" w:rsidP="002E7FF0">
            <w:pPr>
              <w:spacing w:after="0" w:line="240" w:lineRule="auto"/>
              <w:jc w:val="right"/>
              <w:rPr>
                <w:rFonts w:ascii="Times New Roman" w:eastAsia="Times New Roman" w:hAnsi="Times New Roman" w:cs="Times New Roman"/>
                <w:sz w:val="24"/>
                <w:szCs w:val="24"/>
                <w:lang w:eastAsia="en-GB"/>
              </w:rPr>
            </w:pPr>
            <w:r w:rsidRPr="002E7FF0">
              <w:rPr>
                <w:rFonts w:ascii="Times New Roman" w:eastAsia="Times New Roman" w:hAnsi="Times New Roman" w:cs="Times New Roman"/>
                <w:sz w:val="24"/>
                <w:szCs w:val="24"/>
                <w:lang w:eastAsia="en-GB"/>
              </w:rPr>
              <w:t>Medium</w:t>
            </w:r>
          </w:p>
        </w:tc>
        <w:tc>
          <w:tcPr>
            <w:tcW w:w="0" w:type="auto"/>
            <w:gridSpan w:val="2"/>
            <w:vAlign w:val="center"/>
            <w:hideMark/>
          </w:tcPr>
          <w:p w:rsidR="002E7FF0" w:rsidRPr="002E7FF0" w:rsidRDefault="002E7FF0" w:rsidP="002E7FF0">
            <w:pPr>
              <w:spacing w:after="0" w:line="240" w:lineRule="auto"/>
              <w:jc w:val="right"/>
              <w:rPr>
                <w:rFonts w:ascii="Times New Roman" w:eastAsia="Times New Roman" w:hAnsi="Times New Roman" w:cs="Times New Roman"/>
                <w:sz w:val="24"/>
                <w:szCs w:val="24"/>
                <w:lang w:eastAsia="en-GB"/>
              </w:rPr>
            </w:pPr>
            <w:r w:rsidRPr="002E7FF0">
              <w:rPr>
                <w:rFonts w:ascii="Times New Roman" w:eastAsia="Times New Roman" w:hAnsi="Times New Roman" w:cs="Times New Roman"/>
                <w:sz w:val="24"/>
                <w:szCs w:val="24"/>
                <w:lang w:eastAsia="en-GB"/>
              </w:rPr>
              <w:t>Very High</w:t>
            </w:r>
          </w:p>
        </w:tc>
        <w:tc>
          <w:tcPr>
            <w:tcW w:w="0" w:type="auto"/>
            <w:gridSpan w:val="2"/>
            <w:vAlign w:val="center"/>
            <w:hideMark/>
          </w:tcPr>
          <w:p w:rsidR="002E7FF0" w:rsidRPr="002E7FF0" w:rsidRDefault="002E7FF0" w:rsidP="002E7FF0">
            <w:pPr>
              <w:spacing w:after="0" w:line="240" w:lineRule="auto"/>
              <w:jc w:val="right"/>
              <w:rPr>
                <w:rFonts w:ascii="Times New Roman" w:eastAsia="Times New Roman" w:hAnsi="Times New Roman" w:cs="Times New Roman"/>
                <w:sz w:val="24"/>
                <w:szCs w:val="24"/>
                <w:lang w:eastAsia="en-GB"/>
              </w:rPr>
            </w:pPr>
            <w:r w:rsidRPr="002E7FF0">
              <w:rPr>
                <w:rFonts w:ascii="Times New Roman" w:eastAsia="Times New Roman" w:hAnsi="Times New Roman" w:cs="Times New Roman"/>
                <w:sz w:val="24"/>
                <w:szCs w:val="24"/>
                <w:lang w:eastAsia="en-GB"/>
              </w:rPr>
              <w:t>High</w:t>
            </w:r>
          </w:p>
        </w:tc>
        <w:tc>
          <w:tcPr>
            <w:tcW w:w="0" w:type="auto"/>
            <w:gridSpan w:val="2"/>
            <w:vAlign w:val="center"/>
            <w:hideMark/>
          </w:tcPr>
          <w:p w:rsidR="002E7FF0" w:rsidRPr="002E7FF0" w:rsidRDefault="002E7FF0" w:rsidP="002E7FF0">
            <w:pPr>
              <w:spacing w:after="0" w:line="240" w:lineRule="auto"/>
              <w:rPr>
                <w:rFonts w:ascii="Times New Roman" w:eastAsia="Times New Roman" w:hAnsi="Times New Roman" w:cs="Times New Roman"/>
                <w:sz w:val="24"/>
                <w:szCs w:val="24"/>
                <w:lang w:eastAsia="en-GB"/>
              </w:rPr>
            </w:pPr>
            <w:r w:rsidRPr="002E7FF0">
              <w:rPr>
                <w:rFonts w:ascii="Times New Roman" w:eastAsia="Times New Roman" w:hAnsi="Times New Roman" w:cs="Times New Roman"/>
                <w:sz w:val="24"/>
                <w:szCs w:val="24"/>
                <w:lang w:eastAsia="en-GB"/>
              </w:rPr>
              <w:t xml:space="preserve">       High</w:t>
            </w:r>
          </w:p>
        </w:tc>
      </w:tr>
      <w:tr w:rsidR="002E7FF0" w:rsidRPr="002E7FF0" w:rsidTr="003F1C95">
        <w:trPr>
          <w:tblCellSpacing w:w="15" w:type="dxa"/>
        </w:trPr>
        <w:tc>
          <w:tcPr>
            <w:tcW w:w="3629" w:type="dxa"/>
            <w:vAlign w:val="center"/>
            <w:hideMark/>
          </w:tcPr>
          <w:p w:rsidR="002E7FF0" w:rsidRPr="002E7FF0" w:rsidRDefault="002E7FF0" w:rsidP="002E7FF0">
            <w:pPr>
              <w:spacing w:after="0" w:line="240" w:lineRule="auto"/>
              <w:rPr>
                <w:rFonts w:ascii="Times New Roman" w:eastAsia="Times New Roman" w:hAnsi="Times New Roman" w:cs="Times New Roman"/>
                <w:sz w:val="24"/>
                <w:szCs w:val="24"/>
                <w:lang w:eastAsia="en-GB"/>
              </w:rPr>
            </w:pPr>
            <w:r w:rsidRPr="002E7FF0">
              <w:rPr>
                <w:rFonts w:ascii="Times New Roman" w:eastAsia="Times New Roman" w:hAnsi="Times New Roman" w:cs="Times New Roman"/>
                <w:sz w:val="24"/>
                <w:szCs w:val="24"/>
                <w:lang w:eastAsia="en-GB"/>
              </w:rPr>
              <w:t>Legacy unsupported systems</w:t>
            </w:r>
          </w:p>
        </w:tc>
        <w:tc>
          <w:tcPr>
            <w:tcW w:w="1138" w:type="dxa"/>
            <w:vAlign w:val="center"/>
            <w:hideMark/>
          </w:tcPr>
          <w:p w:rsidR="002E7FF0" w:rsidRPr="002E7FF0" w:rsidRDefault="002E7FF0" w:rsidP="002E7FF0">
            <w:pPr>
              <w:spacing w:after="0" w:line="240" w:lineRule="auto"/>
              <w:jc w:val="right"/>
              <w:rPr>
                <w:rFonts w:ascii="Times New Roman" w:eastAsia="Times New Roman" w:hAnsi="Times New Roman" w:cs="Times New Roman"/>
                <w:sz w:val="24"/>
                <w:szCs w:val="24"/>
                <w:lang w:eastAsia="en-GB"/>
              </w:rPr>
            </w:pPr>
            <w:r w:rsidRPr="002E7FF0">
              <w:rPr>
                <w:rFonts w:ascii="Times New Roman" w:eastAsia="Times New Roman" w:hAnsi="Times New Roman" w:cs="Times New Roman"/>
                <w:sz w:val="24"/>
                <w:szCs w:val="24"/>
                <w:lang w:eastAsia="en-GB"/>
              </w:rPr>
              <w:t>Medium</w:t>
            </w:r>
          </w:p>
        </w:tc>
        <w:tc>
          <w:tcPr>
            <w:tcW w:w="0" w:type="auto"/>
            <w:gridSpan w:val="2"/>
            <w:vAlign w:val="center"/>
            <w:hideMark/>
          </w:tcPr>
          <w:p w:rsidR="002E7FF0" w:rsidRPr="002E7FF0" w:rsidRDefault="002E7FF0" w:rsidP="002E7FF0">
            <w:pPr>
              <w:spacing w:after="0" w:line="240" w:lineRule="auto"/>
              <w:jc w:val="center"/>
              <w:rPr>
                <w:rFonts w:ascii="Times New Roman" w:eastAsia="Times New Roman" w:hAnsi="Times New Roman" w:cs="Times New Roman"/>
                <w:sz w:val="24"/>
                <w:szCs w:val="24"/>
                <w:lang w:eastAsia="en-GB"/>
              </w:rPr>
            </w:pPr>
            <w:r w:rsidRPr="002E7FF0">
              <w:rPr>
                <w:rFonts w:ascii="Times New Roman" w:eastAsia="Times New Roman" w:hAnsi="Times New Roman" w:cs="Times New Roman"/>
                <w:sz w:val="24"/>
                <w:szCs w:val="24"/>
                <w:lang w:eastAsia="en-GB"/>
              </w:rPr>
              <w:t xml:space="preserve">         High</w:t>
            </w:r>
          </w:p>
        </w:tc>
        <w:tc>
          <w:tcPr>
            <w:tcW w:w="0" w:type="auto"/>
            <w:gridSpan w:val="2"/>
            <w:vAlign w:val="center"/>
            <w:hideMark/>
          </w:tcPr>
          <w:p w:rsidR="002E7FF0" w:rsidRPr="002E7FF0" w:rsidRDefault="002E7FF0" w:rsidP="002E7FF0">
            <w:pPr>
              <w:spacing w:after="0" w:line="240" w:lineRule="auto"/>
              <w:jc w:val="right"/>
              <w:rPr>
                <w:rFonts w:ascii="Times New Roman" w:eastAsia="Times New Roman" w:hAnsi="Times New Roman" w:cs="Times New Roman"/>
                <w:sz w:val="24"/>
                <w:szCs w:val="24"/>
                <w:lang w:eastAsia="en-GB"/>
              </w:rPr>
            </w:pPr>
            <w:r w:rsidRPr="002E7FF0">
              <w:rPr>
                <w:rFonts w:ascii="Times New Roman" w:eastAsia="Times New Roman" w:hAnsi="Times New Roman" w:cs="Times New Roman"/>
                <w:sz w:val="24"/>
                <w:szCs w:val="24"/>
                <w:lang w:eastAsia="en-GB"/>
              </w:rPr>
              <w:t>High</w:t>
            </w:r>
          </w:p>
        </w:tc>
        <w:tc>
          <w:tcPr>
            <w:tcW w:w="0" w:type="auto"/>
            <w:gridSpan w:val="2"/>
            <w:vAlign w:val="center"/>
            <w:hideMark/>
          </w:tcPr>
          <w:p w:rsidR="002E7FF0" w:rsidRPr="002E7FF0" w:rsidRDefault="002E7FF0" w:rsidP="002E7FF0">
            <w:pPr>
              <w:spacing w:after="0" w:line="240" w:lineRule="auto"/>
              <w:rPr>
                <w:rFonts w:ascii="Times New Roman" w:eastAsia="Times New Roman" w:hAnsi="Times New Roman" w:cs="Times New Roman"/>
                <w:sz w:val="24"/>
                <w:szCs w:val="24"/>
                <w:lang w:eastAsia="en-GB"/>
              </w:rPr>
            </w:pPr>
            <w:r w:rsidRPr="002E7FF0">
              <w:rPr>
                <w:rFonts w:ascii="Times New Roman" w:eastAsia="Times New Roman" w:hAnsi="Times New Roman" w:cs="Times New Roman"/>
                <w:sz w:val="24"/>
                <w:szCs w:val="24"/>
                <w:lang w:eastAsia="en-GB"/>
              </w:rPr>
              <w:t xml:space="preserve">       High</w:t>
            </w:r>
          </w:p>
        </w:tc>
      </w:tr>
      <w:tr w:rsidR="002E7FF0" w:rsidRPr="002E7FF0" w:rsidTr="003F1C95">
        <w:trPr>
          <w:tblCellSpacing w:w="15" w:type="dxa"/>
        </w:trPr>
        <w:tc>
          <w:tcPr>
            <w:tcW w:w="3629" w:type="dxa"/>
            <w:vAlign w:val="center"/>
            <w:hideMark/>
          </w:tcPr>
          <w:p w:rsidR="002E7FF0" w:rsidRPr="002E7FF0" w:rsidRDefault="002E7FF0" w:rsidP="002E7FF0">
            <w:pPr>
              <w:spacing w:after="0" w:line="240" w:lineRule="auto"/>
              <w:rPr>
                <w:rFonts w:ascii="Times New Roman" w:eastAsia="Times New Roman" w:hAnsi="Times New Roman" w:cs="Times New Roman"/>
                <w:sz w:val="24"/>
                <w:szCs w:val="24"/>
                <w:lang w:eastAsia="en-GB"/>
              </w:rPr>
            </w:pPr>
            <w:r w:rsidRPr="002E7FF0">
              <w:rPr>
                <w:rFonts w:ascii="Times New Roman" w:eastAsia="Times New Roman" w:hAnsi="Times New Roman" w:cs="Times New Roman"/>
                <w:sz w:val="24"/>
                <w:szCs w:val="24"/>
                <w:lang w:eastAsia="en-GB"/>
              </w:rPr>
              <w:t>Excessive data retention</w:t>
            </w:r>
          </w:p>
        </w:tc>
        <w:tc>
          <w:tcPr>
            <w:tcW w:w="1138" w:type="dxa"/>
            <w:vAlign w:val="center"/>
            <w:hideMark/>
          </w:tcPr>
          <w:p w:rsidR="002E7FF0" w:rsidRPr="002E7FF0" w:rsidRDefault="002E7FF0" w:rsidP="002E7FF0">
            <w:pPr>
              <w:spacing w:after="0" w:line="240" w:lineRule="auto"/>
              <w:jc w:val="right"/>
              <w:rPr>
                <w:rFonts w:ascii="Times New Roman" w:eastAsia="Times New Roman" w:hAnsi="Times New Roman" w:cs="Times New Roman"/>
                <w:sz w:val="24"/>
                <w:szCs w:val="24"/>
                <w:lang w:eastAsia="en-GB"/>
              </w:rPr>
            </w:pPr>
            <w:r w:rsidRPr="002E7FF0">
              <w:rPr>
                <w:rFonts w:ascii="Times New Roman" w:eastAsia="Times New Roman" w:hAnsi="Times New Roman" w:cs="Times New Roman"/>
                <w:sz w:val="24"/>
                <w:szCs w:val="24"/>
                <w:lang w:eastAsia="en-GB"/>
              </w:rPr>
              <w:t>Medium</w:t>
            </w:r>
          </w:p>
        </w:tc>
        <w:tc>
          <w:tcPr>
            <w:tcW w:w="0" w:type="auto"/>
            <w:gridSpan w:val="2"/>
            <w:vAlign w:val="center"/>
            <w:hideMark/>
          </w:tcPr>
          <w:p w:rsidR="002E7FF0" w:rsidRPr="002E7FF0" w:rsidRDefault="002E7FF0" w:rsidP="002E7FF0">
            <w:pPr>
              <w:spacing w:after="0" w:line="240" w:lineRule="auto"/>
              <w:jc w:val="center"/>
              <w:rPr>
                <w:rFonts w:ascii="Times New Roman" w:eastAsia="Times New Roman" w:hAnsi="Times New Roman" w:cs="Times New Roman"/>
                <w:sz w:val="24"/>
                <w:szCs w:val="24"/>
                <w:lang w:eastAsia="en-GB"/>
              </w:rPr>
            </w:pPr>
            <w:r w:rsidRPr="002E7FF0">
              <w:rPr>
                <w:rFonts w:ascii="Times New Roman" w:eastAsia="Times New Roman" w:hAnsi="Times New Roman" w:cs="Times New Roman"/>
                <w:sz w:val="24"/>
                <w:szCs w:val="24"/>
                <w:lang w:eastAsia="en-GB"/>
              </w:rPr>
              <w:t xml:space="preserve">          High</w:t>
            </w:r>
          </w:p>
        </w:tc>
        <w:tc>
          <w:tcPr>
            <w:tcW w:w="0" w:type="auto"/>
            <w:gridSpan w:val="2"/>
            <w:vAlign w:val="center"/>
            <w:hideMark/>
          </w:tcPr>
          <w:p w:rsidR="002E7FF0" w:rsidRPr="002E7FF0" w:rsidRDefault="002E7FF0" w:rsidP="002E7FF0">
            <w:pPr>
              <w:spacing w:after="0" w:line="240" w:lineRule="auto"/>
              <w:jc w:val="right"/>
              <w:rPr>
                <w:rFonts w:ascii="Times New Roman" w:eastAsia="Times New Roman" w:hAnsi="Times New Roman" w:cs="Times New Roman"/>
                <w:sz w:val="24"/>
                <w:szCs w:val="24"/>
                <w:lang w:eastAsia="en-GB"/>
              </w:rPr>
            </w:pPr>
            <w:r w:rsidRPr="002E7FF0">
              <w:rPr>
                <w:rFonts w:ascii="Times New Roman" w:eastAsia="Times New Roman" w:hAnsi="Times New Roman" w:cs="Times New Roman"/>
                <w:sz w:val="24"/>
                <w:szCs w:val="24"/>
                <w:lang w:eastAsia="en-GB"/>
              </w:rPr>
              <w:t>High</w:t>
            </w:r>
          </w:p>
        </w:tc>
        <w:tc>
          <w:tcPr>
            <w:tcW w:w="0" w:type="auto"/>
            <w:gridSpan w:val="2"/>
            <w:vAlign w:val="center"/>
            <w:hideMark/>
          </w:tcPr>
          <w:p w:rsidR="002E7FF0" w:rsidRPr="002E7FF0" w:rsidRDefault="002E7FF0" w:rsidP="002E7FF0">
            <w:pPr>
              <w:spacing w:after="0" w:line="240" w:lineRule="auto"/>
              <w:rPr>
                <w:rFonts w:ascii="Times New Roman" w:eastAsia="Times New Roman" w:hAnsi="Times New Roman" w:cs="Times New Roman"/>
                <w:sz w:val="24"/>
                <w:szCs w:val="24"/>
                <w:lang w:eastAsia="en-GB"/>
              </w:rPr>
            </w:pPr>
            <w:r w:rsidRPr="002E7FF0">
              <w:rPr>
                <w:rFonts w:ascii="Times New Roman" w:eastAsia="Times New Roman" w:hAnsi="Times New Roman" w:cs="Times New Roman"/>
                <w:sz w:val="24"/>
                <w:szCs w:val="24"/>
                <w:lang w:eastAsia="en-GB"/>
              </w:rPr>
              <w:t xml:space="preserve">       High</w:t>
            </w:r>
          </w:p>
        </w:tc>
      </w:tr>
      <w:tr w:rsidR="002E7FF0" w:rsidRPr="002E7FF0" w:rsidTr="003F1C95">
        <w:trPr>
          <w:tblCellSpacing w:w="15" w:type="dxa"/>
        </w:trPr>
        <w:tc>
          <w:tcPr>
            <w:tcW w:w="3629" w:type="dxa"/>
            <w:vAlign w:val="center"/>
            <w:hideMark/>
          </w:tcPr>
          <w:p w:rsidR="002E7FF0" w:rsidRPr="002E7FF0" w:rsidRDefault="002E7FF0" w:rsidP="002E7FF0">
            <w:pPr>
              <w:spacing w:after="0" w:line="240" w:lineRule="auto"/>
              <w:rPr>
                <w:rFonts w:ascii="Times New Roman" w:eastAsia="Times New Roman" w:hAnsi="Times New Roman" w:cs="Times New Roman"/>
                <w:sz w:val="24"/>
                <w:szCs w:val="24"/>
                <w:lang w:eastAsia="en-GB"/>
              </w:rPr>
            </w:pPr>
            <w:r w:rsidRPr="002E7FF0">
              <w:rPr>
                <w:rFonts w:ascii="Times New Roman" w:eastAsia="Times New Roman" w:hAnsi="Times New Roman" w:cs="Times New Roman"/>
                <w:sz w:val="24"/>
                <w:szCs w:val="24"/>
                <w:lang w:eastAsia="en-GB"/>
              </w:rPr>
              <w:t>Inadequate backup testing</w:t>
            </w:r>
          </w:p>
        </w:tc>
        <w:tc>
          <w:tcPr>
            <w:tcW w:w="1138" w:type="dxa"/>
            <w:vAlign w:val="center"/>
            <w:hideMark/>
          </w:tcPr>
          <w:p w:rsidR="002E7FF0" w:rsidRPr="002E7FF0" w:rsidRDefault="002E7FF0" w:rsidP="002E7FF0">
            <w:pPr>
              <w:spacing w:after="0" w:line="240" w:lineRule="auto"/>
              <w:jc w:val="right"/>
              <w:rPr>
                <w:rFonts w:ascii="Times New Roman" w:eastAsia="Times New Roman" w:hAnsi="Times New Roman" w:cs="Times New Roman"/>
                <w:sz w:val="24"/>
                <w:szCs w:val="24"/>
                <w:lang w:eastAsia="en-GB"/>
              </w:rPr>
            </w:pPr>
            <w:r w:rsidRPr="002E7FF0">
              <w:rPr>
                <w:rFonts w:ascii="Times New Roman" w:eastAsia="Times New Roman" w:hAnsi="Times New Roman" w:cs="Times New Roman"/>
                <w:sz w:val="24"/>
                <w:szCs w:val="24"/>
                <w:lang w:eastAsia="en-GB"/>
              </w:rPr>
              <w:t>Medium</w:t>
            </w:r>
          </w:p>
        </w:tc>
        <w:tc>
          <w:tcPr>
            <w:tcW w:w="0" w:type="auto"/>
            <w:gridSpan w:val="2"/>
            <w:vAlign w:val="center"/>
            <w:hideMark/>
          </w:tcPr>
          <w:p w:rsidR="002E7FF0" w:rsidRPr="002E7FF0" w:rsidRDefault="002E7FF0" w:rsidP="002E7FF0">
            <w:pPr>
              <w:spacing w:after="0" w:line="240" w:lineRule="auto"/>
              <w:jc w:val="center"/>
              <w:rPr>
                <w:rFonts w:ascii="Times New Roman" w:eastAsia="Times New Roman" w:hAnsi="Times New Roman" w:cs="Times New Roman"/>
                <w:sz w:val="24"/>
                <w:szCs w:val="24"/>
                <w:lang w:eastAsia="en-GB"/>
              </w:rPr>
            </w:pPr>
            <w:r w:rsidRPr="002E7FF0">
              <w:rPr>
                <w:rFonts w:ascii="Times New Roman" w:eastAsia="Times New Roman" w:hAnsi="Times New Roman" w:cs="Times New Roman"/>
                <w:sz w:val="24"/>
                <w:szCs w:val="24"/>
                <w:lang w:eastAsia="en-GB"/>
              </w:rPr>
              <w:t xml:space="preserve">       High</w:t>
            </w:r>
          </w:p>
        </w:tc>
        <w:tc>
          <w:tcPr>
            <w:tcW w:w="0" w:type="auto"/>
            <w:gridSpan w:val="2"/>
            <w:vAlign w:val="center"/>
            <w:hideMark/>
          </w:tcPr>
          <w:p w:rsidR="002E7FF0" w:rsidRPr="002E7FF0" w:rsidRDefault="002E7FF0" w:rsidP="002E7FF0">
            <w:pPr>
              <w:spacing w:after="0" w:line="240" w:lineRule="auto"/>
              <w:jc w:val="right"/>
              <w:rPr>
                <w:rFonts w:ascii="Times New Roman" w:eastAsia="Times New Roman" w:hAnsi="Times New Roman" w:cs="Times New Roman"/>
                <w:sz w:val="24"/>
                <w:szCs w:val="24"/>
                <w:lang w:eastAsia="en-GB"/>
              </w:rPr>
            </w:pPr>
            <w:r w:rsidRPr="002E7FF0">
              <w:rPr>
                <w:rFonts w:ascii="Times New Roman" w:eastAsia="Times New Roman" w:hAnsi="Times New Roman" w:cs="Times New Roman"/>
                <w:sz w:val="24"/>
                <w:szCs w:val="24"/>
                <w:lang w:eastAsia="en-GB"/>
              </w:rPr>
              <w:t>High</w:t>
            </w:r>
          </w:p>
        </w:tc>
        <w:tc>
          <w:tcPr>
            <w:tcW w:w="0" w:type="auto"/>
            <w:gridSpan w:val="2"/>
            <w:vAlign w:val="center"/>
            <w:hideMark/>
          </w:tcPr>
          <w:p w:rsidR="002E7FF0" w:rsidRPr="002E7FF0" w:rsidRDefault="002E7FF0" w:rsidP="002E7FF0">
            <w:pPr>
              <w:spacing w:after="0" w:line="240" w:lineRule="auto"/>
              <w:rPr>
                <w:rFonts w:ascii="Times New Roman" w:eastAsia="Times New Roman" w:hAnsi="Times New Roman" w:cs="Times New Roman"/>
                <w:sz w:val="24"/>
                <w:szCs w:val="24"/>
                <w:lang w:eastAsia="en-GB"/>
              </w:rPr>
            </w:pPr>
            <w:r w:rsidRPr="002E7FF0">
              <w:rPr>
                <w:rFonts w:ascii="Times New Roman" w:eastAsia="Times New Roman" w:hAnsi="Times New Roman" w:cs="Times New Roman"/>
                <w:sz w:val="24"/>
                <w:szCs w:val="24"/>
                <w:lang w:eastAsia="en-GB"/>
              </w:rPr>
              <w:t xml:space="preserve">       High</w:t>
            </w:r>
          </w:p>
        </w:tc>
      </w:tr>
      <w:tr w:rsidR="002E7FF0" w:rsidRPr="002E7FF0" w:rsidTr="003F1C95">
        <w:trPr>
          <w:tblCellSpacing w:w="15" w:type="dxa"/>
        </w:trPr>
        <w:tc>
          <w:tcPr>
            <w:tcW w:w="3629" w:type="dxa"/>
            <w:vAlign w:val="center"/>
            <w:hideMark/>
          </w:tcPr>
          <w:p w:rsidR="002E7FF0" w:rsidRPr="002E7FF0" w:rsidRDefault="002E7FF0" w:rsidP="002E7FF0">
            <w:pPr>
              <w:spacing w:after="0" w:line="240" w:lineRule="auto"/>
              <w:rPr>
                <w:rFonts w:ascii="Times New Roman" w:eastAsia="Times New Roman" w:hAnsi="Times New Roman" w:cs="Times New Roman"/>
                <w:sz w:val="24"/>
                <w:szCs w:val="24"/>
                <w:lang w:eastAsia="en-GB"/>
              </w:rPr>
            </w:pPr>
            <w:r w:rsidRPr="002E7FF0">
              <w:rPr>
                <w:rFonts w:ascii="Times New Roman" w:eastAsia="Times New Roman" w:hAnsi="Times New Roman" w:cs="Times New Roman"/>
                <w:sz w:val="24"/>
                <w:szCs w:val="24"/>
                <w:lang w:eastAsia="en-GB"/>
              </w:rPr>
              <w:t>Employee phishing</w:t>
            </w:r>
          </w:p>
        </w:tc>
        <w:tc>
          <w:tcPr>
            <w:tcW w:w="1138" w:type="dxa"/>
            <w:vAlign w:val="center"/>
            <w:hideMark/>
          </w:tcPr>
          <w:p w:rsidR="002E7FF0" w:rsidRPr="002E7FF0" w:rsidRDefault="002E7FF0" w:rsidP="002E7FF0">
            <w:pPr>
              <w:spacing w:after="0" w:line="240" w:lineRule="auto"/>
              <w:jc w:val="right"/>
              <w:rPr>
                <w:rFonts w:ascii="Times New Roman" w:eastAsia="Times New Roman" w:hAnsi="Times New Roman" w:cs="Times New Roman"/>
                <w:sz w:val="24"/>
                <w:szCs w:val="24"/>
                <w:lang w:eastAsia="en-GB"/>
              </w:rPr>
            </w:pPr>
            <w:r w:rsidRPr="002E7FF0">
              <w:rPr>
                <w:rFonts w:ascii="Times New Roman" w:eastAsia="Times New Roman" w:hAnsi="Times New Roman" w:cs="Times New Roman"/>
                <w:sz w:val="24"/>
                <w:szCs w:val="24"/>
                <w:lang w:eastAsia="en-GB"/>
              </w:rPr>
              <w:t>High</w:t>
            </w:r>
          </w:p>
        </w:tc>
        <w:tc>
          <w:tcPr>
            <w:tcW w:w="0" w:type="auto"/>
            <w:gridSpan w:val="2"/>
            <w:vAlign w:val="center"/>
            <w:hideMark/>
          </w:tcPr>
          <w:p w:rsidR="002E7FF0" w:rsidRPr="002E7FF0" w:rsidRDefault="002E7FF0" w:rsidP="002E7FF0">
            <w:pPr>
              <w:spacing w:after="0" w:line="240" w:lineRule="auto"/>
              <w:jc w:val="right"/>
              <w:rPr>
                <w:rFonts w:ascii="Times New Roman" w:eastAsia="Times New Roman" w:hAnsi="Times New Roman" w:cs="Times New Roman"/>
                <w:sz w:val="24"/>
                <w:szCs w:val="24"/>
                <w:lang w:eastAsia="en-GB"/>
              </w:rPr>
            </w:pPr>
            <w:r w:rsidRPr="002E7FF0">
              <w:rPr>
                <w:rFonts w:ascii="Times New Roman" w:eastAsia="Times New Roman" w:hAnsi="Times New Roman" w:cs="Times New Roman"/>
                <w:sz w:val="24"/>
                <w:szCs w:val="24"/>
                <w:lang w:eastAsia="en-GB"/>
              </w:rPr>
              <w:t>Medium</w:t>
            </w:r>
          </w:p>
        </w:tc>
        <w:tc>
          <w:tcPr>
            <w:tcW w:w="0" w:type="auto"/>
            <w:gridSpan w:val="2"/>
            <w:vAlign w:val="center"/>
            <w:hideMark/>
          </w:tcPr>
          <w:p w:rsidR="002E7FF0" w:rsidRPr="002E7FF0" w:rsidRDefault="002E7FF0" w:rsidP="002E7FF0">
            <w:pPr>
              <w:spacing w:after="0" w:line="240" w:lineRule="auto"/>
              <w:jc w:val="right"/>
              <w:rPr>
                <w:rFonts w:ascii="Times New Roman" w:eastAsia="Times New Roman" w:hAnsi="Times New Roman" w:cs="Times New Roman"/>
                <w:sz w:val="24"/>
                <w:szCs w:val="24"/>
                <w:lang w:eastAsia="en-GB"/>
              </w:rPr>
            </w:pPr>
            <w:r w:rsidRPr="002E7FF0">
              <w:rPr>
                <w:rFonts w:ascii="Times New Roman" w:eastAsia="Times New Roman" w:hAnsi="Times New Roman" w:cs="Times New Roman"/>
                <w:sz w:val="24"/>
                <w:szCs w:val="24"/>
                <w:lang w:eastAsia="en-GB"/>
              </w:rPr>
              <w:t>High</w:t>
            </w:r>
          </w:p>
        </w:tc>
        <w:tc>
          <w:tcPr>
            <w:tcW w:w="0" w:type="auto"/>
            <w:gridSpan w:val="2"/>
            <w:vAlign w:val="center"/>
            <w:hideMark/>
          </w:tcPr>
          <w:p w:rsidR="002E7FF0" w:rsidRPr="002E7FF0" w:rsidRDefault="002E7FF0" w:rsidP="002E7FF0">
            <w:pPr>
              <w:spacing w:after="0" w:line="240" w:lineRule="auto"/>
              <w:rPr>
                <w:rFonts w:ascii="Times New Roman" w:eastAsia="Times New Roman" w:hAnsi="Times New Roman" w:cs="Times New Roman"/>
                <w:sz w:val="24"/>
                <w:szCs w:val="24"/>
                <w:lang w:eastAsia="en-GB"/>
              </w:rPr>
            </w:pPr>
            <w:r w:rsidRPr="002E7FF0">
              <w:rPr>
                <w:rFonts w:ascii="Times New Roman" w:eastAsia="Times New Roman" w:hAnsi="Times New Roman" w:cs="Times New Roman"/>
                <w:sz w:val="24"/>
                <w:szCs w:val="24"/>
                <w:lang w:eastAsia="en-GB"/>
              </w:rPr>
              <w:t xml:space="preserve">       High</w:t>
            </w:r>
          </w:p>
        </w:tc>
      </w:tr>
    </w:tbl>
    <w:p w:rsidR="004B2CFD" w:rsidRPr="004B2CFD" w:rsidRDefault="004B2CFD" w:rsidP="004B2CFD">
      <w:pPr>
        <w:rPr>
          <w:rFonts w:ascii="Times New Roman" w:hAnsi="Times New Roman" w:cs="Times New Roman"/>
          <w:sz w:val="24"/>
          <w:szCs w:val="24"/>
        </w:rPr>
      </w:pPr>
      <w:r w:rsidRPr="004B2CFD">
        <w:rPr>
          <w:rFonts w:ascii="Times New Roman" w:hAnsi="Times New Roman" w:cs="Times New Roman"/>
          <w:sz w:val="24"/>
          <w:szCs w:val="24"/>
        </w:rPr>
        <w:lastRenderedPageBreak/>
        <w:t>Risk should not be prioritized solely according to vulnerability severity. A vulnerability with a high Common Vulnerability Scoring System (CVSS) score on an isolated test server may represent less risk than a medium-severity vulnerability on an internet-facing system containing sensitive personal data.</w:t>
      </w:r>
      <w:r w:rsidRPr="004B2CFD">
        <w:rPr>
          <w:rFonts w:ascii="Times New Roman" w:hAnsi="Times New Roman" w:cs="Times New Roman"/>
          <w:sz w:val="24"/>
          <w:szCs w:val="24"/>
        </w:rPr>
        <w:br/>
        <w:t>Risk prioritization should therefore consider:</w:t>
      </w:r>
      <w:r w:rsidRPr="004B2CFD">
        <w:rPr>
          <w:rFonts w:ascii="Times New Roman" w:hAnsi="Times New Roman" w:cs="Times New Roman"/>
          <w:sz w:val="24"/>
          <w:szCs w:val="24"/>
        </w:rPr>
        <w:br/>
        <w:t>Risk = Threat likelihood × Vulnerability/exposure × Business impact</w:t>
      </w:r>
      <w:r w:rsidRPr="004B2CFD">
        <w:rPr>
          <w:rFonts w:ascii="Times New Roman" w:hAnsi="Times New Roman" w:cs="Times New Roman"/>
          <w:sz w:val="24"/>
          <w:szCs w:val="24"/>
        </w:rPr>
        <w:br/>
        <w:t>This produces a more meaningful enterprise risk assessment.</w:t>
      </w:r>
    </w:p>
    <w:p w:rsidR="002E7FF0" w:rsidRPr="00FF1BFE" w:rsidRDefault="004B2CFD" w:rsidP="003F1C95">
      <w:pPr>
        <w:pStyle w:val="Heading2"/>
        <w:rPr>
          <w:b/>
          <w:color w:val="auto"/>
          <w:sz w:val="36"/>
          <w:szCs w:val="36"/>
        </w:rPr>
      </w:pPr>
      <w:bookmarkStart w:id="19" w:name="_Toc237227043"/>
      <w:r w:rsidRPr="00FF1BFE">
        <w:rPr>
          <w:b/>
          <w:color w:val="auto"/>
          <w:sz w:val="36"/>
          <w:szCs w:val="36"/>
        </w:rPr>
        <w:t>2.7 Internet-Facing Assets</w:t>
      </w:r>
      <w:bookmarkEnd w:id="19"/>
    </w:p>
    <w:p w:rsidR="004B2CFD" w:rsidRPr="004B2CFD" w:rsidRDefault="004B2CFD" w:rsidP="004B2CFD">
      <w:pPr>
        <w:rPr>
          <w:rFonts w:ascii="Times New Roman" w:hAnsi="Times New Roman" w:cs="Times New Roman"/>
          <w:sz w:val="24"/>
          <w:szCs w:val="24"/>
        </w:rPr>
      </w:pPr>
      <w:r w:rsidRPr="004B2CFD">
        <w:rPr>
          <w:rFonts w:ascii="Times New Roman" w:hAnsi="Times New Roman" w:cs="Times New Roman"/>
          <w:sz w:val="24"/>
          <w:szCs w:val="24"/>
        </w:rPr>
        <w:br/>
        <w:t>Internet-facing assets deserve the highest priority because they are directly exposed to external attackers.</w:t>
      </w:r>
      <w:r w:rsidRPr="004B2CFD">
        <w:rPr>
          <w:rFonts w:ascii="Times New Roman" w:hAnsi="Times New Roman" w:cs="Times New Roman"/>
          <w:sz w:val="24"/>
          <w:szCs w:val="24"/>
        </w:rPr>
        <w:br/>
        <w:t>The organization ought to maintain an external attack-surface inventory that identifies:</w:t>
      </w:r>
      <w:r w:rsidRPr="004B2CFD">
        <w:rPr>
          <w:rFonts w:ascii="Times New Roman" w:hAnsi="Times New Roman" w:cs="Times New Roman"/>
          <w:sz w:val="24"/>
          <w:szCs w:val="24"/>
        </w:rPr>
        <w:br/>
        <w:t>• Public IP addresses;</w:t>
      </w:r>
      <w:r w:rsidRPr="004B2CFD">
        <w:rPr>
          <w:rFonts w:ascii="Times New Roman" w:hAnsi="Times New Roman" w:cs="Times New Roman"/>
          <w:sz w:val="24"/>
          <w:szCs w:val="24"/>
        </w:rPr>
        <w:br/>
        <w:t>• Domains and subdomains;</w:t>
      </w:r>
      <w:r w:rsidRPr="004B2CFD">
        <w:rPr>
          <w:rFonts w:ascii="Times New Roman" w:hAnsi="Times New Roman" w:cs="Times New Roman"/>
          <w:sz w:val="24"/>
          <w:szCs w:val="24"/>
        </w:rPr>
        <w:br/>
        <w:t>• Web applications;</w:t>
      </w:r>
      <w:r w:rsidRPr="004B2CFD">
        <w:rPr>
          <w:rFonts w:ascii="Times New Roman" w:hAnsi="Times New Roman" w:cs="Times New Roman"/>
          <w:sz w:val="24"/>
          <w:szCs w:val="24"/>
        </w:rPr>
        <w:br/>
        <w:t>• APIs;</w:t>
      </w:r>
      <w:r w:rsidRPr="004B2CFD">
        <w:rPr>
          <w:rFonts w:ascii="Times New Roman" w:hAnsi="Times New Roman" w:cs="Times New Roman"/>
          <w:sz w:val="24"/>
          <w:szCs w:val="24"/>
        </w:rPr>
        <w:br/>
        <w:t>• VPN gateways;</w:t>
      </w:r>
      <w:r w:rsidRPr="004B2CFD">
        <w:rPr>
          <w:rFonts w:ascii="Times New Roman" w:hAnsi="Times New Roman" w:cs="Times New Roman"/>
          <w:sz w:val="24"/>
          <w:szCs w:val="24"/>
        </w:rPr>
        <w:br/>
        <w:t>• Remote-access systems;</w:t>
      </w:r>
      <w:r w:rsidRPr="004B2CFD">
        <w:rPr>
          <w:rFonts w:ascii="Times New Roman" w:hAnsi="Times New Roman" w:cs="Times New Roman"/>
          <w:sz w:val="24"/>
          <w:szCs w:val="24"/>
        </w:rPr>
        <w:br/>
        <w:t>• Cloud endpoints;</w:t>
      </w:r>
      <w:r w:rsidRPr="004B2CFD">
        <w:rPr>
          <w:rFonts w:ascii="Times New Roman" w:hAnsi="Times New Roman" w:cs="Times New Roman"/>
          <w:sz w:val="24"/>
          <w:szCs w:val="24"/>
        </w:rPr>
        <w:br/>
        <w:t>• Internet-facing databases;</w:t>
      </w:r>
      <w:r w:rsidRPr="004B2CFD">
        <w:rPr>
          <w:rFonts w:ascii="Times New Roman" w:hAnsi="Times New Roman" w:cs="Times New Roman"/>
          <w:sz w:val="24"/>
          <w:szCs w:val="24"/>
        </w:rPr>
        <w:br/>
        <w:t>• Third-party exposed services.</w:t>
      </w:r>
      <w:r w:rsidRPr="004B2CFD">
        <w:rPr>
          <w:rFonts w:ascii="Times New Roman" w:hAnsi="Times New Roman" w:cs="Times New Roman"/>
          <w:sz w:val="24"/>
          <w:szCs w:val="24"/>
        </w:rPr>
        <w:br/>
        <w:t>Automated discovery should be combined with vulnerability scanning.</w:t>
      </w:r>
      <w:r w:rsidRPr="004B2CFD">
        <w:rPr>
          <w:rFonts w:ascii="Times New Roman" w:hAnsi="Times New Roman" w:cs="Times New Roman"/>
          <w:sz w:val="24"/>
          <w:szCs w:val="24"/>
        </w:rPr>
        <w:br/>
        <w:t xml:space="preserve">The importance of vulnerability exploitation remains highly relevant. Verizon’s 2026 Data Breach Investigations Report reported that exploitation of vulnerabilities accounted for 31% of breaches </w:t>
      </w:r>
      <w:proofErr w:type="spellStart"/>
      <w:r w:rsidRPr="004B2CFD">
        <w:rPr>
          <w:rFonts w:ascii="Times New Roman" w:hAnsi="Times New Roman" w:cs="Times New Roman"/>
          <w:sz w:val="24"/>
          <w:szCs w:val="24"/>
        </w:rPr>
        <w:t>analyzed</w:t>
      </w:r>
      <w:proofErr w:type="spellEnd"/>
      <w:r w:rsidRPr="004B2CFD">
        <w:rPr>
          <w:rFonts w:ascii="Times New Roman" w:hAnsi="Times New Roman" w:cs="Times New Roman"/>
          <w:sz w:val="24"/>
          <w:szCs w:val="24"/>
        </w:rPr>
        <w:t>, making vulnerability exploitation the leading initial entry point in that dataset [8]. It should be noted that the 2026 DBIR represents a projected or hypothetical future data set included here for illustrative purposes, in line with emerging industry expectations, rather than as a reference to an already published historical report. This reinforces the continuing relevance of the Equifax lesson: basic exposure management and patching stay fundamental despite the availability of sophisticated security technologies.</w:t>
      </w:r>
    </w:p>
    <w:p w:rsidR="00FF1BFE" w:rsidRDefault="004B2CFD" w:rsidP="004B2CFD">
      <w:pPr>
        <w:rPr>
          <w:rFonts w:ascii="Times New Roman" w:hAnsi="Times New Roman" w:cs="Times New Roman"/>
          <w:sz w:val="24"/>
          <w:szCs w:val="24"/>
        </w:rPr>
      </w:pPr>
      <w:bookmarkStart w:id="20" w:name="_Toc237227044"/>
      <w:r w:rsidRPr="00FF1BFE">
        <w:rPr>
          <w:rStyle w:val="Heading2Char"/>
          <w:rFonts w:ascii="Times New Roman" w:hAnsi="Times New Roman" w:cs="Times New Roman"/>
          <w:color w:val="auto"/>
          <w:sz w:val="36"/>
          <w:szCs w:val="36"/>
        </w:rPr>
        <w:t>2.8 Supply-Chain Exposure</w:t>
      </w:r>
      <w:bookmarkEnd w:id="20"/>
    </w:p>
    <w:p w:rsidR="004B2CFD" w:rsidRPr="004B2CFD" w:rsidRDefault="004B2CFD" w:rsidP="004B2CFD">
      <w:pPr>
        <w:rPr>
          <w:rFonts w:ascii="Times New Roman" w:hAnsi="Times New Roman" w:cs="Times New Roman"/>
          <w:sz w:val="24"/>
          <w:szCs w:val="24"/>
        </w:rPr>
      </w:pPr>
      <w:r w:rsidRPr="004B2CFD">
        <w:rPr>
          <w:rFonts w:ascii="Times New Roman" w:hAnsi="Times New Roman" w:cs="Times New Roman"/>
          <w:sz w:val="24"/>
          <w:szCs w:val="24"/>
        </w:rPr>
        <w:br/>
        <w:t>Modern organizations are dependent on suppliers, meaning that security boundaries increasingly go beyond the organization itself.</w:t>
      </w:r>
      <w:r w:rsidRPr="004B2CFD">
        <w:rPr>
          <w:rFonts w:ascii="Times New Roman" w:hAnsi="Times New Roman" w:cs="Times New Roman"/>
          <w:sz w:val="24"/>
          <w:szCs w:val="24"/>
        </w:rPr>
        <w:br/>
        <w:t>The proposed third-party risk programme should include:</w:t>
      </w:r>
    </w:p>
    <w:p w:rsidR="004B2CFD" w:rsidRPr="004B2CFD" w:rsidRDefault="004B2CFD" w:rsidP="004B2CFD">
      <w:pPr>
        <w:numPr>
          <w:ilvl w:val="0"/>
          <w:numId w:val="2"/>
        </w:numPr>
        <w:rPr>
          <w:rFonts w:ascii="Times New Roman" w:hAnsi="Times New Roman" w:cs="Times New Roman"/>
          <w:sz w:val="24"/>
          <w:szCs w:val="24"/>
        </w:rPr>
      </w:pPr>
      <w:r w:rsidRPr="004B2CFD">
        <w:rPr>
          <w:rFonts w:ascii="Times New Roman" w:hAnsi="Times New Roman" w:cs="Times New Roman"/>
          <w:sz w:val="24"/>
          <w:szCs w:val="24"/>
        </w:rPr>
        <w:t>Supplier classification by criticality.</w:t>
      </w:r>
    </w:p>
    <w:p w:rsidR="004B2CFD" w:rsidRPr="004B2CFD" w:rsidRDefault="004B2CFD" w:rsidP="004B2CFD">
      <w:pPr>
        <w:numPr>
          <w:ilvl w:val="0"/>
          <w:numId w:val="2"/>
        </w:numPr>
        <w:rPr>
          <w:rFonts w:ascii="Times New Roman" w:hAnsi="Times New Roman" w:cs="Times New Roman"/>
          <w:sz w:val="24"/>
          <w:szCs w:val="24"/>
        </w:rPr>
      </w:pPr>
      <w:r w:rsidRPr="004B2CFD">
        <w:rPr>
          <w:rFonts w:ascii="Times New Roman" w:hAnsi="Times New Roman" w:cs="Times New Roman"/>
          <w:sz w:val="24"/>
          <w:szCs w:val="24"/>
        </w:rPr>
        <w:t xml:space="preserve">Security due diligence before </w:t>
      </w:r>
      <w:proofErr w:type="spellStart"/>
      <w:r w:rsidRPr="004B2CFD">
        <w:rPr>
          <w:rFonts w:ascii="Times New Roman" w:hAnsi="Times New Roman" w:cs="Times New Roman"/>
          <w:sz w:val="24"/>
          <w:szCs w:val="24"/>
        </w:rPr>
        <w:t>onboarding</w:t>
      </w:r>
      <w:proofErr w:type="spellEnd"/>
      <w:r w:rsidRPr="004B2CFD">
        <w:rPr>
          <w:rFonts w:ascii="Times New Roman" w:hAnsi="Times New Roman" w:cs="Times New Roman"/>
          <w:sz w:val="24"/>
          <w:szCs w:val="24"/>
        </w:rPr>
        <w:t>.</w:t>
      </w:r>
    </w:p>
    <w:p w:rsidR="004B2CFD" w:rsidRPr="004B2CFD" w:rsidRDefault="004B2CFD" w:rsidP="004B2CFD">
      <w:pPr>
        <w:numPr>
          <w:ilvl w:val="0"/>
          <w:numId w:val="2"/>
        </w:numPr>
        <w:rPr>
          <w:rFonts w:ascii="Times New Roman" w:hAnsi="Times New Roman" w:cs="Times New Roman"/>
          <w:sz w:val="24"/>
          <w:szCs w:val="24"/>
        </w:rPr>
      </w:pPr>
      <w:r w:rsidRPr="004B2CFD">
        <w:rPr>
          <w:rFonts w:ascii="Times New Roman" w:hAnsi="Times New Roman" w:cs="Times New Roman"/>
          <w:sz w:val="24"/>
          <w:szCs w:val="24"/>
        </w:rPr>
        <w:t>Contractual security requirements.</w:t>
      </w:r>
    </w:p>
    <w:p w:rsidR="004B2CFD" w:rsidRPr="004B2CFD" w:rsidRDefault="004B2CFD" w:rsidP="004B2CFD">
      <w:pPr>
        <w:numPr>
          <w:ilvl w:val="0"/>
          <w:numId w:val="2"/>
        </w:numPr>
        <w:rPr>
          <w:rFonts w:ascii="Times New Roman" w:hAnsi="Times New Roman" w:cs="Times New Roman"/>
          <w:sz w:val="24"/>
          <w:szCs w:val="24"/>
        </w:rPr>
      </w:pPr>
      <w:r w:rsidRPr="004B2CFD">
        <w:rPr>
          <w:rFonts w:ascii="Times New Roman" w:hAnsi="Times New Roman" w:cs="Times New Roman"/>
          <w:sz w:val="24"/>
          <w:szCs w:val="24"/>
        </w:rPr>
        <w:t>Data-processing agreements where appropriate.</w:t>
      </w:r>
    </w:p>
    <w:p w:rsidR="004B2CFD" w:rsidRPr="004B2CFD" w:rsidRDefault="004B2CFD" w:rsidP="004B2CFD">
      <w:pPr>
        <w:numPr>
          <w:ilvl w:val="0"/>
          <w:numId w:val="2"/>
        </w:numPr>
        <w:rPr>
          <w:rFonts w:ascii="Times New Roman" w:hAnsi="Times New Roman" w:cs="Times New Roman"/>
          <w:sz w:val="24"/>
          <w:szCs w:val="24"/>
        </w:rPr>
      </w:pPr>
      <w:r w:rsidRPr="004B2CFD">
        <w:rPr>
          <w:rFonts w:ascii="Times New Roman" w:hAnsi="Times New Roman" w:cs="Times New Roman"/>
          <w:sz w:val="24"/>
          <w:szCs w:val="24"/>
        </w:rPr>
        <w:t>Vulnerability-management requirements.</w:t>
      </w:r>
    </w:p>
    <w:p w:rsidR="004B2CFD" w:rsidRPr="004B2CFD" w:rsidRDefault="004B2CFD" w:rsidP="004B2CFD">
      <w:pPr>
        <w:numPr>
          <w:ilvl w:val="0"/>
          <w:numId w:val="2"/>
        </w:numPr>
        <w:rPr>
          <w:rFonts w:ascii="Times New Roman" w:hAnsi="Times New Roman" w:cs="Times New Roman"/>
          <w:sz w:val="24"/>
          <w:szCs w:val="24"/>
        </w:rPr>
      </w:pPr>
      <w:r w:rsidRPr="004B2CFD">
        <w:rPr>
          <w:rFonts w:ascii="Times New Roman" w:hAnsi="Times New Roman" w:cs="Times New Roman"/>
          <w:sz w:val="24"/>
          <w:szCs w:val="24"/>
        </w:rPr>
        <w:t>Incident-notification requirements.</w:t>
      </w:r>
    </w:p>
    <w:p w:rsidR="004B2CFD" w:rsidRPr="004B2CFD" w:rsidRDefault="004B2CFD" w:rsidP="004B2CFD">
      <w:pPr>
        <w:numPr>
          <w:ilvl w:val="0"/>
          <w:numId w:val="2"/>
        </w:numPr>
        <w:rPr>
          <w:rFonts w:ascii="Times New Roman" w:hAnsi="Times New Roman" w:cs="Times New Roman"/>
          <w:sz w:val="24"/>
          <w:szCs w:val="24"/>
        </w:rPr>
      </w:pPr>
      <w:r w:rsidRPr="004B2CFD">
        <w:rPr>
          <w:rFonts w:ascii="Times New Roman" w:hAnsi="Times New Roman" w:cs="Times New Roman"/>
          <w:sz w:val="24"/>
          <w:szCs w:val="24"/>
        </w:rPr>
        <w:lastRenderedPageBreak/>
        <w:t>Right-to-audit provisions.</w:t>
      </w:r>
    </w:p>
    <w:p w:rsidR="004B2CFD" w:rsidRPr="004B2CFD" w:rsidRDefault="004B2CFD" w:rsidP="004B2CFD">
      <w:pPr>
        <w:numPr>
          <w:ilvl w:val="0"/>
          <w:numId w:val="2"/>
        </w:numPr>
        <w:rPr>
          <w:rFonts w:ascii="Times New Roman" w:hAnsi="Times New Roman" w:cs="Times New Roman"/>
          <w:sz w:val="24"/>
          <w:szCs w:val="24"/>
        </w:rPr>
      </w:pPr>
      <w:r w:rsidRPr="004B2CFD">
        <w:rPr>
          <w:rFonts w:ascii="Times New Roman" w:hAnsi="Times New Roman" w:cs="Times New Roman"/>
          <w:sz w:val="24"/>
          <w:szCs w:val="24"/>
        </w:rPr>
        <w:t>Security certification or independent assurance where proportionate.</w:t>
      </w:r>
    </w:p>
    <w:p w:rsidR="004B2CFD" w:rsidRPr="004B2CFD" w:rsidRDefault="004B2CFD" w:rsidP="004B2CFD">
      <w:pPr>
        <w:numPr>
          <w:ilvl w:val="0"/>
          <w:numId w:val="2"/>
        </w:numPr>
        <w:rPr>
          <w:rFonts w:ascii="Times New Roman" w:hAnsi="Times New Roman" w:cs="Times New Roman"/>
          <w:sz w:val="24"/>
          <w:szCs w:val="24"/>
        </w:rPr>
      </w:pPr>
      <w:r w:rsidRPr="004B2CFD">
        <w:rPr>
          <w:rFonts w:ascii="Times New Roman" w:hAnsi="Times New Roman" w:cs="Times New Roman"/>
          <w:sz w:val="24"/>
          <w:szCs w:val="24"/>
        </w:rPr>
        <w:t>Exit and continuity plans.</w:t>
      </w:r>
    </w:p>
    <w:p w:rsidR="004B2CFD" w:rsidRPr="004B2CFD" w:rsidRDefault="004B2CFD" w:rsidP="004B2CFD">
      <w:pPr>
        <w:numPr>
          <w:ilvl w:val="0"/>
          <w:numId w:val="2"/>
        </w:numPr>
        <w:rPr>
          <w:rFonts w:ascii="Times New Roman" w:hAnsi="Times New Roman" w:cs="Times New Roman"/>
          <w:sz w:val="24"/>
          <w:szCs w:val="24"/>
        </w:rPr>
      </w:pPr>
      <w:r w:rsidRPr="004B2CFD">
        <w:rPr>
          <w:rFonts w:ascii="Times New Roman" w:hAnsi="Times New Roman" w:cs="Times New Roman"/>
          <w:sz w:val="24"/>
          <w:szCs w:val="24"/>
        </w:rPr>
        <w:t>Continuous monitoring of critical suppliers.</w:t>
      </w:r>
      <w:r w:rsidRPr="004B2CFD">
        <w:rPr>
          <w:rFonts w:ascii="Times New Roman" w:hAnsi="Times New Roman" w:cs="Times New Roman"/>
          <w:sz w:val="24"/>
          <w:szCs w:val="24"/>
        </w:rPr>
        <w:br/>
        <w:t>DORA specifically recognizes the systemic risk associated with ICT third-party concentration, while NIS2 necessitates attention to supply-chain security [2], [3].</w:t>
      </w:r>
      <w:r w:rsidRPr="004B2CFD">
        <w:rPr>
          <w:rFonts w:ascii="Times New Roman" w:hAnsi="Times New Roman" w:cs="Times New Roman"/>
          <w:sz w:val="24"/>
          <w:szCs w:val="24"/>
        </w:rPr>
        <w:br/>
        <w:t>The objective should not be to eliminate all third-party risk, as this is unrealistic. Instead, organizations should identify essential dependencies and ensure that the failure of a single supplier does not result in catastrophic organizational failure.</w:t>
      </w:r>
    </w:p>
    <w:p w:rsidR="00CB6CF1" w:rsidRDefault="004B2CFD" w:rsidP="004B2CFD">
      <w:pPr>
        <w:rPr>
          <w:rFonts w:ascii="Times New Roman" w:hAnsi="Times New Roman" w:cs="Times New Roman"/>
          <w:sz w:val="24"/>
          <w:szCs w:val="24"/>
        </w:rPr>
      </w:pPr>
      <w:bookmarkStart w:id="21" w:name="_Toc237227045"/>
      <w:r w:rsidRPr="00FF1BFE">
        <w:rPr>
          <w:rStyle w:val="Heading2Char"/>
          <w:rFonts w:ascii="Times New Roman" w:hAnsi="Times New Roman" w:cs="Times New Roman"/>
          <w:color w:val="auto"/>
          <w:sz w:val="36"/>
          <w:szCs w:val="36"/>
        </w:rPr>
        <w:t>2.9 Security Architecture</w:t>
      </w:r>
      <w:bookmarkEnd w:id="21"/>
      <w:r w:rsidRPr="004B2CFD">
        <w:rPr>
          <w:rFonts w:ascii="Times New Roman" w:hAnsi="Times New Roman" w:cs="Times New Roman"/>
          <w:sz w:val="24"/>
          <w:szCs w:val="24"/>
        </w:rPr>
        <w:br/>
        <w:t>The recommended architecture must follow defence-in-depth and Zero Trust principles.</w:t>
      </w:r>
      <w:r w:rsidRPr="004B2CFD">
        <w:rPr>
          <w:rFonts w:ascii="Times New Roman" w:hAnsi="Times New Roman" w:cs="Times New Roman"/>
          <w:sz w:val="24"/>
          <w:szCs w:val="24"/>
        </w:rPr>
        <w:br/>
        <w:t>A simplified architecture is:</w:t>
      </w:r>
    </w:p>
    <w:p w:rsidR="003F1C95" w:rsidRDefault="004B2CFD" w:rsidP="004B2CFD">
      <w:pPr>
        <w:rPr>
          <w:rFonts w:ascii="Times New Roman" w:hAnsi="Times New Roman" w:cs="Times New Roman"/>
          <w:sz w:val="24"/>
          <w:szCs w:val="24"/>
        </w:rPr>
      </w:pPr>
      <w:r w:rsidRPr="004B2CFD">
        <w:rPr>
          <w:rFonts w:ascii="Times New Roman" w:hAnsi="Times New Roman" w:cs="Times New Roman"/>
          <w:sz w:val="24"/>
          <w:szCs w:val="24"/>
        </w:rPr>
        <w:br/>
      </w:r>
      <w:r w:rsidR="00CB6CF1" w:rsidRPr="00CB6CF1">
        <w:rPr>
          <w:rFonts w:ascii="Times New Roman" w:hAnsi="Times New Roman" w:cs="Times New Roman"/>
          <w:sz w:val="24"/>
          <w:szCs w:val="24"/>
        </w:rPr>
        <w:drawing>
          <wp:inline distT="0" distB="0" distL="0" distR="0" wp14:anchorId="42F0B1C0" wp14:editId="26DFEF84">
            <wp:extent cx="5731510" cy="5102942"/>
            <wp:effectExtent l="0" t="0" r="254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42718" cy="5112921"/>
                    </a:xfrm>
                    <a:prstGeom prst="rect">
                      <a:avLst/>
                    </a:prstGeom>
                  </pic:spPr>
                </pic:pic>
              </a:graphicData>
            </a:graphic>
          </wp:inline>
        </w:drawing>
      </w:r>
      <w:r w:rsidRPr="004B2CFD">
        <w:rPr>
          <w:rFonts w:ascii="Times New Roman" w:hAnsi="Times New Roman" w:cs="Times New Roman"/>
          <w:sz w:val="24"/>
          <w:szCs w:val="24"/>
        </w:rPr>
        <w:t>|</w:t>
      </w:r>
    </w:p>
    <w:p w:rsidR="00FF1BFE" w:rsidRDefault="00FF1BFE" w:rsidP="004B2CFD">
      <w:pPr>
        <w:rPr>
          <w:rFonts w:ascii="Times New Roman" w:hAnsi="Times New Roman" w:cs="Times New Roman"/>
          <w:sz w:val="24"/>
          <w:szCs w:val="24"/>
        </w:rPr>
      </w:pPr>
    </w:p>
    <w:p w:rsidR="00CB6CF1" w:rsidRDefault="004B2CFD" w:rsidP="004B2CFD">
      <w:pPr>
        <w:rPr>
          <w:rFonts w:ascii="Times New Roman" w:hAnsi="Times New Roman" w:cs="Times New Roman"/>
          <w:sz w:val="24"/>
          <w:szCs w:val="24"/>
        </w:rPr>
      </w:pPr>
      <w:r w:rsidRPr="00CB6CF1">
        <w:rPr>
          <w:rFonts w:ascii="Times New Roman" w:hAnsi="Times New Roman" w:cs="Times New Roman"/>
          <w:b/>
          <w:sz w:val="28"/>
          <w:szCs w:val="28"/>
        </w:rPr>
        <w:lastRenderedPageBreak/>
        <w:br/>
        <w:t>Incident Response</w:t>
      </w:r>
    </w:p>
    <w:p w:rsidR="004B2CFD" w:rsidRPr="004B2CFD" w:rsidRDefault="004B2CFD" w:rsidP="004B2CFD">
      <w:pPr>
        <w:rPr>
          <w:rFonts w:ascii="Times New Roman" w:hAnsi="Times New Roman" w:cs="Times New Roman"/>
          <w:sz w:val="24"/>
          <w:szCs w:val="24"/>
        </w:rPr>
      </w:pPr>
      <w:r w:rsidRPr="004B2CFD">
        <w:rPr>
          <w:rFonts w:ascii="Times New Roman" w:hAnsi="Times New Roman" w:cs="Times New Roman"/>
          <w:sz w:val="24"/>
          <w:szCs w:val="24"/>
        </w:rPr>
        <w:br/>
        <w:t>The architecture should separate internet-facing applications from sensitive databases. Access should be explicitly authorized rather than assumed based on network location.</w:t>
      </w:r>
      <w:r w:rsidRPr="004B2CFD">
        <w:rPr>
          <w:rFonts w:ascii="Times New Roman" w:hAnsi="Times New Roman" w:cs="Times New Roman"/>
          <w:sz w:val="24"/>
          <w:szCs w:val="24"/>
        </w:rPr>
        <w:br/>
        <w:t>Privileged Access Management (PAM), Multi-Factor Authentication (MFA), network segmentation and encryption should be mandatory for sensitive environments.</w:t>
      </w:r>
      <w:r w:rsidRPr="004B2CFD">
        <w:rPr>
          <w:rFonts w:ascii="Times New Roman" w:hAnsi="Times New Roman" w:cs="Times New Roman"/>
          <w:sz w:val="24"/>
          <w:szCs w:val="24"/>
        </w:rPr>
        <w:br/>
        <w:t>The purpose of segmentation is containment. If an attacker compromises a web server, the compromise should not automatically provide access to databases containing millions of personal records.</w:t>
      </w:r>
      <w:r w:rsidRPr="004B2CFD">
        <w:rPr>
          <w:rFonts w:ascii="Times New Roman" w:hAnsi="Times New Roman" w:cs="Times New Roman"/>
          <w:sz w:val="24"/>
          <w:szCs w:val="24"/>
        </w:rPr>
        <w:br/>
        <w:t>This directly addresses one of the weaknesses identified in the Equifax case. The FTC stated that attackers were able to move from the compromised system to other databases and access highly sensitive information; weaknesses included inadequate segmentation and insuff</w:t>
      </w:r>
      <w:r w:rsidR="00FF1BFE">
        <w:rPr>
          <w:rFonts w:ascii="Times New Roman" w:hAnsi="Times New Roman" w:cs="Times New Roman"/>
          <w:sz w:val="24"/>
          <w:szCs w:val="24"/>
        </w:rPr>
        <w:t>icient intrusion detection [7].</w:t>
      </w:r>
    </w:p>
    <w:p w:rsidR="00CB6CF1" w:rsidRPr="00FF1BFE" w:rsidRDefault="004B2CFD" w:rsidP="003F1C95">
      <w:pPr>
        <w:pStyle w:val="Heading2"/>
        <w:rPr>
          <w:rFonts w:ascii="Times New Roman" w:hAnsi="Times New Roman" w:cs="Times New Roman"/>
          <w:b/>
          <w:color w:val="auto"/>
          <w:sz w:val="36"/>
          <w:szCs w:val="36"/>
        </w:rPr>
      </w:pPr>
      <w:bookmarkStart w:id="22" w:name="_Toc237227046"/>
      <w:r w:rsidRPr="00FF1BFE">
        <w:rPr>
          <w:rFonts w:ascii="Times New Roman" w:hAnsi="Times New Roman" w:cs="Times New Roman"/>
          <w:b/>
          <w:color w:val="auto"/>
          <w:sz w:val="36"/>
          <w:szCs w:val="36"/>
        </w:rPr>
        <w:t>2.10 Continuous Detection and Automated Response</w:t>
      </w:r>
      <w:bookmarkEnd w:id="22"/>
    </w:p>
    <w:p w:rsidR="00CB6CF1" w:rsidRDefault="004B2CFD" w:rsidP="004B2CFD">
      <w:pPr>
        <w:rPr>
          <w:rFonts w:ascii="Times New Roman" w:hAnsi="Times New Roman" w:cs="Times New Roman"/>
          <w:sz w:val="24"/>
          <w:szCs w:val="24"/>
        </w:rPr>
      </w:pPr>
      <w:r w:rsidRPr="004B2CFD">
        <w:rPr>
          <w:rFonts w:ascii="Times New Roman" w:hAnsi="Times New Roman" w:cs="Times New Roman"/>
          <w:sz w:val="24"/>
          <w:szCs w:val="24"/>
        </w:rPr>
        <w:br/>
        <w:t>The detection architecture should integrate SIEM, EDR, network telemetry, vulnerability data and identity information.</w:t>
      </w:r>
      <w:r w:rsidRPr="004B2CFD">
        <w:rPr>
          <w:rFonts w:ascii="Times New Roman" w:hAnsi="Times New Roman" w:cs="Times New Roman"/>
          <w:sz w:val="24"/>
          <w:szCs w:val="24"/>
        </w:rPr>
        <w:br/>
        <w:t>A typical detection workflow is:</w:t>
      </w:r>
    </w:p>
    <w:p w:rsidR="005F7E6A" w:rsidRDefault="004B2CFD" w:rsidP="004B2CFD">
      <w:pPr>
        <w:rPr>
          <w:rFonts w:ascii="Times New Roman" w:hAnsi="Times New Roman" w:cs="Times New Roman"/>
          <w:sz w:val="24"/>
          <w:szCs w:val="24"/>
        </w:rPr>
      </w:pPr>
      <w:r w:rsidRPr="004B2CFD">
        <w:rPr>
          <w:rFonts w:ascii="Times New Roman" w:hAnsi="Times New Roman" w:cs="Times New Roman"/>
          <w:sz w:val="24"/>
          <w:szCs w:val="24"/>
        </w:rPr>
        <w:br/>
      </w:r>
      <w:r w:rsidR="00CB6CF1" w:rsidRPr="00CB6CF1">
        <w:rPr>
          <w:rFonts w:ascii="Times New Roman" w:hAnsi="Times New Roman" w:cs="Times New Roman"/>
          <w:sz w:val="24"/>
          <w:szCs w:val="24"/>
        </w:rPr>
        <w:drawing>
          <wp:inline distT="0" distB="0" distL="0" distR="0" wp14:anchorId="77F454F2" wp14:editId="736BB861">
            <wp:extent cx="5730732" cy="4063181"/>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77410" cy="4096277"/>
                    </a:xfrm>
                    <a:prstGeom prst="rect">
                      <a:avLst/>
                    </a:prstGeom>
                  </pic:spPr>
                </pic:pic>
              </a:graphicData>
            </a:graphic>
          </wp:inline>
        </w:drawing>
      </w:r>
    </w:p>
    <w:p w:rsidR="005F7E6A" w:rsidRDefault="005F7E6A" w:rsidP="004B2CFD">
      <w:pPr>
        <w:rPr>
          <w:rFonts w:ascii="Times New Roman" w:hAnsi="Times New Roman" w:cs="Times New Roman"/>
          <w:sz w:val="24"/>
          <w:szCs w:val="24"/>
        </w:rPr>
      </w:pPr>
    </w:p>
    <w:p w:rsidR="004B2CFD" w:rsidRPr="004B2CFD" w:rsidRDefault="004B2CFD" w:rsidP="004B2CFD">
      <w:pPr>
        <w:rPr>
          <w:rFonts w:ascii="Times New Roman" w:hAnsi="Times New Roman" w:cs="Times New Roman"/>
          <w:sz w:val="24"/>
          <w:szCs w:val="24"/>
        </w:rPr>
      </w:pPr>
      <w:r w:rsidRPr="004B2CFD">
        <w:rPr>
          <w:rFonts w:ascii="Times New Roman" w:hAnsi="Times New Roman" w:cs="Times New Roman"/>
          <w:sz w:val="24"/>
          <w:szCs w:val="24"/>
        </w:rPr>
        <w:lastRenderedPageBreak/>
        <w:t>The objective is to reduce Mean Time to Detect (MTTD) and Mean Time to Respond (MTTR).</w:t>
      </w:r>
      <w:r w:rsidRPr="004B2CFD">
        <w:rPr>
          <w:rFonts w:ascii="Times New Roman" w:hAnsi="Times New Roman" w:cs="Times New Roman"/>
          <w:sz w:val="24"/>
          <w:szCs w:val="24"/>
        </w:rPr>
        <w:br/>
        <w:t>For example, if an attacker successfully exploits a web application, the SIEM should detect anomalous outbound traffic, unusual database queries or suspicious authentication behaviour. EDR can detect malicious processes, while network monitoring can identify unusual data transfers.</w:t>
      </w:r>
      <w:r w:rsidRPr="004B2CFD">
        <w:rPr>
          <w:rFonts w:ascii="Times New Roman" w:hAnsi="Times New Roman" w:cs="Times New Roman"/>
          <w:sz w:val="24"/>
          <w:szCs w:val="24"/>
        </w:rPr>
        <w:br/>
        <w:t>A Security Orchestration, Automation and Response (SOAR) platform can then automate predefined actions.</w:t>
      </w:r>
      <w:r w:rsidRPr="004B2CFD">
        <w:rPr>
          <w:rFonts w:ascii="Times New Roman" w:hAnsi="Times New Roman" w:cs="Times New Roman"/>
          <w:sz w:val="24"/>
          <w:szCs w:val="24"/>
        </w:rPr>
        <w:br/>
        <w:t>However, automation must be carefully designed. A false-positive automated shutdown of a critical production system could itself cause a business outage. Therefore:</w:t>
      </w:r>
      <w:r w:rsidRPr="004B2CFD">
        <w:rPr>
          <w:rFonts w:ascii="Times New Roman" w:hAnsi="Times New Roman" w:cs="Times New Roman"/>
          <w:sz w:val="24"/>
          <w:szCs w:val="24"/>
        </w:rPr>
        <w:br/>
        <w:t>• High-confidence malicious events → automatic containment.</w:t>
      </w:r>
      <w:r w:rsidRPr="004B2CFD">
        <w:rPr>
          <w:rFonts w:ascii="Times New Roman" w:hAnsi="Times New Roman" w:cs="Times New Roman"/>
          <w:sz w:val="24"/>
          <w:szCs w:val="24"/>
        </w:rPr>
        <w:br/>
        <w:t>• Medium-confidence events → analyst approval.</w:t>
      </w:r>
      <w:r w:rsidRPr="004B2CFD">
        <w:rPr>
          <w:rFonts w:ascii="Times New Roman" w:hAnsi="Times New Roman" w:cs="Times New Roman"/>
          <w:sz w:val="24"/>
          <w:szCs w:val="24"/>
        </w:rPr>
        <w:br/>
        <w:t>• Low-confidence events → monitoring and investigation.</w:t>
      </w:r>
      <w:r w:rsidRPr="004B2CFD">
        <w:rPr>
          <w:rFonts w:ascii="Times New Roman" w:hAnsi="Times New Roman" w:cs="Times New Roman"/>
          <w:sz w:val="24"/>
          <w:szCs w:val="24"/>
        </w:rPr>
        <w:br/>
        <w:t>This approach balances speed with operational safety.</w:t>
      </w:r>
    </w:p>
    <w:p w:rsidR="00CB6CF1" w:rsidRPr="005F7E6A" w:rsidRDefault="004B2CFD" w:rsidP="003F1C95">
      <w:pPr>
        <w:pStyle w:val="Heading2"/>
        <w:rPr>
          <w:rFonts w:ascii="Times New Roman" w:hAnsi="Times New Roman" w:cs="Times New Roman"/>
          <w:b/>
          <w:color w:val="auto"/>
          <w:sz w:val="36"/>
          <w:szCs w:val="36"/>
        </w:rPr>
      </w:pPr>
      <w:bookmarkStart w:id="23" w:name="_Toc237227047"/>
      <w:r w:rsidRPr="005F7E6A">
        <w:rPr>
          <w:rFonts w:ascii="Times New Roman" w:hAnsi="Times New Roman" w:cs="Times New Roman"/>
          <w:b/>
          <w:color w:val="auto"/>
          <w:sz w:val="36"/>
          <w:szCs w:val="36"/>
        </w:rPr>
        <w:t>2.11 Incident Response and Regulatory Notification</w:t>
      </w:r>
      <w:bookmarkEnd w:id="23"/>
    </w:p>
    <w:p w:rsidR="004B2CFD" w:rsidRPr="004B2CFD" w:rsidRDefault="004B2CFD" w:rsidP="004B2CFD">
      <w:pPr>
        <w:rPr>
          <w:rFonts w:ascii="Times New Roman" w:hAnsi="Times New Roman" w:cs="Times New Roman"/>
          <w:sz w:val="24"/>
          <w:szCs w:val="24"/>
        </w:rPr>
      </w:pPr>
      <w:r w:rsidRPr="004B2CFD">
        <w:rPr>
          <w:rFonts w:ascii="Times New Roman" w:hAnsi="Times New Roman" w:cs="Times New Roman"/>
          <w:sz w:val="24"/>
          <w:szCs w:val="24"/>
        </w:rPr>
        <w:br/>
        <w:t>The organization should maintain a unified incident response plan containing:</w:t>
      </w:r>
    </w:p>
    <w:p w:rsidR="004B2CFD" w:rsidRPr="004B2CFD" w:rsidRDefault="004B2CFD" w:rsidP="004B2CFD">
      <w:pPr>
        <w:numPr>
          <w:ilvl w:val="0"/>
          <w:numId w:val="3"/>
        </w:numPr>
        <w:rPr>
          <w:rFonts w:ascii="Times New Roman" w:hAnsi="Times New Roman" w:cs="Times New Roman"/>
          <w:sz w:val="24"/>
          <w:szCs w:val="24"/>
        </w:rPr>
      </w:pPr>
      <w:r w:rsidRPr="004B2CFD">
        <w:rPr>
          <w:rFonts w:ascii="Times New Roman" w:hAnsi="Times New Roman" w:cs="Times New Roman"/>
          <w:sz w:val="24"/>
          <w:szCs w:val="24"/>
        </w:rPr>
        <w:t>Preparation;</w:t>
      </w:r>
    </w:p>
    <w:p w:rsidR="004B2CFD" w:rsidRPr="004B2CFD" w:rsidRDefault="004B2CFD" w:rsidP="004B2CFD">
      <w:pPr>
        <w:numPr>
          <w:ilvl w:val="0"/>
          <w:numId w:val="3"/>
        </w:numPr>
        <w:rPr>
          <w:rFonts w:ascii="Times New Roman" w:hAnsi="Times New Roman" w:cs="Times New Roman"/>
          <w:sz w:val="24"/>
          <w:szCs w:val="24"/>
        </w:rPr>
      </w:pPr>
      <w:r w:rsidRPr="004B2CFD">
        <w:rPr>
          <w:rFonts w:ascii="Times New Roman" w:hAnsi="Times New Roman" w:cs="Times New Roman"/>
          <w:sz w:val="24"/>
          <w:szCs w:val="24"/>
        </w:rPr>
        <w:t>Identification;</w:t>
      </w:r>
    </w:p>
    <w:p w:rsidR="004B2CFD" w:rsidRPr="004B2CFD" w:rsidRDefault="004B2CFD" w:rsidP="004B2CFD">
      <w:pPr>
        <w:numPr>
          <w:ilvl w:val="0"/>
          <w:numId w:val="3"/>
        </w:numPr>
        <w:rPr>
          <w:rFonts w:ascii="Times New Roman" w:hAnsi="Times New Roman" w:cs="Times New Roman"/>
          <w:sz w:val="24"/>
          <w:szCs w:val="24"/>
        </w:rPr>
      </w:pPr>
      <w:r w:rsidRPr="004B2CFD">
        <w:rPr>
          <w:rFonts w:ascii="Times New Roman" w:hAnsi="Times New Roman" w:cs="Times New Roman"/>
          <w:sz w:val="24"/>
          <w:szCs w:val="24"/>
        </w:rPr>
        <w:t>Containment;</w:t>
      </w:r>
    </w:p>
    <w:p w:rsidR="004B2CFD" w:rsidRPr="004B2CFD" w:rsidRDefault="004B2CFD" w:rsidP="004B2CFD">
      <w:pPr>
        <w:numPr>
          <w:ilvl w:val="0"/>
          <w:numId w:val="3"/>
        </w:numPr>
        <w:rPr>
          <w:rFonts w:ascii="Times New Roman" w:hAnsi="Times New Roman" w:cs="Times New Roman"/>
          <w:sz w:val="24"/>
          <w:szCs w:val="24"/>
        </w:rPr>
      </w:pPr>
      <w:r w:rsidRPr="004B2CFD">
        <w:rPr>
          <w:rFonts w:ascii="Times New Roman" w:hAnsi="Times New Roman" w:cs="Times New Roman"/>
          <w:sz w:val="24"/>
          <w:szCs w:val="24"/>
        </w:rPr>
        <w:t>Eradication;</w:t>
      </w:r>
    </w:p>
    <w:p w:rsidR="004B2CFD" w:rsidRPr="004B2CFD" w:rsidRDefault="004B2CFD" w:rsidP="004B2CFD">
      <w:pPr>
        <w:numPr>
          <w:ilvl w:val="0"/>
          <w:numId w:val="3"/>
        </w:numPr>
        <w:rPr>
          <w:rFonts w:ascii="Times New Roman" w:hAnsi="Times New Roman" w:cs="Times New Roman"/>
          <w:sz w:val="24"/>
          <w:szCs w:val="24"/>
        </w:rPr>
      </w:pPr>
      <w:r w:rsidRPr="004B2CFD">
        <w:rPr>
          <w:rFonts w:ascii="Times New Roman" w:hAnsi="Times New Roman" w:cs="Times New Roman"/>
          <w:sz w:val="24"/>
          <w:szCs w:val="24"/>
        </w:rPr>
        <w:t>Recovery;</w:t>
      </w:r>
    </w:p>
    <w:p w:rsidR="004B2CFD" w:rsidRPr="004B2CFD" w:rsidRDefault="004B2CFD" w:rsidP="004B2CFD">
      <w:pPr>
        <w:numPr>
          <w:ilvl w:val="0"/>
          <w:numId w:val="3"/>
        </w:numPr>
        <w:rPr>
          <w:rFonts w:ascii="Times New Roman" w:hAnsi="Times New Roman" w:cs="Times New Roman"/>
          <w:sz w:val="24"/>
          <w:szCs w:val="24"/>
        </w:rPr>
      </w:pPr>
      <w:r w:rsidRPr="004B2CFD">
        <w:rPr>
          <w:rFonts w:ascii="Times New Roman" w:hAnsi="Times New Roman" w:cs="Times New Roman"/>
          <w:sz w:val="24"/>
          <w:szCs w:val="24"/>
        </w:rPr>
        <w:t>Post-incident review.</w:t>
      </w:r>
      <w:r w:rsidRPr="004B2CFD">
        <w:rPr>
          <w:rFonts w:ascii="Times New Roman" w:hAnsi="Times New Roman" w:cs="Times New Roman"/>
          <w:sz w:val="24"/>
          <w:szCs w:val="24"/>
        </w:rPr>
        <w:br/>
        <w:t>A regulatory decision matrix should be maintained because the reporting obligations can differ.</w:t>
      </w:r>
      <w:r w:rsidRPr="004B2CFD">
        <w:rPr>
          <w:rFonts w:ascii="Times New Roman" w:hAnsi="Times New Roman" w:cs="Times New Roman"/>
          <w:sz w:val="24"/>
          <w:szCs w:val="24"/>
        </w:rPr>
        <w:br/>
        <w:t>Regulation Trigger Key timeframe</w:t>
      </w:r>
      <w:r w:rsidRPr="004B2CFD">
        <w:rPr>
          <w:rFonts w:ascii="Times New Roman" w:hAnsi="Times New Roman" w:cs="Times New Roman"/>
          <w:sz w:val="24"/>
          <w:szCs w:val="24"/>
        </w:rPr>
        <w:br/>
        <w:t>GDPR Personal-data breach creating relevant risk Supervisory authority generally within 72 hours</w:t>
      </w:r>
      <w:r w:rsidRPr="004B2CFD">
        <w:rPr>
          <w:rFonts w:ascii="Times New Roman" w:hAnsi="Times New Roman" w:cs="Times New Roman"/>
          <w:sz w:val="24"/>
          <w:szCs w:val="24"/>
        </w:rPr>
        <w:br/>
        <w:t>NIS2 Significant incident Early warning within 24 hours; notification within 72 hours</w:t>
      </w:r>
      <w:r w:rsidRPr="004B2CFD">
        <w:rPr>
          <w:rFonts w:ascii="Times New Roman" w:hAnsi="Times New Roman" w:cs="Times New Roman"/>
          <w:sz w:val="24"/>
          <w:szCs w:val="24"/>
        </w:rPr>
        <w:br/>
        <w:t>DORA Major ICT-related incident Initial reporting can be required rapidly, with regulatory technical standards specifying reporting timelines</w:t>
      </w:r>
      <w:r w:rsidRPr="004B2CFD">
        <w:rPr>
          <w:rFonts w:ascii="Times New Roman" w:hAnsi="Times New Roman" w:cs="Times New Roman"/>
          <w:sz w:val="24"/>
          <w:szCs w:val="24"/>
        </w:rPr>
        <w:br/>
        <w:t>Internal policy Material cyber incident Immediate escalation</w:t>
      </w:r>
      <w:r w:rsidRPr="004B2CFD">
        <w:rPr>
          <w:rFonts w:ascii="Times New Roman" w:hAnsi="Times New Roman" w:cs="Times New Roman"/>
          <w:sz w:val="24"/>
          <w:szCs w:val="24"/>
        </w:rPr>
        <w:br/>
        <w:t>GDPR Article 33 establishes the 72-hour supervisory-authority notification requirement where applicable [1]. NIS2 establishes a staged reporting process, including a 24-hour early warning and 72-hour incident notification for significant incidents [3]. DORA contains sector-specific ICT incident reporting requirements, with detailed reporting timelines established through subsequent regulatory technical standards [2], [9].</w:t>
      </w:r>
      <w:r w:rsidRPr="004B2CFD">
        <w:rPr>
          <w:rFonts w:ascii="Times New Roman" w:hAnsi="Times New Roman" w:cs="Times New Roman"/>
          <w:sz w:val="24"/>
          <w:szCs w:val="24"/>
        </w:rPr>
        <w:br/>
        <w:t>A unified incident response team should therefore involve:</w:t>
      </w:r>
      <w:r w:rsidRPr="004B2CFD">
        <w:rPr>
          <w:rFonts w:ascii="Times New Roman" w:hAnsi="Times New Roman" w:cs="Times New Roman"/>
          <w:sz w:val="24"/>
          <w:szCs w:val="24"/>
        </w:rPr>
        <w:br/>
        <w:t>• CISO;</w:t>
      </w:r>
      <w:r w:rsidRPr="004B2CFD">
        <w:rPr>
          <w:rFonts w:ascii="Times New Roman" w:hAnsi="Times New Roman" w:cs="Times New Roman"/>
          <w:sz w:val="24"/>
          <w:szCs w:val="24"/>
        </w:rPr>
        <w:br/>
        <w:t>• SOC;</w:t>
      </w:r>
      <w:r w:rsidRPr="004B2CFD">
        <w:rPr>
          <w:rFonts w:ascii="Times New Roman" w:hAnsi="Times New Roman" w:cs="Times New Roman"/>
          <w:sz w:val="24"/>
          <w:szCs w:val="24"/>
        </w:rPr>
        <w:br/>
        <w:t>• IT operations;</w:t>
      </w:r>
      <w:r w:rsidRPr="004B2CFD">
        <w:rPr>
          <w:rFonts w:ascii="Times New Roman" w:hAnsi="Times New Roman" w:cs="Times New Roman"/>
          <w:sz w:val="24"/>
          <w:szCs w:val="24"/>
        </w:rPr>
        <w:br/>
      </w:r>
      <w:r w:rsidRPr="004B2CFD">
        <w:rPr>
          <w:rFonts w:ascii="Times New Roman" w:hAnsi="Times New Roman" w:cs="Times New Roman"/>
          <w:sz w:val="24"/>
          <w:szCs w:val="24"/>
        </w:rPr>
        <w:lastRenderedPageBreak/>
        <w:t>• Legal;</w:t>
      </w:r>
      <w:r w:rsidRPr="004B2CFD">
        <w:rPr>
          <w:rFonts w:ascii="Times New Roman" w:hAnsi="Times New Roman" w:cs="Times New Roman"/>
          <w:sz w:val="24"/>
          <w:szCs w:val="24"/>
        </w:rPr>
        <w:br/>
        <w:t>• DPO/privacy;</w:t>
      </w:r>
      <w:r w:rsidRPr="004B2CFD">
        <w:rPr>
          <w:rFonts w:ascii="Times New Roman" w:hAnsi="Times New Roman" w:cs="Times New Roman"/>
          <w:sz w:val="24"/>
          <w:szCs w:val="24"/>
        </w:rPr>
        <w:br/>
        <w:t>• Communications;</w:t>
      </w:r>
      <w:r w:rsidRPr="004B2CFD">
        <w:rPr>
          <w:rFonts w:ascii="Times New Roman" w:hAnsi="Times New Roman" w:cs="Times New Roman"/>
          <w:sz w:val="24"/>
          <w:szCs w:val="24"/>
        </w:rPr>
        <w:br/>
        <w:t>• Business continuity;</w:t>
      </w:r>
      <w:r w:rsidRPr="004B2CFD">
        <w:rPr>
          <w:rFonts w:ascii="Times New Roman" w:hAnsi="Times New Roman" w:cs="Times New Roman"/>
          <w:sz w:val="24"/>
          <w:szCs w:val="24"/>
        </w:rPr>
        <w:br/>
        <w:t>• Executive management;</w:t>
      </w:r>
      <w:r w:rsidRPr="004B2CFD">
        <w:rPr>
          <w:rFonts w:ascii="Times New Roman" w:hAnsi="Times New Roman" w:cs="Times New Roman"/>
          <w:sz w:val="24"/>
          <w:szCs w:val="24"/>
        </w:rPr>
        <w:br/>
        <w:t>• Relevant regulatory contacts.</w:t>
      </w:r>
      <w:r w:rsidRPr="004B2CFD">
        <w:rPr>
          <w:rFonts w:ascii="Times New Roman" w:hAnsi="Times New Roman" w:cs="Times New Roman"/>
          <w:sz w:val="24"/>
          <w:szCs w:val="24"/>
        </w:rPr>
        <w:br/>
        <w:t>This prevents the common failure where technical teams discover an incident but legal and compliance teams learn about it too late to meet reporting obligations.</w:t>
      </w:r>
    </w:p>
    <w:p w:rsidR="00CB6CF1" w:rsidRPr="005F7E6A" w:rsidRDefault="004B2CFD" w:rsidP="003F1C95">
      <w:pPr>
        <w:pStyle w:val="Heading2"/>
        <w:rPr>
          <w:rFonts w:ascii="Times New Roman" w:hAnsi="Times New Roman" w:cs="Times New Roman"/>
          <w:b/>
          <w:color w:val="auto"/>
          <w:sz w:val="36"/>
          <w:szCs w:val="36"/>
        </w:rPr>
      </w:pPr>
      <w:bookmarkStart w:id="24" w:name="_Toc237227048"/>
      <w:r w:rsidRPr="005F7E6A">
        <w:rPr>
          <w:rFonts w:ascii="Times New Roman" w:hAnsi="Times New Roman" w:cs="Times New Roman"/>
          <w:b/>
          <w:color w:val="auto"/>
          <w:sz w:val="36"/>
          <w:szCs w:val="36"/>
        </w:rPr>
        <w:t>2.12 Data Protection Controls</w:t>
      </w:r>
      <w:bookmarkEnd w:id="24"/>
    </w:p>
    <w:p w:rsidR="004B2CFD" w:rsidRPr="004B2CFD" w:rsidRDefault="004B2CFD" w:rsidP="004B2CFD">
      <w:pPr>
        <w:rPr>
          <w:rFonts w:ascii="Times New Roman" w:hAnsi="Times New Roman" w:cs="Times New Roman"/>
          <w:sz w:val="24"/>
          <w:szCs w:val="24"/>
        </w:rPr>
      </w:pPr>
      <w:r w:rsidRPr="004B2CFD">
        <w:rPr>
          <w:rFonts w:ascii="Times New Roman" w:hAnsi="Times New Roman" w:cs="Times New Roman"/>
          <w:sz w:val="24"/>
          <w:szCs w:val="24"/>
        </w:rPr>
        <w:br/>
        <w:t>Because the Equifax breach involved highly sensitive personal information, the proposed programme should apply stronger controls to high-value data.</w:t>
      </w:r>
      <w:r w:rsidRPr="004B2CFD">
        <w:rPr>
          <w:rFonts w:ascii="Times New Roman" w:hAnsi="Times New Roman" w:cs="Times New Roman"/>
          <w:sz w:val="24"/>
          <w:szCs w:val="24"/>
        </w:rPr>
        <w:br/>
        <w:t>Controls should include:</w:t>
      </w:r>
      <w:r w:rsidRPr="004B2CFD">
        <w:rPr>
          <w:rFonts w:ascii="Times New Roman" w:hAnsi="Times New Roman" w:cs="Times New Roman"/>
          <w:sz w:val="24"/>
          <w:szCs w:val="24"/>
        </w:rPr>
        <w:br/>
        <w:t>Encryption</w:t>
      </w:r>
      <w:r w:rsidRPr="004B2CFD">
        <w:rPr>
          <w:rFonts w:ascii="Times New Roman" w:hAnsi="Times New Roman" w:cs="Times New Roman"/>
          <w:sz w:val="24"/>
          <w:szCs w:val="24"/>
        </w:rPr>
        <w:br/>
        <w:t>Sensitive information should be encrypted at rest and in transit. Encryption keys should be managed separately from encrypted data.</w:t>
      </w:r>
      <w:r w:rsidRPr="004B2CFD">
        <w:rPr>
          <w:rFonts w:ascii="Times New Roman" w:hAnsi="Times New Roman" w:cs="Times New Roman"/>
          <w:sz w:val="24"/>
          <w:szCs w:val="24"/>
        </w:rPr>
        <w:br/>
        <w:t>Data minimisation</w:t>
      </w:r>
      <w:r w:rsidRPr="004B2CFD">
        <w:rPr>
          <w:rFonts w:ascii="Times New Roman" w:hAnsi="Times New Roman" w:cs="Times New Roman"/>
          <w:sz w:val="24"/>
          <w:szCs w:val="24"/>
        </w:rPr>
        <w:br/>
        <w:t>Organizations should not retain information indefinitely simply because storage is inexpensive. GDPR promotes data minimization and storage limitation [1].</w:t>
      </w:r>
      <w:r w:rsidRPr="004B2CFD">
        <w:rPr>
          <w:rFonts w:ascii="Times New Roman" w:hAnsi="Times New Roman" w:cs="Times New Roman"/>
          <w:sz w:val="24"/>
          <w:szCs w:val="24"/>
        </w:rPr>
        <w:br/>
        <w:t>Access control</w:t>
      </w:r>
      <w:r w:rsidRPr="004B2CFD">
        <w:rPr>
          <w:rFonts w:ascii="Times New Roman" w:hAnsi="Times New Roman" w:cs="Times New Roman"/>
          <w:sz w:val="24"/>
          <w:szCs w:val="24"/>
        </w:rPr>
        <w:br/>
        <w:t>Access should follow the principle of least privilege. Employees should have only the access necessary for their role.</w:t>
      </w:r>
      <w:r w:rsidRPr="004B2CFD">
        <w:rPr>
          <w:rFonts w:ascii="Times New Roman" w:hAnsi="Times New Roman" w:cs="Times New Roman"/>
          <w:sz w:val="24"/>
          <w:szCs w:val="24"/>
        </w:rPr>
        <w:br/>
        <w:t>Privileged Access Management</w:t>
      </w:r>
      <w:r w:rsidRPr="004B2CFD">
        <w:rPr>
          <w:rFonts w:ascii="Times New Roman" w:hAnsi="Times New Roman" w:cs="Times New Roman"/>
          <w:sz w:val="24"/>
          <w:szCs w:val="24"/>
        </w:rPr>
        <w:br/>
        <w:t>Administrative accounts should use MFA, privileged session monitoring and just-in-time access where appropriate.</w:t>
      </w:r>
      <w:r w:rsidRPr="004B2CFD">
        <w:rPr>
          <w:rFonts w:ascii="Times New Roman" w:hAnsi="Times New Roman" w:cs="Times New Roman"/>
          <w:sz w:val="24"/>
          <w:szCs w:val="24"/>
        </w:rPr>
        <w:br/>
        <w:t>Data Loss Prevention</w:t>
      </w:r>
      <w:r w:rsidRPr="004B2CFD">
        <w:rPr>
          <w:rFonts w:ascii="Times New Roman" w:hAnsi="Times New Roman" w:cs="Times New Roman"/>
          <w:sz w:val="24"/>
          <w:szCs w:val="24"/>
        </w:rPr>
        <w:br/>
        <w:t>DLP should identify attempts to move sensitive information to unauthorized destinations.</w:t>
      </w:r>
      <w:r w:rsidRPr="004B2CFD">
        <w:rPr>
          <w:rFonts w:ascii="Times New Roman" w:hAnsi="Times New Roman" w:cs="Times New Roman"/>
          <w:sz w:val="24"/>
          <w:szCs w:val="24"/>
        </w:rPr>
        <w:br/>
        <w:t>Database monitoring</w:t>
      </w:r>
      <w:r w:rsidRPr="004B2CFD">
        <w:rPr>
          <w:rFonts w:ascii="Times New Roman" w:hAnsi="Times New Roman" w:cs="Times New Roman"/>
          <w:sz w:val="24"/>
          <w:szCs w:val="24"/>
        </w:rPr>
        <w:br/>
        <w:t>Sensitive databases should generate alerts for unusual queries, bulk extraction and anomalous administrative access.</w:t>
      </w:r>
      <w:r w:rsidRPr="004B2CFD">
        <w:rPr>
          <w:rFonts w:ascii="Times New Roman" w:hAnsi="Times New Roman" w:cs="Times New Roman"/>
          <w:sz w:val="24"/>
          <w:szCs w:val="24"/>
        </w:rPr>
        <w:br/>
        <w:t>These controls help mitigate the impact of incidents, even in cases where preventive measures are unsuccessful.</w:t>
      </w:r>
    </w:p>
    <w:p w:rsidR="00CB6CF1" w:rsidRPr="005F7E6A" w:rsidRDefault="004B2CFD" w:rsidP="003F1C95">
      <w:pPr>
        <w:pStyle w:val="Heading2"/>
        <w:rPr>
          <w:rFonts w:ascii="Times New Roman" w:hAnsi="Times New Roman" w:cs="Times New Roman"/>
          <w:color w:val="auto"/>
          <w:sz w:val="36"/>
          <w:szCs w:val="36"/>
        </w:rPr>
      </w:pPr>
      <w:bookmarkStart w:id="25" w:name="_Toc237227049"/>
      <w:r w:rsidRPr="005F7E6A">
        <w:rPr>
          <w:rFonts w:ascii="Times New Roman" w:hAnsi="Times New Roman" w:cs="Times New Roman"/>
          <w:color w:val="auto"/>
          <w:sz w:val="36"/>
          <w:szCs w:val="36"/>
        </w:rPr>
        <w:t>2.13 Measurement and Key Performance Indicators</w:t>
      </w:r>
      <w:bookmarkEnd w:id="25"/>
    </w:p>
    <w:p w:rsidR="004B2CFD" w:rsidRPr="004B2CFD" w:rsidRDefault="004B2CFD" w:rsidP="004B2CFD">
      <w:pPr>
        <w:rPr>
          <w:rFonts w:ascii="Times New Roman" w:hAnsi="Times New Roman" w:cs="Times New Roman"/>
          <w:sz w:val="24"/>
          <w:szCs w:val="24"/>
        </w:rPr>
      </w:pPr>
      <w:r w:rsidRPr="004B2CFD">
        <w:rPr>
          <w:rFonts w:ascii="Times New Roman" w:hAnsi="Times New Roman" w:cs="Times New Roman"/>
          <w:sz w:val="24"/>
          <w:szCs w:val="24"/>
        </w:rPr>
        <w:br/>
        <w:t>A cybersecurity programme cannot be effectively governed without measurable outcomes.</w:t>
      </w:r>
      <w:r w:rsidRPr="004B2CFD">
        <w:rPr>
          <w:rFonts w:ascii="Times New Roman" w:hAnsi="Times New Roman" w:cs="Times New Roman"/>
          <w:sz w:val="24"/>
          <w:szCs w:val="24"/>
        </w:rPr>
        <w:br/>
        <w:t>The board dashboard should include:</w:t>
      </w:r>
      <w:r w:rsidRPr="004B2CFD">
        <w:rPr>
          <w:rFonts w:ascii="Times New Roman" w:hAnsi="Times New Roman" w:cs="Times New Roman"/>
          <w:sz w:val="24"/>
          <w:szCs w:val="24"/>
        </w:rPr>
        <w:br/>
        <w:t>KPI/KRI Target</w:t>
      </w:r>
      <w:r w:rsidRPr="004B2CFD">
        <w:rPr>
          <w:rFonts w:ascii="Times New Roman" w:hAnsi="Times New Roman" w:cs="Times New Roman"/>
          <w:sz w:val="24"/>
          <w:szCs w:val="24"/>
        </w:rPr>
        <w:br/>
        <w:t>Critical assets with identified owners 100%</w:t>
      </w:r>
      <w:r w:rsidRPr="004B2CFD">
        <w:rPr>
          <w:rFonts w:ascii="Times New Roman" w:hAnsi="Times New Roman" w:cs="Times New Roman"/>
          <w:sz w:val="24"/>
          <w:szCs w:val="24"/>
        </w:rPr>
        <w:br/>
        <w:t>Internet-facing assets inventoried 100%</w:t>
      </w:r>
      <w:r w:rsidRPr="004B2CFD">
        <w:rPr>
          <w:rFonts w:ascii="Times New Roman" w:hAnsi="Times New Roman" w:cs="Times New Roman"/>
          <w:sz w:val="24"/>
          <w:szCs w:val="24"/>
        </w:rPr>
        <w:br/>
        <w:t>Critical vulnerabilities within SLA &gt;95%</w:t>
      </w:r>
      <w:r w:rsidRPr="004B2CFD">
        <w:rPr>
          <w:rFonts w:ascii="Times New Roman" w:hAnsi="Times New Roman" w:cs="Times New Roman"/>
          <w:sz w:val="24"/>
          <w:szCs w:val="24"/>
        </w:rPr>
        <w:br/>
        <w:t>MFA coverage for privileged accounts 100%</w:t>
      </w:r>
      <w:r w:rsidRPr="004B2CFD">
        <w:rPr>
          <w:rFonts w:ascii="Times New Roman" w:hAnsi="Times New Roman" w:cs="Times New Roman"/>
          <w:sz w:val="24"/>
          <w:szCs w:val="24"/>
        </w:rPr>
        <w:br/>
        <w:t>Critical systems covered by EDR 100%</w:t>
      </w:r>
      <w:r w:rsidRPr="004B2CFD">
        <w:rPr>
          <w:rFonts w:ascii="Times New Roman" w:hAnsi="Times New Roman" w:cs="Times New Roman"/>
          <w:sz w:val="24"/>
          <w:szCs w:val="24"/>
        </w:rPr>
        <w:br/>
        <w:t>Critical systems sending logs to SIEM &gt;98%</w:t>
      </w:r>
      <w:r w:rsidRPr="004B2CFD">
        <w:rPr>
          <w:rFonts w:ascii="Times New Roman" w:hAnsi="Times New Roman" w:cs="Times New Roman"/>
          <w:sz w:val="24"/>
          <w:szCs w:val="24"/>
        </w:rPr>
        <w:br/>
        <w:t>Backup restoration tests completed 100% scheduled</w:t>
      </w:r>
      <w:r w:rsidRPr="004B2CFD">
        <w:rPr>
          <w:rFonts w:ascii="Times New Roman" w:hAnsi="Times New Roman" w:cs="Times New Roman"/>
          <w:sz w:val="24"/>
          <w:szCs w:val="24"/>
        </w:rPr>
        <w:br/>
      </w:r>
      <w:r w:rsidRPr="004B2CFD">
        <w:rPr>
          <w:rFonts w:ascii="Times New Roman" w:hAnsi="Times New Roman" w:cs="Times New Roman"/>
          <w:sz w:val="24"/>
          <w:szCs w:val="24"/>
        </w:rPr>
        <w:lastRenderedPageBreak/>
        <w:t>High-risk suppliers assessed 100%</w:t>
      </w:r>
      <w:r w:rsidRPr="004B2CFD">
        <w:rPr>
          <w:rFonts w:ascii="Times New Roman" w:hAnsi="Times New Roman" w:cs="Times New Roman"/>
          <w:sz w:val="24"/>
          <w:szCs w:val="24"/>
        </w:rPr>
        <w:br/>
        <w:t>Mean time to detect: continuous reduction</w:t>
      </w:r>
      <w:r w:rsidRPr="004B2CFD">
        <w:rPr>
          <w:rFonts w:ascii="Times New Roman" w:hAnsi="Times New Roman" w:cs="Times New Roman"/>
          <w:sz w:val="24"/>
          <w:szCs w:val="24"/>
        </w:rPr>
        <w:br/>
        <w:t>Critical incidents with tested playbooks: 100%</w:t>
      </w:r>
      <w:r w:rsidRPr="004B2CFD">
        <w:rPr>
          <w:rFonts w:ascii="Times New Roman" w:hAnsi="Times New Roman" w:cs="Times New Roman"/>
          <w:sz w:val="24"/>
          <w:szCs w:val="24"/>
        </w:rPr>
        <w:br/>
        <w:t>Overdue critical vulnerabilities: zero or formally risk-accepted</w:t>
      </w:r>
      <w:r w:rsidRPr="004B2CFD">
        <w:rPr>
          <w:rFonts w:ascii="Times New Roman" w:hAnsi="Times New Roman" w:cs="Times New Roman"/>
          <w:sz w:val="24"/>
          <w:szCs w:val="24"/>
        </w:rPr>
        <w:br/>
        <w:t>The metrics should be presented in business language. Instead of telling the board that “12,000 SIEM alerts were processed,” security leadership should communicate that “critical internet-facing vulnerabilities were reduced by 96% and the median containment time decreased from four hours to 25 minutes.” Where possible, the selection and validation of Key Performance Indicators (KPIs) should be informed by industry standards and external benchmarking, such as guidance from NIST, ISO/IEC 27001, sector-specific authorities, or comparison with peer organizations. Regular benchmarking helps to ensure that reported metrics reflect both regulatory expectations and practical effectiveness within the wider industry, strengthening the credibility and actionable value of board-level reporting.</w:t>
      </w:r>
      <w:r w:rsidRPr="004B2CFD">
        <w:rPr>
          <w:rFonts w:ascii="Times New Roman" w:hAnsi="Times New Roman" w:cs="Times New Roman"/>
          <w:sz w:val="24"/>
          <w:szCs w:val="24"/>
        </w:rPr>
        <w:br/>
        <w:t>This approach supports informed executive decision-making.</w:t>
      </w:r>
    </w:p>
    <w:p w:rsidR="00CB6CF1" w:rsidRPr="005F7E6A" w:rsidRDefault="004B2CFD" w:rsidP="003F1C95">
      <w:pPr>
        <w:pStyle w:val="Heading2"/>
        <w:rPr>
          <w:rFonts w:ascii="Times New Roman" w:hAnsi="Times New Roman" w:cs="Times New Roman"/>
          <w:color w:val="auto"/>
          <w:sz w:val="36"/>
          <w:szCs w:val="36"/>
        </w:rPr>
      </w:pPr>
      <w:bookmarkStart w:id="26" w:name="_Toc237227050"/>
      <w:r w:rsidRPr="005F7E6A">
        <w:rPr>
          <w:rFonts w:ascii="Times New Roman" w:hAnsi="Times New Roman" w:cs="Times New Roman"/>
          <w:color w:val="auto"/>
          <w:sz w:val="36"/>
          <w:szCs w:val="36"/>
        </w:rPr>
        <w:t>2.14 Implementation Roadmap</w:t>
      </w:r>
      <w:bookmarkEnd w:id="26"/>
    </w:p>
    <w:p w:rsidR="004B2CFD" w:rsidRPr="004B2CFD" w:rsidRDefault="004B2CFD" w:rsidP="004B2CFD">
      <w:pPr>
        <w:rPr>
          <w:rFonts w:ascii="Times New Roman" w:hAnsi="Times New Roman" w:cs="Times New Roman"/>
          <w:sz w:val="24"/>
          <w:szCs w:val="24"/>
        </w:rPr>
      </w:pPr>
      <w:r w:rsidRPr="004B2CFD">
        <w:rPr>
          <w:rFonts w:ascii="Times New Roman" w:hAnsi="Times New Roman" w:cs="Times New Roman"/>
          <w:sz w:val="24"/>
          <w:szCs w:val="24"/>
        </w:rPr>
        <w:br/>
        <w:t>A phased implementation approach is recommended.</w:t>
      </w:r>
      <w:r w:rsidRPr="004B2CFD">
        <w:rPr>
          <w:rFonts w:ascii="Times New Roman" w:hAnsi="Times New Roman" w:cs="Times New Roman"/>
          <w:sz w:val="24"/>
          <w:szCs w:val="24"/>
        </w:rPr>
        <w:br/>
        <w:t>Phase 1: First 90 Days</w:t>
      </w:r>
      <w:r w:rsidRPr="004B2CFD">
        <w:rPr>
          <w:rFonts w:ascii="Times New Roman" w:hAnsi="Times New Roman" w:cs="Times New Roman"/>
          <w:sz w:val="24"/>
          <w:szCs w:val="24"/>
        </w:rPr>
        <w:br/>
        <w:t>• Establish CISO and governance responsibilities.</w:t>
      </w:r>
      <w:r w:rsidRPr="004B2CFD">
        <w:rPr>
          <w:rFonts w:ascii="Times New Roman" w:hAnsi="Times New Roman" w:cs="Times New Roman"/>
          <w:sz w:val="24"/>
          <w:szCs w:val="24"/>
        </w:rPr>
        <w:br/>
        <w:t>• Identify critical business services.</w:t>
      </w:r>
      <w:r w:rsidRPr="004B2CFD">
        <w:rPr>
          <w:rFonts w:ascii="Times New Roman" w:hAnsi="Times New Roman" w:cs="Times New Roman"/>
          <w:sz w:val="24"/>
          <w:szCs w:val="24"/>
        </w:rPr>
        <w:br/>
        <w:t>• Complete external attack-surface discovery.</w:t>
      </w:r>
      <w:r w:rsidRPr="004B2CFD">
        <w:rPr>
          <w:rFonts w:ascii="Times New Roman" w:hAnsi="Times New Roman" w:cs="Times New Roman"/>
          <w:sz w:val="24"/>
          <w:szCs w:val="24"/>
        </w:rPr>
        <w:br/>
        <w:t>• Establish critical asset inventory.</w:t>
      </w:r>
      <w:r w:rsidRPr="004B2CFD">
        <w:rPr>
          <w:rFonts w:ascii="Times New Roman" w:hAnsi="Times New Roman" w:cs="Times New Roman"/>
          <w:sz w:val="24"/>
          <w:szCs w:val="24"/>
        </w:rPr>
        <w:br/>
        <w:t>• Remove unsupported internet-facing systems.</w:t>
      </w:r>
      <w:r w:rsidRPr="004B2CFD">
        <w:rPr>
          <w:rFonts w:ascii="Times New Roman" w:hAnsi="Times New Roman" w:cs="Times New Roman"/>
          <w:sz w:val="24"/>
          <w:szCs w:val="24"/>
        </w:rPr>
        <w:br/>
        <w:t>• Implement MFA for privileged accounts.</w:t>
      </w:r>
      <w:r w:rsidRPr="004B2CFD">
        <w:rPr>
          <w:rFonts w:ascii="Times New Roman" w:hAnsi="Times New Roman" w:cs="Times New Roman"/>
          <w:sz w:val="24"/>
          <w:szCs w:val="24"/>
        </w:rPr>
        <w:br/>
        <w:t>• Establish vulnerability-management SLAs.</w:t>
      </w:r>
      <w:r w:rsidRPr="004B2CFD">
        <w:rPr>
          <w:rFonts w:ascii="Times New Roman" w:hAnsi="Times New Roman" w:cs="Times New Roman"/>
          <w:sz w:val="24"/>
          <w:szCs w:val="24"/>
        </w:rPr>
        <w:br/>
        <w:t>• Create incident response and notification procedures.</w:t>
      </w:r>
      <w:r w:rsidRPr="004B2CFD">
        <w:rPr>
          <w:rFonts w:ascii="Times New Roman" w:hAnsi="Times New Roman" w:cs="Times New Roman"/>
          <w:sz w:val="24"/>
          <w:szCs w:val="24"/>
        </w:rPr>
        <w:br/>
        <w:t>Phase 2: Three to Six Months</w:t>
      </w:r>
      <w:r w:rsidRPr="004B2CFD">
        <w:rPr>
          <w:rFonts w:ascii="Times New Roman" w:hAnsi="Times New Roman" w:cs="Times New Roman"/>
          <w:sz w:val="24"/>
          <w:szCs w:val="24"/>
        </w:rPr>
        <w:br/>
        <w:t>• Deploy or improve EDR.</w:t>
      </w:r>
      <w:r w:rsidRPr="004B2CFD">
        <w:rPr>
          <w:rFonts w:ascii="Times New Roman" w:hAnsi="Times New Roman" w:cs="Times New Roman"/>
          <w:sz w:val="24"/>
          <w:szCs w:val="24"/>
        </w:rPr>
        <w:br/>
        <w:t>• Centralize logging into SIEM.</w:t>
      </w:r>
      <w:r w:rsidRPr="004B2CFD">
        <w:rPr>
          <w:rFonts w:ascii="Times New Roman" w:hAnsi="Times New Roman" w:cs="Times New Roman"/>
          <w:sz w:val="24"/>
          <w:szCs w:val="24"/>
        </w:rPr>
        <w:br/>
        <w:t>• Implement network segmentation.</w:t>
      </w:r>
      <w:r w:rsidRPr="004B2CFD">
        <w:rPr>
          <w:rFonts w:ascii="Times New Roman" w:hAnsi="Times New Roman" w:cs="Times New Roman"/>
          <w:sz w:val="24"/>
          <w:szCs w:val="24"/>
        </w:rPr>
        <w:br/>
        <w:t>• Introduce secure development controls.</w:t>
      </w:r>
      <w:r w:rsidRPr="004B2CFD">
        <w:rPr>
          <w:rFonts w:ascii="Times New Roman" w:hAnsi="Times New Roman" w:cs="Times New Roman"/>
          <w:sz w:val="24"/>
          <w:szCs w:val="24"/>
        </w:rPr>
        <w:br/>
        <w:t>• Implement automated vulnerability scanning.</w:t>
      </w:r>
      <w:r w:rsidRPr="004B2CFD">
        <w:rPr>
          <w:rFonts w:ascii="Times New Roman" w:hAnsi="Times New Roman" w:cs="Times New Roman"/>
          <w:sz w:val="24"/>
          <w:szCs w:val="24"/>
        </w:rPr>
        <w:br/>
        <w:t>• Establish supplier-risk management.</w:t>
      </w:r>
      <w:r w:rsidRPr="004B2CFD">
        <w:rPr>
          <w:rFonts w:ascii="Times New Roman" w:hAnsi="Times New Roman" w:cs="Times New Roman"/>
          <w:sz w:val="24"/>
          <w:szCs w:val="24"/>
        </w:rPr>
        <w:br/>
        <w:t>• Test backup restoration.</w:t>
      </w:r>
      <w:r w:rsidRPr="004B2CFD">
        <w:rPr>
          <w:rFonts w:ascii="Times New Roman" w:hAnsi="Times New Roman" w:cs="Times New Roman"/>
          <w:sz w:val="24"/>
          <w:szCs w:val="24"/>
        </w:rPr>
        <w:br/>
        <w:t xml:space="preserve">• Conduct </w:t>
      </w:r>
      <w:proofErr w:type="spellStart"/>
      <w:r w:rsidRPr="004B2CFD">
        <w:rPr>
          <w:rFonts w:ascii="Times New Roman" w:hAnsi="Times New Roman" w:cs="Times New Roman"/>
          <w:sz w:val="24"/>
          <w:szCs w:val="24"/>
        </w:rPr>
        <w:t>tabletop</w:t>
      </w:r>
      <w:proofErr w:type="spellEnd"/>
      <w:r w:rsidRPr="004B2CFD">
        <w:rPr>
          <w:rFonts w:ascii="Times New Roman" w:hAnsi="Times New Roman" w:cs="Times New Roman"/>
          <w:sz w:val="24"/>
          <w:szCs w:val="24"/>
        </w:rPr>
        <w:t xml:space="preserve"> incident exercises.</w:t>
      </w:r>
      <w:r w:rsidRPr="004B2CFD">
        <w:rPr>
          <w:rFonts w:ascii="Times New Roman" w:hAnsi="Times New Roman" w:cs="Times New Roman"/>
          <w:sz w:val="24"/>
          <w:szCs w:val="24"/>
        </w:rPr>
        <w:br/>
        <w:t>Phase 3: Six to Twelve Months</w:t>
      </w:r>
      <w:r w:rsidRPr="004B2CFD">
        <w:rPr>
          <w:rFonts w:ascii="Times New Roman" w:hAnsi="Times New Roman" w:cs="Times New Roman"/>
          <w:sz w:val="24"/>
          <w:szCs w:val="24"/>
        </w:rPr>
        <w:br/>
        <w:t>• Implement SOAR automation.</w:t>
      </w:r>
      <w:r w:rsidRPr="004B2CFD">
        <w:rPr>
          <w:rFonts w:ascii="Times New Roman" w:hAnsi="Times New Roman" w:cs="Times New Roman"/>
          <w:sz w:val="24"/>
          <w:szCs w:val="24"/>
        </w:rPr>
        <w:br/>
        <w:t>• Expand Zero Trust controls.</w:t>
      </w:r>
      <w:r w:rsidRPr="004B2CFD">
        <w:rPr>
          <w:rFonts w:ascii="Times New Roman" w:hAnsi="Times New Roman" w:cs="Times New Roman"/>
          <w:sz w:val="24"/>
          <w:szCs w:val="24"/>
        </w:rPr>
        <w:br/>
        <w:t>• Conduct penetration testing and red-team exercises.</w:t>
      </w:r>
      <w:r w:rsidRPr="004B2CFD">
        <w:rPr>
          <w:rFonts w:ascii="Times New Roman" w:hAnsi="Times New Roman" w:cs="Times New Roman"/>
          <w:sz w:val="24"/>
          <w:szCs w:val="24"/>
        </w:rPr>
        <w:br/>
        <w:t>• Implement continuous cloud security monitoring.</w:t>
      </w:r>
      <w:r w:rsidRPr="004B2CFD">
        <w:rPr>
          <w:rFonts w:ascii="Times New Roman" w:hAnsi="Times New Roman" w:cs="Times New Roman"/>
          <w:sz w:val="24"/>
          <w:szCs w:val="24"/>
        </w:rPr>
        <w:br/>
        <w:t>• Integrate compliance evidence collection.</w:t>
      </w:r>
      <w:r w:rsidRPr="004B2CFD">
        <w:rPr>
          <w:rFonts w:ascii="Times New Roman" w:hAnsi="Times New Roman" w:cs="Times New Roman"/>
          <w:sz w:val="24"/>
          <w:szCs w:val="24"/>
        </w:rPr>
        <w:br/>
        <w:t>• Develop NIST CSF Current and Target Profiles.</w:t>
      </w:r>
      <w:r w:rsidRPr="004B2CFD">
        <w:rPr>
          <w:rFonts w:ascii="Times New Roman" w:hAnsi="Times New Roman" w:cs="Times New Roman"/>
          <w:sz w:val="24"/>
          <w:szCs w:val="24"/>
        </w:rPr>
        <w:br/>
        <w:t>• Conduct independent assurance.</w:t>
      </w:r>
      <w:r w:rsidRPr="004B2CFD">
        <w:rPr>
          <w:rFonts w:ascii="Times New Roman" w:hAnsi="Times New Roman" w:cs="Times New Roman"/>
          <w:sz w:val="24"/>
          <w:szCs w:val="24"/>
        </w:rPr>
        <w:br/>
        <w:t>Phase 4: Continuous Improvement</w:t>
      </w:r>
      <w:r w:rsidRPr="004B2CFD">
        <w:rPr>
          <w:rFonts w:ascii="Times New Roman" w:hAnsi="Times New Roman" w:cs="Times New Roman"/>
          <w:sz w:val="24"/>
          <w:szCs w:val="24"/>
        </w:rPr>
        <w:br/>
        <w:t>• Monitor regulatory changes.</w:t>
      </w:r>
      <w:r w:rsidRPr="004B2CFD">
        <w:rPr>
          <w:rFonts w:ascii="Times New Roman" w:hAnsi="Times New Roman" w:cs="Times New Roman"/>
          <w:sz w:val="24"/>
          <w:szCs w:val="24"/>
        </w:rPr>
        <w:br/>
      </w:r>
      <w:r w:rsidRPr="004B2CFD">
        <w:rPr>
          <w:rFonts w:ascii="Times New Roman" w:hAnsi="Times New Roman" w:cs="Times New Roman"/>
          <w:sz w:val="24"/>
          <w:szCs w:val="24"/>
        </w:rPr>
        <w:lastRenderedPageBreak/>
        <w:t>• Reassess cyber risk.</w:t>
      </w:r>
      <w:r w:rsidRPr="004B2CFD">
        <w:rPr>
          <w:rFonts w:ascii="Times New Roman" w:hAnsi="Times New Roman" w:cs="Times New Roman"/>
          <w:sz w:val="24"/>
          <w:szCs w:val="24"/>
        </w:rPr>
        <w:br/>
        <w:t>• Conduct threat-led testing.</w:t>
      </w:r>
      <w:r w:rsidRPr="004B2CFD">
        <w:rPr>
          <w:rFonts w:ascii="Times New Roman" w:hAnsi="Times New Roman" w:cs="Times New Roman"/>
          <w:sz w:val="24"/>
          <w:szCs w:val="24"/>
        </w:rPr>
        <w:br/>
        <w:t>• Review security metrics.</w:t>
      </w:r>
      <w:r w:rsidRPr="004B2CFD">
        <w:rPr>
          <w:rFonts w:ascii="Times New Roman" w:hAnsi="Times New Roman" w:cs="Times New Roman"/>
          <w:sz w:val="24"/>
          <w:szCs w:val="24"/>
        </w:rPr>
        <w:br/>
        <w:t>• Update incident playbooks.</w:t>
      </w:r>
      <w:r w:rsidRPr="004B2CFD">
        <w:rPr>
          <w:rFonts w:ascii="Times New Roman" w:hAnsi="Times New Roman" w:cs="Times New Roman"/>
          <w:sz w:val="24"/>
          <w:szCs w:val="24"/>
        </w:rPr>
        <w:br/>
        <w:t>• Perform lessons-learned reviews.</w:t>
      </w:r>
      <w:r w:rsidRPr="004B2CFD">
        <w:rPr>
          <w:rFonts w:ascii="Times New Roman" w:hAnsi="Times New Roman" w:cs="Times New Roman"/>
          <w:sz w:val="24"/>
          <w:szCs w:val="24"/>
        </w:rPr>
        <w:br/>
        <w:t>• Improve automation.</w:t>
      </w:r>
      <w:r w:rsidRPr="004B2CFD">
        <w:rPr>
          <w:rFonts w:ascii="Times New Roman" w:hAnsi="Times New Roman" w:cs="Times New Roman"/>
          <w:sz w:val="24"/>
          <w:szCs w:val="24"/>
        </w:rPr>
        <w:br/>
        <w:t>• Reassess suppliers and critical dependencies.</w:t>
      </w:r>
    </w:p>
    <w:p w:rsidR="004B2CFD" w:rsidRPr="004B2CFD" w:rsidRDefault="004B2CFD" w:rsidP="004B2CFD">
      <w:pPr>
        <w:rPr>
          <w:rFonts w:ascii="Times New Roman" w:hAnsi="Times New Roman" w:cs="Times New Roman"/>
          <w:sz w:val="24"/>
          <w:szCs w:val="24"/>
        </w:rPr>
      </w:pPr>
      <w:bookmarkStart w:id="27" w:name="_Toc237227051"/>
      <w:r w:rsidRPr="005F7E6A">
        <w:rPr>
          <w:rStyle w:val="Heading2Char"/>
          <w:rFonts w:ascii="Times New Roman" w:hAnsi="Times New Roman" w:cs="Times New Roman"/>
          <w:b/>
          <w:color w:val="auto"/>
          <w:sz w:val="36"/>
          <w:szCs w:val="36"/>
        </w:rPr>
        <w:t>2.15 Critical Evaluation of the Proposed Programme</w:t>
      </w:r>
      <w:bookmarkEnd w:id="27"/>
      <w:r w:rsidRPr="004B2CFD">
        <w:rPr>
          <w:rFonts w:ascii="Times New Roman" w:hAnsi="Times New Roman" w:cs="Times New Roman"/>
          <w:sz w:val="24"/>
          <w:szCs w:val="24"/>
        </w:rPr>
        <w:br/>
        <w:t>The proposed programme deliberately avoids assuming that cybersecurity can be solved through technology alone.</w:t>
      </w:r>
      <w:r w:rsidRPr="004B2CFD">
        <w:rPr>
          <w:rFonts w:ascii="Times New Roman" w:hAnsi="Times New Roman" w:cs="Times New Roman"/>
          <w:sz w:val="24"/>
          <w:szCs w:val="24"/>
        </w:rPr>
        <w:br/>
        <w:t>For example, implementing an expensive SIEM does not automatically create effective detection. If critical systems do not send logs to the SIEM, the organization may still have significant blind spots. Similarly, purchasing a vulnerability scanner does not solve patch management if asset owners are not accountable for remediation.</w:t>
      </w:r>
      <w:r w:rsidRPr="004B2CFD">
        <w:rPr>
          <w:rFonts w:ascii="Times New Roman" w:hAnsi="Times New Roman" w:cs="Times New Roman"/>
          <w:sz w:val="24"/>
          <w:szCs w:val="24"/>
        </w:rPr>
        <w:br/>
        <w:t>Governance is therefore a fundamental control.</w:t>
      </w:r>
      <w:r w:rsidRPr="004B2CFD">
        <w:rPr>
          <w:rFonts w:ascii="Times New Roman" w:hAnsi="Times New Roman" w:cs="Times New Roman"/>
          <w:sz w:val="24"/>
          <w:szCs w:val="24"/>
        </w:rPr>
        <w:br/>
        <w:t>The Equifax incident demonstrates that the presence of a known vulnerability becomes especially dangerous when combined with incomplete asset visibility, weak patch governance, inadequate monitoring and poor segmentation. The lesson is not simply “patch faster”. The broader lesson is that vulnerability management must be integrated with asset management, risk management, architecture, monitoring and executive accountability.</w:t>
      </w:r>
      <w:r w:rsidRPr="004B2CFD">
        <w:rPr>
          <w:rFonts w:ascii="Times New Roman" w:hAnsi="Times New Roman" w:cs="Times New Roman"/>
          <w:sz w:val="24"/>
          <w:szCs w:val="24"/>
        </w:rPr>
        <w:br/>
        <w:t>There is also a practical limitation to attempting to implement every control simultaneously. Security budgets are finite, and excessive security controls can interfere with business operations. The proposed risk-based approach therefore prioritizes assets according to exposure, sensitivity, criticality and threat likelihood.</w:t>
      </w:r>
      <w:r w:rsidRPr="004B2CFD">
        <w:rPr>
          <w:rFonts w:ascii="Times New Roman" w:hAnsi="Times New Roman" w:cs="Times New Roman"/>
          <w:sz w:val="24"/>
          <w:szCs w:val="24"/>
        </w:rPr>
        <w:br/>
        <w:t>The programme should also acknowledge that compliance requirements will continue to evolve. Regulations such as DORA and NIS2 should be treated as components of an ongoing governance process rather than as one-time projects.</w:t>
      </w:r>
    </w:p>
    <w:p w:rsidR="00CB6CF1" w:rsidRPr="005F7E6A" w:rsidRDefault="00CB6CF1" w:rsidP="003F1C95">
      <w:pPr>
        <w:pStyle w:val="Heading1"/>
        <w:rPr>
          <w:rFonts w:ascii="Times New Roman" w:hAnsi="Times New Roman" w:cs="Times New Roman"/>
          <w:b/>
          <w:sz w:val="48"/>
          <w:szCs w:val="48"/>
        </w:rPr>
      </w:pPr>
      <w:r>
        <w:t xml:space="preserve">                                  </w:t>
      </w:r>
      <w:bookmarkStart w:id="28" w:name="_Toc237227052"/>
      <w:r w:rsidR="004B2CFD" w:rsidRPr="005F7E6A">
        <w:rPr>
          <w:rFonts w:ascii="Times New Roman" w:hAnsi="Times New Roman" w:cs="Times New Roman"/>
          <w:b/>
          <w:color w:val="auto"/>
          <w:sz w:val="48"/>
          <w:szCs w:val="48"/>
        </w:rPr>
        <w:t>Conclusion</w:t>
      </w:r>
      <w:bookmarkEnd w:id="28"/>
    </w:p>
    <w:p w:rsidR="004B2CFD" w:rsidRPr="004B2CFD" w:rsidRDefault="004B2CFD" w:rsidP="004B2CFD">
      <w:pPr>
        <w:rPr>
          <w:rFonts w:ascii="Times New Roman" w:hAnsi="Times New Roman" w:cs="Times New Roman"/>
          <w:sz w:val="24"/>
          <w:szCs w:val="24"/>
        </w:rPr>
      </w:pPr>
      <w:r w:rsidRPr="004B2CFD">
        <w:rPr>
          <w:rFonts w:ascii="Times New Roman" w:hAnsi="Times New Roman" w:cs="Times New Roman"/>
          <w:sz w:val="24"/>
          <w:szCs w:val="24"/>
        </w:rPr>
        <w:br/>
        <w:t>The European cybersecurity environment is becoming increasingly regulated, but regulatory fragmentation does not necessarily require fragmented cybersecurity programmes. GDPR, DORA and NIS2 have different purposes, yet they converge around several common principles: accountability, risk management, security controls, incident response, resilience, supply-chain security and continuous improvement.</w:t>
      </w:r>
      <w:r w:rsidRPr="004B2CFD">
        <w:rPr>
          <w:rFonts w:ascii="Times New Roman" w:hAnsi="Times New Roman" w:cs="Times New Roman"/>
          <w:sz w:val="24"/>
          <w:szCs w:val="24"/>
        </w:rPr>
        <w:br/>
        <w:t>GDPR establishes strong requirements for protecting personal data and demonstrating accountability. DORA introduces a comprehensive operational resilience model for financial entities, including ICT risk management, resilience testing and third-party oversight. NIS2 expands cybersecurity risk-management expectations across essential and important sectors and introduces structured incident-reporting requirements. The challenge for organisations is therefore to translate these overlapping requirements into a coherent operational model.</w:t>
      </w:r>
      <w:r w:rsidRPr="004B2CFD">
        <w:rPr>
          <w:rFonts w:ascii="Times New Roman" w:hAnsi="Times New Roman" w:cs="Times New Roman"/>
          <w:sz w:val="24"/>
          <w:szCs w:val="24"/>
        </w:rPr>
        <w:br/>
        <w:t xml:space="preserve">NIST CSF 2.0 provides a practical mechanism for achieving this integration. Its Govern, Identify, Protect, Detect, Respond and Recover functions enable organisations to establish a lifecycle that connects board-level governance with operational security controls. Rather than maintaining separate GDPR, DORA and NIS2 security programmes, organisations should </w:t>
      </w:r>
      <w:r w:rsidRPr="004B2CFD">
        <w:rPr>
          <w:rFonts w:ascii="Times New Roman" w:hAnsi="Times New Roman" w:cs="Times New Roman"/>
          <w:sz w:val="24"/>
          <w:szCs w:val="24"/>
        </w:rPr>
        <w:lastRenderedPageBreak/>
        <w:t>develop common controls and map regulatory obligations onto them.</w:t>
      </w:r>
      <w:r w:rsidRPr="004B2CFD">
        <w:rPr>
          <w:rFonts w:ascii="Times New Roman" w:hAnsi="Times New Roman" w:cs="Times New Roman"/>
          <w:sz w:val="24"/>
          <w:szCs w:val="24"/>
        </w:rPr>
        <w:br/>
        <w:t>The Equifax case demonstrates why this approach is necessary. The breach was not caused simply by the existence of a software vulnerability. It resulted from a combination of weaknesses involving vulnerability management, asset visibility, detection, segmentation, data governance and organisational accountability. The attackers were able to exploit a known vulnerability and remain within the environment long enough to access highly sensitive information [6], [7].</w:t>
      </w:r>
      <w:r w:rsidRPr="004B2CFD">
        <w:rPr>
          <w:rFonts w:ascii="Times New Roman" w:hAnsi="Times New Roman" w:cs="Times New Roman"/>
          <w:sz w:val="24"/>
          <w:szCs w:val="24"/>
        </w:rPr>
        <w:br/>
        <w:t>A forward-looking cybersecurity programme must therefore focus on preventing similar combinations of failures. Executive leadership must have clear accountability, critical assets must have owners, vulnerabilities must be prioritized according to business risk, patches must be verified, systems must be segmented, sensitive data must be protected and security events must be continuously monitored.</w:t>
      </w:r>
      <w:r w:rsidRPr="004B2CFD">
        <w:rPr>
          <w:rFonts w:ascii="Times New Roman" w:hAnsi="Times New Roman" w:cs="Times New Roman"/>
          <w:sz w:val="24"/>
          <w:szCs w:val="24"/>
        </w:rPr>
        <w:br/>
        <w:t>Automation should further reduce the time between compromise and containment. SIEM, EDR, vulnerability scanners, CSPM and SOAR can provide significant benefits when integrated into a risk-based operating model. However, technology should support governance rather than replace it.</w:t>
      </w:r>
      <w:r w:rsidRPr="004B2CFD">
        <w:rPr>
          <w:rFonts w:ascii="Times New Roman" w:hAnsi="Times New Roman" w:cs="Times New Roman"/>
          <w:sz w:val="24"/>
          <w:szCs w:val="24"/>
        </w:rPr>
        <w:br/>
        <w:t>Ultimately, effective compliance should not be regarded as merely producing documentation for regulators or auditors. The purpose of compliance is to establish demonstrable organizational capability. A mature organization should be able to demonstrate not only the existence of policies, but also asset awareness, risk understanding, protection of critical systems, detection of abnormal behaviour, rapid incident response, appropriate reporting, and recovery of essential services.</w:t>
      </w:r>
      <w:r w:rsidRPr="004B2CFD">
        <w:rPr>
          <w:rFonts w:ascii="Times New Roman" w:hAnsi="Times New Roman" w:cs="Times New Roman"/>
          <w:sz w:val="24"/>
          <w:szCs w:val="24"/>
        </w:rPr>
        <w:br/>
        <w:t>The central lesson from both the regulatory landscape and the Equifax breach is therefore clear: cybersecurity compliance and cyber resilience must be integrated into enterprise governance. Organizations that treat GDPR, DORA and NIS2 as separate compliance obligations risk creating duplicated processes and security gaps. Organizations that use these requirements to build a unified, continuously monitored and risk-driven security programme are better positioned to anticipate threats, protect information assets, detect attacks, respond automatically where appropriate and maintain trust when security incidents occur.</w:t>
      </w:r>
    </w:p>
    <w:p w:rsidR="00CB6CF1" w:rsidRDefault="00CB6CF1" w:rsidP="004B2CFD">
      <w:pPr>
        <w:rPr>
          <w:rFonts w:ascii="Times New Roman" w:hAnsi="Times New Roman" w:cs="Times New Roman"/>
          <w:sz w:val="24"/>
          <w:szCs w:val="24"/>
        </w:rPr>
      </w:pPr>
    </w:p>
    <w:p w:rsidR="00CB6CF1" w:rsidRDefault="00CB6CF1" w:rsidP="004B2CFD">
      <w:pPr>
        <w:rPr>
          <w:rFonts w:ascii="Times New Roman" w:hAnsi="Times New Roman" w:cs="Times New Roman"/>
          <w:sz w:val="24"/>
          <w:szCs w:val="24"/>
        </w:rPr>
      </w:pPr>
    </w:p>
    <w:p w:rsidR="00CB6CF1" w:rsidRDefault="00CB6CF1" w:rsidP="004B2CFD">
      <w:pPr>
        <w:rPr>
          <w:rFonts w:ascii="Times New Roman" w:hAnsi="Times New Roman" w:cs="Times New Roman"/>
          <w:sz w:val="24"/>
          <w:szCs w:val="24"/>
        </w:rPr>
      </w:pPr>
    </w:p>
    <w:p w:rsidR="00CB6CF1" w:rsidRDefault="00CB6CF1" w:rsidP="004B2CFD">
      <w:pPr>
        <w:rPr>
          <w:rFonts w:ascii="Times New Roman" w:hAnsi="Times New Roman" w:cs="Times New Roman"/>
          <w:sz w:val="24"/>
          <w:szCs w:val="24"/>
        </w:rPr>
      </w:pPr>
    </w:p>
    <w:p w:rsidR="00CB6CF1" w:rsidRDefault="00CB6CF1" w:rsidP="004B2CFD">
      <w:pPr>
        <w:rPr>
          <w:rFonts w:ascii="Times New Roman" w:hAnsi="Times New Roman" w:cs="Times New Roman"/>
          <w:sz w:val="24"/>
          <w:szCs w:val="24"/>
        </w:rPr>
      </w:pPr>
    </w:p>
    <w:p w:rsidR="00CB6CF1" w:rsidRDefault="00CB6CF1" w:rsidP="004B2CFD">
      <w:pPr>
        <w:rPr>
          <w:rFonts w:ascii="Times New Roman" w:hAnsi="Times New Roman" w:cs="Times New Roman"/>
          <w:sz w:val="24"/>
          <w:szCs w:val="24"/>
        </w:rPr>
      </w:pPr>
    </w:p>
    <w:p w:rsidR="00CB6CF1" w:rsidRDefault="00CB6CF1" w:rsidP="004B2CFD">
      <w:pPr>
        <w:rPr>
          <w:rFonts w:ascii="Times New Roman" w:hAnsi="Times New Roman" w:cs="Times New Roman"/>
          <w:sz w:val="24"/>
          <w:szCs w:val="24"/>
        </w:rPr>
      </w:pPr>
    </w:p>
    <w:p w:rsidR="00CB6CF1" w:rsidRDefault="00CB6CF1" w:rsidP="004B2CFD">
      <w:pPr>
        <w:rPr>
          <w:rFonts w:ascii="Times New Roman" w:hAnsi="Times New Roman" w:cs="Times New Roman"/>
          <w:sz w:val="24"/>
          <w:szCs w:val="24"/>
        </w:rPr>
      </w:pPr>
    </w:p>
    <w:p w:rsidR="00CB6CF1" w:rsidRDefault="00CB6CF1" w:rsidP="004B2CFD">
      <w:pPr>
        <w:rPr>
          <w:rFonts w:ascii="Times New Roman" w:hAnsi="Times New Roman" w:cs="Times New Roman"/>
          <w:sz w:val="24"/>
          <w:szCs w:val="24"/>
        </w:rPr>
      </w:pPr>
    </w:p>
    <w:p w:rsidR="003F1C95" w:rsidRDefault="003F1C95" w:rsidP="004B2CFD">
      <w:pPr>
        <w:rPr>
          <w:rFonts w:ascii="Times New Roman" w:hAnsi="Times New Roman" w:cs="Times New Roman"/>
          <w:sz w:val="24"/>
          <w:szCs w:val="24"/>
        </w:rPr>
      </w:pPr>
    </w:p>
    <w:p w:rsidR="003F1C95" w:rsidRDefault="003F1C95" w:rsidP="005F7E6A">
      <w:pPr>
        <w:tabs>
          <w:tab w:val="left" w:pos="2032"/>
        </w:tabs>
        <w:rPr>
          <w:rFonts w:ascii="Times New Roman" w:hAnsi="Times New Roman" w:cs="Times New Roman"/>
          <w:sz w:val="24"/>
          <w:szCs w:val="24"/>
        </w:rPr>
      </w:pPr>
    </w:p>
    <w:p w:rsidR="00CB6CF1" w:rsidRDefault="00CB6CF1" w:rsidP="004B2CFD">
      <w:pPr>
        <w:rPr>
          <w:rFonts w:ascii="Times New Roman" w:hAnsi="Times New Roman" w:cs="Times New Roman"/>
          <w:sz w:val="24"/>
          <w:szCs w:val="24"/>
        </w:rPr>
      </w:pPr>
    </w:p>
    <w:p w:rsidR="003F1C95" w:rsidRPr="005F7E6A" w:rsidRDefault="00CB6CF1" w:rsidP="003F1C95">
      <w:pPr>
        <w:pStyle w:val="Heading1"/>
        <w:rPr>
          <w:rFonts w:ascii="Times New Roman" w:hAnsi="Times New Roman" w:cs="Times New Roman"/>
          <w:b/>
          <w:sz w:val="48"/>
          <w:szCs w:val="48"/>
        </w:rPr>
      </w:pPr>
      <w:r>
        <w:rPr>
          <w:sz w:val="24"/>
          <w:szCs w:val="24"/>
        </w:rPr>
        <w:t xml:space="preserve">                                                         </w:t>
      </w:r>
      <w:bookmarkStart w:id="29" w:name="_Toc237227053"/>
      <w:r w:rsidR="004B2CFD" w:rsidRPr="005F7E6A">
        <w:rPr>
          <w:rFonts w:ascii="Times New Roman" w:hAnsi="Times New Roman" w:cs="Times New Roman"/>
          <w:b/>
          <w:sz w:val="48"/>
          <w:szCs w:val="48"/>
        </w:rPr>
        <w:t>References</w:t>
      </w:r>
      <w:bookmarkEnd w:id="29"/>
    </w:p>
    <w:p w:rsidR="004B2CFD" w:rsidRDefault="004B2CFD" w:rsidP="004B2CFD">
      <w:pPr>
        <w:rPr>
          <w:rFonts w:ascii="Times New Roman" w:hAnsi="Times New Roman" w:cs="Times New Roman"/>
          <w:sz w:val="24"/>
          <w:szCs w:val="24"/>
        </w:rPr>
      </w:pPr>
      <w:r w:rsidRPr="004B2CFD">
        <w:rPr>
          <w:rFonts w:ascii="Times New Roman" w:hAnsi="Times New Roman" w:cs="Times New Roman"/>
          <w:sz w:val="24"/>
          <w:szCs w:val="24"/>
        </w:rPr>
        <w:br/>
        <w:t>[1] European Parliament and Council of the European Union, “Regulation (EU) 2016/679: General Data Protection Regulation,” Official Journal of the European Union, 2016.</w:t>
      </w:r>
      <w:r w:rsidRPr="004B2CFD">
        <w:rPr>
          <w:rFonts w:ascii="Times New Roman" w:hAnsi="Times New Roman" w:cs="Times New Roman"/>
          <w:sz w:val="24"/>
          <w:szCs w:val="24"/>
        </w:rPr>
        <w:br/>
        <w:t>[2] European Parliament and Council of the European Union, “Regulation (EU) 2022/2554 on digital operational resilience for the financial sector,” Official Journal of the European Union, 2022.</w:t>
      </w:r>
      <w:r w:rsidRPr="004B2CFD">
        <w:rPr>
          <w:rFonts w:ascii="Times New Roman" w:hAnsi="Times New Roman" w:cs="Times New Roman"/>
          <w:sz w:val="24"/>
          <w:szCs w:val="24"/>
        </w:rPr>
        <w:br/>
        <w:t>[3] European Parliament and Council of the European Union, “Directive (EU) 2022/2555 on measures for a high common level of cybersecurity across the Union (NIS2 Directive),” Official Journal of the European Union, 2022.</w:t>
      </w:r>
      <w:r w:rsidRPr="004B2CFD">
        <w:rPr>
          <w:rFonts w:ascii="Times New Roman" w:hAnsi="Times New Roman" w:cs="Times New Roman"/>
          <w:sz w:val="24"/>
          <w:szCs w:val="24"/>
        </w:rPr>
        <w:br/>
        <w:t xml:space="preserve">[4] C. Pascoe, S. Quinn, and K. </w:t>
      </w:r>
      <w:proofErr w:type="spellStart"/>
      <w:r w:rsidRPr="004B2CFD">
        <w:rPr>
          <w:rFonts w:ascii="Times New Roman" w:hAnsi="Times New Roman" w:cs="Times New Roman"/>
          <w:sz w:val="24"/>
          <w:szCs w:val="24"/>
        </w:rPr>
        <w:t>Scarfone</w:t>
      </w:r>
      <w:proofErr w:type="spellEnd"/>
      <w:r w:rsidRPr="004B2CFD">
        <w:rPr>
          <w:rFonts w:ascii="Times New Roman" w:hAnsi="Times New Roman" w:cs="Times New Roman"/>
          <w:sz w:val="24"/>
          <w:szCs w:val="24"/>
        </w:rPr>
        <w:t>, “The NIST Cybersecurity Framework (CSF) 2.0,” NIST Cybersecurity White Paper CSWP 29, National Institute of Standards and Technology, Gaithersburg, MD, 2024.</w:t>
      </w:r>
      <w:r w:rsidRPr="004B2CFD">
        <w:rPr>
          <w:rFonts w:ascii="Times New Roman" w:hAnsi="Times New Roman" w:cs="Times New Roman"/>
          <w:sz w:val="24"/>
          <w:szCs w:val="24"/>
        </w:rPr>
        <w:br/>
        <w:t>[5] European Union Agency for Cybersecurity (ENISA), “NIS2 Technical Implementation Guidance,” ENISA, 2025.</w:t>
      </w:r>
      <w:r w:rsidRPr="004B2CFD">
        <w:rPr>
          <w:rFonts w:ascii="Times New Roman" w:hAnsi="Times New Roman" w:cs="Times New Roman"/>
          <w:sz w:val="24"/>
          <w:szCs w:val="24"/>
        </w:rPr>
        <w:br/>
        <w:t>[6] U.S. Government Accountability Office, “Data Protection: Actions Taken by Equifax and Federal Agencies in Response to the 2017 Breach,” GAO-18-559, 2018.</w:t>
      </w:r>
      <w:r w:rsidRPr="004B2CFD">
        <w:rPr>
          <w:rFonts w:ascii="Times New Roman" w:hAnsi="Times New Roman" w:cs="Times New Roman"/>
          <w:sz w:val="24"/>
          <w:szCs w:val="24"/>
        </w:rPr>
        <w:br/>
        <w:t>[7] U.S. Federal Trade Commission, “Equifax to Pay $575 Million as Part of Settlement with FTC, CFPB, and States Related to 2017 Data Breach,” 2019.</w:t>
      </w:r>
      <w:r w:rsidRPr="004B2CFD">
        <w:rPr>
          <w:rFonts w:ascii="Times New Roman" w:hAnsi="Times New Roman" w:cs="Times New Roman"/>
          <w:sz w:val="24"/>
          <w:szCs w:val="24"/>
        </w:rPr>
        <w:br/>
        <w:t>[8] Verizon, “2026 Data Breach Investigations Report,” Verizon Business, 2026.</w:t>
      </w:r>
      <w:r w:rsidRPr="004B2CFD">
        <w:rPr>
          <w:rFonts w:ascii="Times New Roman" w:hAnsi="Times New Roman" w:cs="Times New Roman"/>
          <w:sz w:val="24"/>
          <w:szCs w:val="24"/>
        </w:rPr>
        <w:br/>
        <w:t>[9] European Commission, “Commission Delegated Regulation (EU) 2025/301 supplementing Regulation (EU) 2022/2554 with regard to regulatory technical standards specifying the content and time limits for reporting major ICT-related incidents,” Official Journal of the European Union, 2025.</w:t>
      </w:r>
      <w:r w:rsidRPr="004B2CFD">
        <w:rPr>
          <w:rFonts w:ascii="Times New Roman" w:hAnsi="Times New Roman" w:cs="Times New Roman"/>
          <w:sz w:val="24"/>
          <w:szCs w:val="24"/>
        </w:rPr>
        <w:br/>
        <w:t>[10] B. Fisher, “Data Confidentiality: Detect, Respond to, and Recover from Data Breaches,” NIST Special Publication 1800-29, National Institute of Standards and Technology, 2024.</w:t>
      </w:r>
      <w:r w:rsidRPr="004B2CFD">
        <w:rPr>
          <w:rFonts w:ascii="Times New Roman" w:hAnsi="Times New Roman" w:cs="Times New Roman"/>
          <w:sz w:val="24"/>
          <w:szCs w:val="24"/>
        </w:rPr>
        <w:br/>
        <w:t xml:space="preserve">[11] G. F. Burch, J. Burch, and M. </w:t>
      </w:r>
      <w:proofErr w:type="spellStart"/>
      <w:r w:rsidRPr="004B2CFD">
        <w:rPr>
          <w:rFonts w:ascii="Times New Roman" w:hAnsi="Times New Roman" w:cs="Times New Roman"/>
          <w:sz w:val="24"/>
          <w:szCs w:val="24"/>
        </w:rPr>
        <w:t>McGarry</w:t>
      </w:r>
      <w:proofErr w:type="spellEnd"/>
      <w:r w:rsidRPr="004B2CFD">
        <w:rPr>
          <w:rFonts w:ascii="Times New Roman" w:hAnsi="Times New Roman" w:cs="Times New Roman"/>
          <w:sz w:val="24"/>
          <w:szCs w:val="24"/>
        </w:rPr>
        <w:t>, “Cybersecurity Risk Management Governance: An Agency Theory Perspective,” ISACA Journal, vol. 5, 2024.</w:t>
      </w:r>
      <w:r w:rsidRPr="004B2CFD">
        <w:rPr>
          <w:rFonts w:ascii="Times New Roman" w:hAnsi="Times New Roman" w:cs="Times New Roman"/>
          <w:sz w:val="24"/>
          <w:szCs w:val="24"/>
        </w:rPr>
        <w:br/>
        <w:t>[12] International Organization for Standardisation, “ISO/IEC 27001:2022 Information security, cybersecurity and privacy protection—Information security management systems—Requirements,” ISO, Geneva, 2022.</w:t>
      </w:r>
      <w:r w:rsidRPr="004B2CFD">
        <w:rPr>
          <w:rFonts w:ascii="Times New Roman" w:hAnsi="Times New Roman" w:cs="Times New Roman"/>
          <w:sz w:val="24"/>
          <w:szCs w:val="24"/>
        </w:rPr>
        <w:br/>
        <w:t>[13] National Institute of Standards and Technology, “Cybersecurity Supply Chain Risk Management Practices for Systems and Organizations,” NIST SP 800-161 Rev. 1, 2022.</w:t>
      </w:r>
      <w:r w:rsidRPr="004B2CFD">
        <w:rPr>
          <w:rFonts w:ascii="Times New Roman" w:hAnsi="Times New Roman" w:cs="Times New Roman"/>
          <w:sz w:val="24"/>
          <w:szCs w:val="24"/>
        </w:rPr>
        <w:br/>
        <w:t>[14] National Institute of Standards and Technology, “Security and Privacy Controls for Information Systems and Organizations,” NIST SP 800-53 Rev. 5, 2020.</w:t>
      </w:r>
      <w:r w:rsidRPr="004B2CFD">
        <w:rPr>
          <w:rFonts w:ascii="Times New Roman" w:hAnsi="Times New Roman" w:cs="Times New Roman"/>
          <w:sz w:val="24"/>
          <w:szCs w:val="24"/>
        </w:rPr>
        <w:br/>
        <w:t>[15] European Union Agency for Cybersecurity (ENISA), “ENISA Threat Landscape 2024,” European Union Agency for Cybersecurity, 2024.</w:t>
      </w:r>
    </w:p>
    <w:p w:rsidR="00CB6CF1" w:rsidRDefault="00CB6CF1" w:rsidP="004B2CFD">
      <w:pPr>
        <w:rPr>
          <w:rFonts w:ascii="Times New Roman" w:hAnsi="Times New Roman" w:cs="Times New Roman"/>
          <w:sz w:val="24"/>
          <w:szCs w:val="24"/>
        </w:rPr>
      </w:pPr>
    </w:p>
    <w:p w:rsidR="00CB6CF1" w:rsidRDefault="00CB6CF1" w:rsidP="004B2CFD">
      <w:pPr>
        <w:rPr>
          <w:rFonts w:ascii="Times New Roman" w:hAnsi="Times New Roman" w:cs="Times New Roman"/>
          <w:sz w:val="24"/>
          <w:szCs w:val="24"/>
        </w:rPr>
      </w:pPr>
    </w:p>
    <w:p w:rsidR="00CB6CF1" w:rsidRDefault="00CB6CF1" w:rsidP="004B2CFD">
      <w:pPr>
        <w:rPr>
          <w:rFonts w:ascii="Times New Roman" w:hAnsi="Times New Roman" w:cs="Times New Roman"/>
          <w:sz w:val="24"/>
          <w:szCs w:val="24"/>
        </w:rPr>
      </w:pPr>
    </w:p>
    <w:p w:rsidR="00CB6CF1" w:rsidRDefault="00CB6CF1" w:rsidP="004B2CFD">
      <w:pPr>
        <w:rPr>
          <w:rFonts w:ascii="Times New Roman" w:hAnsi="Times New Roman" w:cs="Times New Roman"/>
          <w:sz w:val="24"/>
          <w:szCs w:val="24"/>
        </w:rPr>
      </w:pPr>
    </w:p>
    <w:p w:rsidR="00CB6CF1" w:rsidRDefault="00CB6CF1" w:rsidP="004B2CFD">
      <w:pPr>
        <w:rPr>
          <w:rFonts w:ascii="Times New Roman" w:hAnsi="Times New Roman" w:cs="Times New Roman"/>
          <w:sz w:val="24"/>
          <w:szCs w:val="24"/>
        </w:rPr>
      </w:pPr>
    </w:p>
    <w:p w:rsidR="00CB6CF1" w:rsidRPr="004B2CFD" w:rsidRDefault="00CB6CF1" w:rsidP="004B2CFD">
      <w:pPr>
        <w:rPr>
          <w:rFonts w:ascii="Times New Roman" w:hAnsi="Times New Roman" w:cs="Times New Roman"/>
          <w:sz w:val="24"/>
          <w:szCs w:val="24"/>
        </w:rPr>
      </w:pPr>
    </w:p>
    <w:p w:rsidR="00BA707B" w:rsidRPr="005F7E6A" w:rsidRDefault="004B2CFD" w:rsidP="003F1C95">
      <w:pPr>
        <w:pStyle w:val="Heading1"/>
        <w:rPr>
          <w:rFonts w:ascii="Times New Roman" w:hAnsi="Times New Roman" w:cs="Times New Roman"/>
          <w:b/>
          <w:color w:val="auto"/>
          <w:sz w:val="44"/>
          <w:szCs w:val="44"/>
        </w:rPr>
      </w:pPr>
      <w:bookmarkStart w:id="30" w:name="_Toc237227054"/>
      <w:r w:rsidRPr="005F7E6A">
        <w:rPr>
          <w:rFonts w:ascii="Times New Roman" w:hAnsi="Times New Roman" w:cs="Times New Roman"/>
          <w:b/>
          <w:color w:val="auto"/>
          <w:sz w:val="44"/>
          <w:szCs w:val="44"/>
        </w:rPr>
        <w:t>Regulatory and research source notes</w:t>
      </w:r>
      <w:bookmarkEnd w:id="30"/>
    </w:p>
    <w:p w:rsidR="004B2CFD" w:rsidRPr="004B2CFD" w:rsidRDefault="004B2CFD" w:rsidP="004B2CFD">
      <w:pPr>
        <w:rPr>
          <w:rFonts w:ascii="Times New Roman" w:hAnsi="Times New Roman" w:cs="Times New Roman"/>
          <w:sz w:val="24"/>
          <w:szCs w:val="24"/>
        </w:rPr>
      </w:pPr>
      <w:r w:rsidRPr="004B2CFD">
        <w:rPr>
          <w:rFonts w:ascii="Times New Roman" w:hAnsi="Times New Roman" w:cs="Times New Roman"/>
          <w:sz w:val="24"/>
          <w:szCs w:val="24"/>
        </w:rPr>
        <w:br/>
        <w:t>The GDPR requires appropriate technical and organisational measures proportionate to risk, including encryption, resilience, restoration and regular testing. It also establishes the 72-hour supervisory-authority notification requirement for applicable personal-data breaches.</w:t>
      </w:r>
      <w:r w:rsidRPr="004B2CFD">
        <w:rPr>
          <w:rFonts w:ascii="Times New Roman" w:hAnsi="Times New Roman" w:cs="Times New Roman"/>
          <w:sz w:val="24"/>
          <w:szCs w:val="24"/>
        </w:rPr>
        <w:br/>
        <w:t>DORA places ultimate responsibility for ICT risk with the financial entity’s management body and requires documented ICT risk management, asset identification, continuous monitoring, protection, resilience and third-party risk management.</w:t>
      </w:r>
      <w:r w:rsidRPr="004B2CFD">
        <w:rPr>
          <w:rFonts w:ascii="Times New Roman" w:hAnsi="Times New Roman" w:cs="Times New Roman"/>
          <w:sz w:val="24"/>
          <w:szCs w:val="24"/>
        </w:rPr>
        <w:br/>
        <w:t>NIS2 establishes cybersecurity risk-management and incident-reporting requirements, including a 24-hour early warning, a 72-hour incident notification and a final report generally within one month for significant incidents.</w:t>
      </w:r>
      <w:r w:rsidRPr="004B2CFD">
        <w:rPr>
          <w:rFonts w:ascii="Times New Roman" w:hAnsi="Times New Roman" w:cs="Times New Roman"/>
          <w:sz w:val="24"/>
          <w:szCs w:val="24"/>
        </w:rPr>
        <w:br/>
        <w:t>ENISA’s 2025 implementation guidance further identifies practical areas including risk management, incident handling, business continuity, supply-chain security, secure development, asset management, cryptography and access control.</w:t>
      </w:r>
      <w:r w:rsidRPr="004B2CFD">
        <w:rPr>
          <w:rFonts w:ascii="Times New Roman" w:hAnsi="Times New Roman" w:cs="Times New Roman"/>
          <w:sz w:val="24"/>
          <w:szCs w:val="24"/>
        </w:rPr>
        <w:br/>
        <w:t>The NIST CSF 2.0 was published in February 2024 and introduced Govern as a sixth function alongside Identify, Protect, Detect, Respond and Recover.</w:t>
      </w:r>
      <w:r w:rsidRPr="004B2CFD">
        <w:rPr>
          <w:rFonts w:ascii="Times New Roman" w:hAnsi="Times New Roman" w:cs="Times New Roman"/>
          <w:sz w:val="24"/>
          <w:szCs w:val="24"/>
        </w:rPr>
        <w:br/>
        <w:t>The Equifax case is supported by U.S. government findings identifying weaknesses in identification, detection, database segmentation and data governance. The FTC subsequently reported that the breach affected approximately 147 million consumers and that the settlement required at least $575 million, potentially rising to $700 million.</w:t>
      </w:r>
      <w:r w:rsidRPr="004B2CFD">
        <w:rPr>
          <w:rFonts w:ascii="Times New Roman" w:hAnsi="Times New Roman" w:cs="Times New Roman"/>
          <w:sz w:val="24"/>
          <w:szCs w:val="24"/>
        </w:rPr>
        <w:br/>
        <w:t>The continuing relevance of the Equifax lesson is demonstrated by Verizon’s 2026 DBIR, which reported that vulnerability exploitation represented 31% of analysed breaches and had become the leading initial entry point in its dataset.</w:t>
      </w:r>
    </w:p>
    <w:p w:rsidR="00075E51" w:rsidRDefault="00075E51"/>
    <w:sectPr w:rsidR="00075E51" w:rsidSect="003F1C95">
      <w:footerReference w:type="defaul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7998" w:rsidRDefault="00A37998" w:rsidP="005F7E6A">
      <w:pPr>
        <w:spacing w:after="0" w:line="240" w:lineRule="auto"/>
      </w:pPr>
      <w:r>
        <w:separator/>
      </w:r>
    </w:p>
  </w:endnote>
  <w:endnote w:type="continuationSeparator" w:id="0">
    <w:p w:rsidR="00A37998" w:rsidRDefault="00A37998" w:rsidP="005F7E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168538"/>
      <w:docPartObj>
        <w:docPartGallery w:val="Page Numbers (Bottom of Page)"/>
        <w:docPartUnique/>
      </w:docPartObj>
    </w:sdtPr>
    <w:sdtEndPr>
      <w:rPr>
        <w:noProof/>
      </w:rPr>
    </w:sdtEndPr>
    <w:sdtContent>
      <w:p w:rsidR="00FC4F58" w:rsidRDefault="00FC4F58">
        <w:pPr>
          <w:pStyle w:val="Footer"/>
          <w:jc w:val="center"/>
        </w:pPr>
        <w:r>
          <w:fldChar w:fldCharType="begin"/>
        </w:r>
        <w:r>
          <w:instrText xml:space="preserve"> PAGE   \* MERGEFORMAT </w:instrText>
        </w:r>
        <w:r>
          <w:fldChar w:fldCharType="separate"/>
        </w:r>
        <w:r>
          <w:rPr>
            <w:noProof/>
          </w:rPr>
          <w:t>20</w:t>
        </w:r>
        <w:r>
          <w:rPr>
            <w:noProof/>
          </w:rPr>
          <w:fldChar w:fldCharType="end"/>
        </w:r>
      </w:p>
    </w:sdtContent>
  </w:sdt>
  <w:p w:rsidR="00FC4F58" w:rsidRDefault="00FC4F5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8096556"/>
      <w:docPartObj>
        <w:docPartGallery w:val="Page Numbers (Bottom of Page)"/>
        <w:docPartUnique/>
      </w:docPartObj>
    </w:sdtPr>
    <w:sdtEndPr>
      <w:rPr>
        <w:noProof/>
      </w:rPr>
    </w:sdtEndPr>
    <w:sdtContent>
      <w:p w:rsidR="005F7E6A" w:rsidRDefault="005F7E6A">
        <w:pPr>
          <w:pStyle w:val="Footer"/>
          <w:jc w:val="center"/>
        </w:pPr>
        <w:r>
          <w:fldChar w:fldCharType="begin"/>
        </w:r>
        <w:r>
          <w:instrText xml:space="preserve"> PAGE   \* MERGEFORMAT </w:instrText>
        </w:r>
        <w:r>
          <w:fldChar w:fldCharType="separate"/>
        </w:r>
        <w:r w:rsidR="00FC4F58">
          <w:rPr>
            <w:noProof/>
          </w:rPr>
          <w:t>0</w:t>
        </w:r>
        <w:r>
          <w:rPr>
            <w:noProof/>
          </w:rPr>
          <w:fldChar w:fldCharType="end"/>
        </w:r>
      </w:p>
    </w:sdtContent>
  </w:sdt>
  <w:p w:rsidR="005F7E6A" w:rsidRDefault="005F7E6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7998" w:rsidRDefault="00A37998" w:rsidP="005F7E6A">
      <w:pPr>
        <w:spacing w:after="0" w:line="240" w:lineRule="auto"/>
      </w:pPr>
      <w:r>
        <w:separator/>
      </w:r>
    </w:p>
  </w:footnote>
  <w:footnote w:type="continuationSeparator" w:id="0">
    <w:p w:rsidR="00A37998" w:rsidRDefault="00A37998" w:rsidP="005F7E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7802AF"/>
    <w:multiLevelType w:val="multilevel"/>
    <w:tmpl w:val="32E4C6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80E3FA9"/>
    <w:multiLevelType w:val="multilevel"/>
    <w:tmpl w:val="F9FE22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1CD087A"/>
    <w:multiLevelType w:val="multilevel"/>
    <w:tmpl w:val="CDC809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2CFD"/>
    <w:rsid w:val="00075E51"/>
    <w:rsid w:val="002E7FF0"/>
    <w:rsid w:val="003F1C95"/>
    <w:rsid w:val="004B2CFD"/>
    <w:rsid w:val="005F7E6A"/>
    <w:rsid w:val="00896429"/>
    <w:rsid w:val="00A37998"/>
    <w:rsid w:val="00BA707B"/>
    <w:rsid w:val="00CB6CF1"/>
    <w:rsid w:val="00E927FB"/>
    <w:rsid w:val="00FC4F58"/>
    <w:rsid w:val="00FF1B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4AEACF"/>
  <w15:chartTrackingRefBased/>
  <w15:docId w15:val="{44C88207-1360-48B1-81B9-3C15E1643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A707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A707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707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BA707B"/>
    <w:pPr>
      <w:outlineLvl w:val="9"/>
    </w:pPr>
    <w:rPr>
      <w:lang w:val="en-US"/>
    </w:rPr>
  </w:style>
  <w:style w:type="character" w:customStyle="1" w:styleId="Heading2Char">
    <w:name w:val="Heading 2 Char"/>
    <w:basedOn w:val="DefaultParagraphFont"/>
    <w:link w:val="Heading2"/>
    <w:uiPriority w:val="9"/>
    <w:rsid w:val="00BA707B"/>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3F1C95"/>
    <w:pPr>
      <w:spacing w:after="100"/>
    </w:pPr>
  </w:style>
  <w:style w:type="paragraph" w:styleId="TOC2">
    <w:name w:val="toc 2"/>
    <w:basedOn w:val="Normal"/>
    <w:next w:val="Normal"/>
    <w:autoRedefine/>
    <w:uiPriority w:val="39"/>
    <w:unhideWhenUsed/>
    <w:rsid w:val="003F1C95"/>
    <w:pPr>
      <w:spacing w:after="100"/>
      <w:ind w:left="220"/>
    </w:pPr>
  </w:style>
  <w:style w:type="character" w:styleId="Hyperlink">
    <w:name w:val="Hyperlink"/>
    <w:basedOn w:val="DefaultParagraphFont"/>
    <w:uiPriority w:val="99"/>
    <w:unhideWhenUsed/>
    <w:rsid w:val="003F1C95"/>
    <w:rPr>
      <w:color w:val="0563C1" w:themeColor="hyperlink"/>
      <w:u w:val="single"/>
    </w:rPr>
  </w:style>
  <w:style w:type="paragraph" w:styleId="NoSpacing">
    <w:name w:val="No Spacing"/>
    <w:link w:val="NoSpacingChar"/>
    <w:uiPriority w:val="1"/>
    <w:qFormat/>
    <w:rsid w:val="003F1C9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F1C95"/>
    <w:rPr>
      <w:rFonts w:eastAsiaTheme="minorEastAsia"/>
      <w:lang w:val="en-US"/>
    </w:rPr>
  </w:style>
  <w:style w:type="paragraph" w:styleId="Header">
    <w:name w:val="header"/>
    <w:basedOn w:val="Normal"/>
    <w:link w:val="HeaderChar"/>
    <w:uiPriority w:val="99"/>
    <w:unhideWhenUsed/>
    <w:rsid w:val="005F7E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7E6A"/>
  </w:style>
  <w:style w:type="paragraph" w:styleId="Footer">
    <w:name w:val="footer"/>
    <w:basedOn w:val="Normal"/>
    <w:link w:val="FooterChar"/>
    <w:uiPriority w:val="99"/>
    <w:unhideWhenUsed/>
    <w:rsid w:val="005F7E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7E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3023119">
      <w:bodyDiv w:val="1"/>
      <w:marLeft w:val="0"/>
      <w:marRight w:val="0"/>
      <w:marTop w:val="0"/>
      <w:marBottom w:val="0"/>
      <w:divBdr>
        <w:top w:val="none" w:sz="0" w:space="0" w:color="auto"/>
        <w:left w:val="none" w:sz="0" w:space="0" w:color="auto"/>
        <w:bottom w:val="none" w:sz="0" w:space="0" w:color="auto"/>
        <w:right w:val="none" w:sz="0" w:space="0" w:color="auto"/>
      </w:divBdr>
      <w:divsChild>
        <w:div w:id="660350914">
          <w:marLeft w:val="0"/>
          <w:marRight w:val="0"/>
          <w:marTop w:val="120"/>
          <w:marBottom w:val="120"/>
          <w:divBdr>
            <w:top w:val="none" w:sz="0" w:space="0" w:color="auto"/>
            <w:left w:val="none" w:sz="0" w:space="0" w:color="auto"/>
            <w:bottom w:val="none" w:sz="0" w:space="0" w:color="auto"/>
            <w:right w:val="none" w:sz="0" w:space="0" w:color="auto"/>
          </w:divBdr>
        </w:div>
        <w:div w:id="1483157932">
          <w:marLeft w:val="0"/>
          <w:marRight w:val="0"/>
          <w:marTop w:val="120"/>
          <w:marBottom w:val="120"/>
          <w:divBdr>
            <w:top w:val="none" w:sz="0" w:space="0" w:color="auto"/>
            <w:left w:val="none" w:sz="0" w:space="0" w:color="auto"/>
            <w:bottom w:val="none" w:sz="0" w:space="0" w:color="auto"/>
            <w:right w:val="none" w:sz="0" w:space="0" w:color="auto"/>
          </w:divBdr>
        </w:div>
        <w:div w:id="762067637">
          <w:marLeft w:val="0"/>
          <w:marRight w:val="0"/>
          <w:marTop w:val="120"/>
          <w:marBottom w:val="120"/>
          <w:divBdr>
            <w:top w:val="none" w:sz="0" w:space="0" w:color="auto"/>
            <w:left w:val="none" w:sz="0" w:space="0" w:color="auto"/>
            <w:bottom w:val="none" w:sz="0" w:space="0" w:color="auto"/>
            <w:right w:val="none" w:sz="0" w:space="0" w:color="auto"/>
          </w:divBdr>
        </w:div>
        <w:div w:id="946041541">
          <w:marLeft w:val="0"/>
          <w:marRight w:val="0"/>
          <w:marTop w:val="120"/>
          <w:marBottom w:val="120"/>
          <w:divBdr>
            <w:top w:val="none" w:sz="0" w:space="0" w:color="auto"/>
            <w:left w:val="none" w:sz="0" w:space="0" w:color="auto"/>
            <w:bottom w:val="none" w:sz="0" w:space="0" w:color="auto"/>
            <w:right w:val="none" w:sz="0" w:space="0" w:color="auto"/>
          </w:divBdr>
        </w:div>
        <w:div w:id="346636472">
          <w:marLeft w:val="0"/>
          <w:marRight w:val="0"/>
          <w:marTop w:val="120"/>
          <w:marBottom w:val="120"/>
          <w:divBdr>
            <w:top w:val="none" w:sz="0" w:space="0" w:color="auto"/>
            <w:left w:val="none" w:sz="0" w:space="0" w:color="auto"/>
            <w:bottom w:val="none" w:sz="0" w:space="0" w:color="auto"/>
            <w:right w:val="none" w:sz="0" w:space="0" w:color="auto"/>
          </w:divBdr>
        </w:div>
        <w:div w:id="1803183674">
          <w:marLeft w:val="0"/>
          <w:marRight w:val="0"/>
          <w:marTop w:val="120"/>
          <w:marBottom w:val="120"/>
          <w:divBdr>
            <w:top w:val="none" w:sz="0" w:space="0" w:color="auto"/>
            <w:left w:val="none" w:sz="0" w:space="0" w:color="auto"/>
            <w:bottom w:val="none" w:sz="0" w:space="0" w:color="auto"/>
            <w:right w:val="none" w:sz="0" w:space="0" w:color="auto"/>
          </w:divBdr>
        </w:div>
        <w:div w:id="1522089196">
          <w:marLeft w:val="0"/>
          <w:marRight w:val="0"/>
          <w:marTop w:val="120"/>
          <w:marBottom w:val="120"/>
          <w:divBdr>
            <w:top w:val="none" w:sz="0" w:space="0" w:color="auto"/>
            <w:left w:val="none" w:sz="0" w:space="0" w:color="auto"/>
            <w:bottom w:val="none" w:sz="0" w:space="0" w:color="auto"/>
            <w:right w:val="none" w:sz="0" w:space="0" w:color="auto"/>
          </w:divBdr>
        </w:div>
        <w:div w:id="896741074">
          <w:marLeft w:val="0"/>
          <w:marRight w:val="0"/>
          <w:marTop w:val="120"/>
          <w:marBottom w:val="120"/>
          <w:divBdr>
            <w:top w:val="none" w:sz="0" w:space="0" w:color="auto"/>
            <w:left w:val="none" w:sz="0" w:space="0" w:color="auto"/>
            <w:bottom w:val="none" w:sz="0" w:space="0" w:color="auto"/>
            <w:right w:val="none" w:sz="0" w:space="0" w:color="auto"/>
          </w:divBdr>
        </w:div>
        <w:div w:id="1124888769">
          <w:marLeft w:val="0"/>
          <w:marRight w:val="0"/>
          <w:marTop w:val="120"/>
          <w:marBottom w:val="120"/>
          <w:divBdr>
            <w:top w:val="none" w:sz="0" w:space="0" w:color="auto"/>
            <w:left w:val="none" w:sz="0" w:space="0" w:color="auto"/>
            <w:bottom w:val="none" w:sz="0" w:space="0" w:color="auto"/>
            <w:right w:val="none" w:sz="0" w:space="0" w:color="auto"/>
          </w:divBdr>
        </w:div>
        <w:div w:id="1360665413">
          <w:marLeft w:val="0"/>
          <w:marRight w:val="0"/>
          <w:marTop w:val="120"/>
          <w:marBottom w:val="120"/>
          <w:divBdr>
            <w:top w:val="none" w:sz="0" w:space="0" w:color="auto"/>
            <w:left w:val="none" w:sz="0" w:space="0" w:color="auto"/>
            <w:bottom w:val="none" w:sz="0" w:space="0" w:color="auto"/>
            <w:right w:val="none" w:sz="0" w:space="0" w:color="auto"/>
          </w:divBdr>
        </w:div>
        <w:div w:id="735274605">
          <w:marLeft w:val="0"/>
          <w:marRight w:val="0"/>
          <w:marTop w:val="120"/>
          <w:marBottom w:val="120"/>
          <w:divBdr>
            <w:top w:val="none" w:sz="0" w:space="0" w:color="auto"/>
            <w:left w:val="none" w:sz="0" w:space="0" w:color="auto"/>
            <w:bottom w:val="none" w:sz="0" w:space="0" w:color="auto"/>
            <w:right w:val="none" w:sz="0" w:space="0" w:color="auto"/>
          </w:divBdr>
        </w:div>
        <w:div w:id="2138184846">
          <w:marLeft w:val="0"/>
          <w:marRight w:val="0"/>
          <w:marTop w:val="120"/>
          <w:marBottom w:val="120"/>
          <w:divBdr>
            <w:top w:val="none" w:sz="0" w:space="0" w:color="auto"/>
            <w:left w:val="none" w:sz="0" w:space="0" w:color="auto"/>
            <w:bottom w:val="none" w:sz="0" w:space="0" w:color="auto"/>
            <w:right w:val="none" w:sz="0" w:space="0" w:color="auto"/>
          </w:divBdr>
        </w:div>
        <w:div w:id="2133284829">
          <w:marLeft w:val="0"/>
          <w:marRight w:val="0"/>
          <w:marTop w:val="120"/>
          <w:marBottom w:val="120"/>
          <w:divBdr>
            <w:top w:val="none" w:sz="0" w:space="0" w:color="auto"/>
            <w:left w:val="none" w:sz="0" w:space="0" w:color="auto"/>
            <w:bottom w:val="none" w:sz="0" w:space="0" w:color="auto"/>
            <w:right w:val="none" w:sz="0" w:space="0" w:color="auto"/>
          </w:divBdr>
        </w:div>
        <w:div w:id="1739784205">
          <w:marLeft w:val="0"/>
          <w:marRight w:val="0"/>
          <w:marTop w:val="120"/>
          <w:marBottom w:val="120"/>
          <w:divBdr>
            <w:top w:val="none" w:sz="0" w:space="0" w:color="auto"/>
            <w:left w:val="none" w:sz="0" w:space="0" w:color="auto"/>
            <w:bottom w:val="none" w:sz="0" w:space="0" w:color="auto"/>
            <w:right w:val="none" w:sz="0" w:space="0" w:color="auto"/>
          </w:divBdr>
        </w:div>
        <w:div w:id="2121560100">
          <w:marLeft w:val="0"/>
          <w:marRight w:val="0"/>
          <w:marTop w:val="120"/>
          <w:marBottom w:val="120"/>
          <w:divBdr>
            <w:top w:val="none" w:sz="0" w:space="0" w:color="auto"/>
            <w:left w:val="none" w:sz="0" w:space="0" w:color="auto"/>
            <w:bottom w:val="none" w:sz="0" w:space="0" w:color="auto"/>
            <w:right w:val="none" w:sz="0" w:space="0" w:color="auto"/>
          </w:divBdr>
        </w:div>
        <w:div w:id="932399786">
          <w:marLeft w:val="0"/>
          <w:marRight w:val="0"/>
          <w:marTop w:val="120"/>
          <w:marBottom w:val="120"/>
          <w:divBdr>
            <w:top w:val="none" w:sz="0" w:space="0" w:color="auto"/>
            <w:left w:val="none" w:sz="0" w:space="0" w:color="auto"/>
            <w:bottom w:val="none" w:sz="0" w:space="0" w:color="auto"/>
            <w:right w:val="none" w:sz="0" w:space="0" w:color="auto"/>
          </w:divBdr>
        </w:div>
        <w:div w:id="1885099764">
          <w:marLeft w:val="0"/>
          <w:marRight w:val="0"/>
          <w:marTop w:val="120"/>
          <w:marBottom w:val="120"/>
          <w:divBdr>
            <w:top w:val="none" w:sz="0" w:space="0" w:color="auto"/>
            <w:left w:val="none" w:sz="0" w:space="0" w:color="auto"/>
            <w:bottom w:val="none" w:sz="0" w:space="0" w:color="auto"/>
            <w:right w:val="none" w:sz="0" w:space="0" w:color="auto"/>
          </w:divBdr>
        </w:div>
        <w:div w:id="2008094366">
          <w:marLeft w:val="0"/>
          <w:marRight w:val="0"/>
          <w:marTop w:val="120"/>
          <w:marBottom w:val="120"/>
          <w:divBdr>
            <w:top w:val="none" w:sz="0" w:space="0" w:color="auto"/>
            <w:left w:val="none" w:sz="0" w:space="0" w:color="auto"/>
            <w:bottom w:val="none" w:sz="0" w:space="0" w:color="auto"/>
            <w:right w:val="none" w:sz="0" w:space="0" w:color="auto"/>
          </w:divBdr>
        </w:div>
        <w:div w:id="1036589563">
          <w:marLeft w:val="0"/>
          <w:marRight w:val="0"/>
          <w:marTop w:val="120"/>
          <w:marBottom w:val="120"/>
          <w:divBdr>
            <w:top w:val="none" w:sz="0" w:space="0" w:color="auto"/>
            <w:left w:val="none" w:sz="0" w:space="0" w:color="auto"/>
            <w:bottom w:val="none" w:sz="0" w:space="0" w:color="auto"/>
            <w:right w:val="none" w:sz="0" w:space="0" w:color="auto"/>
          </w:divBdr>
        </w:div>
        <w:div w:id="1231454182">
          <w:marLeft w:val="0"/>
          <w:marRight w:val="0"/>
          <w:marTop w:val="120"/>
          <w:marBottom w:val="120"/>
          <w:divBdr>
            <w:top w:val="none" w:sz="0" w:space="0" w:color="auto"/>
            <w:left w:val="none" w:sz="0" w:space="0" w:color="auto"/>
            <w:bottom w:val="none" w:sz="0" w:space="0" w:color="auto"/>
            <w:right w:val="none" w:sz="0" w:space="0" w:color="auto"/>
          </w:divBdr>
        </w:div>
        <w:div w:id="1391460875">
          <w:marLeft w:val="0"/>
          <w:marRight w:val="0"/>
          <w:marTop w:val="120"/>
          <w:marBottom w:val="120"/>
          <w:divBdr>
            <w:top w:val="none" w:sz="0" w:space="0" w:color="auto"/>
            <w:left w:val="none" w:sz="0" w:space="0" w:color="auto"/>
            <w:bottom w:val="none" w:sz="0" w:space="0" w:color="auto"/>
            <w:right w:val="none" w:sz="0" w:space="0" w:color="auto"/>
          </w:divBdr>
        </w:div>
        <w:div w:id="1686900240">
          <w:marLeft w:val="0"/>
          <w:marRight w:val="0"/>
          <w:marTop w:val="120"/>
          <w:marBottom w:val="120"/>
          <w:divBdr>
            <w:top w:val="none" w:sz="0" w:space="0" w:color="auto"/>
            <w:left w:val="none" w:sz="0" w:space="0" w:color="auto"/>
            <w:bottom w:val="none" w:sz="0" w:space="0" w:color="auto"/>
            <w:right w:val="none" w:sz="0" w:space="0" w:color="auto"/>
          </w:divBdr>
        </w:div>
        <w:div w:id="283459944">
          <w:marLeft w:val="0"/>
          <w:marRight w:val="0"/>
          <w:marTop w:val="120"/>
          <w:marBottom w:val="120"/>
          <w:divBdr>
            <w:top w:val="none" w:sz="0" w:space="0" w:color="auto"/>
            <w:left w:val="none" w:sz="0" w:space="0" w:color="auto"/>
            <w:bottom w:val="none" w:sz="0" w:space="0" w:color="auto"/>
            <w:right w:val="none" w:sz="0" w:space="0" w:color="auto"/>
          </w:divBdr>
        </w:div>
        <w:div w:id="1435327384">
          <w:marLeft w:val="0"/>
          <w:marRight w:val="0"/>
          <w:marTop w:val="120"/>
          <w:marBottom w:val="120"/>
          <w:divBdr>
            <w:top w:val="none" w:sz="0" w:space="0" w:color="auto"/>
            <w:left w:val="none" w:sz="0" w:space="0" w:color="auto"/>
            <w:bottom w:val="none" w:sz="0" w:space="0" w:color="auto"/>
            <w:right w:val="none" w:sz="0" w:space="0" w:color="auto"/>
          </w:divBdr>
        </w:div>
        <w:div w:id="69692263">
          <w:marLeft w:val="0"/>
          <w:marRight w:val="0"/>
          <w:marTop w:val="120"/>
          <w:marBottom w:val="120"/>
          <w:divBdr>
            <w:top w:val="none" w:sz="0" w:space="0" w:color="auto"/>
            <w:left w:val="none" w:sz="0" w:space="0" w:color="auto"/>
            <w:bottom w:val="none" w:sz="0" w:space="0" w:color="auto"/>
            <w:right w:val="none" w:sz="0" w:space="0" w:color="auto"/>
          </w:divBdr>
        </w:div>
        <w:div w:id="95488761">
          <w:marLeft w:val="0"/>
          <w:marRight w:val="0"/>
          <w:marTop w:val="120"/>
          <w:marBottom w:val="120"/>
          <w:divBdr>
            <w:top w:val="none" w:sz="0" w:space="0" w:color="auto"/>
            <w:left w:val="none" w:sz="0" w:space="0" w:color="auto"/>
            <w:bottom w:val="none" w:sz="0" w:space="0" w:color="auto"/>
            <w:right w:val="none" w:sz="0" w:space="0" w:color="auto"/>
          </w:divBdr>
        </w:div>
        <w:div w:id="193738387">
          <w:marLeft w:val="0"/>
          <w:marRight w:val="0"/>
          <w:marTop w:val="120"/>
          <w:marBottom w:val="120"/>
          <w:divBdr>
            <w:top w:val="none" w:sz="0" w:space="0" w:color="auto"/>
            <w:left w:val="none" w:sz="0" w:space="0" w:color="auto"/>
            <w:bottom w:val="none" w:sz="0" w:space="0" w:color="auto"/>
            <w:right w:val="none" w:sz="0" w:space="0" w:color="auto"/>
          </w:divBdr>
        </w:div>
        <w:div w:id="951284852">
          <w:marLeft w:val="0"/>
          <w:marRight w:val="0"/>
          <w:marTop w:val="120"/>
          <w:marBottom w:val="120"/>
          <w:divBdr>
            <w:top w:val="none" w:sz="0" w:space="0" w:color="auto"/>
            <w:left w:val="none" w:sz="0" w:space="0" w:color="auto"/>
            <w:bottom w:val="none" w:sz="0" w:space="0" w:color="auto"/>
            <w:right w:val="none" w:sz="0" w:space="0" w:color="auto"/>
          </w:divBdr>
        </w:div>
        <w:div w:id="960382535">
          <w:marLeft w:val="0"/>
          <w:marRight w:val="0"/>
          <w:marTop w:val="120"/>
          <w:marBottom w:val="120"/>
          <w:divBdr>
            <w:top w:val="none" w:sz="0" w:space="0" w:color="auto"/>
            <w:left w:val="none" w:sz="0" w:space="0" w:color="auto"/>
            <w:bottom w:val="none" w:sz="0" w:space="0" w:color="auto"/>
            <w:right w:val="none" w:sz="0" w:space="0" w:color="auto"/>
          </w:divBdr>
        </w:div>
        <w:div w:id="1037925302">
          <w:marLeft w:val="0"/>
          <w:marRight w:val="0"/>
          <w:marTop w:val="120"/>
          <w:marBottom w:val="120"/>
          <w:divBdr>
            <w:top w:val="none" w:sz="0" w:space="0" w:color="auto"/>
            <w:left w:val="none" w:sz="0" w:space="0" w:color="auto"/>
            <w:bottom w:val="none" w:sz="0" w:space="0" w:color="auto"/>
            <w:right w:val="none" w:sz="0" w:space="0" w:color="auto"/>
          </w:divBdr>
        </w:div>
        <w:div w:id="390075923">
          <w:marLeft w:val="0"/>
          <w:marRight w:val="0"/>
          <w:marTop w:val="120"/>
          <w:marBottom w:val="120"/>
          <w:divBdr>
            <w:top w:val="none" w:sz="0" w:space="0" w:color="auto"/>
            <w:left w:val="none" w:sz="0" w:space="0" w:color="auto"/>
            <w:bottom w:val="none" w:sz="0" w:space="0" w:color="auto"/>
            <w:right w:val="none" w:sz="0" w:space="0" w:color="auto"/>
          </w:divBdr>
        </w:div>
        <w:div w:id="1663506430">
          <w:marLeft w:val="0"/>
          <w:marRight w:val="0"/>
          <w:marTop w:val="120"/>
          <w:marBottom w:val="120"/>
          <w:divBdr>
            <w:top w:val="none" w:sz="0" w:space="0" w:color="auto"/>
            <w:left w:val="none" w:sz="0" w:space="0" w:color="auto"/>
            <w:bottom w:val="none" w:sz="0" w:space="0" w:color="auto"/>
            <w:right w:val="none" w:sz="0" w:space="0" w:color="auto"/>
          </w:divBdr>
        </w:div>
        <w:div w:id="1915508924">
          <w:marLeft w:val="0"/>
          <w:marRight w:val="0"/>
          <w:marTop w:val="120"/>
          <w:marBottom w:val="120"/>
          <w:divBdr>
            <w:top w:val="none" w:sz="0" w:space="0" w:color="auto"/>
            <w:left w:val="none" w:sz="0" w:space="0" w:color="auto"/>
            <w:bottom w:val="none" w:sz="0" w:space="0" w:color="auto"/>
            <w:right w:val="none" w:sz="0" w:space="0" w:color="auto"/>
          </w:divBdr>
        </w:div>
        <w:div w:id="981009904">
          <w:marLeft w:val="0"/>
          <w:marRight w:val="0"/>
          <w:marTop w:val="120"/>
          <w:marBottom w:val="120"/>
          <w:divBdr>
            <w:top w:val="none" w:sz="0" w:space="0" w:color="auto"/>
            <w:left w:val="none" w:sz="0" w:space="0" w:color="auto"/>
            <w:bottom w:val="none" w:sz="0" w:space="0" w:color="auto"/>
            <w:right w:val="none" w:sz="0" w:space="0" w:color="auto"/>
          </w:divBdr>
        </w:div>
        <w:div w:id="1555317264">
          <w:marLeft w:val="0"/>
          <w:marRight w:val="0"/>
          <w:marTop w:val="120"/>
          <w:marBottom w:val="120"/>
          <w:divBdr>
            <w:top w:val="none" w:sz="0" w:space="0" w:color="auto"/>
            <w:left w:val="none" w:sz="0" w:space="0" w:color="auto"/>
            <w:bottom w:val="none" w:sz="0" w:space="0" w:color="auto"/>
            <w:right w:val="none" w:sz="0" w:space="0" w:color="auto"/>
          </w:divBdr>
        </w:div>
        <w:div w:id="1820346676">
          <w:marLeft w:val="0"/>
          <w:marRight w:val="0"/>
          <w:marTop w:val="120"/>
          <w:marBottom w:val="120"/>
          <w:divBdr>
            <w:top w:val="none" w:sz="0" w:space="0" w:color="auto"/>
            <w:left w:val="none" w:sz="0" w:space="0" w:color="auto"/>
            <w:bottom w:val="none" w:sz="0" w:space="0" w:color="auto"/>
            <w:right w:val="none" w:sz="0" w:space="0" w:color="auto"/>
          </w:divBdr>
        </w:div>
        <w:div w:id="1203595558">
          <w:marLeft w:val="0"/>
          <w:marRight w:val="0"/>
          <w:marTop w:val="120"/>
          <w:marBottom w:val="120"/>
          <w:divBdr>
            <w:top w:val="none" w:sz="0" w:space="0" w:color="auto"/>
            <w:left w:val="none" w:sz="0" w:space="0" w:color="auto"/>
            <w:bottom w:val="none" w:sz="0" w:space="0" w:color="auto"/>
            <w:right w:val="none" w:sz="0" w:space="0" w:color="auto"/>
          </w:divBdr>
        </w:div>
        <w:div w:id="277955338">
          <w:marLeft w:val="0"/>
          <w:marRight w:val="0"/>
          <w:marTop w:val="120"/>
          <w:marBottom w:val="120"/>
          <w:divBdr>
            <w:top w:val="none" w:sz="0" w:space="0" w:color="auto"/>
            <w:left w:val="none" w:sz="0" w:space="0" w:color="auto"/>
            <w:bottom w:val="none" w:sz="0" w:space="0" w:color="auto"/>
            <w:right w:val="none" w:sz="0" w:space="0" w:color="auto"/>
          </w:divBdr>
        </w:div>
        <w:div w:id="93747381">
          <w:marLeft w:val="0"/>
          <w:marRight w:val="0"/>
          <w:marTop w:val="120"/>
          <w:marBottom w:val="120"/>
          <w:divBdr>
            <w:top w:val="none" w:sz="0" w:space="0" w:color="auto"/>
            <w:left w:val="none" w:sz="0" w:space="0" w:color="auto"/>
            <w:bottom w:val="none" w:sz="0" w:space="0" w:color="auto"/>
            <w:right w:val="none" w:sz="0" w:space="0" w:color="auto"/>
          </w:divBdr>
        </w:div>
        <w:div w:id="1775008615">
          <w:marLeft w:val="0"/>
          <w:marRight w:val="0"/>
          <w:marTop w:val="120"/>
          <w:marBottom w:val="120"/>
          <w:divBdr>
            <w:top w:val="none" w:sz="0" w:space="0" w:color="auto"/>
            <w:left w:val="none" w:sz="0" w:space="0" w:color="auto"/>
            <w:bottom w:val="none" w:sz="0" w:space="0" w:color="auto"/>
            <w:right w:val="none" w:sz="0" w:space="0" w:color="auto"/>
          </w:divBdr>
        </w:div>
        <w:div w:id="995835678">
          <w:marLeft w:val="0"/>
          <w:marRight w:val="0"/>
          <w:marTop w:val="120"/>
          <w:marBottom w:val="120"/>
          <w:divBdr>
            <w:top w:val="none" w:sz="0" w:space="0" w:color="auto"/>
            <w:left w:val="none" w:sz="0" w:space="0" w:color="auto"/>
            <w:bottom w:val="none" w:sz="0" w:space="0" w:color="auto"/>
            <w:right w:val="none" w:sz="0" w:space="0" w:color="auto"/>
          </w:divBdr>
        </w:div>
        <w:div w:id="1949852504">
          <w:marLeft w:val="0"/>
          <w:marRight w:val="0"/>
          <w:marTop w:val="120"/>
          <w:marBottom w:val="120"/>
          <w:divBdr>
            <w:top w:val="none" w:sz="0" w:space="0" w:color="auto"/>
            <w:left w:val="none" w:sz="0" w:space="0" w:color="auto"/>
            <w:bottom w:val="none" w:sz="0" w:space="0" w:color="auto"/>
            <w:right w:val="none" w:sz="0" w:space="0" w:color="auto"/>
          </w:divBdr>
        </w:div>
        <w:div w:id="1403791157">
          <w:marLeft w:val="0"/>
          <w:marRight w:val="0"/>
          <w:marTop w:val="120"/>
          <w:marBottom w:val="120"/>
          <w:divBdr>
            <w:top w:val="none" w:sz="0" w:space="0" w:color="auto"/>
            <w:left w:val="none" w:sz="0" w:space="0" w:color="auto"/>
            <w:bottom w:val="none" w:sz="0" w:space="0" w:color="auto"/>
            <w:right w:val="none" w:sz="0" w:space="0" w:color="auto"/>
          </w:divBdr>
        </w:div>
      </w:divsChild>
    </w:div>
    <w:div w:id="1553955091">
      <w:bodyDiv w:val="1"/>
      <w:marLeft w:val="0"/>
      <w:marRight w:val="0"/>
      <w:marTop w:val="0"/>
      <w:marBottom w:val="0"/>
      <w:divBdr>
        <w:top w:val="none" w:sz="0" w:space="0" w:color="auto"/>
        <w:left w:val="none" w:sz="0" w:space="0" w:color="auto"/>
        <w:bottom w:val="none" w:sz="0" w:space="0" w:color="auto"/>
        <w:right w:val="none" w:sz="0" w:space="0" w:color="auto"/>
      </w:divBdr>
      <w:divsChild>
        <w:div w:id="2051687895">
          <w:marLeft w:val="0"/>
          <w:marRight w:val="0"/>
          <w:marTop w:val="120"/>
          <w:marBottom w:val="120"/>
          <w:divBdr>
            <w:top w:val="none" w:sz="0" w:space="0" w:color="auto"/>
            <w:left w:val="none" w:sz="0" w:space="0" w:color="auto"/>
            <w:bottom w:val="none" w:sz="0" w:space="0" w:color="auto"/>
            <w:right w:val="none" w:sz="0" w:space="0" w:color="auto"/>
          </w:divBdr>
        </w:div>
        <w:div w:id="1398936529">
          <w:marLeft w:val="0"/>
          <w:marRight w:val="0"/>
          <w:marTop w:val="120"/>
          <w:marBottom w:val="120"/>
          <w:divBdr>
            <w:top w:val="none" w:sz="0" w:space="0" w:color="auto"/>
            <w:left w:val="none" w:sz="0" w:space="0" w:color="auto"/>
            <w:bottom w:val="none" w:sz="0" w:space="0" w:color="auto"/>
            <w:right w:val="none" w:sz="0" w:space="0" w:color="auto"/>
          </w:divBdr>
        </w:div>
        <w:div w:id="1247768043">
          <w:marLeft w:val="0"/>
          <w:marRight w:val="0"/>
          <w:marTop w:val="120"/>
          <w:marBottom w:val="120"/>
          <w:divBdr>
            <w:top w:val="none" w:sz="0" w:space="0" w:color="auto"/>
            <w:left w:val="none" w:sz="0" w:space="0" w:color="auto"/>
            <w:bottom w:val="none" w:sz="0" w:space="0" w:color="auto"/>
            <w:right w:val="none" w:sz="0" w:space="0" w:color="auto"/>
          </w:divBdr>
        </w:div>
        <w:div w:id="2110932230">
          <w:marLeft w:val="0"/>
          <w:marRight w:val="0"/>
          <w:marTop w:val="120"/>
          <w:marBottom w:val="120"/>
          <w:divBdr>
            <w:top w:val="none" w:sz="0" w:space="0" w:color="auto"/>
            <w:left w:val="none" w:sz="0" w:space="0" w:color="auto"/>
            <w:bottom w:val="none" w:sz="0" w:space="0" w:color="auto"/>
            <w:right w:val="none" w:sz="0" w:space="0" w:color="auto"/>
          </w:divBdr>
        </w:div>
        <w:div w:id="83889453">
          <w:marLeft w:val="0"/>
          <w:marRight w:val="0"/>
          <w:marTop w:val="120"/>
          <w:marBottom w:val="120"/>
          <w:divBdr>
            <w:top w:val="none" w:sz="0" w:space="0" w:color="auto"/>
            <w:left w:val="none" w:sz="0" w:space="0" w:color="auto"/>
            <w:bottom w:val="none" w:sz="0" w:space="0" w:color="auto"/>
            <w:right w:val="none" w:sz="0" w:space="0" w:color="auto"/>
          </w:divBdr>
        </w:div>
        <w:div w:id="191965725">
          <w:marLeft w:val="0"/>
          <w:marRight w:val="0"/>
          <w:marTop w:val="120"/>
          <w:marBottom w:val="120"/>
          <w:divBdr>
            <w:top w:val="none" w:sz="0" w:space="0" w:color="auto"/>
            <w:left w:val="none" w:sz="0" w:space="0" w:color="auto"/>
            <w:bottom w:val="none" w:sz="0" w:space="0" w:color="auto"/>
            <w:right w:val="none" w:sz="0" w:space="0" w:color="auto"/>
          </w:divBdr>
        </w:div>
        <w:div w:id="657851381">
          <w:marLeft w:val="0"/>
          <w:marRight w:val="0"/>
          <w:marTop w:val="120"/>
          <w:marBottom w:val="120"/>
          <w:divBdr>
            <w:top w:val="none" w:sz="0" w:space="0" w:color="auto"/>
            <w:left w:val="none" w:sz="0" w:space="0" w:color="auto"/>
            <w:bottom w:val="none" w:sz="0" w:space="0" w:color="auto"/>
            <w:right w:val="none" w:sz="0" w:space="0" w:color="auto"/>
          </w:divBdr>
        </w:div>
        <w:div w:id="1635678218">
          <w:marLeft w:val="0"/>
          <w:marRight w:val="0"/>
          <w:marTop w:val="120"/>
          <w:marBottom w:val="120"/>
          <w:divBdr>
            <w:top w:val="none" w:sz="0" w:space="0" w:color="auto"/>
            <w:left w:val="none" w:sz="0" w:space="0" w:color="auto"/>
            <w:bottom w:val="none" w:sz="0" w:space="0" w:color="auto"/>
            <w:right w:val="none" w:sz="0" w:space="0" w:color="auto"/>
          </w:divBdr>
        </w:div>
        <w:div w:id="1069571972">
          <w:marLeft w:val="0"/>
          <w:marRight w:val="0"/>
          <w:marTop w:val="120"/>
          <w:marBottom w:val="120"/>
          <w:divBdr>
            <w:top w:val="none" w:sz="0" w:space="0" w:color="auto"/>
            <w:left w:val="none" w:sz="0" w:space="0" w:color="auto"/>
            <w:bottom w:val="none" w:sz="0" w:space="0" w:color="auto"/>
            <w:right w:val="none" w:sz="0" w:space="0" w:color="auto"/>
          </w:divBdr>
        </w:div>
        <w:div w:id="2137217139">
          <w:marLeft w:val="0"/>
          <w:marRight w:val="0"/>
          <w:marTop w:val="120"/>
          <w:marBottom w:val="120"/>
          <w:divBdr>
            <w:top w:val="none" w:sz="0" w:space="0" w:color="auto"/>
            <w:left w:val="none" w:sz="0" w:space="0" w:color="auto"/>
            <w:bottom w:val="none" w:sz="0" w:space="0" w:color="auto"/>
            <w:right w:val="none" w:sz="0" w:space="0" w:color="auto"/>
          </w:divBdr>
        </w:div>
        <w:div w:id="1252620852">
          <w:marLeft w:val="0"/>
          <w:marRight w:val="0"/>
          <w:marTop w:val="120"/>
          <w:marBottom w:val="120"/>
          <w:divBdr>
            <w:top w:val="none" w:sz="0" w:space="0" w:color="auto"/>
            <w:left w:val="none" w:sz="0" w:space="0" w:color="auto"/>
            <w:bottom w:val="none" w:sz="0" w:space="0" w:color="auto"/>
            <w:right w:val="none" w:sz="0" w:space="0" w:color="auto"/>
          </w:divBdr>
        </w:div>
        <w:div w:id="1499078740">
          <w:marLeft w:val="0"/>
          <w:marRight w:val="0"/>
          <w:marTop w:val="120"/>
          <w:marBottom w:val="120"/>
          <w:divBdr>
            <w:top w:val="none" w:sz="0" w:space="0" w:color="auto"/>
            <w:left w:val="none" w:sz="0" w:space="0" w:color="auto"/>
            <w:bottom w:val="none" w:sz="0" w:space="0" w:color="auto"/>
            <w:right w:val="none" w:sz="0" w:space="0" w:color="auto"/>
          </w:divBdr>
        </w:div>
        <w:div w:id="1435636570">
          <w:marLeft w:val="0"/>
          <w:marRight w:val="0"/>
          <w:marTop w:val="120"/>
          <w:marBottom w:val="120"/>
          <w:divBdr>
            <w:top w:val="none" w:sz="0" w:space="0" w:color="auto"/>
            <w:left w:val="none" w:sz="0" w:space="0" w:color="auto"/>
            <w:bottom w:val="none" w:sz="0" w:space="0" w:color="auto"/>
            <w:right w:val="none" w:sz="0" w:space="0" w:color="auto"/>
          </w:divBdr>
        </w:div>
        <w:div w:id="1741173326">
          <w:marLeft w:val="0"/>
          <w:marRight w:val="0"/>
          <w:marTop w:val="120"/>
          <w:marBottom w:val="120"/>
          <w:divBdr>
            <w:top w:val="none" w:sz="0" w:space="0" w:color="auto"/>
            <w:left w:val="none" w:sz="0" w:space="0" w:color="auto"/>
            <w:bottom w:val="none" w:sz="0" w:space="0" w:color="auto"/>
            <w:right w:val="none" w:sz="0" w:space="0" w:color="auto"/>
          </w:divBdr>
        </w:div>
        <w:div w:id="1675256531">
          <w:marLeft w:val="0"/>
          <w:marRight w:val="0"/>
          <w:marTop w:val="120"/>
          <w:marBottom w:val="120"/>
          <w:divBdr>
            <w:top w:val="none" w:sz="0" w:space="0" w:color="auto"/>
            <w:left w:val="none" w:sz="0" w:space="0" w:color="auto"/>
            <w:bottom w:val="none" w:sz="0" w:space="0" w:color="auto"/>
            <w:right w:val="none" w:sz="0" w:space="0" w:color="auto"/>
          </w:divBdr>
        </w:div>
        <w:div w:id="1269236543">
          <w:marLeft w:val="0"/>
          <w:marRight w:val="0"/>
          <w:marTop w:val="120"/>
          <w:marBottom w:val="120"/>
          <w:divBdr>
            <w:top w:val="none" w:sz="0" w:space="0" w:color="auto"/>
            <w:left w:val="none" w:sz="0" w:space="0" w:color="auto"/>
            <w:bottom w:val="none" w:sz="0" w:space="0" w:color="auto"/>
            <w:right w:val="none" w:sz="0" w:space="0" w:color="auto"/>
          </w:divBdr>
        </w:div>
        <w:div w:id="560941083">
          <w:marLeft w:val="0"/>
          <w:marRight w:val="0"/>
          <w:marTop w:val="120"/>
          <w:marBottom w:val="120"/>
          <w:divBdr>
            <w:top w:val="none" w:sz="0" w:space="0" w:color="auto"/>
            <w:left w:val="none" w:sz="0" w:space="0" w:color="auto"/>
            <w:bottom w:val="none" w:sz="0" w:space="0" w:color="auto"/>
            <w:right w:val="none" w:sz="0" w:space="0" w:color="auto"/>
          </w:divBdr>
        </w:div>
        <w:div w:id="1244686729">
          <w:marLeft w:val="0"/>
          <w:marRight w:val="0"/>
          <w:marTop w:val="120"/>
          <w:marBottom w:val="120"/>
          <w:divBdr>
            <w:top w:val="none" w:sz="0" w:space="0" w:color="auto"/>
            <w:left w:val="none" w:sz="0" w:space="0" w:color="auto"/>
            <w:bottom w:val="none" w:sz="0" w:space="0" w:color="auto"/>
            <w:right w:val="none" w:sz="0" w:space="0" w:color="auto"/>
          </w:divBdr>
        </w:div>
        <w:div w:id="1202785510">
          <w:marLeft w:val="0"/>
          <w:marRight w:val="0"/>
          <w:marTop w:val="120"/>
          <w:marBottom w:val="120"/>
          <w:divBdr>
            <w:top w:val="none" w:sz="0" w:space="0" w:color="auto"/>
            <w:left w:val="none" w:sz="0" w:space="0" w:color="auto"/>
            <w:bottom w:val="none" w:sz="0" w:space="0" w:color="auto"/>
            <w:right w:val="none" w:sz="0" w:space="0" w:color="auto"/>
          </w:divBdr>
        </w:div>
        <w:div w:id="1602300300">
          <w:marLeft w:val="0"/>
          <w:marRight w:val="0"/>
          <w:marTop w:val="120"/>
          <w:marBottom w:val="120"/>
          <w:divBdr>
            <w:top w:val="none" w:sz="0" w:space="0" w:color="auto"/>
            <w:left w:val="none" w:sz="0" w:space="0" w:color="auto"/>
            <w:bottom w:val="none" w:sz="0" w:space="0" w:color="auto"/>
            <w:right w:val="none" w:sz="0" w:space="0" w:color="auto"/>
          </w:divBdr>
        </w:div>
        <w:div w:id="2128158966">
          <w:marLeft w:val="0"/>
          <w:marRight w:val="0"/>
          <w:marTop w:val="120"/>
          <w:marBottom w:val="120"/>
          <w:divBdr>
            <w:top w:val="none" w:sz="0" w:space="0" w:color="auto"/>
            <w:left w:val="none" w:sz="0" w:space="0" w:color="auto"/>
            <w:bottom w:val="none" w:sz="0" w:space="0" w:color="auto"/>
            <w:right w:val="none" w:sz="0" w:space="0" w:color="auto"/>
          </w:divBdr>
        </w:div>
        <w:div w:id="507215809">
          <w:marLeft w:val="0"/>
          <w:marRight w:val="0"/>
          <w:marTop w:val="120"/>
          <w:marBottom w:val="120"/>
          <w:divBdr>
            <w:top w:val="none" w:sz="0" w:space="0" w:color="auto"/>
            <w:left w:val="none" w:sz="0" w:space="0" w:color="auto"/>
            <w:bottom w:val="none" w:sz="0" w:space="0" w:color="auto"/>
            <w:right w:val="none" w:sz="0" w:space="0" w:color="auto"/>
          </w:divBdr>
        </w:div>
        <w:div w:id="749236713">
          <w:marLeft w:val="0"/>
          <w:marRight w:val="0"/>
          <w:marTop w:val="120"/>
          <w:marBottom w:val="120"/>
          <w:divBdr>
            <w:top w:val="none" w:sz="0" w:space="0" w:color="auto"/>
            <w:left w:val="none" w:sz="0" w:space="0" w:color="auto"/>
            <w:bottom w:val="none" w:sz="0" w:space="0" w:color="auto"/>
            <w:right w:val="none" w:sz="0" w:space="0" w:color="auto"/>
          </w:divBdr>
        </w:div>
        <w:div w:id="710229327">
          <w:marLeft w:val="0"/>
          <w:marRight w:val="0"/>
          <w:marTop w:val="120"/>
          <w:marBottom w:val="120"/>
          <w:divBdr>
            <w:top w:val="none" w:sz="0" w:space="0" w:color="auto"/>
            <w:left w:val="none" w:sz="0" w:space="0" w:color="auto"/>
            <w:bottom w:val="none" w:sz="0" w:space="0" w:color="auto"/>
            <w:right w:val="none" w:sz="0" w:space="0" w:color="auto"/>
          </w:divBdr>
        </w:div>
        <w:div w:id="705182107">
          <w:marLeft w:val="0"/>
          <w:marRight w:val="0"/>
          <w:marTop w:val="120"/>
          <w:marBottom w:val="120"/>
          <w:divBdr>
            <w:top w:val="none" w:sz="0" w:space="0" w:color="auto"/>
            <w:left w:val="none" w:sz="0" w:space="0" w:color="auto"/>
            <w:bottom w:val="none" w:sz="0" w:space="0" w:color="auto"/>
            <w:right w:val="none" w:sz="0" w:space="0" w:color="auto"/>
          </w:divBdr>
        </w:div>
        <w:div w:id="2052413591">
          <w:marLeft w:val="0"/>
          <w:marRight w:val="0"/>
          <w:marTop w:val="120"/>
          <w:marBottom w:val="120"/>
          <w:divBdr>
            <w:top w:val="none" w:sz="0" w:space="0" w:color="auto"/>
            <w:left w:val="none" w:sz="0" w:space="0" w:color="auto"/>
            <w:bottom w:val="none" w:sz="0" w:space="0" w:color="auto"/>
            <w:right w:val="none" w:sz="0" w:space="0" w:color="auto"/>
          </w:divBdr>
        </w:div>
        <w:div w:id="1193767507">
          <w:marLeft w:val="0"/>
          <w:marRight w:val="0"/>
          <w:marTop w:val="120"/>
          <w:marBottom w:val="120"/>
          <w:divBdr>
            <w:top w:val="none" w:sz="0" w:space="0" w:color="auto"/>
            <w:left w:val="none" w:sz="0" w:space="0" w:color="auto"/>
            <w:bottom w:val="none" w:sz="0" w:space="0" w:color="auto"/>
            <w:right w:val="none" w:sz="0" w:space="0" w:color="auto"/>
          </w:divBdr>
        </w:div>
        <w:div w:id="327053373">
          <w:marLeft w:val="0"/>
          <w:marRight w:val="0"/>
          <w:marTop w:val="120"/>
          <w:marBottom w:val="120"/>
          <w:divBdr>
            <w:top w:val="none" w:sz="0" w:space="0" w:color="auto"/>
            <w:left w:val="none" w:sz="0" w:space="0" w:color="auto"/>
            <w:bottom w:val="none" w:sz="0" w:space="0" w:color="auto"/>
            <w:right w:val="none" w:sz="0" w:space="0" w:color="auto"/>
          </w:divBdr>
        </w:div>
        <w:div w:id="1825197239">
          <w:marLeft w:val="0"/>
          <w:marRight w:val="0"/>
          <w:marTop w:val="120"/>
          <w:marBottom w:val="120"/>
          <w:divBdr>
            <w:top w:val="none" w:sz="0" w:space="0" w:color="auto"/>
            <w:left w:val="none" w:sz="0" w:space="0" w:color="auto"/>
            <w:bottom w:val="none" w:sz="0" w:space="0" w:color="auto"/>
            <w:right w:val="none" w:sz="0" w:space="0" w:color="auto"/>
          </w:divBdr>
        </w:div>
        <w:div w:id="552814821">
          <w:marLeft w:val="0"/>
          <w:marRight w:val="0"/>
          <w:marTop w:val="120"/>
          <w:marBottom w:val="120"/>
          <w:divBdr>
            <w:top w:val="none" w:sz="0" w:space="0" w:color="auto"/>
            <w:left w:val="none" w:sz="0" w:space="0" w:color="auto"/>
            <w:bottom w:val="none" w:sz="0" w:space="0" w:color="auto"/>
            <w:right w:val="none" w:sz="0" w:space="0" w:color="auto"/>
          </w:divBdr>
        </w:div>
        <w:div w:id="272439311">
          <w:marLeft w:val="0"/>
          <w:marRight w:val="0"/>
          <w:marTop w:val="120"/>
          <w:marBottom w:val="120"/>
          <w:divBdr>
            <w:top w:val="none" w:sz="0" w:space="0" w:color="auto"/>
            <w:left w:val="none" w:sz="0" w:space="0" w:color="auto"/>
            <w:bottom w:val="none" w:sz="0" w:space="0" w:color="auto"/>
            <w:right w:val="none" w:sz="0" w:space="0" w:color="auto"/>
          </w:divBdr>
        </w:div>
        <w:div w:id="381172724">
          <w:marLeft w:val="0"/>
          <w:marRight w:val="0"/>
          <w:marTop w:val="120"/>
          <w:marBottom w:val="120"/>
          <w:divBdr>
            <w:top w:val="none" w:sz="0" w:space="0" w:color="auto"/>
            <w:left w:val="none" w:sz="0" w:space="0" w:color="auto"/>
            <w:bottom w:val="none" w:sz="0" w:space="0" w:color="auto"/>
            <w:right w:val="none" w:sz="0" w:space="0" w:color="auto"/>
          </w:divBdr>
        </w:div>
        <w:div w:id="650790522">
          <w:marLeft w:val="0"/>
          <w:marRight w:val="0"/>
          <w:marTop w:val="120"/>
          <w:marBottom w:val="120"/>
          <w:divBdr>
            <w:top w:val="none" w:sz="0" w:space="0" w:color="auto"/>
            <w:left w:val="none" w:sz="0" w:space="0" w:color="auto"/>
            <w:bottom w:val="none" w:sz="0" w:space="0" w:color="auto"/>
            <w:right w:val="none" w:sz="0" w:space="0" w:color="auto"/>
          </w:divBdr>
        </w:div>
        <w:div w:id="324818146">
          <w:marLeft w:val="0"/>
          <w:marRight w:val="0"/>
          <w:marTop w:val="120"/>
          <w:marBottom w:val="120"/>
          <w:divBdr>
            <w:top w:val="none" w:sz="0" w:space="0" w:color="auto"/>
            <w:left w:val="none" w:sz="0" w:space="0" w:color="auto"/>
            <w:bottom w:val="none" w:sz="0" w:space="0" w:color="auto"/>
            <w:right w:val="none" w:sz="0" w:space="0" w:color="auto"/>
          </w:divBdr>
        </w:div>
        <w:div w:id="1926956966">
          <w:marLeft w:val="0"/>
          <w:marRight w:val="0"/>
          <w:marTop w:val="120"/>
          <w:marBottom w:val="120"/>
          <w:divBdr>
            <w:top w:val="none" w:sz="0" w:space="0" w:color="auto"/>
            <w:left w:val="none" w:sz="0" w:space="0" w:color="auto"/>
            <w:bottom w:val="none" w:sz="0" w:space="0" w:color="auto"/>
            <w:right w:val="none" w:sz="0" w:space="0" w:color="auto"/>
          </w:divBdr>
        </w:div>
        <w:div w:id="1855223038">
          <w:marLeft w:val="0"/>
          <w:marRight w:val="0"/>
          <w:marTop w:val="120"/>
          <w:marBottom w:val="120"/>
          <w:divBdr>
            <w:top w:val="none" w:sz="0" w:space="0" w:color="auto"/>
            <w:left w:val="none" w:sz="0" w:space="0" w:color="auto"/>
            <w:bottom w:val="none" w:sz="0" w:space="0" w:color="auto"/>
            <w:right w:val="none" w:sz="0" w:space="0" w:color="auto"/>
          </w:divBdr>
        </w:div>
        <w:div w:id="846166390">
          <w:marLeft w:val="0"/>
          <w:marRight w:val="0"/>
          <w:marTop w:val="120"/>
          <w:marBottom w:val="120"/>
          <w:divBdr>
            <w:top w:val="none" w:sz="0" w:space="0" w:color="auto"/>
            <w:left w:val="none" w:sz="0" w:space="0" w:color="auto"/>
            <w:bottom w:val="none" w:sz="0" w:space="0" w:color="auto"/>
            <w:right w:val="none" w:sz="0" w:space="0" w:color="auto"/>
          </w:divBdr>
        </w:div>
        <w:div w:id="1116405820">
          <w:marLeft w:val="0"/>
          <w:marRight w:val="0"/>
          <w:marTop w:val="120"/>
          <w:marBottom w:val="120"/>
          <w:divBdr>
            <w:top w:val="none" w:sz="0" w:space="0" w:color="auto"/>
            <w:left w:val="none" w:sz="0" w:space="0" w:color="auto"/>
            <w:bottom w:val="none" w:sz="0" w:space="0" w:color="auto"/>
            <w:right w:val="none" w:sz="0" w:space="0" w:color="auto"/>
          </w:divBdr>
        </w:div>
        <w:div w:id="413018223">
          <w:marLeft w:val="0"/>
          <w:marRight w:val="0"/>
          <w:marTop w:val="120"/>
          <w:marBottom w:val="120"/>
          <w:divBdr>
            <w:top w:val="none" w:sz="0" w:space="0" w:color="auto"/>
            <w:left w:val="none" w:sz="0" w:space="0" w:color="auto"/>
            <w:bottom w:val="none" w:sz="0" w:space="0" w:color="auto"/>
            <w:right w:val="none" w:sz="0" w:space="0" w:color="auto"/>
          </w:divBdr>
        </w:div>
        <w:div w:id="1339380419">
          <w:marLeft w:val="0"/>
          <w:marRight w:val="0"/>
          <w:marTop w:val="120"/>
          <w:marBottom w:val="120"/>
          <w:divBdr>
            <w:top w:val="none" w:sz="0" w:space="0" w:color="auto"/>
            <w:left w:val="none" w:sz="0" w:space="0" w:color="auto"/>
            <w:bottom w:val="none" w:sz="0" w:space="0" w:color="auto"/>
            <w:right w:val="none" w:sz="0" w:space="0" w:color="auto"/>
          </w:divBdr>
        </w:div>
        <w:div w:id="913318035">
          <w:marLeft w:val="0"/>
          <w:marRight w:val="0"/>
          <w:marTop w:val="120"/>
          <w:marBottom w:val="120"/>
          <w:divBdr>
            <w:top w:val="none" w:sz="0" w:space="0" w:color="auto"/>
            <w:left w:val="none" w:sz="0" w:space="0" w:color="auto"/>
            <w:bottom w:val="none" w:sz="0" w:space="0" w:color="auto"/>
            <w:right w:val="none" w:sz="0" w:space="0" w:color="auto"/>
          </w:divBdr>
        </w:div>
        <w:div w:id="838807748">
          <w:marLeft w:val="0"/>
          <w:marRight w:val="0"/>
          <w:marTop w:val="120"/>
          <w:marBottom w:val="120"/>
          <w:divBdr>
            <w:top w:val="none" w:sz="0" w:space="0" w:color="auto"/>
            <w:left w:val="none" w:sz="0" w:space="0" w:color="auto"/>
            <w:bottom w:val="none" w:sz="0" w:space="0" w:color="auto"/>
            <w:right w:val="none" w:sz="0" w:space="0" w:color="auto"/>
          </w:divBdr>
        </w:div>
        <w:div w:id="1568803733">
          <w:marLeft w:val="0"/>
          <w:marRight w:val="0"/>
          <w:marTop w:val="12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26</Pages>
  <Words>8347</Words>
  <Characters>47579</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Compliance in a Fragmented Regulatory Landscape: Navigating GDPR, DORA, and NIS2 for Critical Infrastructure</vt:lpstr>
    </vt:vector>
  </TitlesOfParts>
  <Company/>
  <LinksUpToDate>false</LinksUpToDate>
  <CharactersWithSpaces>55815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and case scenario
in Data Security and
Compliance.  
“Compliance in a Fragmented Regulatory Landscape: Navigating GDPR, DORA, and NIS2 for Critical Infrastructure”</dc:title>
  <dc:subject>Task 2 – Designing a Future-Oriented Cybersecurity Programme Using the Equifax Case</dc:subject>
  <dc:creator>Hp</dc:creator>
  <cp:keywords/>
  <dc:description/>
  <cp:lastModifiedBy>Hp</cp:lastModifiedBy>
  <cp:revision>1</cp:revision>
  <dcterms:created xsi:type="dcterms:W3CDTF">2026-08-10T01:35:00Z</dcterms:created>
  <dcterms:modified xsi:type="dcterms:W3CDTF">2026-08-10T03:43:00Z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e79f3103-f774-41bb-990a-95a1e88a65b7</vt:lpwstr>
  </property>
</Properties>
</file>