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-123824</wp:posOffset>
            </wp:positionH>
            <wp:positionV relativeFrom="paragraph">
              <wp:posOffset>123825</wp:posOffset>
            </wp:positionV>
            <wp:extent cx="2166182" cy="719138"/>
            <wp:effectExtent b="0" l="0" r="0" t="0"/>
            <wp:wrapTopAndBottom distB="114300" distT="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66182" cy="719138"/>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3486150</wp:posOffset>
            </wp:positionH>
            <wp:positionV relativeFrom="paragraph">
              <wp:posOffset>61913</wp:posOffset>
            </wp:positionV>
            <wp:extent cx="2351428" cy="847725"/>
            <wp:effectExtent b="0" l="0" r="0" t="0"/>
            <wp:wrapTopAndBottom distB="0" dist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351428" cy="847725"/>
                    </a:xfrm>
                    <a:prstGeom prst="rect"/>
                    <a:ln/>
                  </pic:spPr>
                </pic:pic>
              </a:graphicData>
            </a:graphic>
          </wp:anchor>
        </w:drawing>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before="0" w:lineRule="auto"/>
        <w:ind w:left="-180" w:firstLine="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CONTEMPORARY CHALLENGES : MAKING A DIFFERENCE</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ASSIGNMENT 2: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 xml:space="preserve">“SIGNIFICANCE OF THE GLOBAL TEAM IN EFFECTIVE PROBLEM SOLVING” </w:t>
      </w: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1"/>
          <w:sz w:val="28"/>
          <w:szCs w:val="28"/>
          <w:rtl w:val="0"/>
        </w:rPr>
        <w:t xml:space="preserve">LECTURER : </w:t>
      </w:r>
      <w:r w:rsidDel="00000000" w:rsidR="00000000" w:rsidRPr="00000000">
        <w:rPr>
          <w:b w:val="1"/>
          <w:sz w:val="26"/>
          <w:szCs w:val="26"/>
          <w:highlight w:val="white"/>
          <w:rtl w:val="0"/>
        </w:rPr>
        <w:t xml:space="preserve">Myfanwy Davies </w:t>
      </w: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ID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ROSHNY KAUR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2226200</w:t>
            </w:r>
          </w:p>
        </w:tc>
      </w:tr>
    </w:tbl>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b w:val="1"/>
          <w:sz w:val="28"/>
          <w:szCs w:val="28"/>
          <w:u w:val="single"/>
        </w:rPr>
      </w:pPr>
      <w:r w:rsidDel="00000000" w:rsidR="00000000" w:rsidRPr="00000000">
        <w:rPr>
          <w:rFonts w:ascii="Times New Roman" w:cs="Times New Roman" w:eastAsia="Times New Roman" w:hAnsi="Times New Roman"/>
          <w:b w:val="1"/>
          <w:sz w:val="28"/>
          <w:szCs w:val="28"/>
          <w:u w:val="single"/>
          <w:rtl w:val="0"/>
        </w:rPr>
        <w:t xml:space="preserve">Content Page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Section  1 – Notes relating to the Presentation (Including the link to the presentation) ……………………….Pg. 3-5</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Section 2 – Reflection on the process  Using Gibbs Reflective Cycle……..…………………………Pg. 6-7</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References ………………..Pg. 8-9</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Appendix……………………..Pg. 10</w:t>
      </w:r>
    </w:p>
    <w:p w:rsidR="00000000" w:rsidDel="00000000" w:rsidP="00000000" w:rsidRDefault="00000000" w:rsidRPr="00000000" w14:paraId="00000031">
      <w:pPr>
        <w:pBdr>
          <w:top w:color="auto" w:space="0" w:sz="0" w:val="none"/>
          <w:bottom w:color="auto" w:space="0" w:sz="0" w:val="none"/>
          <w:right w:color="auto" w:space="0" w:sz="0" w:val="none"/>
          <w:between w:color="auto" w:space="0" w:sz="0" w:val="none"/>
        </w:pBdr>
        <w:spacing w:line="360" w:lineRule="auto"/>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9">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C">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B">
      <w:pPr>
        <w:spacing w:line="360" w:lineRule="auto"/>
        <w:jc w:val="left"/>
        <w:rPr>
          <w:rFonts w:ascii="Times New Roman" w:cs="Times New Roman" w:eastAsia="Times New Roman" w:hAnsi="Times New Roman"/>
          <w:b w:val="1"/>
          <w:color w:val="374151"/>
          <w:sz w:val="24"/>
          <w:szCs w:val="24"/>
          <w:u w:val="single"/>
        </w:rPr>
      </w:pPr>
      <w:r w:rsidDel="00000000" w:rsidR="00000000" w:rsidRPr="00000000">
        <w:rPr>
          <w:rtl w:val="0"/>
        </w:rPr>
      </w:r>
    </w:p>
    <w:p w:rsidR="00000000" w:rsidDel="00000000" w:rsidP="00000000" w:rsidRDefault="00000000" w:rsidRPr="00000000" w14:paraId="0000004C">
      <w:pPr>
        <w:spacing w:line="360" w:lineRule="auto"/>
        <w:jc w:val="center"/>
        <w:rPr>
          <w:rFonts w:ascii="Times New Roman" w:cs="Times New Roman" w:eastAsia="Times New Roman" w:hAnsi="Times New Roman"/>
          <w:b w:val="1"/>
          <w:color w:val="374151"/>
          <w:sz w:val="26"/>
          <w:szCs w:val="26"/>
          <w:u w:val="single"/>
        </w:rPr>
      </w:pPr>
      <w:r w:rsidDel="00000000" w:rsidR="00000000" w:rsidRPr="00000000">
        <w:rPr>
          <w:rFonts w:ascii="Times New Roman" w:cs="Times New Roman" w:eastAsia="Times New Roman" w:hAnsi="Times New Roman"/>
          <w:b w:val="1"/>
          <w:color w:val="374151"/>
          <w:sz w:val="26"/>
          <w:szCs w:val="26"/>
          <w:u w:val="single"/>
          <w:rtl w:val="0"/>
        </w:rPr>
        <w:t xml:space="preserve">SECTION 1- Notes relating to the presentation</w:t>
      </w:r>
    </w:p>
    <w:p w:rsidR="00000000" w:rsidDel="00000000" w:rsidP="00000000" w:rsidRDefault="00000000" w:rsidRPr="00000000" w14:paraId="0000004D">
      <w:pPr>
        <w:spacing w:line="360" w:lineRule="auto"/>
        <w:jc w:val="left"/>
        <w:rPr>
          <w:rFonts w:ascii="Times New Roman" w:cs="Times New Roman" w:eastAsia="Times New Roman" w:hAnsi="Times New Roman"/>
          <w:b w:val="1"/>
          <w:color w:val="374151"/>
          <w:sz w:val="26"/>
          <w:szCs w:val="26"/>
          <w:u w:val="single"/>
        </w:rPr>
      </w:pPr>
      <w:r w:rsidDel="00000000" w:rsidR="00000000" w:rsidRPr="00000000">
        <w:rPr>
          <w:rtl w:val="0"/>
        </w:rPr>
      </w:r>
    </w:p>
    <w:p w:rsidR="00000000" w:rsidDel="00000000" w:rsidP="00000000" w:rsidRDefault="00000000" w:rsidRPr="00000000" w14:paraId="0000004E">
      <w:pPr>
        <w:spacing w:line="360" w:lineRule="auto"/>
        <w:jc w:val="center"/>
        <w:rPr>
          <w:rFonts w:ascii="Times New Roman" w:cs="Times New Roman" w:eastAsia="Times New Roman" w:hAnsi="Times New Roman"/>
          <w:b w:val="1"/>
          <w:color w:val="374151"/>
          <w:sz w:val="26"/>
          <w:szCs w:val="26"/>
          <w:u w:val="single"/>
        </w:rPr>
      </w:pPr>
      <w:r w:rsidDel="00000000" w:rsidR="00000000" w:rsidRPr="00000000">
        <w:rPr>
          <w:rFonts w:ascii="Times New Roman" w:cs="Times New Roman" w:eastAsia="Times New Roman" w:hAnsi="Times New Roman"/>
          <w:b w:val="1"/>
          <w:color w:val="374151"/>
          <w:sz w:val="26"/>
          <w:szCs w:val="26"/>
          <w:u w:val="single"/>
          <w:rtl w:val="0"/>
        </w:rPr>
        <w:t xml:space="preserve">Decision making framework and techniques</w:t>
      </w:r>
    </w:p>
    <w:p w:rsidR="00000000" w:rsidDel="00000000" w:rsidP="00000000" w:rsidRDefault="00000000" w:rsidRPr="00000000" w14:paraId="0000004F">
      <w:pPr>
        <w:spacing w:line="360" w:lineRule="auto"/>
        <w:rPr>
          <w:rFonts w:ascii="Times New Roman" w:cs="Times New Roman" w:eastAsia="Times New Roman" w:hAnsi="Times New Roman"/>
          <w:color w:val="374151"/>
          <w:sz w:val="28"/>
          <w:szCs w:val="28"/>
          <w:u w:val="single"/>
        </w:rPr>
      </w:pPr>
      <w:r w:rsidDel="00000000" w:rsidR="00000000" w:rsidRPr="00000000">
        <w:rPr>
          <w:rtl w:val="0"/>
        </w:rPr>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Decision-making frameworks and models offer a systematic approach to the decision-making process within a team, according to the specific nature of the problem being addressed. This article aims to elucidate the utility of decision-making frameworks, provide several decision-making models, and offer recommendations for effective team decision-making practices. (Oster, 2022)</w:t>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decision-making frameworks, including the fishbone diagram, force field analysis, and decision trees, among others, are easily understandable (Hooper, 2021). In order to evaluate the issue of heavy traffic levels and poor parking facilities surrounding a primary school, the force field analysis framework has been selected as the analysing tool. </w:t>
      </w:r>
    </w:p>
    <w:p w:rsidR="00000000" w:rsidDel="00000000" w:rsidP="00000000" w:rsidRDefault="00000000" w:rsidRPr="00000000" w14:paraId="0000005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Force Field Analysis is a conceptual framework employed to facilitate company decision-making processes, commonly within the realm of strategic planning, implementation, or change management. The framework proposes the existence of both supportive and opposing forces in relation to the decision (Athuraliya, 2023). The relevance of this framework to our present situation is supported by the evident requirement for change within the primary school environment. </w:t>
      </w:r>
    </w:p>
    <w:p w:rsidR="00000000" w:rsidDel="00000000" w:rsidP="00000000" w:rsidRDefault="00000000" w:rsidRPr="00000000" w14:paraId="0000005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use of the force field analysis framework has the advantage of enabling the identification of potential obstacles to improvement.  This allows for the development of a strategic plan to reinforce the elements that support the choice while also implementing actions to reduce or avoid the ones that limit its completion (Kapisa, 2021). One potential disadvantage of force field analysis is that it may have a negative impact on teamwork. The use of a force field analysis has the potential to cause a split within the collective, dividing individuals into two factions, supporters of the proposed change and opponents of this change. (Freeman, 2021)</w:t>
      </w:r>
    </w:p>
    <w:p w:rsidR="00000000" w:rsidDel="00000000" w:rsidP="00000000" w:rsidRDefault="00000000" w:rsidRPr="00000000" w14:paraId="0000005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step in the force field analysis framework involves identifying and defining the problem. The current situation concerns the d</w:t>
      </w:r>
      <w:r w:rsidDel="00000000" w:rsidR="00000000" w:rsidRPr="00000000">
        <w:rPr>
          <w:rFonts w:ascii="Times New Roman" w:cs="Times New Roman" w:eastAsia="Times New Roman" w:hAnsi="Times New Roman"/>
          <w:sz w:val="24"/>
          <w:szCs w:val="24"/>
          <w:rtl w:val="0"/>
        </w:rPr>
        <w:t xml:space="preserve">angerous levels of traffic and bad parking around primary schools, </w:t>
      </w:r>
      <w:r w:rsidDel="00000000" w:rsidR="00000000" w:rsidRPr="00000000">
        <w:rPr>
          <w:rFonts w:ascii="Times New Roman" w:cs="Times New Roman" w:eastAsia="Times New Roman" w:hAnsi="Times New Roman"/>
          <w:sz w:val="24"/>
          <w:szCs w:val="24"/>
          <w:rtl w:val="0"/>
        </w:rPr>
        <w:t xml:space="preserve">posing a significant risk to the safety of the children. </w:t>
      </w:r>
    </w:p>
    <w:p w:rsidR="00000000" w:rsidDel="00000000" w:rsidP="00000000" w:rsidRDefault="00000000" w:rsidRPr="00000000" w14:paraId="000000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step involves the identification of the key forces that drive this particular situation.  Driving forces refer to the existing factors that contribute to and push the intended change. Community concerns are among the driving forces in this situation.  When a community is really concerned about the protection of its children, it becomes an effective change agent. The second driver is government support. Local governments are in charge of allocating resources and funds to address issues affecting the community.  Parental engagement is the third driving force. Parental involvement has the potential to mobilise the entire community. When parents express their concerns and take action, it often inspires other members of the community to join in and support safety efforts. The final driving force is the advancement of technology.  Traffic cameras and sensors, as well as other modern surveillance equipment, enable for real-time monitoring of traffic situations. </w:t>
      </w:r>
    </w:p>
    <w:p w:rsidR="00000000" w:rsidDel="00000000" w:rsidP="00000000" w:rsidRDefault="00000000" w:rsidRPr="00000000" w14:paraId="0000005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stage is to identify the restraining force that makes change difficult to achieve. The first issue is a lack of finances.  Infrastructure changes, such as adding crosswalks, putting traffic signs, or increasing pedestrian facilities, involve funding. These critical improvements may be postponed if appropriate financing is not provided. The next stage is resistance to change. Uncertainty and fear of the unknown are frequently associated with change. People may be resistant to changes in traffic and parking restrictions because they are unsure how they will affect them personally or their daily routines. Third, there is insufficient infrastructure.Without adequate pedestrian infrastructure, students and parents may be compelled to stroll in dangerous places. Finally, there are enforcement challenges. Law enforcement agencies may have limited manpower and resources for traffic enforcement, making it difficult to adequately monitor school zones.</w:t>
      </w:r>
    </w:p>
    <w:p w:rsidR="00000000" w:rsidDel="00000000" w:rsidP="00000000" w:rsidRDefault="00000000" w:rsidRPr="00000000" w14:paraId="000000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step is to assess the forces. You can also evaluate the forces by considering the influence that each of them may have.You can assess whether the proposed change is viable based on the effect they have. As a result, you can discuss how to alter the factors in support of change. You can reduce the restricting forces while improving the driving forces.</w:t>
      </w:r>
    </w:p>
    <w:p w:rsidR="00000000" w:rsidDel="00000000" w:rsidP="00000000" w:rsidRDefault="00000000" w:rsidRPr="00000000" w14:paraId="000000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we must develop an action plan based on the prior factor evaluation. We agreed to devise action plans to help reduce the restraining forces and increase the driving force (Feldman, 2023) . The first step is to engage with stakeholders. Engaging with parents, educators, students, and neighbours in the community helps to build support for fundraising initiatives. When stakeholders are aware of and actively interested in the safety issue, they are more willing to help financially and through volunteer activities. This activity can aid in fundraising, which can help mitigate the financial constraint.  </w:t>
      </w:r>
    </w:p>
    <w:p w:rsidR="00000000" w:rsidDel="00000000" w:rsidP="00000000" w:rsidRDefault="00000000" w:rsidRPr="00000000" w14:paraId="000000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plan of action involves implementing strategies that mitigate resistance towards change. Effective communication from the start aids the achievement of this objective (Fisher, 2018). Effectively share the rationale for the alteration, placing significant focus on the advantages it will yield, particularly with relation to the better safety of children and the broader community.Utilise a diverse range of communication channels, including as face-to-face meetings, written newsletters, messages via email, and other social media platforms, in order to efficiently convey information and maintain a high level of awareness among all relevant parties involved (Olmstead, 2022). Always address any misconceptions or misunderstandings that may have arisen and provide chances for questions and explanations. </w:t>
      </w:r>
    </w:p>
    <w:p w:rsidR="00000000" w:rsidDel="00000000" w:rsidP="00000000" w:rsidRDefault="00000000" w:rsidRPr="00000000" w14:paraId="000000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action plan involves utilising advances in technology to carry out the necessary changes in traffic control and parking management in an efficient manner. Child safety can be improved by installing speed cameras around the school. Parking management systems that use sensors and mobile apps to deliver real-time information about available parking spaces near schools should also be available.Allow drivers to book parking spaces ahead of time to avoid traffic and provide a more seamless drop-off and pick-up experience. (Sutton, 2023)</w:t>
      </w:r>
    </w:p>
    <w:p w:rsidR="00000000" w:rsidDel="00000000" w:rsidP="00000000" w:rsidRDefault="00000000" w:rsidRPr="00000000" w14:paraId="000000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the framework of force field analysis helps in recognising the effect of various forces on the problem and making the necessary changes.  It's a helpful tool for making choices on how to proceed while facing challenges that require changes.  </w:t>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360" w:lineRule="auto"/>
        <w:jc w:val="center"/>
        <w:rPr>
          <w:rFonts w:ascii="Times New Roman" w:cs="Times New Roman" w:eastAsia="Times New Roman" w:hAnsi="Times New Roman"/>
          <w:b w:val="1"/>
          <w:sz w:val="26"/>
          <w:szCs w:val="26"/>
          <w:u w:val="single"/>
        </w:rPr>
      </w:pPr>
      <w:r w:rsidDel="00000000" w:rsidR="00000000" w:rsidRPr="00000000">
        <w:rPr>
          <w:rFonts w:ascii="Times New Roman" w:cs="Times New Roman" w:eastAsia="Times New Roman" w:hAnsi="Times New Roman"/>
          <w:b w:val="1"/>
          <w:sz w:val="26"/>
          <w:szCs w:val="26"/>
          <w:u w:val="single"/>
          <w:rtl w:val="0"/>
        </w:rPr>
        <w:t xml:space="preserve">Link to the presentation</w:t>
      </w:r>
    </w:p>
    <w:p w:rsidR="00000000" w:rsidDel="00000000" w:rsidP="00000000" w:rsidRDefault="00000000" w:rsidRPr="00000000" w14:paraId="0000006A">
      <w:pPr>
        <w:spacing w:line="360" w:lineRule="auto"/>
        <w:jc w:val="center"/>
        <w:rPr>
          <w:rFonts w:ascii="Times New Roman" w:cs="Times New Roman" w:eastAsia="Times New Roman" w:hAnsi="Times New Roman"/>
          <w:sz w:val="26"/>
          <w:szCs w:val="26"/>
        </w:rPr>
      </w:pPr>
      <w:hyperlink r:id="rId9">
        <w:r w:rsidDel="00000000" w:rsidR="00000000" w:rsidRPr="00000000">
          <w:rPr>
            <w:rFonts w:ascii="Times New Roman" w:cs="Times New Roman" w:eastAsia="Times New Roman" w:hAnsi="Times New Roman"/>
            <w:color w:val="1155cc"/>
            <w:sz w:val="26"/>
            <w:szCs w:val="26"/>
            <w:u w:val="single"/>
            <w:rtl w:val="0"/>
          </w:rPr>
          <w:t xml:space="preserve">https://1drv.ms/v/s!AiBoHsPG5OjThwKb56g39BcgJcAe?e=SOJdMt</w:t>
        </w:r>
      </w:hyperlink>
      <w:r w:rsidDel="00000000" w:rsidR="00000000" w:rsidRPr="00000000">
        <w:rPr>
          <w:rtl w:val="0"/>
        </w:rPr>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SECTION 2 – Reflection on the process  Using Gibbs Reflective </w:t>
      </w:r>
      <w:r w:rsidDel="00000000" w:rsidR="00000000" w:rsidRPr="00000000">
        <w:rPr>
          <w:rtl w:val="0"/>
        </w:rPr>
      </w:r>
    </w:p>
    <w:p w:rsidR="00000000" w:rsidDel="00000000" w:rsidP="00000000" w:rsidRDefault="00000000" w:rsidRPr="00000000" w14:paraId="0000006D">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Gibbs Reflective Cycle is a management and self-reflection technique that encourages reflective analysis of one's own experiences in the context of a certain activity or condition (Bhasin, 2021). There are 6 steps involved in this cycle which are description , feelings , evaluation , analysis , conclusion and action plan. </w:t>
      </w:r>
    </w:p>
    <w:p w:rsidR="00000000" w:rsidDel="00000000" w:rsidP="00000000" w:rsidRDefault="00000000" w:rsidRPr="00000000" w14:paraId="0000007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Description:</w:t>
      </w:r>
      <w:r w:rsidDel="00000000" w:rsidR="00000000" w:rsidRPr="00000000">
        <w:rPr>
          <w:rFonts w:ascii="Times New Roman" w:cs="Times New Roman" w:eastAsia="Times New Roman" w:hAnsi="Times New Roman"/>
          <w:sz w:val="24"/>
          <w:szCs w:val="24"/>
          <w:rtl w:val="0"/>
        </w:rPr>
        <w:t xml:space="preserve"> The accumulation of knowledge regarding decision-making frameworks has provided me with insights into different techniques that may be employed to effectively address and resolve problems. Several frameworks commonly used in many fields include the decision tree, fishbone diagram, and force field analysis framework. The force field analysis approach was used  to ease the decision-making process in addressing the issue of high traffic volumes and inadequate parking infrastructure around the primary school. The approach identified appears to be the most suitable in relation to the current situation, as changes were necessary to enhance child safety. </w:t>
      </w:r>
    </w:p>
    <w:p w:rsidR="00000000" w:rsidDel="00000000" w:rsidP="00000000" w:rsidRDefault="00000000" w:rsidRPr="00000000" w14:paraId="0000007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Feelings :</w:t>
      </w:r>
      <w:r w:rsidDel="00000000" w:rsidR="00000000" w:rsidRPr="00000000">
        <w:rPr>
          <w:rFonts w:ascii="Times New Roman" w:cs="Times New Roman" w:eastAsia="Times New Roman" w:hAnsi="Times New Roman"/>
          <w:sz w:val="24"/>
          <w:szCs w:val="24"/>
          <w:rtl w:val="0"/>
        </w:rPr>
        <w:t xml:space="preserve">Throughout the entirety of this process, I experienced many different kinds of thoughts. The framework presented an orderly process for conducting decision making. The force field analysis framework was found to be easily comprehensible and straightforward to follow, thus allowing a clear understanding of each step involved. I have serious worries and concerns over the issue of high traffic volumes and insufficient parking amenities in the area of a primary school, primarily due to the potential risks posed to the safety and well-being of the children. The creation of an action plan will be necessary in order to address this matter effectively and establish a more secure environment for the children.  </w:t>
      </w:r>
    </w:p>
    <w:p w:rsidR="00000000" w:rsidDel="00000000" w:rsidP="00000000" w:rsidRDefault="00000000" w:rsidRPr="00000000" w14:paraId="0000007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Evaluation : </w:t>
      </w:r>
      <w:r w:rsidDel="00000000" w:rsidR="00000000" w:rsidRPr="00000000">
        <w:rPr>
          <w:rFonts w:ascii="Times New Roman" w:cs="Times New Roman" w:eastAsia="Times New Roman" w:hAnsi="Times New Roman"/>
          <w:sz w:val="24"/>
          <w:szCs w:val="24"/>
          <w:rtl w:val="0"/>
        </w:rPr>
        <w:t xml:space="preserve">After precisely evaluating the situation, I was able to analyze the impact that this issue brings. There are various impacts including safety issues because it raises the likelihood of accidents.Educational influence due to road noise that can distract kids or difficulty for parents in picking up and dropping off children at school. The force field study helped me to examine the driving and restraining forces in resolving the issue, giving me a clearer perspective on the parties involved. </w:t>
      </w:r>
    </w:p>
    <w:p w:rsidR="00000000" w:rsidDel="00000000" w:rsidP="00000000" w:rsidRDefault="00000000" w:rsidRPr="00000000" w14:paraId="0000007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Analysis : </w:t>
      </w:r>
      <w:r w:rsidDel="00000000" w:rsidR="00000000" w:rsidRPr="00000000">
        <w:rPr>
          <w:rFonts w:ascii="Times New Roman" w:cs="Times New Roman" w:eastAsia="Times New Roman" w:hAnsi="Times New Roman"/>
          <w:sz w:val="24"/>
          <w:szCs w:val="24"/>
          <w:rtl w:val="0"/>
        </w:rPr>
        <w:t xml:space="preserve">I analysed the situation in order to determine the real cause of the problem. There are several reasons for this, including a lack of parking spots and poor road conditions.  </w:t>
      </w:r>
    </w:p>
    <w:p w:rsidR="00000000" w:rsidDel="00000000" w:rsidP="00000000" w:rsidRDefault="00000000" w:rsidRPr="00000000" w14:paraId="00000078">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Conclusion : </w:t>
      </w:r>
      <w:r w:rsidDel="00000000" w:rsidR="00000000" w:rsidRPr="00000000">
        <w:rPr>
          <w:rFonts w:ascii="Times New Roman" w:cs="Times New Roman" w:eastAsia="Times New Roman" w:hAnsi="Times New Roman"/>
          <w:sz w:val="24"/>
          <w:szCs w:val="24"/>
          <w:rtl w:val="0"/>
        </w:rPr>
        <w:t xml:space="preserve">I came to the conclusion that this issue requires substantial attention from the school community, parents, and the local government. The decision-making framework assisted me in seeing how interacting with these people may assist in making the needed adjustments more efficiently. I also saw the significance of why changes must be implemented immediately. </w:t>
      </w:r>
    </w:p>
    <w:p w:rsidR="00000000" w:rsidDel="00000000" w:rsidP="00000000" w:rsidRDefault="00000000" w:rsidRPr="00000000" w14:paraId="0000007A">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Action Plan : </w:t>
      </w:r>
      <w:r w:rsidDel="00000000" w:rsidR="00000000" w:rsidRPr="00000000">
        <w:rPr>
          <w:rFonts w:ascii="Times New Roman" w:cs="Times New Roman" w:eastAsia="Times New Roman" w:hAnsi="Times New Roman"/>
          <w:sz w:val="24"/>
          <w:szCs w:val="24"/>
          <w:rtl w:val="0"/>
        </w:rPr>
        <w:t xml:space="preserve">In order to come up with an action plan using the force field analysis framework , the action plan has to strengthen the driving force and mitigate the restraining force. To address the issue actions such as engaging stakeholders has to be taken. Engaging with parents, school community and local governments can help raise awareness and raise funds for changes to take place. Besides , utilising advances in technology to carry out the necessary changes in traffic control and parking management in an efficient manner.</w:t>
      </w:r>
    </w:p>
    <w:p w:rsidR="00000000" w:rsidDel="00000000" w:rsidP="00000000" w:rsidRDefault="00000000" w:rsidRPr="00000000" w14:paraId="0000007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pBdr>
          <w:top w:color="auto" w:space="0" w:sz="0" w:val="none"/>
          <w:bottom w:color="auto" w:space="0" w:sz="0" w:val="none"/>
          <w:right w:color="auto" w:space="0" w:sz="0" w:val="none"/>
          <w:between w:color="auto" w:space="0" w:sz="0" w:val="none"/>
        </w:pBdr>
        <w:spacing w:line="360" w:lineRule="auto"/>
        <w:ind w:left="720" w:firstLine="0"/>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7F">
      <w:pPr>
        <w:pBdr>
          <w:top w:color="auto" w:space="0" w:sz="0" w:val="none"/>
          <w:bottom w:color="auto" w:space="0" w:sz="0" w:val="none"/>
          <w:right w:color="auto" w:space="0" w:sz="0" w:val="none"/>
          <w:between w:color="auto" w:space="0" w:sz="0" w:val="none"/>
        </w:pBdr>
        <w:spacing w:line="360" w:lineRule="auto"/>
        <w:ind w:left="720" w:firstLine="0"/>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80">
      <w:pPr>
        <w:pBdr>
          <w:top w:color="auto" w:space="0" w:sz="0" w:val="none"/>
          <w:bottom w:color="auto" w:space="0" w:sz="0" w:val="none"/>
          <w:right w:color="auto" w:space="0" w:sz="0" w:val="none"/>
          <w:between w:color="auto" w:space="0" w:sz="0" w:val="none"/>
        </w:pBdr>
        <w:spacing w:line="360" w:lineRule="auto"/>
        <w:ind w:left="720" w:firstLine="0"/>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81">
      <w:pPr>
        <w:pBdr>
          <w:top w:color="auto" w:space="0" w:sz="0" w:val="none"/>
          <w:bottom w:color="auto" w:space="0" w:sz="0" w:val="none"/>
          <w:right w:color="auto" w:space="0" w:sz="0" w:val="none"/>
          <w:between w:color="auto" w:space="0" w:sz="0" w:val="none"/>
        </w:pBdr>
        <w:spacing w:line="360" w:lineRule="auto"/>
        <w:ind w:left="720" w:firstLine="0"/>
        <w:rPr>
          <w:rFonts w:ascii="Times New Roman" w:cs="Times New Roman" w:eastAsia="Times New Roman" w:hAnsi="Times New Roman"/>
          <w:b w:val="1"/>
          <w:color w:val="333333"/>
          <w:sz w:val="24"/>
          <w:szCs w:val="24"/>
        </w:rPr>
      </w:pPr>
      <w:r w:rsidDel="00000000" w:rsidR="00000000" w:rsidRPr="00000000">
        <w:rPr>
          <w:rtl w:val="0"/>
        </w:rPr>
      </w:r>
    </w:p>
    <w:p w:rsidR="00000000" w:rsidDel="00000000" w:rsidP="00000000" w:rsidRDefault="00000000" w:rsidRPr="00000000" w14:paraId="0000008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360"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ind w:left="0" w:firstLine="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References</w:t>
      </w:r>
    </w:p>
    <w:p w:rsidR="00000000" w:rsidDel="00000000" w:rsidP="00000000" w:rsidRDefault="00000000" w:rsidRPr="00000000" w14:paraId="00000090">
      <w:pPr>
        <w:spacing w:line="360" w:lineRule="auto"/>
        <w:ind w:left="0" w:firstLine="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91">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Athuraliya, A. (2023, January 5). </w:t>
      </w:r>
      <w:r w:rsidDel="00000000" w:rsidR="00000000" w:rsidRPr="00000000">
        <w:rPr>
          <w:rFonts w:ascii="Times New Roman" w:cs="Times New Roman" w:eastAsia="Times New Roman" w:hAnsi="Times New Roman"/>
          <w:i w:val="1"/>
          <w:sz w:val="24"/>
          <w:szCs w:val="24"/>
          <w:rtl w:val="0"/>
        </w:rPr>
        <w:t xml:space="preserve">Force Field Analysis | A Comprehensive Guide with Templates</w:t>
      </w:r>
      <w:r w:rsidDel="00000000" w:rsidR="00000000" w:rsidRPr="00000000">
        <w:rPr>
          <w:rFonts w:ascii="Times New Roman" w:cs="Times New Roman" w:eastAsia="Times New Roman" w:hAnsi="Times New Roman"/>
          <w:sz w:val="24"/>
          <w:szCs w:val="24"/>
          <w:rtl w:val="0"/>
        </w:rPr>
        <w:t xml:space="preserve">. Creately. Retrieved September 2, 2023, from </w:t>
      </w:r>
      <w:hyperlink r:id="rId10">
        <w:r w:rsidDel="00000000" w:rsidR="00000000" w:rsidRPr="00000000">
          <w:rPr>
            <w:rFonts w:ascii="Times New Roman" w:cs="Times New Roman" w:eastAsia="Times New Roman" w:hAnsi="Times New Roman"/>
            <w:color w:val="1155cc"/>
            <w:sz w:val="24"/>
            <w:szCs w:val="24"/>
            <w:u w:val="single"/>
            <w:rtl w:val="0"/>
          </w:rPr>
          <w:t xml:space="preserve">https://creately.com/blog/strategy-and-planning/force-field-analysis/#When_to_use_the_tool</w:t>
        </w:r>
      </w:hyperlink>
      <w:r w:rsidDel="00000000" w:rsidR="00000000" w:rsidRPr="00000000">
        <w:rPr>
          <w:rtl w:val="0"/>
        </w:rPr>
      </w:r>
    </w:p>
    <w:p w:rsidR="00000000" w:rsidDel="00000000" w:rsidP="00000000" w:rsidRDefault="00000000" w:rsidRPr="00000000" w14:paraId="00000092">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Bhasin, H. (2021, March 30). </w:t>
      </w:r>
      <w:r w:rsidDel="00000000" w:rsidR="00000000" w:rsidRPr="00000000">
        <w:rPr>
          <w:rFonts w:ascii="Times New Roman" w:cs="Times New Roman" w:eastAsia="Times New Roman" w:hAnsi="Times New Roman"/>
          <w:i w:val="1"/>
          <w:sz w:val="24"/>
          <w:szCs w:val="24"/>
          <w:rtl w:val="0"/>
        </w:rPr>
        <w:t xml:space="preserve">Gibbs Reflective Cycle and Model from 1988</w:t>
      </w:r>
      <w:r w:rsidDel="00000000" w:rsidR="00000000" w:rsidRPr="00000000">
        <w:rPr>
          <w:rFonts w:ascii="Times New Roman" w:cs="Times New Roman" w:eastAsia="Times New Roman" w:hAnsi="Times New Roman"/>
          <w:sz w:val="24"/>
          <w:szCs w:val="24"/>
          <w:rtl w:val="0"/>
        </w:rPr>
        <w:t xml:space="preserve">. Marketing91. Retrieved September 1, 2023, from </w:t>
      </w:r>
      <w:hyperlink r:id="rId11">
        <w:r w:rsidDel="00000000" w:rsidR="00000000" w:rsidRPr="00000000">
          <w:rPr>
            <w:rFonts w:ascii="Times New Roman" w:cs="Times New Roman" w:eastAsia="Times New Roman" w:hAnsi="Times New Roman"/>
            <w:color w:val="1155cc"/>
            <w:sz w:val="24"/>
            <w:szCs w:val="24"/>
            <w:u w:val="single"/>
            <w:rtl w:val="0"/>
          </w:rPr>
          <w:t xml:space="preserve">https://www.marketing91.com/gibbs-reflective-cycle/</w:t>
        </w:r>
      </w:hyperlink>
      <w:r w:rsidDel="00000000" w:rsidR="00000000" w:rsidRPr="00000000">
        <w:rPr>
          <w:rtl w:val="0"/>
        </w:rPr>
      </w:r>
    </w:p>
    <w:p w:rsidR="00000000" w:rsidDel="00000000" w:rsidP="00000000" w:rsidRDefault="00000000" w:rsidRPr="00000000" w14:paraId="00000094">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Feldman, K. (2023, March 14). </w:t>
      </w:r>
      <w:r w:rsidDel="00000000" w:rsidR="00000000" w:rsidRPr="00000000">
        <w:rPr>
          <w:rFonts w:ascii="Times New Roman" w:cs="Times New Roman" w:eastAsia="Times New Roman" w:hAnsi="Times New Roman"/>
          <w:i w:val="1"/>
          <w:sz w:val="24"/>
          <w:szCs w:val="24"/>
          <w:rtl w:val="0"/>
        </w:rPr>
        <w:t xml:space="preserve">Step-by-Step Guide to Understanding and Using Force Field Analysis</w:t>
      </w:r>
      <w:r w:rsidDel="00000000" w:rsidR="00000000" w:rsidRPr="00000000">
        <w:rPr>
          <w:rFonts w:ascii="Times New Roman" w:cs="Times New Roman" w:eastAsia="Times New Roman" w:hAnsi="Times New Roman"/>
          <w:sz w:val="24"/>
          <w:szCs w:val="24"/>
          <w:rtl w:val="0"/>
        </w:rPr>
        <w:t xml:space="preserve">. iSixSigma. Retrieved September 3, 2023, from </w:t>
      </w:r>
      <w:hyperlink r:id="rId12">
        <w:r w:rsidDel="00000000" w:rsidR="00000000" w:rsidRPr="00000000">
          <w:rPr>
            <w:rFonts w:ascii="Times New Roman" w:cs="Times New Roman" w:eastAsia="Times New Roman" w:hAnsi="Times New Roman"/>
            <w:color w:val="1155cc"/>
            <w:sz w:val="24"/>
            <w:szCs w:val="24"/>
            <w:u w:val="single"/>
            <w:rtl w:val="0"/>
          </w:rPr>
          <w:t xml:space="preserve">https://www.isixsigma.com/dictionary/force-field-analysis/</w:t>
        </w:r>
      </w:hyperlink>
      <w:r w:rsidDel="00000000" w:rsidR="00000000" w:rsidRPr="00000000">
        <w:rPr>
          <w:rtl w:val="0"/>
        </w:rPr>
      </w:r>
    </w:p>
    <w:p w:rsidR="00000000" w:rsidDel="00000000" w:rsidP="00000000" w:rsidRDefault="00000000" w:rsidRPr="00000000" w14:paraId="0000009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Fisher, A. (2018, December 11). </w:t>
      </w:r>
      <w:r w:rsidDel="00000000" w:rsidR="00000000" w:rsidRPr="00000000">
        <w:rPr>
          <w:rFonts w:ascii="Times New Roman" w:cs="Times New Roman" w:eastAsia="Times New Roman" w:hAnsi="Times New Roman"/>
          <w:i w:val="1"/>
          <w:sz w:val="24"/>
          <w:szCs w:val="24"/>
          <w:rtl w:val="0"/>
        </w:rPr>
        <w:t xml:space="preserve">How to Communicate Organizational Change: 4 Steps | HBS Online</w:t>
      </w:r>
      <w:r w:rsidDel="00000000" w:rsidR="00000000" w:rsidRPr="00000000">
        <w:rPr>
          <w:rFonts w:ascii="Times New Roman" w:cs="Times New Roman" w:eastAsia="Times New Roman" w:hAnsi="Times New Roman"/>
          <w:sz w:val="24"/>
          <w:szCs w:val="24"/>
          <w:rtl w:val="0"/>
        </w:rPr>
        <w:t xml:space="preserve">. HBS Online. Retrieved September 3, 2023, from </w:t>
      </w:r>
      <w:hyperlink r:id="rId13">
        <w:r w:rsidDel="00000000" w:rsidR="00000000" w:rsidRPr="00000000">
          <w:rPr>
            <w:rFonts w:ascii="Times New Roman" w:cs="Times New Roman" w:eastAsia="Times New Roman" w:hAnsi="Times New Roman"/>
            <w:color w:val="1155cc"/>
            <w:sz w:val="24"/>
            <w:szCs w:val="24"/>
            <w:u w:val="single"/>
            <w:rtl w:val="0"/>
          </w:rPr>
          <w:t xml:space="preserve">https://online.hbs.edu/blog/post/how-to-communicate-organizational-change</w:t>
        </w:r>
      </w:hyperlink>
      <w:r w:rsidDel="00000000" w:rsidR="00000000" w:rsidRPr="00000000">
        <w:rPr>
          <w:rtl w:val="0"/>
        </w:rPr>
      </w:r>
    </w:p>
    <w:p w:rsidR="00000000" w:rsidDel="00000000" w:rsidP="00000000" w:rsidRDefault="00000000" w:rsidRPr="00000000" w14:paraId="00000098">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Freeman, J. (2021, September 24). </w:t>
      </w:r>
      <w:r w:rsidDel="00000000" w:rsidR="00000000" w:rsidRPr="00000000">
        <w:rPr>
          <w:rFonts w:ascii="Times New Roman" w:cs="Times New Roman" w:eastAsia="Times New Roman" w:hAnsi="Times New Roman"/>
          <w:i w:val="1"/>
          <w:sz w:val="24"/>
          <w:szCs w:val="24"/>
          <w:rtl w:val="0"/>
        </w:rPr>
        <w:t xml:space="preserve">Advantages &amp; Disadvantages of Force Field Analysis</w:t>
      </w:r>
      <w:r w:rsidDel="00000000" w:rsidR="00000000" w:rsidRPr="00000000">
        <w:rPr>
          <w:rFonts w:ascii="Times New Roman" w:cs="Times New Roman" w:eastAsia="Times New Roman" w:hAnsi="Times New Roman"/>
          <w:sz w:val="24"/>
          <w:szCs w:val="24"/>
          <w:rtl w:val="0"/>
        </w:rPr>
        <w:t xml:space="preserve">. Edraw. Retrieved September 2, 2023, from </w:t>
      </w:r>
      <w:hyperlink r:id="rId14">
        <w:r w:rsidDel="00000000" w:rsidR="00000000" w:rsidRPr="00000000">
          <w:rPr>
            <w:rFonts w:ascii="Times New Roman" w:cs="Times New Roman" w:eastAsia="Times New Roman" w:hAnsi="Times New Roman"/>
            <w:color w:val="1155cc"/>
            <w:sz w:val="24"/>
            <w:szCs w:val="24"/>
            <w:u w:val="single"/>
            <w:rtl w:val="0"/>
          </w:rPr>
          <w:t xml:space="preserve">https://www.edrawsoft.com/force-field-analysis-advantages-and-disadvantages.html</w:t>
        </w:r>
      </w:hyperlink>
      <w:r w:rsidDel="00000000" w:rsidR="00000000" w:rsidRPr="00000000">
        <w:rPr>
          <w:rtl w:val="0"/>
        </w:rPr>
      </w:r>
    </w:p>
    <w:p w:rsidR="00000000" w:rsidDel="00000000" w:rsidP="00000000" w:rsidRDefault="00000000" w:rsidRPr="00000000" w14:paraId="0000009A">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Hooper, L. (2021, October 20). </w:t>
      </w:r>
      <w:r w:rsidDel="00000000" w:rsidR="00000000" w:rsidRPr="00000000">
        <w:rPr>
          <w:rFonts w:ascii="Times New Roman" w:cs="Times New Roman" w:eastAsia="Times New Roman" w:hAnsi="Times New Roman"/>
          <w:i w:val="1"/>
          <w:sz w:val="24"/>
          <w:szCs w:val="24"/>
          <w:rtl w:val="0"/>
        </w:rPr>
        <w:t xml:space="preserve">10+ Types of Diagrams &amp; How to Choose the Right One</w:t>
      </w:r>
      <w:r w:rsidDel="00000000" w:rsidR="00000000" w:rsidRPr="00000000">
        <w:rPr>
          <w:rFonts w:ascii="Times New Roman" w:cs="Times New Roman" w:eastAsia="Times New Roman" w:hAnsi="Times New Roman"/>
          <w:sz w:val="24"/>
          <w:szCs w:val="24"/>
          <w:rtl w:val="0"/>
        </w:rPr>
        <w:t xml:space="preserve">. Venngage. Retrieved September 1, 2023, from </w:t>
      </w:r>
      <w:hyperlink r:id="rId15">
        <w:r w:rsidDel="00000000" w:rsidR="00000000" w:rsidRPr="00000000">
          <w:rPr>
            <w:rFonts w:ascii="Times New Roman" w:cs="Times New Roman" w:eastAsia="Times New Roman" w:hAnsi="Times New Roman"/>
            <w:color w:val="1155cc"/>
            <w:sz w:val="24"/>
            <w:szCs w:val="24"/>
            <w:u w:val="single"/>
            <w:rtl w:val="0"/>
          </w:rPr>
          <w:t xml:space="preserve">https://venngage.com/blog/types-of-diagrams/</w:t>
        </w:r>
      </w:hyperlink>
      <w:r w:rsidDel="00000000" w:rsidR="00000000" w:rsidRPr="00000000">
        <w:rPr>
          <w:rtl w:val="0"/>
        </w:rPr>
      </w:r>
    </w:p>
    <w:p w:rsidR="00000000" w:rsidDel="00000000" w:rsidP="00000000" w:rsidRDefault="00000000" w:rsidRPr="00000000" w14:paraId="0000009C">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36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E">
      <w:pPr>
        <w:spacing w:line="36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Kapisa, T. (2021, December 7). </w:t>
      </w:r>
      <w:r w:rsidDel="00000000" w:rsidR="00000000" w:rsidRPr="00000000">
        <w:rPr>
          <w:rFonts w:ascii="Times New Roman" w:cs="Times New Roman" w:eastAsia="Times New Roman" w:hAnsi="Times New Roman"/>
          <w:i w:val="1"/>
          <w:sz w:val="24"/>
          <w:szCs w:val="24"/>
          <w:rtl w:val="0"/>
        </w:rPr>
        <w:t xml:space="preserve">Force Field Analysis Advantages and Disadvantages (PDF)</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9F">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Zambianguardian.com. Retrieved September 3, 2023, from </w:t>
      </w:r>
      <w:hyperlink r:id="rId16">
        <w:r w:rsidDel="00000000" w:rsidR="00000000" w:rsidRPr="00000000">
          <w:rPr>
            <w:rFonts w:ascii="Times New Roman" w:cs="Times New Roman" w:eastAsia="Times New Roman" w:hAnsi="Times New Roman"/>
            <w:color w:val="1155cc"/>
            <w:sz w:val="24"/>
            <w:szCs w:val="24"/>
            <w:u w:val="single"/>
            <w:rtl w:val="0"/>
          </w:rPr>
          <w:t xml:space="preserve">https://www.zambianguardian.com/force-field-analysis-advantages-and-disadvantages/</w:t>
        </w:r>
      </w:hyperlink>
      <w:r w:rsidDel="00000000" w:rsidR="00000000" w:rsidRPr="00000000">
        <w:rPr>
          <w:rtl w:val="0"/>
        </w:rPr>
      </w:r>
    </w:p>
    <w:p w:rsidR="00000000" w:rsidDel="00000000" w:rsidP="00000000" w:rsidRDefault="00000000" w:rsidRPr="00000000" w14:paraId="000000A0">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Olmstead, L. (2022, November 5). </w:t>
      </w:r>
      <w:r w:rsidDel="00000000" w:rsidR="00000000" w:rsidRPr="00000000">
        <w:rPr>
          <w:rFonts w:ascii="Times New Roman" w:cs="Times New Roman" w:eastAsia="Times New Roman" w:hAnsi="Times New Roman"/>
          <w:i w:val="1"/>
          <w:sz w:val="24"/>
          <w:szCs w:val="24"/>
          <w:rtl w:val="0"/>
        </w:rPr>
        <w:t xml:space="preserve">Resistance to Change: 7 Causes &amp; How to Overcome Them (2023)</w:t>
      </w:r>
      <w:r w:rsidDel="00000000" w:rsidR="00000000" w:rsidRPr="00000000">
        <w:rPr>
          <w:rFonts w:ascii="Times New Roman" w:cs="Times New Roman" w:eastAsia="Times New Roman" w:hAnsi="Times New Roman"/>
          <w:sz w:val="24"/>
          <w:szCs w:val="24"/>
          <w:rtl w:val="0"/>
        </w:rPr>
        <w:t xml:space="preserve">. Whatfix. Retrieved September 2, 2023, from </w:t>
      </w:r>
      <w:hyperlink r:id="rId17">
        <w:r w:rsidDel="00000000" w:rsidR="00000000" w:rsidRPr="00000000">
          <w:rPr>
            <w:rFonts w:ascii="Times New Roman" w:cs="Times New Roman" w:eastAsia="Times New Roman" w:hAnsi="Times New Roman"/>
            <w:color w:val="1155cc"/>
            <w:sz w:val="24"/>
            <w:szCs w:val="24"/>
            <w:u w:val="single"/>
            <w:rtl w:val="0"/>
          </w:rPr>
          <w:t xml:space="preserve">https://whatfix.com/blog/causes-of-resistance-to-change/</w:t>
        </w:r>
      </w:hyperlink>
      <w:r w:rsidDel="00000000" w:rsidR="00000000" w:rsidRPr="00000000">
        <w:rPr>
          <w:rtl w:val="0"/>
        </w:rPr>
      </w:r>
    </w:p>
    <w:p w:rsidR="00000000" w:rsidDel="00000000" w:rsidP="00000000" w:rsidRDefault="00000000" w:rsidRPr="00000000" w14:paraId="000000A2">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Oster, M. (2022, February 17). </w:t>
      </w:r>
      <w:r w:rsidDel="00000000" w:rsidR="00000000" w:rsidRPr="00000000">
        <w:rPr>
          <w:rFonts w:ascii="Times New Roman" w:cs="Times New Roman" w:eastAsia="Times New Roman" w:hAnsi="Times New Roman"/>
          <w:i w:val="1"/>
          <w:sz w:val="24"/>
          <w:szCs w:val="24"/>
          <w:rtl w:val="0"/>
        </w:rPr>
        <w:t xml:space="preserve">Decision Making Frameworks for Making Decisions As a Team</w:t>
      </w:r>
      <w:r w:rsidDel="00000000" w:rsidR="00000000" w:rsidRPr="00000000">
        <w:rPr>
          <w:rFonts w:ascii="Times New Roman" w:cs="Times New Roman" w:eastAsia="Times New Roman" w:hAnsi="Times New Roman"/>
          <w:sz w:val="24"/>
          <w:szCs w:val="24"/>
          <w:rtl w:val="0"/>
        </w:rPr>
        <w:t xml:space="preserve">. Charma. Retrieved September 1, 2023, from </w:t>
      </w:r>
      <w:hyperlink r:id="rId18">
        <w:r w:rsidDel="00000000" w:rsidR="00000000" w:rsidRPr="00000000">
          <w:rPr>
            <w:rFonts w:ascii="Times New Roman" w:cs="Times New Roman" w:eastAsia="Times New Roman" w:hAnsi="Times New Roman"/>
            <w:color w:val="1155cc"/>
            <w:sz w:val="24"/>
            <w:szCs w:val="24"/>
            <w:u w:val="single"/>
            <w:rtl w:val="0"/>
          </w:rPr>
          <w:t xml:space="preserve">https://www.charma.com/resources/decision-making-frameworks-for-making-decisions-as-a-team</w:t>
        </w:r>
      </w:hyperlink>
      <w:r w:rsidDel="00000000" w:rsidR="00000000" w:rsidRPr="00000000">
        <w:rPr>
          <w:rtl w:val="0"/>
        </w:rPr>
      </w:r>
    </w:p>
    <w:p w:rsidR="00000000" w:rsidDel="00000000" w:rsidP="00000000" w:rsidRDefault="00000000" w:rsidRPr="00000000" w14:paraId="000000A4">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Sutton, S. (2023, February 17). </w:t>
      </w:r>
      <w:r w:rsidDel="00000000" w:rsidR="00000000" w:rsidRPr="00000000">
        <w:rPr>
          <w:rFonts w:ascii="Times New Roman" w:cs="Times New Roman" w:eastAsia="Times New Roman" w:hAnsi="Times New Roman"/>
          <w:i w:val="1"/>
          <w:sz w:val="24"/>
          <w:szCs w:val="24"/>
          <w:rtl w:val="0"/>
        </w:rPr>
        <w:t xml:space="preserve">Four reasons why school streets are important</w:t>
      </w:r>
      <w:r w:rsidDel="00000000" w:rsidR="00000000" w:rsidRPr="00000000">
        <w:rPr>
          <w:rFonts w:ascii="Times New Roman" w:cs="Times New Roman" w:eastAsia="Times New Roman" w:hAnsi="Times New Roman"/>
          <w:sz w:val="24"/>
          <w:szCs w:val="24"/>
          <w:rtl w:val="0"/>
        </w:rPr>
        <w:t xml:space="preserve">. Vortex IoT. Retrieved September 1, 2023, from </w:t>
      </w:r>
      <w:hyperlink r:id="rId19">
        <w:r w:rsidDel="00000000" w:rsidR="00000000" w:rsidRPr="00000000">
          <w:rPr>
            <w:rFonts w:ascii="Times New Roman" w:cs="Times New Roman" w:eastAsia="Times New Roman" w:hAnsi="Times New Roman"/>
            <w:color w:val="1155cc"/>
            <w:sz w:val="24"/>
            <w:szCs w:val="24"/>
            <w:u w:val="single"/>
            <w:rtl w:val="0"/>
          </w:rPr>
          <w:t xml:space="preserve">https://vortexiot.com/blog/four-reasons-why-school-streets-are-important</w:t>
        </w:r>
      </w:hyperlink>
      <w:r w:rsidDel="00000000" w:rsidR="00000000" w:rsidRPr="00000000">
        <w:rPr>
          <w:rtl w:val="0"/>
        </w:rPr>
      </w:r>
    </w:p>
    <w:p w:rsidR="00000000" w:rsidDel="00000000" w:rsidP="00000000" w:rsidRDefault="00000000" w:rsidRPr="00000000" w14:paraId="000000A6">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spacing w:line="36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Appendix</w:t>
      </w:r>
    </w:p>
    <w:p w:rsidR="00000000" w:rsidDel="00000000" w:rsidP="00000000" w:rsidRDefault="00000000" w:rsidRPr="00000000" w14:paraId="000000C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360" w:lineRule="auto"/>
        <w:rPr>
          <w:rFonts w:ascii="Times New Roman" w:cs="Times New Roman" w:eastAsia="Times New Roman" w:hAnsi="Times New Roman"/>
          <w:sz w:val="24"/>
          <w:szCs w:val="24"/>
        </w:rPr>
      </w:pPr>
      <w:r w:rsidDel="00000000" w:rsidR="00000000" w:rsidRPr="00000000">
        <w:rPr>
          <w:rtl w:val="0"/>
        </w:rPr>
      </w:r>
    </w:p>
    <w:tbl>
      <w:tblPr>
        <w:tblStyle w:val="Table2"/>
        <w:tblW w:w="949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10"/>
        <w:gridCol w:w="2085"/>
        <w:tblGridChange w:id="0">
          <w:tblGrid>
            <w:gridCol w:w="7410"/>
            <w:gridCol w:w="2085"/>
          </w:tblGrid>
        </w:tblGridChange>
      </w:tblGrid>
      <w:tr>
        <w:trPr>
          <w:cantSplit w:val="0"/>
          <w:tblHeader w:val="1"/>
        </w:trPr>
        <w:tc>
          <w:tcPr>
            <w:shd w:fill="auto" w:val="clear"/>
            <w:tcMar>
              <w:top w:w="100.0" w:type="dxa"/>
              <w:left w:w="100.0" w:type="dxa"/>
              <w:bottom w:w="100.0" w:type="dxa"/>
              <w:right w:w="100.0" w:type="dxa"/>
            </w:tcMar>
            <w:vAlign w:val="top"/>
          </w:tcPr>
          <w:p w:rsidR="00000000" w:rsidDel="00000000" w:rsidP="00000000" w:rsidRDefault="00000000" w:rsidRPr="00000000" w14:paraId="000000C3">
            <w:pPr>
              <w:numPr>
                <w:ilvl w:val="0"/>
                <w:numId w:val="1"/>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Wicked problems’: the challenge of difficult or impossible problems where the affecting variables are not known or quantifiable.  </w:t>
            </w:r>
          </w:p>
          <w:p w:rsidR="00000000" w:rsidDel="00000000" w:rsidP="00000000" w:rsidRDefault="00000000" w:rsidRPr="00000000" w14:paraId="000000C4">
            <w:pPr>
              <w:numPr>
                <w:ilvl w:val="0"/>
                <w:numId w:val="1"/>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Thinking to investigate, define, propose and evaluate problem solutions.   </w:t>
            </w:r>
          </w:p>
          <w:p w:rsidR="00000000" w:rsidDel="00000000" w:rsidP="00000000" w:rsidRDefault="00000000" w:rsidRPr="00000000" w14:paraId="000000C5">
            <w:pPr>
              <w:pBdr>
                <w:top w:color="auto" w:space="0" w:sz="0" w:val="none"/>
                <w:bottom w:color="auto" w:space="0" w:sz="0" w:val="none"/>
                <w:right w:color="auto" w:space="0" w:sz="0" w:val="none"/>
                <w:between w:color="auto" w:space="0" w:sz="0" w:val="none"/>
              </w:pBdr>
              <w:spacing w:line="360" w:lineRule="auto"/>
              <w:ind w:left="720" w:firstLine="0"/>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Aina Amal (2226201)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7">
            <w:pPr>
              <w:numPr>
                <w:ilvl w:val="0"/>
                <w:numId w:val="5"/>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 making frameworks and techniques.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0" w:firstLine="0"/>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Roshny Kaur (2226200)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numPr>
                <w:ilvl w:val="0"/>
                <w:numId w:val="6"/>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Recognising individual differences and the role of emotional intelligence in the management of conflict.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720" w:right="0" w:firstLine="0"/>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highlight w:val="black"/>
              </w:rPr>
            </w:pPr>
            <w:r w:rsidDel="00000000" w:rsidR="00000000" w:rsidRPr="00000000">
              <w:rPr>
                <w:rFonts w:ascii="Times New Roman" w:cs="Times New Roman" w:eastAsia="Times New Roman" w:hAnsi="Times New Roman"/>
                <w:sz w:val="24"/>
                <w:szCs w:val="24"/>
                <w:highlight w:val="white"/>
                <w:rtl w:val="0"/>
              </w:rPr>
              <w:t xml:space="preserve">Muhammad Irfaan (2227187)</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D">
            <w:pPr>
              <w:numPr>
                <w:ilvl w:val="0"/>
                <w:numId w:val="4"/>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diplomacy, persuasion and negotiation in effective collaboration.  </w:t>
            </w:r>
          </w:p>
          <w:p w:rsidR="00000000" w:rsidDel="00000000" w:rsidP="00000000" w:rsidRDefault="00000000" w:rsidRPr="00000000" w14:paraId="000000CE">
            <w:pPr>
              <w:numPr>
                <w:ilvl w:val="0"/>
                <w:numId w:val="4"/>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significance of interdisciplinary thinking in finding effective solutions to problems.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Muhammad Arfaan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(2226202)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numPr>
                <w:ilvl w:val="0"/>
                <w:numId w:val="3"/>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ethics in identifying solutions.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Lam Poh Yee</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(2226198)</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numPr>
                <w:ilvl w:val="0"/>
                <w:numId w:val="2"/>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Collective decision-making</w:t>
            </w:r>
          </w:p>
          <w:p w:rsidR="00000000" w:rsidDel="00000000" w:rsidP="00000000" w:rsidRDefault="00000000" w:rsidRPr="00000000" w14:paraId="000000D5">
            <w:pPr>
              <w:numPr>
                <w:ilvl w:val="0"/>
                <w:numId w:val="2"/>
              </w:numPr>
              <w:pBdr>
                <w:top w:color="auto" w:space="0" w:sz="0" w:val="none"/>
                <w:bottom w:color="auto" w:space="0" w:sz="0" w:val="none"/>
                <w:right w:color="auto" w:space="0" w:sz="0" w:val="none"/>
                <w:between w:color="auto" w:space="0" w:sz="0" w:val="none"/>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Muhammad Harith (2226197)</w:t>
            </w:r>
            <w:r w:rsidDel="00000000" w:rsidR="00000000" w:rsidRPr="00000000">
              <w:rPr>
                <w:rtl w:val="0"/>
              </w:rPr>
            </w:r>
          </w:p>
        </w:tc>
      </w:tr>
    </w:tbl>
    <w:p w:rsidR="00000000" w:rsidDel="00000000" w:rsidP="00000000" w:rsidRDefault="00000000" w:rsidRPr="00000000" w14:paraId="000000D7">
      <w:pPr>
        <w:spacing w:line="360" w:lineRule="auto"/>
        <w:rPr>
          <w:rFonts w:ascii="Times New Roman" w:cs="Times New Roman" w:eastAsia="Times New Roman" w:hAnsi="Times New Roman"/>
          <w:sz w:val="24"/>
          <w:szCs w:val="24"/>
        </w:rPr>
      </w:pPr>
      <w:r w:rsidDel="00000000" w:rsidR="00000000" w:rsidRPr="00000000">
        <w:rPr>
          <w:rtl w:val="0"/>
        </w:rPr>
      </w:r>
    </w:p>
    <w:sectPr>
      <w:headerReference r:id="rId20" w:type="default"/>
      <w:footerReference r:id="rId2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www.marketing91.com/gibbs-reflective-cycle/" TargetMode="External"/><Relationship Id="rId10" Type="http://schemas.openxmlformats.org/officeDocument/2006/relationships/hyperlink" Target="https://creately.com/blog/strategy-and-planning/force-field-analysis/#When_to_use_the_tool" TargetMode="External"/><Relationship Id="rId21" Type="http://schemas.openxmlformats.org/officeDocument/2006/relationships/footer" Target="footer1.xml"/><Relationship Id="rId13" Type="http://schemas.openxmlformats.org/officeDocument/2006/relationships/hyperlink" Target="https://online.hbs.edu/blog/post/how-to-communicate-organizational-change" TargetMode="External"/><Relationship Id="rId12" Type="http://schemas.openxmlformats.org/officeDocument/2006/relationships/hyperlink" Target="https://www.isixsigma.com/dictionary/force-field-analysi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1drv.ms/v/s!AiBoHsPG5OjThwKb56g39BcgJcAe?e=SOJdMt" TargetMode="External"/><Relationship Id="rId15" Type="http://schemas.openxmlformats.org/officeDocument/2006/relationships/hyperlink" Target="https://venngage.com/blog/types-of-diagrams/" TargetMode="External"/><Relationship Id="rId14" Type="http://schemas.openxmlformats.org/officeDocument/2006/relationships/hyperlink" Target="https://www.edrawsoft.com/force-field-analysis-advantages-and-disadvantages.html" TargetMode="External"/><Relationship Id="rId17" Type="http://schemas.openxmlformats.org/officeDocument/2006/relationships/hyperlink" Target="https://whatfix.com/blog/causes-of-resistance-to-change/" TargetMode="External"/><Relationship Id="rId16" Type="http://schemas.openxmlformats.org/officeDocument/2006/relationships/hyperlink" Target="https://www.zambianguardian.com/force-field-analysis-advantages-and-disadvantages/" TargetMode="External"/><Relationship Id="rId5" Type="http://schemas.openxmlformats.org/officeDocument/2006/relationships/styles" Target="styles.xml"/><Relationship Id="rId19" Type="http://schemas.openxmlformats.org/officeDocument/2006/relationships/hyperlink" Target="https://vortexiot.com/blog/four-reasons-why-school-streets-are-important" TargetMode="External"/><Relationship Id="rId6" Type="http://schemas.openxmlformats.org/officeDocument/2006/relationships/customXml" Target="../customXML/item1.xml"/><Relationship Id="rId18" Type="http://schemas.openxmlformats.org/officeDocument/2006/relationships/hyperlink" Target="https://www.charma.com/resources/decision-making-frameworks-for-making-decisions-as-a-team"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APA" SelectedStyle="/APASixthEditionOfficeOnline.xsl" Version="6">
  <b:Source>
    <b:Tag>source1</b:Tag>
    <b:Month>February</b:Month>
    <b:DayAccessed>1</b:DayAccessed>
    <b:Day>17</b:Day>
    <b:Year>2022</b:Year>
    <b:SourceType>DocumentFromInternetSite</b:SourceType>
    <b:URL>https://www.charma.com/resources/decision-making-frameworks-for-making-decisions-as-a-team</b:URL>
    <b:Title>Decision Making Frameworks for Making Decisions As a Team</b:Title>
    <b:InternetSiteTitle>Charma</b:InternetSiteTitle>
    <b:MonthAccessed>September</b:MonthAccessed>
    <b:YearAccessed>2023</b:YearAccessed>
    <b:Gdcea>{"AccessedType":"Website"}</b:Gdcea>
    <b:Author>
      <b:Author>
        <b:NameList>
          <b:Person>
            <b:First>Marlo</b:First>
            <b:Last>Oster</b:Last>
          </b:Person>
        </b:NameList>
      </b:Author>
    </b:Author>
  </b:Source>
  <b:Source>
    <b:Tag>source2</b:Tag>
    <b:Month>January</b:Month>
    <b:DayAccessed>2</b:DayAccessed>
    <b:Day>5</b:Day>
    <b:Year>2023</b:Year>
    <b:SourceType>DocumentFromInternetSite</b:SourceType>
    <b:URL>https://creately.com/blog/strategy-and-planning/force-field-analysis/#When_to_use_the_tool</b:URL>
    <b:Title>Force Field Analysis | A Comprehensive Guide with Templates</b:Title>
    <b:InternetSiteTitle>Creately</b:InternetSiteTitle>
    <b:MonthAccessed>September</b:MonthAccessed>
    <b:YearAccessed>2023</b:YearAccessed>
    <b:Gdcea>{"AccessedType":"Website"}</b:Gdcea>
    <b:Author>
      <b:Author>
        <b:NameList>
          <b:Person>
            <b:First>Amanda</b:First>
            <b:Last>Athuraliya</b:Last>
          </b:Person>
        </b:NameList>
      </b:Author>
    </b:Author>
  </b:Source>
  <b:Source>
    <b:Tag>source3</b:Tag>
    <b:Month>September</b:Month>
    <b:DayAccessed>2</b:DayAccessed>
    <b:Day>24</b:Day>
    <b:Year>2021</b:Year>
    <b:SourceType>DocumentFromInternetSite</b:SourceType>
    <b:URL>https://www.edrawsoft.com/force-field-analysis-advantages-and-disadvantages.html</b:URL>
    <b:Title>Advantages &amp; Disadvantages of Force Field Analysis</b:Title>
    <b:InternetSiteTitle>Edraw</b:InternetSiteTitle>
    <b:MonthAccessed>September</b:MonthAccessed>
    <b:YearAccessed>2023</b:YearAccessed>
    <b:Gdcea>{"AccessedType":"Website"}</b:Gdcea>
    <b:Author>
      <b:Author>
        <b:NameList>
          <b:Person>
            <b:First>James</b:First>
            <b:Last>Freeman</b:Last>
          </b:Person>
        </b:NameList>
      </b:Author>
    </b:Author>
  </b:Source>
  <b:Source>
    <b:Tag>source4</b:Tag>
    <b:Month>November</b:Month>
    <b:DayAccessed>2</b:DayAccessed>
    <b:Day>5</b:Day>
    <b:Year>2022</b:Year>
    <b:SourceType>DocumentFromInternetSite</b:SourceType>
    <b:URL>https://whatfix.com/blog/causes-of-resistance-to-change/</b:URL>
    <b:Title>Resistance to Change: 7 Causes &amp; How to Overcome Them (2023)</b:Title>
    <b:InternetSiteTitle>Whatfix</b:InternetSiteTitle>
    <b:MonthAccessed>September</b:MonthAccessed>
    <b:YearAccessed>2023</b:YearAccessed>
    <b:Gdcea>{"AccessedType":"Website"}</b:Gdcea>
    <b:Author>
      <b:Author>
        <b:NameList>
          <b:Person>
            <b:First>Levi</b:First>
            <b:Last>Olmstead</b:Last>
          </b:Person>
        </b:NameList>
      </b:Author>
    </b:Author>
  </b:Source>
  <b:Source>
    <b:Tag>source5</b:Tag>
    <b:Month>February</b:Month>
    <b:DayAccessed>1</b:DayAccessed>
    <b:Day>17</b:Day>
    <b:Year>2023</b:Year>
    <b:SourceType>DocumentFromInternetSite</b:SourceType>
    <b:URL>https://vortexiot.com/blog/four-reasons-why-school-streets-are-important</b:URL>
    <b:Title>Four reasons why school streets are important</b:Title>
    <b:InternetSiteTitle>Vortex IoT</b:InternetSiteTitle>
    <b:MonthAccessed>September</b:MonthAccessed>
    <b:YearAccessed>2023</b:YearAccessed>
    <b:Gdcea>{"AccessedType":"Website"}</b:Gdcea>
    <b:Author>
      <b:Author>
        <b:NameList>
          <b:Person>
            <b:First>Scott</b:First>
            <b:Last>Sutton</b:Last>
          </b:Person>
        </b:NameList>
      </b:Author>
    </b:Author>
  </b:Source>
  <b:Source>
    <b:Tag>source6</b:Tag>
    <b:Month>March</b:Month>
    <b:DayAccessed>3</b:DayAccessed>
    <b:Day>14</b:Day>
    <b:Year>2023</b:Year>
    <b:SourceType>DocumentFromInternetSite</b:SourceType>
    <b:URL>https://www.isixsigma.com/dictionary/force-field-analysis/</b:URL>
    <b:Title>Step-by-Step Guide to Understanding and Using Force Field Analysis</b:Title>
    <b:InternetSiteTitle>iSixSigma</b:InternetSiteTitle>
    <b:MonthAccessed>September</b:MonthAccessed>
    <b:YearAccessed>2023</b:YearAccessed>
    <b:Gdcea>{"AccessedType":"Website"}</b:Gdcea>
    <b:Author>
      <b:Author>
        <b:NameList>
          <b:Person>
            <b:First>Ken</b:First>
            <b:Last>Feldman</b:Last>
          </b:Person>
        </b:NameList>
      </b:Author>
    </b:Author>
  </b:Source>
  <b:Source>
    <b:Tag>source7</b:Tag>
    <b:Month>December</b:Month>
    <b:DayAccessed>3</b:DayAccessed>
    <b:Day>7</b:Day>
    <b:Year>2021</b:Year>
    <b:SourceType>DocumentFromInternetSite</b:SourceType>
    <b:URL>https://www.zambianguardian.com/force-field-analysis-advantages-and-disadvantages/</b:URL>
    <b:Title>Force Field Analysis Advantages and Disadvantages (PDF)</b:Title>
    <b:InternetSiteTitle>Zambianguardian.com</b:InternetSiteTitle>
    <b:MonthAccessed>September</b:MonthAccessed>
    <b:YearAccessed>2023</b:YearAccessed>
    <b:Gdcea>{"AccessedType":"Website"}</b:Gdcea>
    <b:Author>
      <b:Author>
        <b:NameList>
          <b:Person>
            <b:First>Tapiwa</b:First>
            <b:Last>Kapisa</b:Last>
          </b:Person>
        </b:NameList>
      </b:Author>
    </b:Author>
  </b:Source>
  <b:Source>
    <b:Tag>source8</b:Tag>
    <b:Month>October</b:Month>
    <b:DayAccessed>1</b:DayAccessed>
    <b:Day>20</b:Day>
    <b:Year>2021</b:Year>
    <b:SourceType>DocumentFromInternetSite</b:SourceType>
    <b:URL>https://venngage.com/blog/types-of-diagrams/</b:URL>
    <b:Title>10+ Types of Diagrams &amp; How to Choose the Right One</b:Title>
    <b:InternetSiteTitle>Venngage</b:InternetSiteTitle>
    <b:MonthAccessed>September</b:MonthAccessed>
    <b:YearAccessed>2023</b:YearAccessed>
    <b:Gdcea>{"AccessedType":"Website"}</b:Gdcea>
    <b:Author>
      <b:Author>
        <b:NameList>
          <b:Person>
            <b:First>Lydia</b:First>
            <b:Last>Hooper</b:Last>
          </b:Person>
        </b:NameList>
      </b:Author>
    </b:Author>
  </b:Source>
  <b:Source>
    <b:Tag>source9</b:Tag>
    <b:Month>December</b:Month>
    <b:DayAccessed>3</b:DayAccessed>
    <b:Day>11</b:Day>
    <b:Year>2018</b:Year>
    <b:SourceType>DocumentFromInternetSite</b:SourceType>
    <b:URL>https://online.hbs.edu/blog/post/how-to-communicate-organizational-change</b:URL>
    <b:Title>How to Communicate Organizational Change: 4 Steps | HBS Online</b:Title>
    <b:InternetSiteTitle>HBS Online</b:InternetSiteTitle>
    <b:MonthAccessed>September</b:MonthAccessed>
    <b:YearAccessed>2023</b:YearAccessed>
    <b:Gdcea>{"AccessedType":"Website"}</b:Gdcea>
    <b:Author>
      <b:Author>
        <b:NameList>
          <b:Person>
            <b:First>Angela</b:First>
            <b:Last>Fisher</b:Last>
          </b:Person>
        </b:NameList>
      </b:Author>
    </b:Author>
  </b:Source>
  <b:Source>
    <b:Tag>source10</b:Tag>
    <b:Month>March</b:Month>
    <b:DayAccessed>1</b:DayAccessed>
    <b:Day>30</b:Day>
    <b:Year>2021</b:Year>
    <b:SourceType>DocumentFromInternetSite</b:SourceType>
    <b:URL>https://www.marketing91.com/gibbs-reflective-cycle/</b:URL>
    <b:Title>Gibbs Reflective Cycle and Model from 1988</b:Title>
    <b:InternetSiteTitle>Marketing91</b:InternetSiteTitle>
    <b:MonthAccessed>September</b:MonthAccessed>
    <b:YearAccessed>2023</b:YearAccessed>
    <b:Gdcea>{"AccessedType":"Website"}</b:Gdcea>
    <b:Author>
      <b:Author>
        <b:NameList>
          <b:Person>
            <b:First>Hitesh</b:First>
            <b:Last>Bhasin</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