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both"/>
        <w:rPr>
          <w:b w:val="1"/>
          <w:bCs w:val="1"/>
          <w:sz w:val="24"/>
          <w:szCs w:val="24"/>
        </w:rPr>
      </w:pPr>
      <w:r w:rsidDel="00000000" w:rsidR="00000000" w:rsidRPr="00000000">
        <w:rPr>
          <w:b w:val="1"/>
          <w:bCs w:val="1"/>
          <w:sz w:val="24"/>
          <w:szCs w:val="24"/>
        </w:rPr>
        <w:drawing>
          <wp:inline distB="114300" distT="114300" distL="114300" distR="114300">
            <wp:extent cx="1790700" cy="704850"/>
            <wp:effectExtent b="0" l="0" r="0" t="0"/>
            <wp:docPr id="1" name="image12.png"/>
            <a:graphic>
              <a:graphicData uri="http://schemas.openxmlformats.org/drawingml/2006/picture">
                <pic:pic>
                  <pic:nvPicPr>
                    <pic:cNvPr id="0" name="image12.png"/>
                    <pic:cNvPicPr preferRelativeResize="0"/>
                  </pic:nvPicPr>
                  <pic:blipFill>
                    <a:blip r:embed="rId7"/>
                    <a:srcRect b="0" l="0" r="0" t="0"/>
                    <a:stretch>
                      <a:fillRect/>
                    </a:stretch>
                  </pic:blipFill>
                  <pic:spPr>
                    <a:xfrm>
                      <a:off x="0" y="0"/>
                      <a:ext cx="1790700" cy="7048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360" w:lineRule="auto"/>
        <w:jc w:val="center"/>
        <w:rPr>
          <w:b w:val="1"/>
          <w:bCs w:val="1"/>
          <w:sz w:val="24"/>
          <w:szCs w:val="24"/>
        </w:rPr>
      </w:pPr>
      <w:r w:rsidDel="00000000" w:rsidR="00000000" w:rsidRPr="00000000">
        <w:rPr>
          <w:b w:val="1"/>
          <w:bCs w:val="1"/>
          <w:sz w:val="24"/>
          <w:szCs w:val="24"/>
          <w:rtl w:val="0"/>
        </w:rPr>
        <w:t xml:space="preserve">Programme: Master of Business Administration</w:t>
      </w:r>
    </w:p>
    <w:p w:rsidR="00000000" w:rsidDel="00000000" w:rsidP="00000000" w:rsidRDefault="00000000" w:rsidRPr="00000000" w14:paraId="00000003">
      <w:pPr>
        <w:spacing w:line="360" w:lineRule="auto"/>
        <w:jc w:val="center"/>
        <w:rPr>
          <w:b w:val="1"/>
          <w:bCs w:val="1"/>
          <w:sz w:val="24"/>
          <w:szCs w:val="24"/>
        </w:rPr>
      </w:pPr>
      <w:r w:rsidDel="00000000" w:rsidR="00000000" w:rsidRPr="00000000">
        <w:rPr>
          <w:b w:val="1"/>
          <w:bCs w:val="1"/>
          <w:sz w:val="24"/>
          <w:szCs w:val="24"/>
          <w:rtl w:val="0"/>
        </w:rPr>
        <w:t xml:space="preserve">Module Name: Financial Management</w:t>
      </w:r>
    </w:p>
    <w:p w:rsidR="00000000" w:rsidDel="00000000" w:rsidP="00000000" w:rsidRDefault="00000000" w:rsidRPr="00000000" w14:paraId="00000004">
      <w:pPr>
        <w:spacing w:line="360" w:lineRule="auto"/>
        <w:jc w:val="center"/>
        <w:rPr>
          <w:b w:val="1"/>
          <w:bCs w:val="1"/>
          <w:sz w:val="24"/>
          <w:szCs w:val="24"/>
        </w:rPr>
      </w:pPr>
      <w:r w:rsidDel="00000000" w:rsidR="00000000" w:rsidRPr="00000000">
        <w:rPr>
          <w:b w:val="1"/>
          <w:bCs w:val="1"/>
          <w:sz w:val="24"/>
          <w:szCs w:val="24"/>
          <w:rtl w:val="0"/>
        </w:rPr>
        <w:t xml:space="preserve">Module code: LCMB7002</w:t>
      </w:r>
    </w:p>
    <w:p w:rsidR="00000000" w:rsidDel="00000000" w:rsidP="00000000" w:rsidRDefault="00000000" w:rsidRPr="00000000" w14:paraId="00000005">
      <w:pPr>
        <w:spacing w:line="360" w:lineRule="auto"/>
        <w:jc w:val="center"/>
        <w:rPr>
          <w:b w:val="1"/>
          <w:bCs w:val="1"/>
          <w:sz w:val="24"/>
          <w:szCs w:val="24"/>
        </w:rPr>
      </w:pPr>
      <w:r w:rsidDel="00000000" w:rsidR="00000000" w:rsidRPr="00000000">
        <w:rPr>
          <w:b w:val="1"/>
          <w:bCs w:val="1"/>
          <w:sz w:val="24"/>
          <w:szCs w:val="24"/>
          <w:rtl w:val="0"/>
        </w:rPr>
        <w:t xml:space="preserve">Assignment Title: Assessment component: Financial performance and management of IHG</w:t>
      </w:r>
    </w:p>
    <w:p w:rsidR="00000000" w:rsidDel="00000000" w:rsidP="00000000" w:rsidRDefault="00000000" w:rsidRPr="00000000" w14:paraId="00000006">
      <w:pPr>
        <w:spacing w:line="360" w:lineRule="auto"/>
        <w:jc w:val="center"/>
        <w:rPr>
          <w:b w:val="1"/>
          <w:bCs w:val="1"/>
          <w:sz w:val="24"/>
          <w:szCs w:val="24"/>
        </w:rPr>
      </w:pPr>
      <w:r w:rsidDel="00000000" w:rsidR="00000000" w:rsidRPr="00000000">
        <w:rPr>
          <w:b w:val="1"/>
          <w:bCs w:val="1"/>
          <w:sz w:val="24"/>
          <w:szCs w:val="24"/>
          <w:rtl w:val="0"/>
        </w:rPr>
        <w:t xml:space="preserve">Lecturer: Shengfeng Mei (London) and Patrick Yeboah (Birmingham)</w:t>
      </w:r>
    </w:p>
    <w:p w:rsidR="00000000" w:rsidDel="00000000" w:rsidP="00000000" w:rsidRDefault="00000000" w:rsidRPr="00000000" w14:paraId="00000007">
      <w:pPr>
        <w:spacing w:line="360" w:lineRule="auto"/>
        <w:jc w:val="center"/>
        <w:rPr>
          <w:b w:val="1"/>
          <w:bCs w:val="1"/>
          <w:sz w:val="24"/>
          <w:szCs w:val="24"/>
        </w:rPr>
      </w:pPr>
      <w:r w:rsidDel="00000000" w:rsidR="00000000" w:rsidRPr="00000000">
        <w:rPr>
          <w:rtl w:val="0"/>
        </w:rPr>
      </w:r>
    </w:p>
    <w:p w:rsidR="00000000" w:rsidDel="00000000" w:rsidP="00000000" w:rsidRDefault="00000000" w:rsidRPr="00000000" w14:paraId="00000008">
      <w:pPr>
        <w:spacing w:line="360" w:lineRule="auto"/>
        <w:jc w:val="center"/>
        <w:rPr>
          <w:b w:val="1"/>
          <w:bCs w:val="1"/>
          <w:sz w:val="24"/>
          <w:szCs w:val="24"/>
        </w:rPr>
      </w:pPr>
      <w:r w:rsidDel="00000000" w:rsidR="00000000" w:rsidRPr="00000000">
        <w:rPr>
          <w:rtl w:val="0"/>
        </w:rPr>
      </w:r>
    </w:p>
    <w:p w:rsidR="00000000" w:rsidDel="00000000" w:rsidP="00000000" w:rsidRDefault="00000000" w:rsidRPr="00000000" w14:paraId="00000009">
      <w:pPr>
        <w:spacing w:line="360" w:lineRule="auto"/>
        <w:jc w:val="center"/>
        <w:rPr>
          <w:b w:val="1"/>
          <w:bCs w:val="1"/>
          <w:sz w:val="24"/>
          <w:szCs w:val="24"/>
        </w:rPr>
      </w:pPr>
      <w:r w:rsidDel="00000000" w:rsidR="00000000" w:rsidRPr="00000000">
        <w:rPr>
          <w:rtl w:val="0"/>
        </w:rPr>
      </w:r>
    </w:p>
    <w:p w:rsidR="00000000" w:rsidDel="00000000" w:rsidP="00000000" w:rsidRDefault="00000000" w:rsidRPr="00000000" w14:paraId="0000000A">
      <w:pPr>
        <w:spacing w:line="360" w:lineRule="auto"/>
        <w:jc w:val="center"/>
        <w:rPr>
          <w:b w:val="1"/>
          <w:bCs w:val="1"/>
          <w:sz w:val="24"/>
          <w:szCs w:val="24"/>
        </w:rPr>
      </w:pPr>
      <w:r w:rsidDel="00000000" w:rsidR="00000000" w:rsidRPr="00000000">
        <w:rPr>
          <w:rtl w:val="0"/>
        </w:rPr>
      </w:r>
    </w:p>
    <w:p w:rsidR="00000000" w:rsidDel="00000000" w:rsidP="00000000" w:rsidRDefault="00000000" w:rsidRPr="00000000" w14:paraId="0000000B">
      <w:pPr>
        <w:spacing w:line="360" w:lineRule="auto"/>
        <w:jc w:val="center"/>
        <w:rPr>
          <w:b w:val="1"/>
          <w:bCs w:val="1"/>
          <w:sz w:val="24"/>
          <w:szCs w:val="24"/>
        </w:rPr>
      </w:pPr>
      <w:r w:rsidDel="00000000" w:rsidR="00000000" w:rsidRPr="00000000">
        <w:rPr>
          <w:rtl w:val="0"/>
        </w:rPr>
      </w:r>
    </w:p>
    <w:p w:rsidR="00000000" w:rsidDel="00000000" w:rsidP="00000000" w:rsidRDefault="00000000" w:rsidRPr="00000000" w14:paraId="0000000C">
      <w:pPr>
        <w:spacing w:line="360" w:lineRule="auto"/>
        <w:jc w:val="center"/>
        <w:rPr>
          <w:b w:val="1"/>
          <w:bCs w:val="1"/>
          <w:sz w:val="24"/>
          <w:szCs w:val="24"/>
        </w:rPr>
      </w:pPr>
      <w:r w:rsidDel="00000000" w:rsidR="00000000" w:rsidRPr="00000000">
        <w:rPr>
          <w:b w:val="1"/>
          <w:bCs w:val="1"/>
          <w:sz w:val="24"/>
          <w:szCs w:val="24"/>
          <w:rtl w:val="0"/>
        </w:rPr>
        <w:t xml:space="preserve">Student Name: Bogdan Pacuraru </w:t>
      </w:r>
    </w:p>
    <w:p w:rsidR="00000000" w:rsidDel="00000000" w:rsidP="00000000" w:rsidRDefault="00000000" w:rsidRPr="00000000" w14:paraId="0000000D">
      <w:pPr>
        <w:spacing w:line="360" w:lineRule="auto"/>
        <w:jc w:val="center"/>
        <w:rPr>
          <w:b w:val="1"/>
          <w:bCs w:val="1"/>
          <w:sz w:val="24"/>
          <w:szCs w:val="24"/>
        </w:rPr>
      </w:pPr>
      <w:r w:rsidDel="00000000" w:rsidR="00000000" w:rsidRPr="00000000">
        <w:rPr>
          <w:b w:val="1"/>
          <w:bCs w:val="1"/>
          <w:sz w:val="24"/>
          <w:szCs w:val="24"/>
          <w:rtl w:val="0"/>
        </w:rPr>
        <w:t xml:space="preserve">Student ID: 2245496</w:t>
      </w:r>
    </w:p>
    <w:p w:rsidR="00000000" w:rsidDel="00000000" w:rsidP="00000000" w:rsidRDefault="00000000" w:rsidRPr="00000000" w14:paraId="0000000E">
      <w:pPr>
        <w:spacing w:line="360" w:lineRule="auto"/>
        <w:jc w:val="center"/>
        <w:rPr>
          <w:b w:val="1"/>
          <w:bCs w:val="1"/>
          <w:sz w:val="24"/>
          <w:szCs w:val="24"/>
        </w:rPr>
      </w:pPr>
      <w:r w:rsidDel="00000000" w:rsidR="00000000" w:rsidRPr="00000000">
        <w:rPr>
          <w:b w:val="1"/>
          <w:bCs w:val="1"/>
          <w:sz w:val="24"/>
          <w:szCs w:val="24"/>
          <w:rtl w:val="0"/>
        </w:rPr>
        <w:t xml:space="preserve">Submission Date:</w:t>
      </w:r>
    </w:p>
    <w:p w:rsidR="00000000" w:rsidDel="00000000" w:rsidP="00000000" w:rsidRDefault="00000000" w:rsidRPr="00000000" w14:paraId="0000000F">
      <w:pPr>
        <w:spacing w:line="360" w:lineRule="auto"/>
        <w:jc w:val="center"/>
        <w:rPr>
          <w:b w:val="1"/>
          <w:bCs w:val="1"/>
          <w:sz w:val="24"/>
          <w:szCs w:val="24"/>
        </w:rPr>
      </w:pPr>
      <w:r w:rsidDel="00000000" w:rsidR="00000000" w:rsidRPr="00000000">
        <w:rPr>
          <w:b w:val="1"/>
          <w:bCs w:val="1"/>
          <w:sz w:val="24"/>
          <w:szCs w:val="24"/>
          <w:rtl w:val="0"/>
        </w:rPr>
        <w:t xml:space="preserve">Word Count: 5372</w:t>
      </w:r>
    </w:p>
    <w:p w:rsidR="00000000" w:rsidDel="00000000" w:rsidP="00000000" w:rsidRDefault="00000000" w:rsidRPr="00000000" w14:paraId="00000010">
      <w:pPr>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1">
      <w:pPr>
        <w:keepNext w:val="1"/>
        <w:keepLines w:val="1"/>
        <w:pBdr>
          <w:top w:space="0" w:sz="0" w:val="nil"/>
          <w:left w:space="0" w:sz="0" w:val="nil"/>
          <w:bottom w:space="0" w:sz="0" w:val="nil"/>
          <w:right w:space="0" w:sz="0" w:val="nil"/>
          <w:between w:space="0" w:sz="0" w:val="nil"/>
        </w:pBdr>
        <w:spacing w:before="240" w:line="360" w:lineRule="auto"/>
        <w:jc w:val="center"/>
        <w:rPr>
          <w:b w:val="1"/>
          <w:bCs w:val="1"/>
          <w:color w:val="000000"/>
          <w:sz w:val="24"/>
          <w:szCs w:val="24"/>
        </w:rPr>
      </w:pPr>
      <w:r w:rsidDel="00000000" w:rsidR="00000000" w:rsidRPr="00000000">
        <w:rPr>
          <w:b w:val="1"/>
          <w:bCs w:val="1"/>
          <w:color w:val="000000"/>
          <w:sz w:val="24"/>
          <w:szCs w:val="24"/>
          <w:rtl w:val="0"/>
        </w:rPr>
        <w:t xml:space="preserve">Table of Contents</w:t>
      </w:r>
    </w:p>
    <w:sdt>
      <w:sdtPr>
        <w:id w:val="3579944"/>
        <w:docPartObj>
          <w:docPartGallery w:val="Table of Contents"/>
          <w:docPartUnique w:val="1"/>
        </w:docPartObj>
      </w:sdtPr>
      <w:sdtContent>
        <w:p w:rsidR="00000000" w:rsidDel="00000000" w:rsidP="00000000" w:rsidRDefault="00000000" w:rsidRPr="00000000" w14:paraId="00000012">
          <w:pPr>
            <w:widowControl w:val="0"/>
            <w:tabs>
              <w:tab w:val="right" w:leader="none" w:pos="12000"/>
            </w:tabs>
            <w:spacing w:before="60" w:line="360" w:lineRule="auto"/>
            <w:rPr>
              <w:b w:val="1"/>
              <w:bCs w:val="1"/>
              <w:color w:val="000000"/>
              <w:sz w:val="24"/>
              <w:szCs w:val="24"/>
            </w:rPr>
          </w:pPr>
          <w:r w:rsidDel="00000000" w:rsidR="00000000" w:rsidRPr="00000000">
            <w:fldChar w:fldCharType="begin"/>
            <w:instrText xml:space="preserve"> TOC \h \u \z \t "Heading 1,1,Heading 2,2,Heading 3,3,"</w:instrText>
            <w:fldChar w:fldCharType="separate"/>
          </w:r>
          <w:hyperlink w:anchor="_heading=h.69ub9y4il36s">
            <w:r w:rsidDel="00000000" w:rsidR="00000000" w:rsidRPr="00000000">
              <w:rPr>
                <w:color w:val="000000"/>
                <w:sz w:val="24"/>
                <w:szCs w:val="24"/>
                <w:rtl w:val="0"/>
              </w:rPr>
              <w:t xml:space="preserve">Introduction</w:t>
              <w:tab/>
              <w:t xml:space="preserve">4</w:t>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before="60" w:line="360" w:lineRule="auto"/>
            <w:rPr>
              <w:b w:val="1"/>
              <w:bCs w:val="1"/>
              <w:color w:val="000000"/>
              <w:sz w:val="24"/>
              <w:szCs w:val="24"/>
            </w:rPr>
          </w:pPr>
          <w:hyperlink w:anchor="_heading=h.du124c9xsze7">
            <w:r w:rsidDel="00000000" w:rsidR="00000000" w:rsidRPr="00000000">
              <w:rPr>
                <w:color w:val="000000"/>
                <w:sz w:val="24"/>
                <w:szCs w:val="24"/>
                <w:rtl w:val="0"/>
              </w:rPr>
              <w:t xml:space="preserve">1. Financial Health Check</w:t>
              <w:tab/>
              <w:t xml:space="preserve">4</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before="60" w:line="360" w:lineRule="auto"/>
            <w:ind w:left="360" w:firstLine="0"/>
            <w:rPr>
              <w:color w:val="000000"/>
              <w:sz w:val="24"/>
              <w:szCs w:val="24"/>
            </w:rPr>
          </w:pPr>
          <w:hyperlink w:anchor="_heading=h.ath5rkdu0row">
            <w:r w:rsidDel="00000000" w:rsidR="00000000" w:rsidRPr="00000000">
              <w:rPr>
                <w:color w:val="000000"/>
                <w:sz w:val="24"/>
                <w:szCs w:val="24"/>
                <w:rtl w:val="0"/>
              </w:rPr>
              <w:t xml:space="preserve">a. Analysis of financial statements of IHG in the past 5 years</w:t>
              <w:tab/>
              <w:t xml:space="preserve">4</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before="60" w:line="360" w:lineRule="auto"/>
            <w:ind w:left="360" w:firstLine="0"/>
            <w:rPr>
              <w:color w:val="000000"/>
              <w:sz w:val="24"/>
              <w:szCs w:val="24"/>
            </w:rPr>
          </w:pPr>
          <w:hyperlink w:anchor="_heading=h.vai2aqvg6csu">
            <w:r w:rsidDel="00000000" w:rsidR="00000000" w:rsidRPr="00000000">
              <w:rPr>
                <w:color w:val="000000"/>
                <w:sz w:val="24"/>
                <w:szCs w:val="24"/>
                <w:rtl w:val="0"/>
              </w:rPr>
              <w:t xml:space="preserve">b. Ratio analysis</w:t>
              <w:tab/>
              <w:t xml:space="preserve">5</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before="60" w:line="360" w:lineRule="auto"/>
            <w:ind w:left="360" w:firstLine="0"/>
            <w:rPr>
              <w:color w:val="000000"/>
              <w:sz w:val="24"/>
              <w:szCs w:val="24"/>
            </w:rPr>
          </w:pPr>
          <w:hyperlink w:anchor="_heading=h.h7isobhugha">
            <w:r w:rsidDel="00000000" w:rsidR="00000000" w:rsidRPr="00000000">
              <w:rPr>
                <w:color w:val="000000"/>
                <w:sz w:val="24"/>
                <w:szCs w:val="24"/>
                <w:rtl w:val="0"/>
              </w:rPr>
              <w:t xml:space="preserve">c. Identify trends, strengths and threats</w:t>
              <w:tab/>
              <w:t xml:space="preserve">8</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before="60" w:line="360" w:lineRule="auto"/>
            <w:ind w:left="360" w:firstLine="0"/>
            <w:rPr>
              <w:color w:val="000000"/>
              <w:sz w:val="24"/>
              <w:szCs w:val="24"/>
            </w:rPr>
          </w:pPr>
          <w:hyperlink w:anchor="_heading=h.9t3pyh7vocsf">
            <w:r w:rsidDel="00000000" w:rsidR="00000000" w:rsidRPr="00000000">
              <w:rPr>
                <w:color w:val="000000"/>
                <w:sz w:val="24"/>
                <w:szCs w:val="24"/>
                <w:rtl w:val="0"/>
              </w:rPr>
              <w:t xml:space="preserve">d. Comparison of liquidity ratios</w:t>
              <w:tab/>
              <w:t xml:space="preserve">8</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before="60" w:line="360" w:lineRule="auto"/>
            <w:rPr>
              <w:b w:val="1"/>
              <w:bCs w:val="1"/>
              <w:color w:val="000000"/>
              <w:sz w:val="24"/>
              <w:szCs w:val="24"/>
            </w:rPr>
          </w:pPr>
          <w:hyperlink w:anchor="_heading=h.cfzrh9wooq48">
            <w:r w:rsidDel="00000000" w:rsidR="00000000" w:rsidRPr="00000000">
              <w:rPr>
                <w:color w:val="000000"/>
                <w:sz w:val="24"/>
                <w:szCs w:val="24"/>
                <w:rtl w:val="0"/>
              </w:rPr>
              <w:t xml:space="preserve">2. Working Capital Management Analysis</w:t>
              <w:tab/>
              <w:t xml:space="preserve">9</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before="60" w:line="360" w:lineRule="auto"/>
            <w:ind w:left="360" w:firstLine="0"/>
            <w:rPr>
              <w:color w:val="000000"/>
              <w:sz w:val="24"/>
              <w:szCs w:val="24"/>
            </w:rPr>
          </w:pPr>
          <w:hyperlink w:anchor="_heading=h.ni1ue5br0rv1">
            <w:r w:rsidDel="00000000" w:rsidR="00000000" w:rsidRPr="00000000">
              <w:rPr>
                <w:color w:val="000000"/>
                <w:sz w:val="24"/>
                <w:szCs w:val="24"/>
                <w:rtl w:val="0"/>
              </w:rPr>
              <w:t xml:space="preserve">a. Cash Operating Cycle</w:t>
              <w:tab/>
              <w:t xml:space="preserve">9</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before="60" w:line="360" w:lineRule="auto"/>
            <w:ind w:left="360" w:firstLine="0"/>
            <w:rPr>
              <w:color w:val="000000"/>
              <w:sz w:val="24"/>
              <w:szCs w:val="24"/>
            </w:rPr>
          </w:pPr>
          <w:hyperlink w:anchor="_heading=h.8pc524e1ejop">
            <w:r w:rsidDel="00000000" w:rsidR="00000000" w:rsidRPr="00000000">
              <w:rPr>
                <w:color w:val="000000"/>
                <w:sz w:val="24"/>
                <w:szCs w:val="24"/>
                <w:rtl w:val="0"/>
              </w:rPr>
              <w:t xml:space="preserve">b. Improving liquidity</w:t>
              <w:tab/>
              <w:t xml:space="preserve">10</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before="60" w:line="360" w:lineRule="auto"/>
            <w:ind w:left="360" w:firstLine="0"/>
            <w:rPr>
              <w:color w:val="000000"/>
              <w:sz w:val="24"/>
              <w:szCs w:val="24"/>
            </w:rPr>
          </w:pPr>
          <w:hyperlink w:anchor="_heading=h.nejqqu677zko">
            <w:r w:rsidDel="00000000" w:rsidR="00000000" w:rsidRPr="00000000">
              <w:rPr>
                <w:color w:val="000000"/>
                <w:sz w:val="24"/>
                <w:szCs w:val="24"/>
                <w:rtl w:val="0"/>
              </w:rPr>
              <w:t xml:space="preserve">c. Short-term vs Long-term financing options</w:t>
              <w:tab/>
              <w:t xml:space="preserve">10</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before="60" w:line="360" w:lineRule="auto"/>
            <w:rPr>
              <w:b w:val="1"/>
              <w:bCs w:val="1"/>
              <w:color w:val="000000"/>
              <w:sz w:val="24"/>
              <w:szCs w:val="24"/>
            </w:rPr>
          </w:pPr>
          <w:hyperlink w:anchor="_heading=h.3hldhez4g3a">
            <w:r w:rsidDel="00000000" w:rsidR="00000000" w:rsidRPr="00000000">
              <w:rPr>
                <w:color w:val="000000"/>
                <w:sz w:val="24"/>
                <w:szCs w:val="24"/>
                <w:rtl w:val="0"/>
              </w:rPr>
              <w:t xml:space="preserve">3. Strategic Financial Restructuring Plan</w:t>
              <w:tab/>
              <w:t xml:space="preserve">11</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before="60" w:line="360" w:lineRule="auto"/>
            <w:ind w:left="360" w:firstLine="0"/>
            <w:rPr>
              <w:color w:val="000000"/>
              <w:sz w:val="24"/>
              <w:szCs w:val="24"/>
            </w:rPr>
          </w:pPr>
          <w:hyperlink w:anchor="_heading=h.mq1ql6nn07i5">
            <w:r w:rsidDel="00000000" w:rsidR="00000000" w:rsidRPr="00000000">
              <w:rPr>
                <w:color w:val="000000"/>
                <w:sz w:val="24"/>
                <w:szCs w:val="24"/>
                <w:rtl w:val="0"/>
              </w:rPr>
              <w:t xml:space="preserve">a. Financial restructuring options</w:t>
              <w:tab/>
              <w:t xml:space="preserve">11</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before="60" w:line="360" w:lineRule="auto"/>
            <w:ind w:left="360" w:firstLine="0"/>
            <w:rPr>
              <w:color w:val="000000"/>
              <w:sz w:val="24"/>
              <w:szCs w:val="24"/>
            </w:rPr>
          </w:pPr>
          <w:hyperlink w:anchor="_heading=h.u1byb6egt6e2">
            <w:r w:rsidDel="00000000" w:rsidR="00000000" w:rsidRPr="00000000">
              <w:rPr>
                <w:color w:val="000000"/>
                <w:sz w:val="24"/>
                <w:szCs w:val="24"/>
                <w:rtl w:val="0"/>
              </w:rPr>
              <w:t xml:space="preserve">b. Evaluation of impact</w:t>
              <w:tab/>
              <w:t xml:space="preserve">12</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before="60" w:line="360" w:lineRule="auto"/>
            <w:ind w:left="360" w:firstLine="0"/>
            <w:rPr>
              <w:color w:val="000000"/>
              <w:sz w:val="24"/>
              <w:szCs w:val="24"/>
            </w:rPr>
          </w:pPr>
          <w:hyperlink w:anchor="_heading=h.qun4weayae7i">
            <w:r w:rsidDel="00000000" w:rsidR="00000000" w:rsidRPr="00000000">
              <w:rPr>
                <w:color w:val="000000"/>
                <w:sz w:val="24"/>
                <w:szCs w:val="24"/>
                <w:rtl w:val="0"/>
              </w:rPr>
              <w:t xml:space="preserve">c. International and ethical considerations</w:t>
              <w:tab/>
              <w:t xml:space="preserve">12</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before="60" w:line="360" w:lineRule="auto"/>
            <w:rPr>
              <w:b w:val="1"/>
              <w:bCs w:val="1"/>
              <w:color w:val="000000"/>
              <w:sz w:val="24"/>
              <w:szCs w:val="24"/>
            </w:rPr>
          </w:pPr>
          <w:hyperlink w:anchor="_heading=h.2jq85p5c92zw">
            <w:r w:rsidDel="00000000" w:rsidR="00000000" w:rsidRPr="00000000">
              <w:rPr>
                <w:color w:val="000000"/>
                <w:sz w:val="24"/>
                <w:szCs w:val="24"/>
                <w:rtl w:val="0"/>
              </w:rPr>
              <w:t xml:space="preserve">4. Investment Appraisal and Capital Budgeting</w:t>
              <w:tab/>
              <w:t xml:space="preserve">13</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before="60" w:line="360" w:lineRule="auto"/>
            <w:ind w:left="360" w:firstLine="0"/>
            <w:rPr>
              <w:color w:val="000000"/>
              <w:sz w:val="24"/>
              <w:szCs w:val="24"/>
            </w:rPr>
          </w:pPr>
          <w:hyperlink w:anchor="_heading=h.5mv31sdpv8t6">
            <w:r w:rsidDel="00000000" w:rsidR="00000000" w:rsidRPr="00000000">
              <w:rPr>
                <w:color w:val="000000"/>
                <w:sz w:val="24"/>
                <w:szCs w:val="24"/>
                <w:rtl w:val="0"/>
              </w:rPr>
              <w:t xml:space="preserve">a. Choose from the projects</w:t>
              <w:tab/>
              <w:t xml:space="preserve">13</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before="60" w:line="360" w:lineRule="auto"/>
            <w:ind w:left="360" w:firstLine="0"/>
            <w:rPr>
              <w:color w:val="000000"/>
              <w:sz w:val="24"/>
              <w:szCs w:val="24"/>
            </w:rPr>
          </w:pPr>
          <w:hyperlink w:anchor="_heading=h.7hbjtal9ysc6">
            <w:r w:rsidDel="00000000" w:rsidR="00000000" w:rsidRPr="00000000">
              <w:rPr>
                <w:color w:val="000000"/>
                <w:sz w:val="24"/>
                <w:szCs w:val="24"/>
                <w:rtl w:val="0"/>
              </w:rPr>
              <w:t xml:space="preserve">b. Project details</w:t>
              <w:tab/>
              <w:t xml:space="preserve">13</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before="60" w:line="360" w:lineRule="auto"/>
            <w:ind w:left="360" w:firstLine="0"/>
            <w:rPr>
              <w:color w:val="000000"/>
              <w:sz w:val="24"/>
              <w:szCs w:val="24"/>
            </w:rPr>
          </w:pPr>
          <w:hyperlink w:anchor="_heading=h.lww912e4bnvu">
            <w:r w:rsidDel="00000000" w:rsidR="00000000" w:rsidRPr="00000000">
              <w:rPr>
                <w:color w:val="000000"/>
                <w:sz w:val="24"/>
                <w:szCs w:val="24"/>
                <w:rtl w:val="0"/>
              </w:rPr>
              <w:t xml:space="preserve">c. Discount rate</w:t>
              <w:tab/>
              <w:t xml:space="preserve">14</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before="60" w:line="360" w:lineRule="auto"/>
            <w:ind w:left="360" w:firstLine="0"/>
            <w:rPr>
              <w:color w:val="000000"/>
              <w:sz w:val="24"/>
              <w:szCs w:val="24"/>
            </w:rPr>
          </w:pPr>
          <w:hyperlink w:anchor="_heading=h.8mnq5slr1evn">
            <w:r w:rsidDel="00000000" w:rsidR="00000000" w:rsidRPr="00000000">
              <w:rPr>
                <w:color w:val="000000"/>
                <w:sz w:val="24"/>
                <w:szCs w:val="24"/>
                <w:rtl w:val="0"/>
              </w:rPr>
              <w:t xml:space="preserve">d. Recommendation</w:t>
              <w:tab/>
              <w:t xml:space="preserve">16</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before="60" w:line="360" w:lineRule="auto"/>
            <w:ind w:left="360" w:firstLine="0"/>
            <w:rPr>
              <w:color w:val="000000"/>
              <w:sz w:val="24"/>
              <w:szCs w:val="24"/>
            </w:rPr>
          </w:pPr>
          <w:hyperlink w:anchor="_heading=h.z1ne86jow02m">
            <w:r w:rsidDel="00000000" w:rsidR="00000000" w:rsidRPr="00000000">
              <w:rPr>
                <w:color w:val="000000"/>
                <w:sz w:val="24"/>
                <w:szCs w:val="24"/>
                <w:rtl w:val="0"/>
              </w:rPr>
              <w:t xml:space="preserve">e. Capital rationing</w:t>
              <w:tab/>
              <w:t xml:space="preserve">17</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before="60" w:line="360" w:lineRule="auto"/>
            <w:rPr>
              <w:b w:val="1"/>
              <w:bCs w:val="1"/>
              <w:color w:val="000000"/>
              <w:sz w:val="24"/>
              <w:szCs w:val="24"/>
            </w:rPr>
          </w:pPr>
          <w:hyperlink w:anchor="_heading=h.a8b8xm8m57mj">
            <w:r w:rsidDel="00000000" w:rsidR="00000000" w:rsidRPr="00000000">
              <w:rPr>
                <w:color w:val="000000"/>
                <w:sz w:val="24"/>
                <w:szCs w:val="24"/>
                <w:rtl w:val="0"/>
              </w:rPr>
              <w:t xml:space="preserve">5. Critical Reflection on AI Usage</w:t>
              <w:tab/>
              <w:t xml:space="preserve">18</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before="60" w:line="360" w:lineRule="auto"/>
            <w:ind w:left="360" w:firstLine="0"/>
            <w:rPr>
              <w:color w:val="000000"/>
              <w:sz w:val="24"/>
              <w:szCs w:val="24"/>
            </w:rPr>
          </w:pPr>
          <w:hyperlink w:anchor="_heading=h.m2p6kcdshase">
            <w:r w:rsidDel="00000000" w:rsidR="00000000" w:rsidRPr="00000000">
              <w:rPr>
                <w:color w:val="000000"/>
                <w:sz w:val="24"/>
                <w:szCs w:val="24"/>
                <w:rtl w:val="0"/>
              </w:rPr>
              <w:t xml:space="preserve">a. Disclosure of tools</w:t>
              <w:tab/>
              <w:t xml:space="preserve">18</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before="60" w:line="360" w:lineRule="auto"/>
            <w:ind w:left="360" w:firstLine="0"/>
            <w:rPr>
              <w:color w:val="000000"/>
              <w:sz w:val="24"/>
              <w:szCs w:val="24"/>
            </w:rPr>
          </w:pPr>
          <w:hyperlink w:anchor="_heading=h.vrgoxso1k30c">
            <w:r w:rsidDel="00000000" w:rsidR="00000000" w:rsidRPr="00000000">
              <w:rPr>
                <w:color w:val="000000"/>
                <w:sz w:val="24"/>
                <w:szCs w:val="24"/>
                <w:rtl w:val="0"/>
              </w:rPr>
              <w:t xml:space="preserve">b. Critical evaluation of AI output</w:t>
              <w:tab/>
              <w:t xml:space="preserve">18</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before="60" w:line="360" w:lineRule="auto"/>
            <w:ind w:left="360" w:firstLine="0"/>
            <w:rPr>
              <w:color w:val="000000"/>
              <w:sz w:val="24"/>
              <w:szCs w:val="24"/>
            </w:rPr>
          </w:pPr>
          <w:hyperlink w:anchor="_heading=h.v253q33q3hgg">
            <w:r w:rsidDel="00000000" w:rsidR="00000000" w:rsidRPr="00000000">
              <w:rPr>
                <w:color w:val="000000"/>
                <w:sz w:val="24"/>
                <w:szCs w:val="24"/>
                <w:rtl w:val="0"/>
              </w:rPr>
              <w:t xml:space="preserve">c. Contribution analysis</w:t>
              <w:tab/>
              <w:t xml:space="preserve">19</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before="60" w:line="360" w:lineRule="auto"/>
            <w:ind w:left="360" w:firstLine="0"/>
            <w:rPr>
              <w:color w:val="000000"/>
              <w:sz w:val="24"/>
              <w:szCs w:val="24"/>
            </w:rPr>
          </w:pPr>
          <w:hyperlink w:anchor="_heading=h.on28tsjk4ait">
            <w:r w:rsidDel="00000000" w:rsidR="00000000" w:rsidRPr="00000000">
              <w:rPr>
                <w:color w:val="000000"/>
                <w:sz w:val="24"/>
                <w:szCs w:val="24"/>
                <w:rtl w:val="0"/>
              </w:rPr>
              <w:t xml:space="preserve">d. Ethical and professional reflection</w:t>
              <w:tab/>
              <w:t xml:space="preserve">19</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before="60" w:line="360" w:lineRule="auto"/>
            <w:rPr>
              <w:b w:val="1"/>
              <w:bCs w:val="1"/>
              <w:color w:val="000000"/>
              <w:sz w:val="24"/>
              <w:szCs w:val="24"/>
            </w:rPr>
          </w:pPr>
          <w:hyperlink w:anchor="_heading=h.agcr3nntdhs4">
            <w:r w:rsidDel="00000000" w:rsidR="00000000" w:rsidRPr="00000000">
              <w:rPr>
                <w:color w:val="000000"/>
                <w:sz w:val="24"/>
                <w:szCs w:val="24"/>
                <w:rtl w:val="0"/>
              </w:rPr>
              <w:t xml:space="preserve">Conclusion</w:t>
              <w:tab/>
              <w:t xml:space="preserve">20</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before="60" w:line="360" w:lineRule="auto"/>
            <w:rPr>
              <w:b w:val="1"/>
              <w:bCs w:val="1"/>
              <w:color w:val="000000"/>
              <w:sz w:val="24"/>
              <w:szCs w:val="24"/>
            </w:rPr>
          </w:pPr>
          <w:hyperlink w:anchor="_heading=h.pjbcebrdk8rp">
            <w:r w:rsidDel="00000000" w:rsidR="00000000" w:rsidRPr="00000000">
              <w:rPr>
                <w:color w:val="000000"/>
                <w:sz w:val="24"/>
                <w:szCs w:val="24"/>
                <w:rtl w:val="0"/>
              </w:rPr>
              <w:t xml:space="preserve">Reference list</w:t>
              <w:tab/>
              <w:t xml:space="preserve">21</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before="60" w:line="360" w:lineRule="auto"/>
            <w:rPr>
              <w:b w:val="1"/>
              <w:bCs w:val="1"/>
              <w:color w:val="000000"/>
              <w:sz w:val="24"/>
              <w:szCs w:val="24"/>
            </w:rPr>
          </w:pPr>
          <w:hyperlink w:anchor="_heading=h.4djt0nuo1jzh">
            <w:r w:rsidDel="00000000" w:rsidR="00000000" w:rsidRPr="00000000">
              <w:rPr>
                <w:color w:val="000000"/>
                <w:sz w:val="24"/>
                <w:szCs w:val="24"/>
                <w:highlight w:val="white"/>
                <w:rtl w:val="0"/>
              </w:rPr>
              <w:t xml:space="preserve">Appendix 1: Ratio tables and graphs</w:t>
              <w:tab/>
              <w:t xml:space="preserve">28</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before="60" w:line="360" w:lineRule="auto"/>
            <w:rPr>
              <w:b w:val="1"/>
              <w:bCs w:val="1"/>
              <w:color w:val="000000"/>
              <w:sz w:val="24"/>
              <w:szCs w:val="24"/>
            </w:rPr>
          </w:pPr>
          <w:hyperlink w:anchor="_heading=h.un31urv5rpuz">
            <w:r w:rsidDel="00000000" w:rsidR="00000000" w:rsidRPr="00000000">
              <w:rPr>
                <w:color w:val="000000"/>
                <w:sz w:val="24"/>
                <w:szCs w:val="24"/>
                <w:highlight w:val="white"/>
                <w:rtl w:val="0"/>
              </w:rPr>
              <w:t xml:space="preserve">Appendix 2: Investment appraisal calculations</w:t>
              <w:tab/>
              <w:t xml:space="preserve">31</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F">
      <w:pPr>
        <w:spacing w:line="360" w:lineRule="auto"/>
        <w:rPr>
          <w:b w:val="1"/>
          <w:bCs w:val="1"/>
          <w:sz w:val="24"/>
          <w:szCs w:val="24"/>
        </w:rPr>
      </w:pPr>
      <w:r w:rsidDel="00000000" w:rsidR="00000000" w:rsidRPr="00000000">
        <w:rPr>
          <w:rtl w:val="0"/>
        </w:rPr>
      </w:r>
    </w:p>
    <w:p w:rsidR="00000000" w:rsidDel="00000000" w:rsidP="00000000" w:rsidRDefault="00000000" w:rsidRPr="00000000" w14:paraId="00000030">
      <w:pPr>
        <w:spacing w:line="360" w:lineRule="auto"/>
        <w:jc w:val="both"/>
        <w:rPr>
          <w:sz w:val="24"/>
          <w:szCs w:val="24"/>
        </w:rPr>
      </w:pPr>
      <w:r w:rsidDel="00000000" w:rsidR="00000000" w:rsidRPr="00000000">
        <w:rPr>
          <w:rtl w:val="0"/>
        </w:rPr>
      </w:r>
    </w:p>
    <w:p w:rsidR="00000000" w:rsidDel="00000000" w:rsidP="00000000" w:rsidRDefault="00000000" w:rsidRPr="00000000" w14:paraId="00000031">
      <w:pPr>
        <w:spacing w:line="360" w:lineRule="auto"/>
        <w:jc w:val="both"/>
        <w:rPr>
          <w:sz w:val="24"/>
          <w:szCs w:val="24"/>
        </w:rPr>
      </w:pPr>
      <w:r w:rsidDel="00000000" w:rsidR="00000000" w:rsidRPr="00000000">
        <w:rPr>
          <w:rtl w:val="0"/>
        </w:rPr>
      </w:r>
    </w:p>
    <w:p w:rsidR="00000000" w:rsidDel="00000000" w:rsidP="00000000" w:rsidRDefault="00000000" w:rsidRPr="00000000" w14:paraId="00000032">
      <w:pPr>
        <w:pStyle w:val="Heading1"/>
        <w:rPr/>
      </w:pPr>
      <w:bookmarkStart w:colFirst="0" w:colLast="0" w:name="_heading=h.vt8i466mvsz5" w:id="0"/>
      <w:bookmarkEnd w:id="0"/>
      <w:r w:rsidDel="00000000" w:rsidR="00000000" w:rsidRPr="00000000">
        <w:br w:type="page"/>
      </w:r>
      <w:r w:rsidDel="00000000" w:rsidR="00000000" w:rsidRPr="00000000">
        <w:rPr>
          <w:rtl w:val="0"/>
        </w:rPr>
      </w:r>
    </w:p>
    <w:p w:rsidR="00000000" w:rsidDel="00000000" w:rsidP="00000000" w:rsidRDefault="00000000" w:rsidRPr="00000000" w14:paraId="00000033">
      <w:pPr>
        <w:pStyle w:val="Heading1"/>
        <w:rPr/>
      </w:pPr>
      <w:bookmarkStart w:colFirst="0" w:colLast="0" w:name="_heading=h.69ub9y4il36s" w:id="1"/>
      <w:bookmarkEnd w:id="1"/>
      <w:r w:rsidDel="00000000" w:rsidR="00000000" w:rsidRPr="00000000">
        <w:rPr>
          <w:rtl w:val="0"/>
        </w:rPr>
        <w:t xml:space="preserve">Introduction </w:t>
      </w:r>
    </w:p>
    <w:p w:rsidR="00000000" w:rsidDel="00000000" w:rsidP="00000000" w:rsidRDefault="00000000" w:rsidRPr="00000000" w14:paraId="00000034">
      <w:pPr>
        <w:spacing w:line="360" w:lineRule="auto"/>
        <w:jc w:val="both"/>
        <w:rPr>
          <w:sz w:val="24"/>
          <w:szCs w:val="24"/>
        </w:rPr>
      </w:pPr>
      <w:r w:rsidDel="00000000" w:rsidR="00000000" w:rsidRPr="00000000">
        <w:rPr>
          <w:sz w:val="24"/>
          <w:szCs w:val="24"/>
          <w:rtl w:val="0"/>
        </w:rPr>
        <w:t xml:space="preserve">InterContinental Hotels Group (IHG) is one of the leading companies within the hospitality industry. The organisation is operating more than 7,000 hotels globally to provide exceptional experiences to guests (IHG, 2026). Furthermore, IHG manages several well-known brands such as ‘Crowne Plaza’, ‘Holiday Inn’ and ‘Six Senses’ (IHG, 2026a). The company is following an asset-light business model that generates revenue through various ways such as ‘licensing’, ‘direct management’ and ‘franchise’ rather than only a large portfolio of hotel properties. Through this, the company is able to manage operational flexibility and global scalability effectively. The main purpose of the following discussion is to evaluate financial performance and management-oriented practices of IHG over the past 5 years. In this regard, the report will analyse the financial health of the company to assess its ‘liquidity’, ‘profitability’, ‘gearing’, ‘cash flow’ and ‘investment performance’. Apart from that, this report will propose a strategic financial restructuring plan based on working capital of the company. Several capital budgeting techniques such as ‘Accounting Rate of Return’ (ARR), ‘Net Present Value’ (NPV), ‘Internal Rate of Return’ (IRR) and ‘profitability index’ (PI) can evaluate investment-related opportunities in three distinctive projects. Lastly, the discussion will conclude through providing a critical reflection on the use of AI in this study. Overall, the report will argue that IHG is financially resilient to sustain long-term values for its shareholders. </w:t>
      </w:r>
    </w:p>
    <w:p w:rsidR="00000000" w:rsidDel="00000000" w:rsidP="00000000" w:rsidRDefault="00000000" w:rsidRPr="00000000" w14:paraId="00000035">
      <w:pPr>
        <w:pStyle w:val="Heading1"/>
        <w:rPr/>
      </w:pPr>
      <w:bookmarkStart w:colFirst="0" w:colLast="0" w:name="_heading=h.du124c9xsze7" w:id="2"/>
      <w:bookmarkEnd w:id="2"/>
      <w:r w:rsidDel="00000000" w:rsidR="00000000" w:rsidRPr="00000000">
        <w:rPr>
          <w:rtl w:val="0"/>
        </w:rPr>
        <w:t xml:space="preserve">1. Financial Health Check </w:t>
      </w:r>
    </w:p>
    <w:p w:rsidR="00000000" w:rsidDel="00000000" w:rsidP="00000000" w:rsidRDefault="00000000" w:rsidRPr="00000000" w14:paraId="00000036">
      <w:pPr>
        <w:pStyle w:val="Heading2"/>
        <w:rPr/>
      </w:pPr>
      <w:bookmarkStart w:colFirst="0" w:colLast="0" w:name="_heading=h.ath5rkdu0row" w:id="3"/>
      <w:bookmarkEnd w:id="3"/>
      <w:r w:rsidDel="00000000" w:rsidR="00000000" w:rsidRPr="00000000">
        <w:rPr>
          <w:rtl w:val="0"/>
        </w:rPr>
        <w:t xml:space="preserve">a. Analysis of financial statements of IHG in the past 5 years</w:t>
      </w:r>
    </w:p>
    <w:p w:rsidR="00000000" w:rsidDel="00000000" w:rsidP="00000000" w:rsidRDefault="00000000" w:rsidRPr="00000000" w14:paraId="00000037">
      <w:pPr>
        <w:spacing w:line="360" w:lineRule="auto"/>
        <w:jc w:val="both"/>
        <w:rPr>
          <w:sz w:val="24"/>
          <w:szCs w:val="24"/>
        </w:rPr>
      </w:pPr>
      <w:r w:rsidDel="00000000" w:rsidR="00000000" w:rsidRPr="00000000">
        <w:rPr>
          <w:sz w:val="24"/>
          <w:szCs w:val="24"/>
          <w:rtl w:val="0"/>
        </w:rPr>
        <w:t xml:space="preserve">In the past five years between 2021 and 2025, IHG has depicted a strong financial recovery and growth post the Covid-19 pandemic. </w:t>
      </w:r>
    </w:p>
    <w:p w:rsidR="00000000" w:rsidDel="00000000" w:rsidP="00000000" w:rsidRDefault="00000000" w:rsidRPr="00000000" w14:paraId="00000038">
      <w:pPr>
        <w:spacing w:line="360" w:lineRule="auto"/>
        <w:jc w:val="both"/>
        <w:rPr>
          <w:b w:val="1"/>
          <w:bCs w:val="1"/>
          <w:sz w:val="24"/>
          <w:szCs w:val="24"/>
        </w:rPr>
      </w:pPr>
      <w:r w:rsidDel="00000000" w:rsidR="00000000" w:rsidRPr="00000000">
        <w:rPr>
          <w:b w:val="1"/>
          <w:bCs w:val="1"/>
          <w:sz w:val="24"/>
          <w:szCs w:val="24"/>
          <w:rtl w:val="0"/>
        </w:rPr>
        <w:t xml:space="preserve">Income statement</w:t>
      </w:r>
    </w:p>
    <w:p w:rsidR="00000000" w:rsidDel="00000000" w:rsidP="00000000" w:rsidRDefault="00000000" w:rsidRPr="00000000" w14:paraId="00000039">
      <w:pPr>
        <w:spacing w:line="360" w:lineRule="auto"/>
        <w:jc w:val="both"/>
        <w:rPr>
          <w:sz w:val="24"/>
          <w:szCs w:val="24"/>
        </w:rPr>
      </w:pPr>
      <w:r w:rsidDel="00000000" w:rsidR="00000000" w:rsidRPr="00000000">
        <w:rPr>
          <w:sz w:val="24"/>
          <w:szCs w:val="24"/>
          <w:rtl w:val="0"/>
        </w:rPr>
        <w:t xml:space="preserve">Sales have increased largely from around $2.9 billion in 2021 to $5.19 billion in 2025 which reflects improving global travel demand, higher occupancy rates and expansion in hotel signings worldwide (IHG, 2025). The operating profit has also improved largely which increased from $494 million in 2021 to around $1.2 billion in 2025 (Macrotrends, 2026). The company’s asset-light business model is based on franchise and management contracts which allows IHG to generate strong profits with low capital expenditure requirements. As per 2025 annual report, fee business revenue reached $1.897 billion focusing on efficiency and business strategy (IHG, 2025). </w:t>
      </w:r>
    </w:p>
    <w:p w:rsidR="00000000" w:rsidDel="00000000" w:rsidP="00000000" w:rsidRDefault="00000000" w:rsidRPr="00000000" w14:paraId="0000003A">
      <w:pPr>
        <w:spacing w:line="360" w:lineRule="auto"/>
        <w:jc w:val="both"/>
        <w:rPr>
          <w:b w:val="1"/>
          <w:bCs w:val="1"/>
          <w:sz w:val="24"/>
          <w:szCs w:val="24"/>
        </w:rPr>
      </w:pPr>
      <w:r w:rsidDel="00000000" w:rsidR="00000000" w:rsidRPr="00000000">
        <w:rPr>
          <w:b w:val="1"/>
          <w:bCs w:val="1"/>
          <w:sz w:val="24"/>
          <w:szCs w:val="24"/>
          <w:rtl w:val="0"/>
        </w:rPr>
        <w:t xml:space="preserve">Balance sheet</w:t>
      </w:r>
    </w:p>
    <w:p w:rsidR="00000000" w:rsidDel="00000000" w:rsidP="00000000" w:rsidRDefault="00000000" w:rsidRPr="00000000" w14:paraId="0000003B">
      <w:pPr>
        <w:spacing w:line="360" w:lineRule="auto"/>
        <w:jc w:val="both"/>
        <w:rPr>
          <w:sz w:val="24"/>
          <w:szCs w:val="24"/>
        </w:rPr>
      </w:pPr>
      <w:r w:rsidDel="00000000" w:rsidR="00000000" w:rsidRPr="00000000">
        <w:rPr>
          <w:sz w:val="24"/>
          <w:szCs w:val="24"/>
          <w:rtl w:val="0"/>
        </w:rPr>
        <w:t xml:space="preserve">The balance sheet of IHG reflects moderate leverage with debt levels increasing partially due to shareholder returns reflecting dividends and share buyback. Nevertheless, a strong operating cash flow is supported by liquidity and investment activities (Vipond, 2019). EPS and shareholder returns have improved steadily, depicting management confidence in future growth. However, the company faces the risk from economic uncertainty, weak demand in China, geopolitical tensions and volatile consumer travel expenses. Despite these challenges, IHG has a diversified global portfolio and strong brand presence which positions the company for continuous long-term growth within the hospitality sector of the UK. </w:t>
      </w:r>
    </w:p>
    <w:p w:rsidR="00000000" w:rsidDel="00000000" w:rsidP="00000000" w:rsidRDefault="00000000" w:rsidRPr="00000000" w14:paraId="0000003C">
      <w:pPr>
        <w:spacing w:line="360" w:lineRule="auto"/>
        <w:jc w:val="both"/>
        <w:rPr>
          <w:b w:val="1"/>
          <w:bCs w:val="1"/>
          <w:sz w:val="24"/>
          <w:szCs w:val="24"/>
        </w:rPr>
      </w:pPr>
      <w:r w:rsidDel="00000000" w:rsidR="00000000" w:rsidRPr="00000000">
        <w:rPr>
          <w:b w:val="1"/>
          <w:bCs w:val="1"/>
          <w:sz w:val="24"/>
          <w:szCs w:val="24"/>
          <w:rtl w:val="0"/>
        </w:rPr>
        <w:t xml:space="preserve">Cash Flow</w:t>
      </w:r>
    </w:p>
    <w:p w:rsidR="00000000" w:rsidDel="00000000" w:rsidP="00000000" w:rsidRDefault="00000000" w:rsidRPr="00000000" w14:paraId="0000003D">
      <w:pPr>
        <w:spacing w:line="360" w:lineRule="auto"/>
        <w:jc w:val="both"/>
        <w:rPr>
          <w:sz w:val="24"/>
          <w:szCs w:val="24"/>
        </w:rPr>
      </w:pPr>
      <w:r w:rsidDel="00000000" w:rsidR="00000000" w:rsidRPr="00000000">
        <w:rPr>
          <w:sz w:val="24"/>
          <w:szCs w:val="24"/>
          <w:rtl w:val="0"/>
        </w:rPr>
        <w:t xml:space="preserve">The cash flow performance of IHG has improved largely between 2021 and 2025 indicating recovery in the worldwide travel demand. The operating cash flow has increased from around $636 million in 2021 to around $898 million in 2025 (IHG, 2025). It depicts strong profitability and liquidity. The investing cash flow has remained negative due to capital expenditure while financial activities depicted cash outflows from dividends, debt repayment and share buybacks. </w:t>
      </w:r>
    </w:p>
    <w:p w:rsidR="00000000" w:rsidDel="00000000" w:rsidP="00000000" w:rsidRDefault="00000000" w:rsidRPr="00000000" w14:paraId="0000003E">
      <w:pPr>
        <w:pStyle w:val="Heading2"/>
        <w:rPr/>
      </w:pPr>
      <w:bookmarkStart w:colFirst="0" w:colLast="0" w:name="_heading=h.vai2aqvg6csu" w:id="4"/>
      <w:bookmarkEnd w:id="4"/>
      <w:r w:rsidDel="00000000" w:rsidR="00000000" w:rsidRPr="00000000">
        <w:rPr>
          <w:rtl w:val="0"/>
        </w:rPr>
        <w:t xml:space="preserve">b. Ratio analysis</w:t>
      </w:r>
    </w:p>
    <w:p w:rsidR="00000000" w:rsidDel="00000000" w:rsidP="00000000" w:rsidRDefault="00000000" w:rsidRPr="00000000" w14:paraId="0000003F">
      <w:pPr>
        <w:spacing w:line="360" w:lineRule="auto"/>
        <w:rPr>
          <w:b w:val="1"/>
          <w:bCs w:val="1"/>
          <w:i w:val="1"/>
          <w:iCs w:val="1"/>
          <w:sz w:val="24"/>
          <w:szCs w:val="24"/>
        </w:rPr>
      </w:pPr>
      <w:r w:rsidDel="00000000" w:rsidR="00000000" w:rsidRPr="00000000">
        <w:rPr>
          <w:b w:val="1"/>
          <w:bCs w:val="1"/>
          <w:i w:val="1"/>
          <w:iCs w:val="1"/>
          <w:sz w:val="24"/>
          <w:szCs w:val="24"/>
          <w:rtl w:val="0"/>
        </w:rPr>
        <w:t xml:space="preserve">[Refer to Appendix 1]</w:t>
      </w:r>
    </w:p>
    <w:p w:rsidR="00000000" w:rsidDel="00000000" w:rsidP="00000000" w:rsidRDefault="00000000" w:rsidRPr="00000000" w14:paraId="00000040">
      <w:pPr>
        <w:spacing w:line="360" w:lineRule="auto"/>
        <w:jc w:val="both"/>
        <w:rPr>
          <w:b w:val="1"/>
          <w:bCs w:val="1"/>
          <w:sz w:val="24"/>
          <w:szCs w:val="24"/>
        </w:rPr>
      </w:pPr>
      <w:r w:rsidDel="00000000" w:rsidR="00000000" w:rsidRPr="00000000">
        <w:rPr>
          <w:b w:val="1"/>
          <w:bCs w:val="1"/>
          <w:sz w:val="24"/>
          <w:szCs w:val="24"/>
          <w:rtl w:val="0"/>
        </w:rPr>
        <w:t xml:space="preserve">Profitability</w:t>
      </w:r>
    </w:p>
    <w:p w:rsidR="00000000" w:rsidDel="00000000" w:rsidP="00000000" w:rsidRDefault="00000000" w:rsidRPr="00000000" w14:paraId="00000041">
      <w:pPr>
        <w:spacing w:line="360" w:lineRule="auto"/>
        <w:jc w:val="both"/>
        <w:rPr>
          <w:sz w:val="24"/>
          <w:szCs w:val="24"/>
        </w:rPr>
      </w:pPr>
      <w:r w:rsidDel="00000000" w:rsidR="00000000" w:rsidRPr="00000000">
        <w:rPr>
          <w:sz w:val="24"/>
          <w:szCs w:val="24"/>
          <w:rtl w:val="0"/>
        </w:rPr>
        <w:t xml:space="preserve">The operating profit ratio of IHG has improved largely from 17% in 2021 to 23% in 2025, despite facing a decline in 2022 (IHG, 2022). The increase in operating profit margin indicates stronger operational efficiency of the business, higher occupancy rates, improved pricing strategies and recovery in global tourism demand (Toker, 2025). </w:t>
      </w:r>
    </w:p>
    <w:p w:rsidR="00000000" w:rsidDel="00000000" w:rsidP="00000000" w:rsidRDefault="00000000" w:rsidRPr="00000000" w14:paraId="00000042">
      <w:pPr>
        <w:spacing w:line="360" w:lineRule="auto"/>
        <w:jc w:val="both"/>
        <w:rPr>
          <w:sz w:val="24"/>
          <w:szCs w:val="24"/>
        </w:rPr>
      </w:pPr>
      <w:r w:rsidDel="00000000" w:rsidR="00000000" w:rsidRPr="00000000">
        <w:rPr>
          <w:sz w:val="24"/>
          <w:szCs w:val="24"/>
          <w:rtl w:val="0"/>
        </w:rPr>
        <w:t xml:space="preserve">The net profit margin has increased from 12% in 2021 to 15% in 2025 depicting the overall improvement in profitability in the past 5 years (IHG, 2021). Although profitability has slightly declined in 2024, the ratio has remained strong due to effective cost management, rising sales and stable franchise income. It reflects improved earnings generation and financial performance.</w:t>
      </w:r>
    </w:p>
    <w:p w:rsidR="00000000" w:rsidDel="00000000" w:rsidP="00000000" w:rsidRDefault="00000000" w:rsidRPr="00000000" w14:paraId="00000043">
      <w:pPr>
        <w:spacing w:line="360" w:lineRule="auto"/>
        <w:jc w:val="both"/>
        <w:rPr>
          <w:sz w:val="24"/>
          <w:szCs w:val="24"/>
        </w:rPr>
      </w:pPr>
      <w:r w:rsidDel="00000000" w:rsidR="00000000" w:rsidRPr="00000000">
        <w:rPr>
          <w:sz w:val="24"/>
          <w:szCs w:val="24"/>
          <w:rtl w:val="0"/>
        </w:rPr>
        <w:t xml:space="preserve">The gross profit margin of IHG has improved gradually from 83% in 2021 to 85% in 2025 reflecting a strong pricing power, improved operational efficiency and recovery in the hospitality sector of the UK (IHG, 2025). The stability of high GP margin reflects an effective cost control and increase in sales generation from its global hotel portfolio which assists in profitability growth. </w:t>
      </w:r>
    </w:p>
    <w:p w:rsidR="00000000" w:rsidDel="00000000" w:rsidP="00000000" w:rsidRDefault="00000000" w:rsidRPr="00000000" w14:paraId="00000044">
      <w:pPr>
        <w:spacing w:line="360" w:lineRule="auto"/>
        <w:jc w:val="both"/>
        <w:rPr>
          <w:sz w:val="24"/>
          <w:szCs w:val="24"/>
        </w:rPr>
      </w:pPr>
      <w:r w:rsidDel="00000000" w:rsidR="00000000" w:rsidRPr="00000000">
        <w:rPr>
          <w:sz w:val="24"/>
          <w:szCs w:val="24"/>
          <w:rtl w:val="0"/>
        </w:rPr>
        <w:t xml:space="preserve">The ROCE of IHG has largely increased from 16% in 2021 to 37% in 2025 (IHG, 2021). It showed improvement of efficiency in using capital to generate operating profits. The highest ROCE of 41% in 2023 indicates a strong post Covid-19 recovery. Hence, the higher ROCE indicates better investment returns and effective capital management (Santina, 2026). </w:t>
      </w:r>
    </w:p>
    <w:p w:rsidR="00000000" w:rsidDel="00000000" w:rsidP="00000000" w:rsidRDefault="00000000" w:rsidRPr="00000000" w14:paraId="00000045">
      <w:pPr>
        <w:spacing w:line="360" w:lineRule="auto"/>
        <w:jc w:val="both"/>
        <w:rPr>
          <w:b w:val="1"/>
          <w:bCs w:val="1"/>
          <w:sz w:val="24"/>
          <w:szCs w:val="24"/>
        </w:rPr>
      </w:pPr>
      <w:r w:rsidDel="00000000" w:rsidR="00000000" w:rsidRPr="00000000">
        <w:rPr>
          <w:b w:val="1"/>
          <w:bCs w:val="1"/>
          <w:sz w:val="24"/>
          <w:szCs w:val="24"/>
          <w:rtl w:val="0"/>
        </w:rPr>
        <w:t xml:space="preserve">Liquidity</w:t>
      </w:r>
    </w:p>
    <w:p w:rsidR="00000000" w:rsidDel="00000000" w:rsidP="00000000" w:rsidRDefault="00000000" w:rsidRPr="00000000" w14:paraId="00000046">
      <w:pPr>
        <w:spacing w:line="360" w:lineRule="auto"/>
        <w:jc w:val="both"/>
        <w:rPr>
          <w:sz w:val="24"/>
          <w:szCs w:val="24"/>
        </w:rPr>
      </w:pPr>
      <w:r w:rsidDel="00000000" w:rsidR="00000000" w:rsidRPr="00000000">
        <w:rPr>
          <w:sz w:val="24"/>
          <w:szCs w:val="24"/>
          <w:rtl w:val="0"/>
        </w:rPr>
        <w:t xml:space="preserve">The current ratio of IHG has declined successively from 1.27:1 in 2021 to 0.98:1 in 2025 (IHG, 2025). It reflects lower short-term debt levels over time. A current ratio below 1 depicts current liabilities to exceed the current assets (Allianz Trade Corporate, 2026). However, it is common for the tourism and hospitality sector as businesses generate regular operating cash flows and maintain effective working capital management. </w:t>
      </w:r>
    </w:p>
    <w:p w:rsidR="00000000" w:rsidDel="00000000" w:rsidP="00000000" w:rsidRDefault="00000000" w:rsidRPr="00000000" w14:paraId="00000047">
      <w:pPr>
        <w:spacing w:line="360" w:lineRule="auto"/>
        <w:jc w:val="both"/>
        <w:rPr>
          <w:sz w:val="24"/>
          <w:szCs w:val="24"/>
        </w:rPr>
      </w:pPr>
      <w:r w:rsidDel="00000000" w:rsidR="00000000" w:rsidRPr="00000000">
        <w:rPr>
          <w:sz w:val="24"/>
          <w:szCs w:val="24"/>
          <w:rtl w:val="0"/>
        </w:rPr>
        <w:t xml:space="preserve">The acid-test ratio has followed a declining trend from 1.27:1 in 2021 to 0.97:1 in 2025 (IHG, 2024). As the hospitality business holds limited inventories, both the current ratio and acid-test ratio remains the same. The liquidity results reflect immediate liquidity however still reflect adequate short-term financial obligations as supported by consistent cash flow (Das, 2022). </w:t>
      </w:r>
    </w:p>
    <w:p w:rsidR="00000000" w:rsidDel="00000000" w:rsidP="00000000" w:rsidRDefault="00000000" w:rsidRPr="00000000" w14:paraId="00000048">
      <w:pPr>
        <w:spacing w:line="360" w:lineRule="auto"/>
        <w:jc w:val="both"/>
        <w:rPr>
          <w:b w:val="1"/>
          <w:bCs w:val="1"/>
          <w:sz w:val="24"/>
          <w:szCs w:val="24"/>
        </w:rPr>
      </w:pPr>
      <w:r w:rsidDel="00000000" w:rsidR="00000000" w:rsidRPr="00000000">
        <w:rPr>
          <w:b w:val="1"/>
          <w:bCs w:val="1"/>
          <w:sz w:val="24"/>
          <w:szCs w:val="24"/>
          <w:rtl w:val="0"/>
        </w:rPr>
        <w:t xml:space="preserve">Efficiency</w:t>
      </w:r>
    </w:p>
    <w:p w:rsidR="00000000" w:rsidDel="00000000" w:rsidP="00000000" w:rsidRDefault="00000000" w:rsidRPr="00000000" w14:paraId="00000049">
      <w:pPr>
        <w:spacing w:line="360" w:lineRule="auto"/>
        <w:jc w:val="both"/>
        <w:rPr>
          <w:sz w:val="24"/>
          <w:szCs w:val="24"/>
        </w:rPr>
      </w:pPr>
      <w:r w:rsidDel="00000000" w:rsidR="00000000" w:rsidRPr="00000000">
        <w:rPr>
          <w:sz w:val="24"/>
          <w:szCs w:val="24"/>
          <w:rtl w:val="0"/>
        </w:rPr>
        <w:t xml:space="preserve">The accounts receivable turnover ratio of IHG has increased from 5.1 times in 2021 to more than 6 times between 2022 and 2025 (IHG, 2024). It signifies improved efficiency in collecting payments from customers and franchise partners. A faster receivables collection helps in strengthening cash flow management and reduction of credit risk which indicates effective working capital control and stronger operational performance of the business (Silva and Silva, 2026). </w:t>
      </w:r>
    </w:p>
    <w:p w:rsidR="00000000" w:rsidDel="00000000" w:rsidP="00000000" w:rsidRDefault="00000000" w:rsidRPr="00000000" w14:paraId="0000004A">
      <w:pPr>
        <w:spacing w:line="360" w:lineRule="auto"/>
        <w:jc w:val="both"/>
        <w:rPr>
          <w:sz w:val="24"/>
          <w:szCs w:val="24"/>
        </w:rPr>
      </w:pPr>
      <w:r w:rsidDel="00000000" w:rsidR="00000000" w:rsidRPr="00000000">
        <w:rPr>
          <w:sz w:val="24"/>
          <w:szCs w:val="24"/>
          <w:rtl w:val="0"/>
        </w:rPr>
        <w:t xml:space="preserve">The asset turnover ratio has improved from 0.6 times in 2021 to 1 time by 2023 and has remained stable throughout 2025 (IHG, 2025). It shows that IHG has generated higher revenue from its asset base over time. The improvement of asset turnover ratio indicates an effective asset utilisation, stronger sales growth and the effectiveness of the company’s asset-light business strategy (Eton et al., 2025). </w:t>
      </w:r>
    </w:p>
    <w:p w:rsidR="00000000" w:rsidDel="00000000" w:rsidP="00000000" w:rsidRDefault="00000000" w:rsidRPr="00000000" w14:paraId="0000004B">
      <w:pPr>
        <w:spacing w:line="360" w:lineRule="auto"/>
        <w:jc w:val="both"/>
        <w:rPr>
          <w:b w:val="1"/>
          <w:bCs w:val="1"/>
          <w:sz w:val="24"/>
          <w:szCs w:val="24"/>
        </w:rPr>
      </w:pPr>
      <w:r w:rsidDel="00000000" w:rsidR="00000000" w:rsidRPr="00000000">
        <w:rPr>
          <w:b w:val="1"/>
          <w:bCs w:val="1"/>
          <w:sz w:val="24"/>
          <w:szCs w:val="24"/>
          <w:rtl w:val="0"/>
        </w:rPr>
        <w:t xml:space="preserve">Gearing</w:t>
      </w:r>
    </w:p>
    <w:p w:rsidR="00000000" w:rsidDel="00000000" w:rsidP="00000000" w:rsidRDefault="00000000" w:rsidRPr="00000000" w14:paraId="0000004C">
      <w:pPr>
        <w:spacing w:line="360" w:lineRule="auto"/>
        <w:jc w:val="both"/>
        <w:rPr>
          <w:sz w:val="24"/>
          <w:szCs w:val="24"/>
        </w:rPr>
      </w:pPr>
      <w:r w:rsidDel="00000000" w:rsidR="00000000" w:rsidRPr="00000000">
        <w:rPr>
          <w:sz w:val="24"/>
          <w:szCs w:val="24"/>
          <w:rtl w:val="0"/>
        </w:rPr>
        <w:t xml:space="preserve">The D/E ratio of IHG has declined from 4.2 in 2021 to 3 in 2025 reflecting a slight improvement in the capital structure management and financial leverage (IHG, 2023). Despite the company heavily relies on debt financing, the declining trend indicates stronger equity position, improved profit margins and reduction of financial risk in comparison with pre-Covid-19 years. </w:t>
      </w:r>
    </w:p>
    <w:p w:rsidR="00000000" w:rsidDel="00000000" w:rsidP="00000000" w:rsidRDefault="00000000" w:rsidRPr="00000000" w14:paraId="0000004D">
      <w:pPr>
        <w:spacing w:line="360" w:lineRule="auto"/>
        <w:jc w:val="both"/>
        <w:rPr>
          <w:sz w:val="24"/>
          <w:szCs w:val="24"/>
        </w:rPr>
      </w:pPr>
      <w:r w:rsidDel="00000000" w:rsidR="00000000" w:rsidRPr="00000000">
        <w:rPr>
          <w:sz w:val="24"/>
          <w:szCs w:val="24"/>
          <w:rtl w:val="0"/>
        </w:rPr>
        <w:t xml:space="preserve">The interest coverage ratio has improved from 3.4 times in 2021 to 5.9 times in 2025 reaching a peak of 8.5 times in 2023 (IHG, 2022). It signifies that IHG has strengthened its potential to meet interest obligations through higher operating profits. The increase indicates better earnings performance, stronger financial stability and reduction of pressure from borrowing costs in due time (Ghose et al., 2025).  </w:t>
      </w:r>
    </w:p>
    <w:p w:rsidR="00000000" w:rsidDel="00000000" w:rsidP="00000000" w:rsidRDefault="00000000" w:rsidRPr="00000000" w14:paraId="0000004E">
      <w:pPr>
        <w:spacing w:line="360" w:lineRule="auto"/>
        <w:jc w:val="both"/>
        <w:rPr>
          <w:b w:val="1"/>
          <w:bCs w:val="1"/>
          <w:sz w:val="24"/>
          <w:szCs w:val="24"/>
        </w:rPr>
      </w:pPr>
      <w:r w:rsidDel="00000000" w:rsidR="00000000" w:rsidRPr="00000000">
        <w:rPr>
          <w:b w:val="1"/>
          <w:bCs w:val="1"/>
          <w:sz w:val="24"/>
          <w:szCs w:val="24"/>
          <w:rtl w:val="0"/>
        </w:rPr>
        <w:t xml:space="preserve">Investment </w:t>
      </w:r>
    </w:p>
    <w:p w:rsidR="00000000" w:rsidDel="00000000" w:rsidP="00000000" w:rsidRDefault="00000000" w:rsidRPr="00000000" w14:paraId="0000004F">
      <w:pPr>
        <w:spacing w:line="360" w:lineRule="auto"/>
        <w:jc w:val="both"/>
        <w:rPr>
          <w:sz w:val="24"/>
          <w:szCs w:val="24"/>
        </w:rPr>
      </w:pPr>
      <w:r w:rsidDel="00000000" w:rsidR="00000000" w:rsidRPr="00000000">
        <w:rPr>
          <w:sz w:val="24"/>
          <w:szCs w:val="24"/>
          <w:rtl w:val="0"/>
        </w:rPr>
        <w:t xml:space="preserve">The EPS of IHG has increased largely from 145.4¢ in 2021 to 490.9¢ depicting a stronger profitability growth and improved shareholder returns (IHG, 2021). Despite EPS having declined partly in 2024, the upward trend of EPS indicates higher net earnings, recovery in global travel demand and the positive impact of share repurchase programmes or investor value. </w:t>
      </w:r>
    </w:p>
    <w:p w:rsidR="00000000" w:rsidDel="00000000" w:rsidP="00000000" w:rsidRDefault="00000000" w:rsidRPr="00000000" w14:paraId="00000050">
      <w:pPr>
        <w:spacing w:line="360" w:lineRule="auto"/>
        <w:jc w:val="both"/>
        <w:rPr>
          <w:sz w:val="24"/>
          <w:szCs w:val="24"/>
        </w:rPr>
      </w:pPr>
      <w:r w:rsidDel="00000000" w:rsidR="00000000" w:rsidRPr="00000000">
        <w:rPr>
          <w:sz w:val="24"/>
          <w:szCs w:val="24"/>
          <w:rtl w:val="0"/>
        </w:rPr>
        <w:t xml:space="preserve">The DPS has increased gradually from 0¢ in 2021 to 1.3¢ in 2025 reflecting improved financial stability and stronger shareholder returns after Covid-19 pandemic recovery period (Fidelity, 2026). A consistent dividend growth indicates management confidence in future earnings, stronger operating cash flows and the business commitment to reward long-run investors (Deng et al., 2024). </w:t>
      </w:r>
    </w:p>
    <w:p w:rsidR="00000000" w:rsidDel="00000000" w:rsidP="00000000" w:rsidRDefault="00000000" w:rsidRPr="00000000" w14:paraId="00000051">
      <w:pPr>
        <w:spacing w:line="360" w:lineRule="auto"/>
        <w:jc w:val="both"/>
        <w:rPr>
          <w:sz w:val="24"/>
          <w:szCs w:val="24"/>
        </w:rPr>
      </w:pPr>
      <w:r w:rsidDel="00000000" w:rsidR="00000000" w:rsidRPr="00000000">
        <w:rPr>
          <w:b w:val="1"/>
          <w:bCs w:val="1"/>
          <w:sz w:val="24"/>
          <w:szCs w:val="24"/>
          <w:rtl w:val="0"/>
        </w:rPr>
        <w:t xml:space="preserve">Cash flow</w:t>
      </w:r>
      <w:r w:rsidDel="00000000" w:rsidR="00000000" w:rsidRPr="00000000">
        <w:rPr>
          <w:sz w:val="24"/>
          <w:szCs w:val="24"/>
          <w:rtl w:val="0"/>
        </w:rPr>
        <w:t xml:space="preserve"> </w:t>
      </w:r>
    </w:p>
    <w:p w:rsidR="00000000" w:rsidDel="00000000" w:rsidP="00000000" w:rsidRDefault="00000000" w:rsidRPr="00000000" w14:paraId="00000052">
      <w:pPr>
        <w:spacing w:line="360" w:lineRule="auto"/>
        <w:jc w:val="both"/>
        <w:rPr>
          <w:sz w:val="24"/>
          <w:szCs w:val="24"/>
        </w:rPr>
      </w:pPr>
      <w:r w:rsidDel="00000000" w:rsidR="00000000" w:rsidRPr="00000000">
        <w:rPr>
          <w:sz w:val="24"/>
          <w:szCs w:val="24"/>
          <w:rtl w:val="0"/>
        </w:rPr>
        <w:t xml:space="preserve">The operating cash flow of IHG has remained stable at 0.4 throughout the 5-year period reflecting consistent operating cash generation in relation to current liabilities. Despite the ratio being relatively moderate, it indicates stable cash inflows from franchise and management operations which supports liquidity management and the business ability to meet short-term obligations in an effective manner (Noy, 2023). </w:t>
      </w:r>
    </w:p>
    <w:p w:rsidR="00000000" w:rsidDel="00000000" w:rsidP="00000000" w:rsidRDefault="00000000" w:rsidRPr="00000000" w14:paraId="00000053">
      <w:pPr>
        <w:spacing w:line="360" w:lineRule="auto"/>
        <w:jc w:val="both"/>
        <w:rPr>
          <w:sz w:val="24"/>
          <w:szCs w:val="24"/>
        </w:rPr>
      </w:pPr>
      <w:r w:rsidDel="00000000" w:rsidR="00000000" w:rsidRPr="00000000">
        <w:rPr>
          <w:sz w:val="24"/>
          <w:szCs w:val="24"/>
          <w:rtl w:val="0"/>
        </w:rPr>
        <w:t xml:space="preserve">The cash flow margin of IHG has remained stable between 1 and 0.2 from 2021 to 2025. It depicts consistent effectiveness in converting sales into operating cash flow. The partial decline in 2024 indicates slightly weaker cash generation efficiency, however, overall performance indicates strong operational stability and effective cash flow management practices. </w:t>
      </w:r>
    </w:p>
    <w:p w:rsidR="00000000" w:rsidDel="00000000" w:rsidP="00000000" w:rsidRDefault="00000000" w:rsidRPr="00000000" w14:paraId="00000054">
      <w:pPr>
        <w:pStyle w:val="Heading2"/>
        <w:rPr/>
      </w:pPr>
      <w:bookmarkStart w:colFirst="0" w:colLast="0" w:name="_heading=h.h7isobhugha" w:id="5"/>
      <w:bookmarkEnd w:id="5"/>
      <w:r w:rsidDel="00000000" w:rsidR="00000000" w:rsidRPr="00000000">
        <w:rPr>
          <w:rtl w:val="0"/>
        </w:rPr>
        <w:t xml:space="preserve">c. Identify trends, strengths and threats</w:t>
      </w:r>
    </w:p>
    <w:p w:rsidR="00000000" w:rsidDel="00000000" w:rsidP="00000000" w:rsidRDefault="00000000" w:rsidRPr="00000000" w14:paraId="00000055">
      <w:pPr>
        <w:spacing w:line="360" w:lineRule="auto"/>
        <w:jc w:val="both"/>
        <w:rPr>
          <w:sz w:val="24"/>
          <w:szCs w:val="24"/>
        </w:rPr>
      </w:pPr>
      <w:r w:rsidDel="00000000" w:rsidR="00000000" w:rsidRPr="00000000">
        <w:rPr>
          <w:sz w:val="24"/>
          <w:szCs w:val="24"/>
          <w:rtl w:val="0"/>
        </w:rPr>
        <w:t xml:space="preserve">In the past five years, IHG has depicted financial recovery and consistent growth following the pandemic. A major trend identified is the steady increase in sales, profit margins and EPS between 2021 and 2025. The operating profit margins have improved from 17% in 2021 to 23% in 2023 whereas EPS increased from 145.4¢ to 490.9¢ indicating stronger operational performance and increasing shareholder value (IHG, 2023). The liquidity ratio has gradually declined over the period despite it remained close to industry average reflecting effective working capital management despite short-term debt (Singha and Kumar, 2025).  One of the key strengths of the business is its asset-light business model which focuses on franchising and hotel management instead of property ownership. This strategy helps in reducing capital expenditure, improves profit margins and strengthens cash flow generation (Liang et al., 2023). The company also benefits from a globally recognised brand portfolio like Holiday Inn and InterContinental which assists customer loyalty and global market expansion (Global Data, 2021). However, the probable threats involve economic uncertainty, inflation rate and geopolitical instability which is likely to reduce the global travel demand and negatively affect the hotel occupancy rates. The rising competition from Marriott International and Hilton Worldwide can pressure market share and pricing strategies (Fu, 2026). </w:t>
      </w:r>
    </w:p>
    <w:p w:rsidR="00000000" w:rsidDel="00000000" w:rsidP="00000000" w:rsidRDefault="00000000" w:rsidRPr="00000000" w14:paraId="00000056">
      <w:pPr>
        <w:pStyle w:val="Heading2"/>
        <w:rPr/>
      </w:pPr>
      <w:bookmarkStart w:colFirst="0" w:colLast="0" w:name="_heading=h.9t3pyh7vocsf" w:id="6"/>
      <w:bookmarkEnd w:id="6"/>
      <w:r w:rsidDel="00000000" w:rsidR="00000000" w:rsidRPr="00000000">
        <w:rPr>
          <w:rtl w:val="0"/>
        </w:rPr>
        <w:t xml:space="preserve">d. Comparison of liquidity ratios</w:t>
      </w:r>
    </w:p>
    <w:p w:rsidR="00000000" w:rsidDel="00000000" w:rsidP="00000000" w:rsidRDefault="00000000" w:rsidRPr="00000000" w14:paraId="00000057">
      <w:pPr>
        <w:spacing w:line="360" w:lineRule="auto"/>
        <w:jc w:val="both"/>
        <w:rPr>
          <w:sz w:val="24"/>
          <w:szCs w:val="24"/>
        </w:rPr>
      </w:pPr>
      <w:r w:rsidDel="00000000" w:rsidR="00000000" w:rsidRPr="00000000">
        <w:rPr>
          <w:sz w:val="24"/>
          <w:szCs w:val="24"/>
          <w:rtl w:val="0"/>
        </w:rPr>
        <w:t xml:space="preserve">IHG has depicted liquidity ratios which are widely consistent with hospitality industry averages reflecting relatively stable short-term financial management. Between 2021 and 2025, the current ratio of IHG has declined from 1.27:1 to 0.98:1 whereas the acid-test ratio has decreased from 1.27:1 to 0.97:1 (IHG, 2025). Despite the ratios below 1 traditionally depicts that current liabilities exceed current assets like performance is well-known within the hospitality industry due to consistent cash inflows from bookings, franchise fees and management contracts (Li and Singal, 2019). In comparison with industry competitors like Marriott International, Hilton Worldwide and Hyatt Hotels Corporation, IHG performs well to industry average (Global Data, 2021). </w:t>
      </w:r>
    </w:p>
    <w:p w:rsidR="00000000" w:rsidDel="00000000" w:rsidP="00000000" w:rsidRDefault="00000000" w:rsidRPr="00000000" w14:paraId="00000058">
      <w:pPr>
        <w:spacing w:line="360" w:lineRule="auto"/>
        <w:jc w:val="both"/>
        <w:rPr>
          <w:sz w:val="24"/>
          <w:szCs w:val="24"/>
        </w:rPr>
      </w:pPr>
      <w:r w:rsidDel="00000000" w:rsidR="00000000" w:rsidRPr="00000000">
        <w:rPr>
          <w:sz w:val="24"/>
          <w:szCs w:val="24"/>
          <w:rtl w:val="0"/>
        </w:rPr>
        <w:t xml:space="preserve">Marriott has the past of maintaining current ratios below 1 which shows aggressive working capital management whereas Hyatt generally reports stronger liquidity ratios above 1 due to large cash reserves. The liquidity ratios of Hilton remain similar to IHG depicting comparable business operational structure and financial initiatives (Fowosere and Mohammed, 2024). The liquidity position of IHG indicates effective use of working capital instead of financial weakness (IHG, 2024). The company’s asset light business model has reduced inventory requirements and assists stable operating cash flows which decreases the dependency on large current asset balances. However, the declining liquidity ratios may expose the business to higher short-term financial debt during economic downturns or unexpected disruptions in the worldwide travel demand (Ramadan and Morshed, 2023). </w:t>
      </w:r>
    </w:p>
    <w:p w:rsidR="00000000" w:rsidDel="00000000" w:rsidP="00000000" w:rsidRDefault="00000000" w:rsidRPr="00000000" w14:paraId="00000059">
      <w:pPr>
        <w:pStyle w:val="Heading1"/>
        <w:rPr/>
      </w:pPr>
      <w:bookmarkStart w:colFirst="0" w:colLast="0" w:name="_heading=h.cfzrh9wooq48" w:id="7"/>
      <w:bookmarkEnd w:id="7"/>
      <w:r w:rsidDel="00000000" w:rsidR="00000000" w:rsidRPr="00000000">
        <w:rPr>
          <w:rtl w:val="0"/>
        </w:rPr>
        <w:t xml:space="preserve">2. Working Capital Management Analysis</w:t>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‌Roy et al. (2025), have noted that ‘Working Capital Management’ (WCM)-related practices can significantly contribute to the liquidity and operational continuity of a company. Through this, IHG can meet its short-term obligations while managing its day-to-day operations. IHG is also able to receive a significant proportion of its income from franchise and management-oriented fees. Despite this, the company should manage its ‘payables’, ‘receivables’ and ‘cash balances' to sustain its financial flexibility. </w:t>
      </w:r>
    </w:p>
    <w:p w:rsidR="00000000" w:rsidDel="00000000" w:rsidP="00000000" w:rsidRDefault="00000000" w:rsidRPr="00000000" w14:paraId="0000005B">
      <w:pPr>
        <w:pStyle w:val="Heading2"/>
        <w:rPr/>
      </w:pPr>
      <w:bookmarkStart w:colFirst="0" w:colLast="0" w:name="_heading=h.ni1ue5br0rv1" w:id="8"/>
      <w:bookmarkEnd w:id="8"/>
      <w:r w:rsidDel="00000000" w:rsidR="00000000" w:rsidRPr="00000000">
        <w:rPr>
          <w:rtl w:val="0"/>
        </w:rPr>
        <w:t xml:space="preserve">a. Cash Operating Cycle</w:t>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The ‘cash operating cycle’ mainly evaluates the number of days between ‘paying suppliers’ and ‘receiving cash from sales’ (ACCA, 2022).</w:t>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So, Cash Operating Cycle= ‘Inventory days’ + ‘Receivables days’ - ‘Payables days’</w:t>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The chosen organisation is dealing with minimal inventory levels as the operations within its hotel require limited stock including ‘food’, ‘beverages’ and ‘consumables’. So, the ‘inventory days’ of the company are low compared to manufacturing businesses. Similarly, ‘receivable days’ are also low as the firm generates most of its revenue from ‘franchise fees’ and ‘customer booking’. IHG regularly collects the aforementioned money from the owners of its hotels. However, the rising bargaining power of suppliers and service providers can extend ‘payable days’ moderately. As per the report of IHG (2024), IHG has been maintaining a strong track record of 100% conversion of cash since 2019. The company typically has a short and negative cycle that indicates it is receiving money from customers even before settling its own obligations to suppliers. This financial position is highly favourable for IHG to reduce the need of external money which can strengthen its liquidity to a large extent. Additionally, the business model also aligns with the franchise-based strategy of the company which requires limited investment in working capital. </w:t>
      </w:r>
    </w:p>
    <w:p w:rsidR="00000000" w:rsidDel="00000000" w:rsidP="00000000" w:rsidRDefault="00000000" w:rsidRPr="00000000" w14:paraId="0000005F">
      <w:pPr>
        <w:pStyle w:val="Heading2"/>
        <w:rPr/>
      </w:pPr>
      <w:bookmarkStart w:colFirst="0" w:colLast="0" w:name="_heading=h.8pc524e1ejop" w:id="9"/>
      <w:bookmarkEnd w:id="9"/>
      <w:r w:rsidDel="00000000" w:rsidR="00000000" w:rsidRPr="00000000">
        <w:rPr>
          <w:rtl w:val="0"/>
        </w:rPr>
        <w:t xml:space="preserve">b. Improving liquidity </w:t>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IHG can opt for multiple strategies to improve its liquidity further. For instance, the company can encourage early payment of management and franchise-related fees through implementing stricter credit controls and automated invoicing systems. The organisation can also follow-up on overdue balances to minimise receivable days and improve the inflow of cash. Apart from that, a firm can encourage prepayments to maintain immediate cash inflow (FasterCapital, 2026). Considering this, the organisation can encourage its customers to opt for ‘advance deposits’, ‘non-refundable bookings’ through its loyalty program to maintain short-term liquidity. Additionally, IHG can also negotiate for longer payment terms with its suppliers through maintaining stronger relationships. This strategy will enable the company to extend their payable days without including penalties while preserving cash for a long time. According to Barnabas and Oloyede (2024), a firm should rely on the forecasting of cash patterns in the future to maintain sufficient liquidity along with meeting its short-term financial obligations. For this purpose, IHG can utilise advanced forecasting systems to predict the seasonal flow of money and reduce the risk of unexpected shortfalls. The company can also introduce a ‘central treasury’ to manage surplus cash across regions and deploy funds more efficiently. Together, the aforementioned reforms can allow the company to reduce its financing-related costs and improve organisational resilience during economic uncertainty. </w:t>
      </w:r>
    </w:p>
    <w:p w:rsidR="00000000" w:rsidDel="00000000" w:rsidP="00000000" w:rsidRDefault="00000000" w:rsidRPr="00000000" w14:paraId="00000061">
      <w:pPr>
        <w:pStyle w:val="Heading2"/>
        <w:rPr/>
      </w:pPr>
      <w:bookmarkStart w:colFirst="0" w:colLast="0" w:name="_heading=h.nejqqu677zko" w:id="10"/>
      <w:bookmarkEnd w:id="10"/>
      <w:r w:rsidDel="00000000" w:rsidR="00000000" w:rsidRPr="00000000">
        <w:rPr>
          <w:rtl w:val="0"/>
        </w:rPr>
        <w:t xml:space="preserve">c. Short-term vs Long-term financing options </w:t>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‌Rejison (2024), has noted that a business can prioritise short-term financing options that usually have a repayment duration of a year all less than that. In this regard, IHG can consider several strategies including ‘trade credit’, ‘bank overdrafts’ and ‘revolving credit facilities’. All the aforementioned sources are suitable for managing seasonal fluctuations and temporary gaps in working capital. However, short-term financing alternatives carry higher risk than long-term options (‌Rejison, 2024). Due to this, IHG can get exposed to refinancing-related risks and volatility of interest rate. On the other hand, the long-term financing option has a multiyear repayment terms that can cover more costly purchases such as a new facility (Camberato, 2024). Various sources of the above-mentioned funds are ‘please liabilities’, ‘equity issuance’ and ‘bonds’. These options can provide greater certainty and the management can plan more strategically. Furthermore, long-term debt can often support better allocation of financial resources on technology and expansion-oriented strategies. CFI (2025), has argued that brands can also prioritise ‘equity financing’ as it allows them to not pay back any money to its shareholders. However, this approach can dilute ownership and operational control of IHG. The chosen organisation also has a strong credit profile so it can combine both options to maintain an optimal capital structure. Therefore, the company should choose between these strategies after evaluating its financial circumstances accurately. Through a balanced use of short-term and long-term options, IHG can maintain its financial flexibility. </w:t>
      </w:r>
    </w:p>
    <w:p w:rsidR="00000000" w:rsidDel="00000000" w:rsidP="00000000" w:rsidRDefault="00000000" w:rsidRPr="00000000" w14:paraId="00000063">
      <w:pPr>
        <w:pStyle w:val="Heading1"/>
        <w:rPr/>
      </w:pPr>
      <w:bookmarkStart w:colFirst="0" w:colLast="0" w:name="_heading=h.3hldhez4g3a" w:id="11"/>
      <w:bookmarkEnd w:id="11"/>
      <w:r w:rsidDel="00000000" w:rsidR="00000000" w:rsidRPr="00000000">
        <w:rPr>
          <w:rtl w:val="0"/>
        </w:rPr>
        <w:t xml:space="preserve">3. Strategic Financial Restructuring Plan </w:t>
      </w:r>
    </w:p>
    <w:p w:rsidR="00000000" w:rsidDel="00000000" w:rsidP="00000000" w:rsidRDefault="00000000" w:rsidRPr="00000000" w14:paraId="00000064">
      <w:pPr>
        <w:spacing w:line="360" w:lineRule="auto"/>
        <w:jc w:val="both"/>
        <w:rPr>
          <w:sz w:val="24"/>
          <w:szCs w:val="24"/>
        </w:rPr>
      </w:pPr>
      <w:r w:rsidDel="00000000" w:rsidR="00000000" w:rsidRPr="00000000">
        <w:rPr>
          <w:sz w:val="24"/>
          <w:szCs w:val="24"/>
          <w:rtl w:val="0"/>
        </w:rPr>
        <w:t xml:space="preserve">IHG is continuously operating in a volatile global environment which is observing ‘geopolitical uncertainty’, ‘inflation’ and ‘changing expectations of investors regarding sustainability’. Therefore, to preserve its financial flexibility and maximise the value for shareholders, IHG should adopt a strategic plan that is focused on ‘debt optimisation’, ‘portfolio rationalisation’ and ‘disciplined allocation of capital’. </w:t>
      </w:r>
    </w:p>
    <w:p w:rsidR="00000000" w:rsidDel="00000000" w:rsidP="00000000" w:rsidRDefault="00000000" w:rsidRPr="00000000" w14:paraId="00000065">
      <w:pPr>
        <w:pStyle w:val="Heading2"/>
        <w:rPr/>
      </w:pPr>
      <w:bookmarkStart w:colFirst="0" w:colLast="0" w:name="_heading=h.mq1ql6nn07i5" w:id="12"/>
      <w:bookmarkEnd w:id="12"/>
      <w:r w:rsidDel="00000000" w:rsidR="00000000" w:rsidRPr="00000000">
        <w:rPr>
          <w:rtl w:val="0"/>
        </w:rPr>
        <w:t xml:space="preserve">a. Financial restructuring options </w:t>
      </w:r>
    </w:p>
    <w:p w:rsidR="00000000" w:rsidDel="00000000" w:rsidP="00000000" w:rsidRDefault="00000000" w:rsidRPr="00000000" w14:paraId="00000066">
      <w:pPr>
        <w:spacing w:line="360" w:lineRule="auto"/>
        <w:jc w:val="both"/>
        <w:rPr>
          <w:sz w:val="24"/>
          <w:szCs w:val="24"/>
        </w:rPr>
      </w:pPr>
      <w:r w:rsidDel="00000000" w:rsidR="00000000" w:rsidRPr="00000000">
        <w:rPr>
          <w:sz w:val="24"/>
          <w:szCs w:val="24"/>
          <w:rtl w:val="0"/>
        </w:rPr>
        <w:t xml:space="preserve">IHG should re-evaluate any higher-cost borrowings and extend its debt maturities wherever possible. Through replacing expensive and short-term debts with fixed-rated and longer-term instruments, the company can improve the financial predictability. This strategy will also be beneficial for the company during fluctuations of interest rate. Additionally, IHG is interested in selected hotel properties and joint ventures despite following an asset-light model. Yoshida (2025), has suggested that companies can refer to ‘strategic divestitures’ to sell off certain non-core assets to concentrate more effectively on its primary operations. This practice can enhance capital efficiency along with improving overall organisational focus. Considering this, IHG can divest its underperforming or non-strategic assets to release capital and improve return on investment. Through this, the firm can strengthen its liquidity and expand in high-growth markets. Furthermore, merger and acquisition are a major strategy for restructuring financial operations within a company (Riju, 2022). IHG can acquire suitable luxury and niche brands to strengthen its portfolio while enhancing the chances of revenue growth in the future. Currently, the company is emphasising on premium and experiential segments to diversify its earnings while increasing the loyalty of customers. Additionally, the company can consider equity financing as a contingency option that can be applied if macroeconomic factors or a major acquisition starts to weaken the balance sheet. </w:t>
      </w:r>
    </w:p>
    <w:p w:rsidR="00000000" w:rsidDel="00000000" w:rsidP="00000000" w:rsidRDefault="00000000" w:rsidRPr="00000000" w14:paraId="00000067">
      <w:pPr>
        <w:pStyle w:val="Heading2"/>
        <w:rPr/>
      </w:pPr>
      <w:bookmarkStart w:colFirst="0" w:colLast="0" w:name="_heading=h.u1byb6egt6e2" w:id="13"/>
      <w:bookmarkEnd w:id="13"/>
      <w:r w:rsidDel="00000000" w:rsidR="00000000" w:rsidRPr="00000000">
        <w:rPr>
          <w:rtl w:val="0"/>
        </w:rPr>
        <w:t xml:space="preserve">b. Evaluation of impact </w:t>
      </w:r>
    </w:p>
    <w:p w:rsidR="00000000" w:rsidDel="00000000" w:rsidP="00000000" w:rsidRDefault="00000000" w:rsidRPr="00000000" w14:paraId="00000068">
      <w:pPr>
        <w:spacing w:line="360" w:lineRule="auto"/>
        <w:jc w:val="both"/>
        <w:rPr>
          <w:sz w:val="24"/>
          <w:szCs w:val="24"/>
        </w:rPr>
      </w:pPr>
      <w:r w:rsidDel="00000000" w:rsidR="00000000" w:rsidRPr="00000000">
        <w:rPr>
          <w:sz w:val="24"/>
          <w:szCs w:val="24"/>
          <w:rtl w:val="0"/>
        </w:rPr>
        <w:t xml:space="preserve">The aforementioned restructuring-related initiatives are expected to enhance the value for shareholders through improving returns on capital and support sustainable growth of revenue. ‘Strategic divestiture’ can reallocate available capital efficiently to enable a company to stay agile amid changing dynamics of the business (PwC, 2025). Therefore, through divesting low-return assets and investing in more profitable brands, IHG can maintain a smooth flow of cash to optimise benefits for shareholders. Additionally, ‘debt refinancing’ is ideal for a brand to take new loans in more favourable terms and conditions (‌Corporate Finance Institute, 2020). Thus, it can be stated that a more balanced debt maturity profile can minimise the exposure of the company to short-term repayment-oriented pressure and rising interest rate in the market. Besides, sufficient ‘cash reserve’ is essential for a company to make strategic decisions while maintaining operational flexibility (Ali et al., 2024). Through this strategy, the company can respond to changing conditions of the market. In this regard, IHG should invest in ‘loyalty programmes’, ‘digital transformation’ and ‘geographic expansion’ effectively. </w:t>
      </w:r>
    </w:p>
    <w:p w:rsidR="00000000" w:rsidDel="00000000" w:rsidP="00000000" w:rsidRDefault="00000000" w:rsidRPr="00000000" w14:paraId="00000069">
      <w:pPr>
        <w:pStyle w:val="Heading2"/>
        <w:rPr/>
      </w:pPr>
      <w:bookmarkStart w:colFirst="0" w:colLast="0" w:name="_heading=h.qun4weayae7i" w:id="14"/>
      <w:bookmarkEnd w:id="14"/>
      <w:r w:rsidDel="00000000" w:rsidR="00000000" w:rsidRPr="00000000">
        <w:rPr>
          <w:rtl w:val="0"/>
        </w:rPr>
        <w:t xml:space="preserve">c. International and ethical considerations </w:t>
      </w:r>
    </w:p>
    <w:p w:rsidR="00000000" w:rsidDel="00000000" w:rsidP="00000000" w:rsidRDefault="00000000" w:rsidRPr="00000000" w14:paraId="0000006A">
      <w:pPr>
        <w:spacing w:line="360" w:lineRule="auto"/>
        <w:jc w:val="both"/>
        <w:rPr>
          <w:sz w:val="24"/>
          <w:szCs w:val="24"/>
        </w:rPr>
      </w:pPr>
      <w:r w:rsidDel="00000000" w:rsidR="00000000" w:rsidRPr="00000000">
        <w:rPr>
          <w:sz w:val="24"/>
          <w:szCs w:val="24"/>
          <w:rtl w:val="0"/>
        </w:rPr>
        <w:t xml:space="preserve">IHG is currently operating across numerous jurisdictions which is exposing the company to varying rates of corporate tax. Therefore, its restructuring-oriented strategy should align with international laws and guidelines so that the firm can avoid reputational damage and regulatory penalties. The organisation is also generating its revenue in different currencies including ‘Euro’, ‘US dollar' and ‘Chinese Yuan’ but IHG is reporting its profit in USD. Thus, the volatility of exchange rate can affect cash flows and reported earnings. Hedging tools are suitable for firms to ensure the stability of the exchange rate (Umeaduma et al., 2023). Moreover, few countries have high borrowing and labour-related costs that can affect the profitability of the business. Thus, through refinancing' debt at fixed rates, IHG can maintain pricing-oriented flexibility across its hotel brands to offset inflationary pressure effectively. However, the company should ensure that its strategies are aligning with its broader sustainability-oriented commitments. As of now, IHG is focused on the ‘implementation of energy-efficient measures’, ‘pioneering of low-carbon hotels’ and ‘sourcing renewable energy’ to optimise its decarbonisation-related efforts (IHG, 2023). Thus, the company should allocate sufficient capital to improve above-mentioned strategies. Apart from that, IHG can enhance the confidence of stakeholders through focusing on transparent reporting of ESG-oriented goals. Managers of this company should also ensure that the proposed cost-cutting measures are not undermining quality of services and relationships with the wider community. These approaches will enable the organisation to strengthen its international reputation and achieve long-term competitiveness. </w:t>
      </w:r>
    </w:p>
    <w:p w:rsidR="00000000" w:rsidDel="00000000" w:rsidP="00000000" w:rsidRDefault="00000000" w:rsidRPr="00000000" w14:paraId="0000006B">
      <w:pPr>
        <w:pStyle w:val="Heading1"/>
        <w:rPr/>
      </w:pPr>
      <w:bookmarkStart w:colFirst="0" w:colLast="0" w:name="_heading=h.2jq85p5c92zw" w:id="15"/>
      <w:bookmarkEnd w:id="15"/>
      <w:r w:rsidDel="00000000" w:rsidR="00000000" w:rsidRPr="00000000">
        <w:rPr>
          <w:rtl w:val="0"/>
        </w:rPr>
        <w:t xml:space="preserve">4. Investment Appraisal and Capital Budgeting </w:t>
      </w:r>
    </w:p>
    <w:p w:rsidR="00000000" w:rsidDel="00000000" w:rsidP="00000000" w:rsidRDefault="00000000" w:rsidRPr="00000000" w14:paraId="0000006C">
      <w:pPr>
        <w:pStyle w:val="Heading2"/>
        <w:rPr/>
      </w:pPr>
      <w:bookmarkStart w:colFirst="0" w:colLast="0" w:name="_heading=h.5mv31sdpv8t6" w:id="16"/>
      <w:bookmarkEnd w:id="16"/>
      <w:r w:rsidDel="00000000" w:rsidR="00000000" w:rsidRPr="00000000">
        <w:rPr>
          <w:rtl w:val="0"/>
        </w:rPr>
        <w:t xml:space="preserve">a. Choose from the projects</w:t>
      </w:r>
    </w:p>
    <w:p w:rsidR="00000000" w:rsidDel="00000000" w:rsidP="00000000" w:rsidRDefault="00000000" w:rsidRPr="00000000" w14:paraId="0000006D">
      <w:pPr>
        <w:pStyle w:val="Heading2"/>
        <w:rPr/>
      </w:pPr>
      <w:bookmarkStart w:colFirst="0" w:colLast="0" w:name="_heading=h.7hbjtal9ysc6" w:id="17"/>
      <w:bookmarkEnd w:id="17"/>
      <w:r w:rsidDel="00000000" w:rsidR="00000000" w:rsidRPr="00000000">
        <w:rPr>
          <w:rtl w:val="0"/>
        </w:rPr>
        <w:t xml:space="preserve">b. Project details</w:t>
      </w:r>
    </w:p>
    <w:tbl>
      <w:tblPr>
        <w:tblStyle w:val="Table1"/>
        <w:tblW w:w="92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35"/>
        <w:gridCol w:w="1305"/>
        <w:gridCol w:w="1320"/>
        <w:gridCol w:w="1320"/>
        <w:gridCol w:w="1320"/>
        <w:gridCol w:w="1320"/>
        <w:gridCol w:w="1320"/>
        <w:tblGridChange w:id="0">
          <w:tblGrid>
            <w:gridCol w:w="1335"/>
            <w:gridCol w:w="1305"/>
            <w:gridCol w:w="1320"/>
            <w:gridCol w:w="1320"/>
            <w:gridCol w:w="1320"/>
            <w:gridCol w:w="1320"/>
            <w:gridCol w:w="1320"/>
          </w:tblGrid>
        </w:tblGridChange>
      </w:tblGrid>
      <w:tr>
        <w:trPr>
          <w:cantSplit w:val="0"/>
          <w:tblHeader w:val="0"/>
        </w:trPr>
        <w:tc>
          <w:tcPr>
            <w:tcMar>
              <w:top w:w="100.0" w:type="dxa"/>
              <w:left w:w="100.0" w:type="dxa"/>
              <w:bottom w:w="100.0" w:type="dxa"/>
              <w:right w:w="100.0" w:type="dxa"/>
            </w:tcMar>
          </w:tcPr>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line="360" w:lineRule="auto"/>
              <w:jc w:val="both"/>
              <w:rPr>
                <w:b w:val="1"/>
                <w:bCs w:val="1"/>
              </w:rPr>
            </w:pPr>
            <w:r w:rsidDel="00000000" w:rsidR="00000000" w:rsidRPr="00000000">
              <w:rPr>
                <w:b w:val="1"/>
                <w:bCs w:val="1"/>
                <w:rtl w:val="0"/>
              </w:rPr>
              <w:t xml:space="preserve">Project ( all in £ million)</w:t>
            </w:r>
          </w:p>
        </w:tc>
        <w:tc>
          <w:tcPr>
            <w:tcMar>
              <w:top w:w="100.0" w:type="dxa"/>
              <w:left w:w="100.0" w:type="dxa"/>
              <w:bottom w:w="100.0" w:type="dxa"/>
              <w:right w:w="100.0" w:type="dxa"/>
            </w:tcMar>
          </w:tcPr>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line="360" w:lineRule="auto"/>
              <w:jc w:val="both"/>
              <w:rPr>
                <w:b w:val="1"/>
                <w:bCs w:val="1"/>
              </w:rPr>
            </w:pPr>
            <w:r w:rsidDel="00000000" w:rsidR="00000000" w:rsidRPr="00000000">
              <w:rPr>
                <w:b w:val="1"/>
                <w:bCs w:val="1"/>
                <w:rtl w:val="0"/>
              </w:rPr>
              <w:t xml:space="preserve">Initial investment</w:t>
            </w:r>
          </w:p>
        </w:tc>
        <w:tc>
          <w:tcPr>
            <w:tcMar>
              <w:top w:w="100.0" w:type="dxa"/>
              <w:left w:w="100.0" w:type="dxa"/>
              <w:bottom w:w="100.0" w:type="dxa"/>
              <w:right w:w="100.0" w:type="dxa"/>
            </w:tcMar>
          </w:tcPr>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line="360" w:lineRule="auto"/>
              <w:jc w:val="both"/>
              <w:rPr>
                <w:b w:val="1"/>
                <w:bCs w:val="1"/>
              </w:rPr>
            </w:pPr>
            <w:r w:rsidDel="00000000" w:rsidR="00000000" w:rsidRPr="00000000">
              <w:rPr>
                <w:b w:val="1"/>
                <w:bCs w:val="1"/>
                <w:rtl w:val="0"/>
              </w:rPr>
              <w:t xml:space="preserve">Year 1</w:t>
            </w:r>
          </w:p>
        </w:tc>
        <w:tc>
          <w:tcPr>
            <w:tcMar>
              <w:top w:w="100.0" w:type="dxa"/>
              <w:left w:w="100.0" w:type="dxa"/>
              <w:bottom w:w="100.0" w:type="dxa"/>
              <w:right w:w="100.0" w:type="dxa"/>
            </w:tcMar>
          </w:tcPr>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line="360" w:lineRule="auto"/>
              <w:jc w:val="both"/>
              <w:rPr>
                <w:b w:val="1"/>
                <w:bCs w:val="1"/>
              </w:rPr>
            </w:pPr>
            <w:r w:rsidDel="00000000" w:rsidR="00000000" w:rsidRPr="00000000">
              <w:rPr>
                <w:b w:val="1"/>
                <w:bCs w:val="1"/>
                <w:rtl w:val="0"/>
              </w:rPr>
              <w:t xml:space="preserve">Year 2</w:t>
            </w:r>
          </w:p>
        </w:tc>
        <w:tc>
          <w:tcPr>
            <w:tcMar>
              <w:top w:w="100.0" w:type="dxa"/>
              <w:left w:w="100.0" w:type="dxa"/>
              <w:bottom w:w="100.0" w:type="dxa"/>
              <w:right w:w="100.0" w:type="dxa"/>
            </w:tcMar>
          </w:tcPr>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line="360" w:lineRule="auto"/>
              <w:jc w:val="both"/>
              <w:rPr>
                <w:b w:val="1"/>
                <w:bCs w:val="1"/>
              </w:rPr>
            </w:pPr>
            <w:r w:rsidDel="00000000" w:rsidR="00000000" w:rsidRPr="00000000">
              <w:rPr>
                <w:b w:val="1"/>
                <w:bCs w:val="1"/>
                <w:rtl w:val="0"/>
              </w:rPr>
              <w:t xml:space="preserve">Year 3</w:t>
            </w:r>
          </w:p>
        </w:tc>
        <w:tc>
          <w:tcPr>
            <w:tcMar>
              <w:top w:w="100.0" w:type="dxa"/>
              <w:left w:w="100.0" w:type="dxa"/>
              <w:bottom w:w="100.0" w:type="dxa"/>
              <w:right w:w="100.0" w:type="dxa"/>
            </w:tcMar>
          </w:tcPr>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line="360" w:lineRule="auto"/>
              <w:jc w:val="both"/>
              <w:rPr>
                <w:b w:val="1"/>
                <w:bCs w:val="1"/>
              </w:rPr>
            </w:pPr>
            <w:r w:rsidDel="00000000" w:rsidR="00000000" w:rsidRPr="00000000">
              <w:rPr>
                <w:b w:val="1"/>
                <w:bCs w:val="1"/>
                <w:rtl w:val="0"/>
              </w:rPr>
              <w:t xml:space="preserve">Year 4</w:t>
            </w:r>
          </w:p>
        </w:tc>
        <w:tc>
          <w:tcPr>
            <w:tcMar>
              <w:top w:w="100.0" w:type="dxa"/>
              <w:left w:w="100.0" w:type="dxa"/>
              <w:bottom w:w="100.0" w:type="dxa"/>
              <w:right w:w="100.0" w:type="dxa"/>
            </w:tcMar>
          </w:tcPr>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line="360" w:lineRule="auto"/>
              <w:jc w:val="both"/>
              <w:rPr>
                <w:b w:val="1"/>
                <w:bCs w:val="1"/>
              </w:rPr>
            </w:pPr>
            <w:r w:rsidDel="00000000" w:rsidR="00000000" w:rsidRPr="00000000">
              <w:rPr>
                <w:b w:val="1"/>
                <w:bCs w:val="1"/>
                <w:rtl w:val="0"/>
              </w:rPr>
              <w:t xml:space="preserve">Year 5</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A</w:t>
            </w:r>
          </w:p>
        </w:tc>
        <w:tc>
          <w:tcPr>
            <w:tcMar>
              <w:top w:w="100.0" w:type="dxa"/>
              <w:left w:w="100.0" w:type="dxa"/>
              <w:bottom w:w="100.0" w:type="dxa"/>
              <w:right w:w="100.0" w:type="dxa"/>
            </w:tcMar>
          </w:tcPr>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50</w:t>
            </w:r>
          </w:p>
        </w:tc>
        <w:tc>
          <w:tcPr>
            <w:tcMar>
              <w:top w:w="100.0" w:type="dxa"/>
              <w:left w:w="100.0" w:type="dxa"/>
              <w:bottom w:w="100.0" w:type="dxa"/>
              <w:right w:w="100.0" w:type="dxa"/>
            </w:tcMar>
          </w:tcPr>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10</w:t>
            </w:r>
          </w:p>
        </w:tc>
        <w:tc>
          <w:tcPr>
            <w:tcMar>
              <w:top w:w="100.0" w:type="dxa"/>
              <w:left w:w="100.0" w:type="dxa"/>
              <w:bottom w:w="100.0" w:type="dxa"/>
              <w:right w:w="100.0" w:type="dxa"/>
            </w:tcMar>
          </w:tcPr>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12</w:t>
            </w:r>
          </w:p>
        </w:tc>
        <w:tc>
          <w:tcPr>
            <w:tcMar>
              <w:top w:w="100.0" w:type="dxa"/>
              <w:left w:w="100.0" w:type="dxa"/>
              <w:bottom w:w="100.0" w:type="dxa"/>
              <w:right w:w="100.0" w:type="dxa"/>
            </w:tcMar>
          </w:tcPr>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14</w:t>
            </w:r>
          </w:p>
        </w:tc>
        <w:tc>
          <w:tcPr>
            <w:tcMar>
              <w:top w:w="100.0" w:type="dxa"/>
              <w:left w:w="100.0" w:type="dxa"/>
              <w:bottom w:w="100.0" w:type="dxa"/>
              <w:right w:w="100.0" w:type="dxa"/>
            </w:tcMar>
          </w:tcPr>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10</w:t>
            </w:r>
          </w:p>
        </w:tc>
        <w:tc>
          <w:tcPr>
            <w:tcMar>
              <w:top w:w="100.0" w:type="dxa"/>
              <w:left w:w="100.0" w:type="dxa"/>
              <w:bottom w:w="100.0" w:type="dxa"/>
              <w:right w:w="100.0" w:type="dxa"/>
            </w:tcMar>
          </w:tcPr>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8</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7C">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B</w:t>
            </w:r>
          </w:p>
        </w:tc>
        <w:tc>
          <w:tcPr>
            <w:tcMar>
              <w:top w:w="100.0" w:type="dxa"/>
              <w:left w:w="100.0" w:type="dxa"/>
              <w:bottom w:w="100.0" w:type="dxa"/>
              <w:right w:w="100.0" w:type="dxa"/>
            </w:tcMar>
          </w:tcPr>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50</w:t>
            </w:r>
          </w:p>
        </w:tc>
        <w:tc>
          <w:tcPr>
            <w:tcMar>
              <w:top w:w="100.0" w:type="dxa"/>
              <w:left w:w="100.0" w:type="dxa"/>
              <w:bottom w:w="100.0" w:type="dxa"/>
              <w:right w:w="100.0" w:type="dxa"/>
            </w:tcMar>
          </w:tcPr>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11</w:t>
            </w:r>
          </w:p>
        </w:tc>
        <w:tc>
          <w:tcPr>
            <w:tcMar>
              <w:top w:w="100.0" w:type="dxa"/>
              <w:left w:w="100.0" w:type="dxa"/>
              <w:bottom w:w="100.0" w:type="dxa"/>
              <w:right w:w="100.0" w:type="dxa"/>
            </w:tcMar>
          </w:tcPr>
          <w:p w:rsidR="00000000" w:rsidDel="00000000" w:rsidP="00000000" w:rsidRDefault="00000000" w:rsidRPr="00000000" w14:paraId="0000007F">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11</w:t>
            </w:r>
          </w:p>
        </w:tc>
        <w:tc>
          <w:tcPr>
            <w:tcMar>
              <w:top w:w="100.0" w:type="dxa"/>
              <w:left w:w="100.0" w:type="dxa"/>
              <w:bottom w:w="100.0" w:type="dxa"/>
              <w:right w:w="100.0" w:type="dxa"/>
            </w:tcMar>
          </w:tcPr>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11</w:t>
            </w:r>
          </w:p>
        </w:tc>
        <w:tc>
          <w:tcPr>
            <w:tcMar>
              <w:top w:w="100.0" w:type="dxa"/>
              <w:left w:w="100.0" w:type="dxa"/>
              <w:bottom w:w="100.0" w:type="dxa"/>
              <w:right w:w="100.0" w:type="dxa"/>
            </w:tcMar>
          </w:tcPr>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11</w:t>
            </w:r>
          </w:p>
        </w:tc>
        <w:tc>
          <w:tcPr>
            <w:tcMar>
              <w:top w:w="100.0" w:type="dxa"/>
              <w:left w:w="100.0" w:type="dxa"/>
              <w:bottom w:w="100.0" w:type="dxa"/>
              <w:right w:w="100.0" w:type="dxa"/>
            </w:tcMar>
          </w:tcPr>
          <w:p w:rsidR="00000000" w:rsidDel="00000000" w:rsidP="00000000" w:rsidRDefault="00000000" w:rsidRPr="00000000" w14:paraId="00000082">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11</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83">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C</w:t>
            </w:r>
          </w:p>
        </w:tc>
        <w:tc>
          <w:tcPr>
            <w:tcMar>
              <w:top w:w="100.0" w:type="dxa"/>
              <w:left w:w="100.0" w:type="dxa"/>
              <w:bottom w:w="100.0" w:type="dxa"/>
              <w:right w:w="100.0" w:type="dxa"/>
            </w:tcMar>
          </w:tcPr>
          <w:p w:rsidR="00000000" w:rsidDel="00000000" w:rsidP="00000000" w:rsidRDefault="00000000" w:rsidRPr="00000000" w14:paraId="00000084">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50</w:t>
            </w:r>
          </w:p>
        </w:tc>
        <w:tc>
          <w:tcPr>
            <w:tcMar>
              <w:top w:w="100.0" w:type="dxa"/>
              <w:left w:w="100.0" w:type="dxa"/>
              <w:bottom w:w="100.0" w:type="dxa"/>
              <w:right w:w="100.0" w:type="dxa"/>
            </w:tcMar>
          </w:tcPr>
          <w:p w:rsidR="00000000" w:rsidDel="00000000" w:rsidP="00000000" w:rsidRDefault="00000000" w:rsidRPr="00000000" w14:paraId="00000085">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5</w:t>
            </w:r>
          </w:p>
        </w:tc>
        <w:tc>
          <w:tcPr>
            <w:tcMar>
              <w:top w:w="100.0" w:type="dxa"/>
              <w:left w:w="100.0" w:type="dxa"/>
              <w:bottom w:w="100.0" w:type="dxa"/>
              <w:right w:w="100.0" w:type="dxa"/>
            </w:tcMar>
          </w:tcPr>
          <w:p w:rsidR="00000000" w:rsidDel="00000000" w:rsidP="00000000" w:rsidRDefault="00000000" w:rsidRPr="00000000" w14:paraId="00000086">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10</w:t>
            </w:r>
          </w:p>
        </w:tc>
        <w:tc>
          <w:tcPr>
            <w:tcMar>
              <w:top w:w="100.0" w:type="dxa"/>
              <w:left w:w="100.0" w:type="dxa"/>
              <w:bottom w:w="100.0" w:type="dxa"/>
              <w:right w:w="100.0" w:type="dxa"/>
            </w:tcMar>
          </w:tcPr>
          <w:p w:rsidR="00000000" w:rsidDel="00000000" w:rsidP="00000000" w:rsidRDefault="00000000" w:rsidRPr="00000000" w14:paraId="00000087">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20</w:t>
            </w:r>
          </w:p>
        </w:tc>
        <w:tc>
          <w:tcPr>
            <w:tcMar>
              <w:top w:w="100.0" w:type="dxa"/>
              <w:left w:w="100.0" w:type="dxa"/>
              <w:bottom w:w="100.0" w:type="dxa"/>
              <w:right w:w="100.0" w:type="dxa"/>
            </w:tcMar>
          </w:tcPr>
          <w:p w:rsidR="00000000" w:rsidDel="00000000" w:rsidP="00000000" w:rsidRDefault="00000000" w:rsidRPr="00000000" w14:paraId="00000088">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25</w:t>
            </w:r>
          </w:p>
        </w:tc>
        <w:tc>
          <w:tcPr>
            <w:tcMar>
              <w:top w:w="100.0" w:type="dxa"/>
              <w:left w:w="100.0" w:type="dxa"/>
              <w:bottom w:w="100.0" w:type="dxa"/>
              <w:right w:w="100.0" w:type="dxa"/>
            </w:tcMar>
          </w:tcPr>
          <w:p w:rsidR="00000000" w:rsidDel="00000000" w:rsidP="00000000" w:rsidRDefault="00000000" w:rsidRPr="00000000" w14:paraId="00000089">
            <w:pPr>
              <w:widowControl w:val="0"/>
              <w:pBdr>
                <w:top w:space="0" w:sz="0" w:val="nil"/>
                <w:left w:space="0" w:sz="0" w:val="nil"/>
                <w:bottom w:space="0" w:sz="0" w:val="nil"/>
                <w:right w:space="0" w:sz="0" w:val="nil"/>
                <w:between w:space="0" w:sz="0" w:val="nil"/>
              </w:pBdr>
              <w:spacing w:line="360" w:lineRule="auto"/>
              <w:jc w:val="both"/>
              <w:rPr/>
            </w:pPr>
            <w:r w:rsidDel="00000000" w:rsidR="00000000" w:rsidRPr="00000000">
              <w:rPr>
                <w:rtl w:val="0"/>
              </w:rPr>
              <w:t xml:space="preserve">5</w:t>
            </w:r>
          </w:p>
        </w:tc>
      </w:tr>
    </w:tbl>
    <w:p w:rsidR="00000000" w:rsidDel="00000000" w:rsidP="00000000" w:rsidRDefault="00000000" w:rsidRPr="00000000" w14:paraId="0000008A">
      <w:pPr>
        <w:spacing w:line="360" w:lineRule="auto"/>
        <w:jc w:val="both"/>
        <w:rPr>
          <w:sz w:val="24"/>
          <w:szCs w:val="24"/>
        </w:rPr>
      </w:pPr>
      <w:r w:rsidDel="00000000" w:rsidR="00000000" w:rsidRPr="00000000">
        <w:rPr>
          <w:rtl w:val="0"/>
        </w:rPr>
      </w:r>
    </w:p>
    <w:p w:rsidR="00000000" w:rsidDel="00000000" w:rsidP="00000000" w:rsidRDefault="00000000" w:rsidRPr="00000000" w14:paraId="0000008B">
      <w:pPr>
        <w:pStyle w:val="Heading2"/>
        <w:rPr/>
      </w:pPr>
      <w:bookmarkStart w:colFirst="0" w:colLast="0" w:name="_heading=h.lww912e4bnvu" w:id="18"/>
      <w:bookmarkEnd w:id="18"/>
      <w:r w:rsidDel="00000000" w:rsidR="00000000" w:rsidRPr="00000000">
        <w:rPr>
          <w:rtl w:val="0"/>
        </w:rPr>
        <w:t xml:space="preserve">c. Discount rate</w:t>
      </w:r>
    </w:p>
    <w:p w:rsidR="00000000" w:rsidDel="00000000" w:rsidP="00000000" w:rsidRDefault="00000000" w:rsidRPr="00000000" w14:paraId="0000008C">
      <w:pPr>
        <w:spacing w:line="360" w:lineRule="auto"/>
        <w:jc w:val="both"/>
        <w:rPr>
          <w:sz w:val="24"/>
          <w:szCs w:val="24"/>
        </w:rPr>
      </w:pPr>
      <w:r w:rsidDel="00000000" w:rsidR="00000000" w:rsidRPr="00000000">
        <w:rPr>
          <w:sz w:val="24"/>
          <w:szCs w:val="24"/>
          <w:rtl w:val="0"/>
        </w:rPr>
        <w:t xml:space="preserve">8%</w:t>
      </w:r>
    </w:p>
    <w:p w:rsidR="00000000" w:rsidDel="00000000" w:rsidP="00000000" w:rsidRDefault="00000000" w:rsidRPr="00000000" w14:paraId="0000008D">
      <w:pPr>
        <w:spacing w:line="360" w:lineRule="auto"/>
        <w:jc w:val="both"/>
        <w:rPr>
          <w:b w:val="1"/>
          <w:bCs w:val="1"/>
          <w:sz w:val="24"/>
          <w:szCs w:val="24"/>
        </w:rPr>
      </w:pPr>
      <w:r w:rsidDel="00000000" w:rsidR="00000000" w:rsidRPr="00000000">
        <w:rPr>
          <w:b w:val="1"/>
          <w:bCs w:val="1"/>
          <w:sz w:val="24"/>
          <w:szCs w:val="24"/>
          <w:rtl w:val="0"/>
        </w:rPr>
        <w:t xml:space="preserve">‘Payback period’</w:t>
      </w:r>
    </w:p>
    <w:p w:rsidR="00000000" w:rsidDel="00000000" w:rsidP="00000000" w:rsidRDefault="00000000" w:rsidRPr="00000000" w14:paraId="0000008E">
      <w:pPr>
        <w:spacing w:line="360" w:lineRule="auto"/>
        <w:jc w:val="both"/>
        <w:rPr>
          <w:sz w:val="24"/>
          <w:szCs w:val="24"/>
        </w:rPr>
      </w:pPr>
      <w:r w:rsidDel="00000000" w:rsidR="00000000" w:rsidRPr="00000000">
        <w:rPr>
          <w:sz w:val="24"/>
          <w:szCs w:val="24"/>
          <w:rtl w:val="0"/>
        </w:rPr>
        <w:t xml:space="preserve">The payback period determines the total time required for a project to recover its initial investment from cash inflows. A shorter payback period is preferred as it helps in reducing risk and improves liquidity (Corporate Finance Institute, 2020). </w:t>
      </w:r>
    </w:p>
    <w:tbl>
      <w:tblPr>
        <w:tblStyle w:val="Table2"/>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90"/>
        <w:gridCol w:w="847"/>
        <w:gridCol w:w="1392"/>
        <w:gridCol w:w="250"/>
        <w:gridCol w:w="690"/>
        <w:gridCol w:w="879"/>
        <w:gridCol w:w="1423"/>
        <w:gridCol w:w="250"/>
        <w:gridCol w:w="690"/>
        <w:gridCol w:w="847"/>
        <w:gridCol w:w="1392"/>
        <w:tblGridChange w:id="0">
          <w:tblGrid>
            <w:gridCol w:w="690"/>
            <w:gridCol w:w="847"/>
            <w:gridCol w:w="1392"/>
            <w:gridCol w:w="250"/>
            <w:gridCol w:w="690"/>
            <w:gridCol w:w="879"/>
            <w:gridCol w:w="1423"/>
            <w:gridCol w:w="250"/>
            <w:gridCol w:w="690"/>
            <w:gridCol w:w="847"/>
            <w:gridCol w:w="1392"/>
          </w:tblGrid>
        </w:tblGridChange>
      </w:tblGrid>
      <w:tr>
        <w:trPr>
          <w:cantSplit w:val="0"/>
          <w:trHeight w:val="288" w:hRule="atLeast"/>
          <w:tblHeader w:val="0"/>
        </w:trPr>
        <w:tc>
          <w:tcPr>
            <w:gridSpan w:val="3"/>
            <w:vAlign w:val="bottom"/>
          </w:tcPr>
          <w:p w:rsidR="00000000" w:rsidDel="00000000" w:rsidP="00000000" w:rsidRDefault="00000000" w:rsidRPr="00000000" w14:paraId="0000008F">
            <w:pPr>
              <w:spacing w:line="240" w:lineRule="auto"/>
              <w:jc w:val="center"/>
              <w:rPr>
                <w:b w:val="1"/>
                <w:bCs w:val="1"/>
                <w:color w:val="000000"/>
              </w:rPr>
            </w:pPr>
            <w:r w:rsidDel="00000000" w:rsidR="00000000" w:rsidRPr="00000000">
              <w:rPr>
                <w:b w:val="1"/>
                <w:bCs w:val="1"/>
                <w:color w:val="000000"/>
                <w:rtl w:val="0"/>
              </w:rPr>
              <w:t xml:space="preserve">Project A</w:t>
            </w:r>
          </w:p>
        </w:tc>
        <w:tc>
          <w:tcPr>
            <w:vAlign w:val="bottom"/>
          </w:tcPr>
          <w:p w:rsidR="00000000" w:rsidDel="00000000" w:rsidP="00000000" w:rsidRDefault="00000000" w:rsidRPr="00000000" w14:paraId="00000092">
            <w:pPr>
              <w:spacing w:line="240" w:lineRule="auto"/>
              <w:jc w:val="center"/>
              <w:rPr>
                <w:b w:val="1"/>
                <w:bCs w:val="1"/>
                <w:color w:val="000000"/>
              </w:rPr>
            </w:pPr>
            <w:r w:rsidDel="00000000" w:rsidR="00000000" w:rsidRPr="00000000">
              <w:rPr>
                <w:rtl w:val="0"/>
              </w:rPr>
            </w:r>
          </w:p>
        </w:tc>
        <w:tc>
          <w:tcPr>
            <w:gridSpan w:val="3"/>
            <w:vAlign w:val="bottom"/>
          </w:tcPr>
          <w:p w:rsidR="00000000" w:rsidDel="00000000" w:rsidP="00000000" w:rsidRDefault="00000000" w:rsidRPr="00000000" w14:paraId="00000093">
            <w:pPr>
              <w:spacing w:line="240" w:lineRule="auto"/>
              <w:jc w:val="center"/>
              <w:rPr>
                <w:b w:val="1"/>
                <w:bCs w:val="1"/>
                <w:color w:val="000000"/>
              </w:rPr>
            </w:pPr>
            <w:r w:rsidDel="00000000" w:rsidR="00000000" w:rsidRPr="00000000">
              <w:rPr>
                <w:b w:val="1"/>
                <w:bCs w:val="1"/>
                <w:color w:val="000000"/>
                <w:rtl w:val="0"/>
              </w:rPr>
              <w:t xml:space="preserve">Project B</w:t>
            </w:r>
          </w:p>
        </w:tc>
        <w:tc>
          <w:tcPr>
            <w:vAlign w:val="bottom"/>
          </w:tcPr>
          <w:p w:rsidR="00000000" w:rsidDel="00000000" w:rsidP="00000000" w:rsidRDefault="00000000" w:rsidRPr="00000000" w14:paraId="00000096">
            <w:pPr>
              <w:spacing w:line="240" w:lineRule="auto"/>
              <w:jc w:val="center"/>
              <w:rPr>
                <w:b w:val="1"/>
                <w:bCs w:val="1"/>
                <w:color w:val="000000"/>
              </w:rPr>
            </w:pPr>
            <w:r w:rsidDel="00000000" w:rsidR="00000000" w:rsidRPr="00000000">
              <w:rPr>
                <w:rtl w:val="0"/>
              </w:rPr>
            </w:r>
          </w:p>
        </w:tc>
        <w:tc>
          <w:tcPr>
            <w:gridSpan w:val="3"/>
            <w:vAlign w:val="bottom"/>
          </w:tcPr>
          <w:p w:rsidR="00000000" w:rsidDel="00000000" w:rsidP="00000000" w:rsidRDefault="00000000" w:rsidRPr="00000000" w14:paraId="00000097">
            <w:pPr>
              <w:spacing w:line="240" w:lineRule="auto"/>
              <w:jc w:val="center"/>
              <w:rPr>
                <w:b w:val="1"/>
                <w:bCs w:val="1"/>
                <w:color w:val="000000"/>
              </w:rPr>
            </w:pPr>
            <w:r w:rsidDel="00000000" w:rsidR="00000000" w:rsidRPr="00000000">
              <w:rPr>
                <w:b w:val="1"/>
                <w:bCs w:val="1"/>
                <w:color w:val="000000"/>
                <w:rtl w:val="0"/>
              </w:rPr>
              <w:t xml:space="preserve">Project C</w:t>
            </w:r>
          </w:p>
        </w:tc>
      </w:tr>
      <w:tr>
        <w:trPr>
          <w:cantSplit w:val="0"/>
          <w:trHeight w:val="1152" w:hRule="atLeast"/>
          <w:tblHeader w:val="0"/>
        </w:trPr>
        <w:tc>
          <w:tcPr>
            <w:vAlign w:val="center"/>
          </w:tcPr>
          <w:p w:rsidR="00000000" w:rsidDel="00000000" w:rsidP="00000000" w:rsidRDefault="00000000" w:rsidRPr="00000000" w14:paraId="0000009A">
            <w:pPr>
              <w:spacing w:line="240" w:lineRule="auto"/>
              <w:rPr>
                <w:b w:val="1"/>
                <w:bCs w:val="1"/>
                <w:color w:val="000000"/>
              </w:rPr>
            </w:pPr>
            <w:r w:rsidDel="00000000" w:rsidR="00000000" w:rsidRPr="00000000">
              <w:rPr>
                <w:b w:val="1"/>
                <w:bCs w:val="1"/>
                <w:color w:val="000000"/>
                <w:rtl w:val="0"/>
              </w:rPr>
              <w:t xml:space="preserve">Year</w:t>
            </w:r>
          </w:p>
        </w:tc>
        <w:tc>
          <w:tcPr>
            <w:vAlign w:val="center"/>
          </w:tcPr>
          <w:p w:rsidR="00000000" w:rsidDel="00000000" w:rsidP="00000000" w:rsidRDefault="00000000" w:rsidRPr="00000000" w14:paraId="0000009B">
            <w:pPr>
              <w:spacing w:line="240" w:lineRule="auto"/>
              <w:rPr>
                <w:b w:val="1"/>
                <w:bCs w:val="1"/>
                <w:color w:val="000000"/>
              </w:rPr>
            </w:pPr>
            <w:r w:rsidDel="00000000" w:rsidR="00000000" w:rsidRPr="00000000">
              <w:rPr>
                <w:b w:val="1"/>
                <w:bCs w:val="1"/>
                <w:color w:val="000000"/>
                <w:rtl w:val="0"/>
              </w:rPr>
              <w:t xml:space="preserve">Cash Inflow (£m)</w:t>
            </w:r>
          </w:p>
        </w:tc>
        <w:tc>
          <w:tcPr>
            <w:vAlign w:val="center"/>
          </w:tcPr>
          <w:p w:rsidR="00000000" w:rsidDel="00000000" w:rsidP="00000000" w:rsidRDefault="00000000" w:rsidRPr="00000000" w14:paraId="0000009C">
            <w:pPr>
              <w:spacing w:line="240" w:lineRule="auto"/>
              <w:rPr>
                <w:b w:val="1"/>
                <w:bCs w:val="1"/>
                <w:color w:val="000000"/>
              </w:rPr>
            </w:pPr>
            <w:r w:rsidDel="00000000" w:rsidR="00000000" w:rsidRPr="00000000">
              <w:rPr>
                <w:b w:val="1"/>
                <w:bCs w:val="1"/>
                <w:color w:val="000000"/>
                <w:rtl w:val="0"/>
              </w:rPr>
              <w:t xml:space="preserve">Cumulative Cash Flow (£m)</w:t>
            </w:r>
          </w:p>
        </w:tc>
        <w:tc>
          <w:tcPr>
            <w:vAlign w:val="bottom"/>
          </w:tcPr>
          <w:p w:rsidR="00000000" w:rsidDel="00000000" w:rsidP="00000000" w:rsidRDefault="00000000" w:rsidRPr="00000000" w14:paraId="0000009D">
            <w:pPr>
              <w:spacing w:line="240" w:lineRule="auto"/>
              <w:rPr>
                <w:b w:val="1"/>
                <w:bCs w:val="1"/>
                <w:color w:val="000000"/>
              </w:rPr>
            </w:pPr>
            <w:r w:rsidDel="00000000" w:rsidR="00000000" w:rsidRPr="00000000">
              <w:rPr>
                <w:rtl w:val="0"/>
              </w:rPr>
            </w:r>
          </w:p>
        </w:tc>
        <w:tc>
          <w:tcPr>
            <w:vAlign w:val="center"/>
          </w:tcPr>
          <w:p w:rsidR="00000000" w:rsidDel="00000000" w:rsidP="00000000" w:rsidRDefault="00000000" w:rsidRPr="00000000" w14:paraId="0000009E">
            <w:pPr>
              <w:spacing w:line="240" w:lineRule="auto"/>
              <w:rPr>
                <w:b w:val="1"/>
                <w:bCs w:val="1"/>
                <w:color w:val="000000"/>
              </w:rPr>
            </w:pPr>
            <w:r w:rsidDel="00000000" w:rsidR="00000000" w:rsidRPr="00000000">
              <w:rPr>
                <w:b w:val="1"/>
                <w:bCs w:val="1"/>
                <w:color w:val="000000"/>
                <w:rtl w:val="0"/>
              </w:rPr>
              <w:t xml:space="preserve">Year</w:t>
            </w:r>
          </w:p>
        </w:tc>
        <w:tc>
          <w:tcPr>
            <w:vAlign w:val="center"/>
          </w:tcPr>
          <w:p w:rsidR="00000000" w:rsidDel="00000000" w:rsidP="00000000" w:rsidRDefault="00000000" w:rsidRPr="00000000" w14:paraId="0000009F">
            <w:pPr>
              <w:spacing w:line="240" w:lineRule="auto"/>
              <w:rPr>
                <w:b w:val="1"/>
                <w:bCs w:val="1"/>
                <w:color w:val="000000"/>
              </w:rPr>
            </w:pPr>
            <w:r w:rsidDel="00000000" w:rsidR="00000000" w:rsidRPr="00000000">
              <w:rPr>
                <w:b w:val="1"/>
                <w:bCs w:val="1"/>
                <w:color w:val="000000"/>
                <w:rtl w:val="0"/>
              </w:rPr>
              <w:t xml:space="preserve">Cash Inflow (£m)</w:t>
            </w:r>
          </w:p>
        </w:tc>
        <w:tc>
          <w:tcPr>
            <w:vAlign w:val="center"/>
          </w:tcPr>
          <w:p w:rsidR="00000000" w:rsidDel="00000000" w:rsidP="00000000" w:rsidRDefault="00000000" w:rsidRPr="00000000" w14:paraId="000000A0">
            <w:pPr>
              <w:spacing w:line="240" w:lineRule="auto"/>
              <w:rPr>
                <w:b w:val="1"/>
                <w:bCs w:val="1"/>
                <w:color w:val="000000"/>
              </w:rPr>
            </w:pPr>
            <w:r w:rsidDel="00000000" w:rsidR="00000000" w:rsidRPr="00000000">
              <w:rPr>
                <w:b w:val="1"/>
                <w:bCs w:val="1"/>
                <w:color w:val="000000"/>
                <w:rtl w:val="0"/>
              </w:rPr>
              <w:t xml:space="preserve">Cumulative Cash Flow (£m)</w:t>
            </w:r>
          </w:p>
        </w:tc>
        <w:tc>
          <w:tcPr>
            <w:vAlign w:val="bottom"/>
          </w:tcPr>
          <w:p w:rsidR="00000000" w:rsidDel="00000000" w:rsidP="00000000" w:rsidRDefault="00000000" w:rsidRPr="00000000" w14:paraId="000000A1">
            <w:pPr>
              <w:spacing w:line="240" w:lineRule="auto"/>
              <w:rPr>
                <w:b w:val="1"/>
                <w:bCs w:val="1"/>
                <w:color w:val="000000"/>
              </w:rPr>
            </w:pPr>
            <w:r w:rsidDel="00000000" w:rsidR="00000000" w:rsidRPr="00000000">
              <w:rPr>
                <w:rtl w:val="0"/>
              </w:rPr>
            </w:r>
          </w:p>
        </w:tc>
        <w:tc>
          <w:tcPr>
            <w:vAlign w:val="center"/>
          </w:tcPr>
          <w:p w:rsidR="00000000" w:rsidDel="00000000" w:rsidP="00000000" w:rsidRDefault="00000000" w:rsidRPr="00000000" w14:paraId="000000A2">
            <w:pPr>
              <w:spacing w:line="240" w:lineRule="auto"/>
              <w:rPr>
                <w:b w:val="1"/>
                <w:bCs w:val="1"/>
                <w:color w:val="000000"/>
              </w:rPr>
            </w:pPr>
            <w:r w:rsidDel="00000000" w:rsidR="00000000" w:rsidRPr="00000000">
              <w:rPr>
                <w:b w:val="1"/>
                <w:bCs w:val="1"/>
                <w:color w:val="000000"/>
                <w:rtl w:val="0"/>
              </w:rPr>
              <w:t xml:space="preserve">Year</w:t>
            </w:r>
          </w:p>
        </w:tc>
        <w:tc>
          <w:tcPr>
            <w:vAlign w:val="center"/>
          </w:tcPr>
          <w:p w:rsidR="00000000" w:rsidDel="00000000" w:rsidP="00000000" w:rsidRDefault="00000000" w:rsidRPr="00000000" w14:paraId="000000A3">
            <w:pPr>
              <w:spacing w:line="240" w:lineRule="auto"/>
              <w:rPr>
                <w:b w:val="1"/>
                <w:bCs w:val="1"/>
                <w:color w:val="000000"/>
              </w:rPr>
            </w:pPr>
            <w:r w:rsidDel="00000000" w:rsidR="00000000" w:rsidRPr="00000000">
              <w:rPr>
                <w:b w:val="1"/>
                <w:bCs w:val="1"/>
                <w:color w:val="000000"/>
                <w:rtl w:val="0"/>
              </w:rPr>
              <w:t xml:space="preserve">Cash Inflow (£m)</w:t>
            </w:r>
          </w:p>
        </w:tc>
        <w:tc>
          <w:tcPr>
            <w:vAlign w:val="center"/>
          </w:tcPr>
          <w:p w:rsidR="00000000" w:rsidDel="00000000" w:rsidP="00000000" w:rsidRDefault="00000000" w:rsidRPr="00000000" w14:paraId="000000A4">
            <w:pPr>
              <w:spacing w:line="240" w:lineRule="auto"/>
              <w:rPr>
                <w:b w:val="1"/>
                <w:bCs w:val="1"/>
                <w:color w:val="000000"/>
              </w:rPr>
            </w:pPr>
            <w:r w:rsidDel="00000000" w:rsidR="00000000" w:rsidRPr="00000000">
              <w:rPr>
                <w:b w:val="1"/>
                <w:bCs w:val="1"/>
                <w:color w:val="000000"/>
                <w:rtl w:val="0"/>
              </w:rPr>
              <w:t xml:space="preserve">Cumulative Cash Flow (£m)</w:t>
            </w:r>
          </w:p>
        </w:tc>
      </w:tr>
      <w:tr>
        <w:trPr>
          <w:cantSplit w:val="0"/>
          <w:trHeight w:val="288" w:hRule="atLeast"/>
          <w:tblHeader w:val="0"/>
        </w:trPr>
        <w:tc>
          <w:tcPr>
            <w:vAlign w:val="center"/>
          </w:tcPr>
          <w:p w:rsidR="00000000" w:rsidDel="00000000" w:rsidP="00000000" w:rsidRDefault="00000000" w:rsidRPr="00000000" w14:paraId="000000A5">
            <w:pPr>
              <w:spacing w:line="240" w:lineRule="auto"/>
              <w:jc w:val="right"/>
              <w:rPr>
                <w:color w:val="000000"/>
              </w:rPr>
            </w:pPr>
            <w:r w:rsidDel="00000000" w:rsidR="00000000" w:rsidRPr="00000000">
              <w:rPr>
                <w:color w:val="000000"/>
                <w:rtl w:val="0"/>
              </w:rPr>
              <w:t xml:space="preserve">1</w:t>
            </w:r>
          </w:p>
        </w:tc>
        <w:tc>
          <w:tcPr>
            <w:vAlign w:val="center"/>
          </w:tcPr>
          <w:p w:rsidR="00000000" w:rsidDel="00000000" w:rsidP="00000000" w:rsidRDefault="00000000" w:rsidRPr="00000000" w14:paraId="000000A6">
            <w:pPr>
              <w:spacing w:line="240" w:lineRule="auto"/>
              <w:jc w:val="right"/>
              <w:rPr>
                <w:color w:val="000000"/>
              </w:rPr>
            </w:pPr>
            <w:r w:rsidDel="00000000" w:rsidR="00000000" w:rsidRPr="00000000">
              <w:rPr>
                <w:color w:val="000000"/>
                <w:rtl w:val="0"/>
              </w:rPr>
              <w:t xml:space="preserve">10</w:t>
            </w:r>
          </w:p>
        </w:tc>
        <w:tc>
          <w:tcPr>
            <w:vAlign w:val="center"/>
          </w:tcPr>
          <w:p w:rsidR="00000000" w:rsidDel="00000000" w:rsidP="00000000" w:rsidRDefault="00000000" w:rsidRPr="00000000" w14:paraId="000000A7">
            <w:pPr>
              <w:spacing w:line="240" w:lineRule="auto"/>
              <w:jc w:val="right"/>
              <w:rPr>
                <w:color w:val="000000"/>
              </w:rPr>
            </w:pPr>
            <w:r w:rsidDel="00000000" w:rsidR="00000000" w:rsidRPr="00000000">
              <w:rPr>
                <w:color w:val="000000"/>
                <w:rtl w:val="0"/>
              </w:rPr>
              <w:t xml:space="preserve">10</w:t>
            </w:r>
          </w:p>
        </w:tc>
        <w:tc>
          <w:tcPr>
            <w:vAlign w:val="bottom"/>
          </w:tcPr>
          <w:p w:rsidR="00000000" w:rsidDel="00000000" w:rsidP="00000000" w:rsidRDefault="00000000" w:rsidRPr="00000000" w14:paraId="000000A8">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0A9">
            <w:pPr>
              <w:spacing w:line="240" w:lineRule="auto"/>
              <w:jc w:val="right"/>
              <w:rPr>
                <w:color w:val="000000"/>
              </w:rPr>
            </w:pPr>
            <w:r w:rsidDel="00000000" w:rsidR="00000000" w:rsidRPr="00000000">
              <w:rPr>
                <w:color w:val="000000"/>
                <w:rtl w:val="0"/>
              </w:rPr>
              <w:t xml:space="preserve">1</w:t>
            </w:r>
          </w:p>
        </w:tc>
        <w:tc>
          <w:tcPr>
            <w:vAlign w:val="center"/>
          </w:tcPr>
          <w:p w:rsidR="00000000" w:rsidDel="00000000" w:rsidP="00000000" w:rsidRDefault="00000000" w:rsidRPr="00000000" w14:paraId="000000AA">
            <w:pPr>
              <w:spacing w:line="240" w:lineRule="auto"/>
              <w:jc w:val="right"/>
              <w:rPr>
                <w:color w:val="000000"/>
              </w:rPr>
            </w:pPr>
            <w:r w:rsidDel="00000000" w:rsidR="00000000" w:rsidRPr="00000000">
              <w:rPr>
                <w:color w:val="000000"/>
                <w:rtl w:val="0"/>
              </w:rPr>
              <w:t xml:space="preserve">11</w:t>
            </w:r>
          </w:p>
        </w:tc>
        <w:tc>
          <w:tcPr>
            <w:vAlign w:val="center"/>
          </w:tcPr>
          <w:p w:rsidR="00000000" w:rsidDel="00000000" w:rsidP="00000000" w:rsidRDefault="00000000" w:rsidRPr="00000000" w14:paraId="000000AB">
            <w:pPr>
              <w:spacing w:line="240" w:lineRule="auto"/>
              <w:jc w:val="right"/>
              <w:rPr>
                <w:color w:val="000000"/>
              </w:rPr>
            </w:pPr>
            <w:r w:rsidDel="00000000" w:rsidR="00000000" w:rsidRPr="00000000">
              <w:rPr>
                <w:color w:val="000000"/>
                <w:rtl w:val="0"/>
              </w:rPr>
              <w:t xml:space="preserve">11</w:t>
            </w:r>
          </w:p>
        </w:tc>
        <w:tc>
          <w:tcPr>
            <w:vAlign w:val="bottom"/>
          </w:tcPr>
          <w:p w:rsidR="00000000" w:rsidDel="00000000" w:rsidP="00000000" w:rsidRDefault="00000000" w:rsidRPr="00000000" w14:paraId="000000AC">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0AD">
            <w:pPr>
              <w:spacing w:line="240" w:lineRule="auto"/>
              <w:jc w:val="right"/>
              <w:rPr>
                <w:color w:val="000000"/>
              </w:rPr>
            </w:pPr>
            <w:r w:rsidDel="00000000" w:rsidR="00000000" w:rsidRPr="00000000">
              <w:rPr>
                <w:color w:val="000000"/>
                <w:rtl w:val="0"/>
              </w:rPr>
              <w:t xml:space="preserve">1</w:t>
            </w:r>
          </w:p>
        </w:tc>
        <w:tc>
          <w:tcPr>
            <w:vAlign w:val="center"/>
          </w:tcPr>
          <w:p w:rsidR="00000000" w:rsidDel="00000000" w:rsidP="00000000" w:rsidRDefault="00000000" w:rsidRPr="00000000" w14:paraId="000000AE">
            <w:pPr>
              <w:spacing w:line="240" w:lineRule="auto"/>
              <w:jc w:val="right"/>
              <w:rPr>
                <w:color w:val="000000"/>
              </w:rPr>
            </w:pPr>
            <w:r w:rsidDel="00000000" w:rsidR="00000000" w:rsidRPr="00000000">
              <w:rPr>
                <w:color w:val="000000"/>
                <w:rtl w:val="0"/>
              </w:rPr>
              <w:t xml:space="preserve">5</w:t>
            </w:r>
          </w:p>
        </w:tc>
        <w:tc>
          <w:tcPr>
            <w:vAlign w:val="center"/>
          </w:tcPr>
          <w:p w:rsidR="00000000" w:rsidDel="00000000" w:rsidP="00000000" w:rsidRDefault="00000000" w:rsidRPr="00000000" w14:paraId="000000AF">
            <w:pPr>
              <w:spacing w:line="240" w:lineRule="auto"/>
              <w:jc w:val="right"/>
              <w:rPr>
                <w:color w:val="000000"/>
              </w:rPr>
            </w:pPr>
            <w:r w:rsidDel="00000000" w:rsidR="00000000" w:rsidRPr="00000000">
              <w:rPr>
                <w:color w:val="000000"/>
                <w:rtl w:val="0"/>
              </w:rPr>
              <w:t xml:space="preserve">5</w:t>
            </w:r>
          </w:p>
        </w:tc>
      </w:tr>
      <w:tr>
        <w:trPr>
          <w:cantSplit w:val="0"/>
          <w:trHeight w:val="288" w:hRule="atLeast"/>
          <w:tblHeader w:val="0"/>
        </w:trPr>
        <w:tc>
          <w:tcPr>
            <w:vAlign w:val="center"/>
          </w:tcPr>
          <w:p w:rsidR="00000000" w:rsidDel="00000000" w:rsidP="00000000" w:rsidRDefault="00000000" w:rsidRPr="00000000" w14:paraId="000000B0">
            <w:pPr>
              <w:spacing w:line="240" w:lineRule="auto"/>
              <w:jc w:val="right"/>
              <w:rPr>
                <w:color w:val="000000"/>
              </w:rPr>
            </w:pPr>
            <w:r w:rsidDel="00000000" w:rsidR="00000000" w:rsidRPr="00000000">
              <w:rPr>
                <w:color w:val="000000"/>
                <w:rtl w:val="0"/>
              </w:rPr>
              <w:t xml:space="preserve">2</w:t>
            </w:r>
          </w:p>
        </w:tc>
        <w:tc>
          <w:tcPr>
            <w:vAlign w:val="center"/>
          </w:tcPr>
          <w:p w:rsidR="00000000" w:rsidDel="00000000" w:rsidP="00000000" w:rsidRDefault="00000000" w:rsidRPr="00000000" w14:paraId="000000B1">
            <w:pPr>
              <w:spacing w:line="240" w:lineRule="auto"/>
              <w:jc w:val="right"/>
              <w:rPr>
                <w:color w:val="000000"/>
              </w:rPr>
            </w:pPr>
            <w:r w:rsidDel="00000000" w:rsidR="00000000" w:rsidRPr="00000000">
              <w:rPr>
                <w:color w:val="000000"/>
                <w:rtl w:val="0"/>
              </w:rPr>
              <w:t xml:space="preserve">12</w:t>
            </w:r>
          </w:p>
        </w:tc>
        <w:tc>
          <w:tcPr>
            <w:vAlign w:val="center"/>
          </w:tcPr>
          <w:p w:rsidR="00000000" w:rsidDel="00000000" w:rsidP="00000000" w:rsidRDefault="00000000" w:rsidRPr="00000000" w14:paraId="000000B2">
            <w:pPr>
              <w:spacing w:line="240" w:lineRule="auto"/>
              <w:jc w:val="right"/>
              <w:rPr>
                <w:color w:val="000000"/>
              </w:rPr>
            </w:pPr>
            <w:r w:rsidDel="00000000" w:rsidR="00000000" w:rsidRPr="00000000">
              <w:rPr>
                <w:color w:val="000000"/>
                <w:rtl w:val="0"/>
              </w:rPr>
              <w:t xml:space="preserve">22</w:t>
            </w:r>
          </w:p>
        </w:tc>
        <w:tc>
          <w:tcPr>
            <w:vAlign w:val="bottom"/>
          </w:tcPr>
          <w:p w:rsidR="00000000" w:rsidDel="00000000" w:rsidP="00000000" w:rsidRDefault="00000000" w:rsidRPr="00000000" w14:paraId="000000B3">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0B4">
            <w:pPr>
              <w:spacing w:line="240" w:lineRule="auto"/>
              <w:jc w:val="right"/>
              <w:rPr>
                <w:color w:val="000000"/>
              </w:rPr>
            </w:pPr>
            <w:r w:rsidDel="00000000" w:rsidR="00000000" w:rsidRPr="00000000">
              <w:rPr>
                <w:color w:val="000000"/>
                <w:rtl w:val="0"/>
              </w:rPr>
              <w:t xml:space="preserve">2</w:t>
            </w:r>
          </w:p>
        </w:tc>
        <w:tc>
          <w:tcPr>
            <w:vAlign w:val="center"/>
          </w:tcPr>
          <w:p w:rsidR="00000000" w:rsidDel="00000000" w:rsidP="00000000" w:rsidRDefault="00000000" w:rsidRPr="00000000" w14:paraId="000000B5">
            <w:pPr>
              <w:spacing w:line="240" w:lineRule="auto"/>
              <w:jc w:val="right"/>
              <w:rPr>
                <w:color w:val="000000"/>
              </w:rPr>
            </w:pPr>
            <w:r w:rsidDel="00000000" w:rsidR="00000000" w:rsidRPr="00000000">
              <w:rPr>
                <w:color w:val="000000"/>
                <w:rtl w:val="0"/>
              </w:rPr>
              <w:t xml:space="preserve">11</w:t>
            </w:r>
          </w:p>
        </w:tc>
        <w:tc>
          <w:tcPr>
            <w:vAlign w:val="center"/>
          </w:tcPr>
          <w:p w:rsidR="00000000" w:rsidDel="00000000" w:rsidP="00000000" w:rsidRDefault="00000000" w:rsidRPr="00000000" w14:paraId="000000B6">
            <w:pPr>
              <w:spacing w:line="240" w:lineRule="auto"/>
              <w:jc w:val="right"/>
              <w:rPr>
                <w:color w:val="000000"/>
              </w:rPr>
            </w:pPr>
            <w:r w:rsidDel="00000000" w:rsidR="00000000" w:rsidRPr="00000000">
              <w:rPr>
                <w:color w:val="000000"/>
                <w:rtl w:val="0"/>
              </w:rPr>
              <w:t xml:space="preserve">22</w:t>
            </w:r>
          </w:p>
        </w:tc>
        <w:tc>
          <w:tcPr>
            <w:vAlign w:val="bottom"/>
          </w:tcPr>
          <w:p w:rsidR="00000000" w:rsidDel="00000000" w:rsidP="00000000" w:rsidRDefault="00000000" w:rsidRPr="00000000" w14:paraId="000000B7">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0B8">
            <w:pPr>
              <w:spacing w:line="240" w:lineRule="auto"/>
              <w:jc w:val="right"/>
              <w:rPr>
                <w:color w:val="000000"/>
              </w:rPr>
            </w:pPr>
            <w:r w:rsidDel="00000000" w:rsidR="00000000" w:rsidRPr="00000000">
              <w:rPr>
                <w:color w:val="000000"/>
                <w:rtl w:val="0"/>
              </w:rPr>
              <w:t xml:space="preserve">2</w:t>
            </w:r>
          </w:p>
        </w:tc>
        <w:tc>
          <w:tcPr>
            <w:vAlign w:val="center"/>
          </w:tcPr>
          <w:p w:rsidR="00000000" w:rsidDel="00000000" w:rsidP="00000000" w:rsidRDefault="00000000" w:rsidRPr="00000000" w14:paraId="000000B9">
            <w:pPr>
              <w:spacing w:line="240" w:lineRule="auto"/>
              <w:jc w:val="right"/>
              <w:rPr>
                <w:color w:val="000000"/>
              </w:rPr>
            </w:pPr>
            <w:r w:rsidDel="00000000" w:rsidR="00000000" w:rsidRPr="00000000">
              <w:rPr>
                <w:color w:val="000000"/>
                <w:rtl w:val="0"/>
              </w:rPr>
              <w:t xml:space="preserve">10</w:t>
            </w:r>
          </w:p>
        </w:tc>
        <w:tc>
          <w:tcPr>
            <w:vAlign w:val="center"/>
          </w:tcPr>
          <w:p w:rsidR="00000000" w:rsidDel="00000000" w:rsidP="00000000" w:rsidRDefault="00000000" w:rsidRPr="00000000" w14:paraId="000000BA">
            <w:pPr>
              <w:spacing w:line="240" w:lineRule="auto"/>
              <w:jc w:val="right"/>
              <w:rPr>
                <w:color w:val="000000"/>
              </w:rPr>
            </w:pPr>
            <w:r w:rsidDel="00000000" w:rsidR="00000000" w:rsidRPr="00000000">
              <w:rPr>
                <w:color w:val="000000"/>
                <w:rtl w:val="0"/>
              </w:rPr>
              <w:t xml:space="preserve">15</w:t>
            </w:r>
          </w:p>
        </w:tc>
      </w:tr>
      <w:tr>
        <w:trPr>
          <w:cantSplit w:val="0"/>
          <w:trHeight w:val="288" w:hRule="atLeast"/>
          <w:tblHeader w:val="0"/>
        </w:trPr>
        <w:tc>
          <w:tcPr>
            <w:vAlign w:val="center"/>
          </w:tcPr>
          <w:p w:rsidR="00000000" w:rsidDel="00000000" w:rsidP="00000000" w:rsidRDefault="00000000" w:rsidRPr="00000000" w14:paraId="000000BB">
            <w:pPr>
              <w:spacing w:line="240" w:lineRule="auto"/>
              <w:jc w:val="right"/>
              <w:rPr>
                <w:color w:val="000000"/>
              </w:rPr>
            </w:pPr>
            <w:r w:rsidDel="00000000" w:rsidR="00000000" w:rsidRPr="00000000">
              <w:rPr>
                <w:color w:val="000000"/>
                <w:rtl w:val="0"/>
              </w:rPr>
              <w:t xml:space="preserve">3</w:t>
            </w:r>
          </w:p>
        </w:tc>
        <w:tc>
          <w:tcPr>
            <w:vAlign w:val="center"/>
          </w:tcPr>
          <w:p w:rsidR="00000000" w:rsidDel="00000000" w:rsidP="00000000" w:rsidRDefault="00000000" w:rsidRPr="00000000" w14:paraId="000000BC">
            <w:pPr>
              <w:spacing w:line="240" w:lineRule="auto"/>
              <w:jc w:val="right"/>
              <w:rPr>
                <w:color w:val="000000"/>
              </w:rPr>
            </w:pPr>
            <w:r w:rsidDel="00000000" w:rsidR="00000000" w:rsidRPr="00000000">
              <w:rPr>
                <w:color w:val="000000"/>
                <w:rtl w:val="0"/>
              </w:rPr>
              <w:t xml:space="preserve">14</w:t>
            </w:r>
          </w:p>
        </w:tc>
        <w:tc>
          <w:tcPr>
            <w:vAlign w:val="center"/>
          </w:tcPr>
          <w:p w:rsidR="00000000" w:rsidDel="00000000" w:rsidP="00000000" w:rsidRDefault="00000000" w:rsidRPr="00000000" w14:paraId="000000BD">
            <w:pPr>
              <w:spacing w:line="240" w:lineRule="auto"/>
              <w:jc w:val="right"/>
              <w:rPr>
                <w:color w:val="000000"/>
              </w:rPr>
            </w:pPr>
            <w:r w:rsidDel="00000000" w:rsidR="00000000" w:rsidRPr="00000000">
              <w:rPr>
                <w:color w:val="000000"/>
                <w:rtl w:val="0"/>
              </w:rPr>
              <w:t xml:space="preserve">36</w:t>
            </w:r>
          </w:p>
        </w:tc>
        <w:tc>
          <w:tcPr>
            <w:vAlign w:val="bottom"/>
          </w:tcPr>
          <w:p w:rsidR="00000000" w:rsidDel="00000000" w:rsidP="00000000" w:rsidRDefault="00000000" w:rsidRPr="00000000" w14:paraId="000000BE">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0BF">
            <w:pPr>
              <w:spacing w:line="240" w:lineRule="auto"/>
              <w:jc w:val="right"/>
              <w:rPr>
                <w:color w:val="000000"/>
              </w:rPr>
            </w:pPr>
            <w:r w:rsidDel="00000000" w:rsidR="00000000" w:rsidRPr="00000000">
              <w:rPr>
                <w:color w:val="000000"/>
                <w:rtl w:val="0"/>
              </w:rPr>
              <w:t xml:space="preserve">3</w:t>
            </w:r>
          </w:p>
        </w:tc>
        <w:tc>
          <w:tcPr>
            <w:vAlign w:val="center"/>
          </w:tcPr>
          <w:p w:rsidR="00000000" w:rsidDel="00000000" w:rsidP="00000000" w:rsidRDefault="00000000" w:rsidRPr="00000000" w14:paraId="000000C0">
            <w:pPr>
              <w:spacing w:line="240" w:lineRule="auto"/>
              <w:jc w:val="right"/>
              <w:rPr>
                <w:color w:val="000000"/>
              </w:rPr>
            </w:pPr>
            <w:r w:rsidDel="00000000" w:rsidR="00000000" w:rsidRPr="00000000">
              <w:rPr>
                <w:color w:val="000000"/>
                <w:rtl w:val="0"/>
              </w:rPr>
              <w:t xml:space="preserve">11</w:t>
            </w:r>
          </w:p>
        </w:tc>
        <w:tc>
          <w:tcPr>
            <w:vAlign w:val="center"/>
          </w:tcPr>
          <w:p w:rsidR="00000000" w:rsidDel="00000000" w:rsidP="00000000" w:rsidRDefault="00000000" w:rsidRPr="00000000" w14:paraId="000000C1">
            <w:pPr>
              <w:spacing w:line="240" w:lineRule="auto"/>
              <w:jc w:val="right"/>
              <w:rPr>
                <w:color w:val="000000"/>
              </w:rPr>
            </w:pPr>
            <w:r w:rsidDel="00000000" w:rsidR="00000000" w:rsidRPr="00000000">
              <w:rPr>
                <w:color w:val="000000"/>
                <w:rtl w:val="0"/>
              </w:rPr>
              <w:t xml:space="preserve">33</w:t>
            </w:r>
          </w:p>
        </w:tc>
        <w:tc>
          <w:tcPr>
            <w:vAlign w:val="bottom"/>
          </w:tcPr>
          <w:p w:rsidR="00000000" w:rsidDel="00000000" w:rsidP="00000000" w:rsidRDefault="00000000" w:rsidRPr="00000000" w14:paraId="000000C2">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0C3">
            <w:pPr>
              <w:spacing w:line="240" w:lineRule="auto"/>
              <w:jc w:val="right"/>
              <w:rPr>
                <w:color w:val="000000"/>
              </w:rPr>
            </w:pPr>
            <w:r w:rsidDel="00000000" w:rsidR="00000000" w:rsidRPr="00000000">
              <w:rPr>
                <w:color w:val="000000"/>
                <w:rtl w:val="0"/>
              </w:rPr>
              <w:t xml:space="preserve">3</w:t>
            </w:r>
          </w:p>
        </w:tc>
        <w:tc>
          <w:tcPr>
            <w:vAlign w:val="center"/>
          </w:tcPr>
          <w:p w:rsidR="00000000" w:rsidDel="00000000" w:rsidP="00000000" w:rsidRDefault="00000000" w:rsidRPr="00000000" w14:paraId="000000C4">
            <w:pPr>
              <w:spacing w:line="240" w:lineRule="auto"/>
              <w:jc w:val="right"/>
              <w:rPr>
                <w:color w:val="000000"/>
              </w:rPr>
            </w:pPr>
            <w:r w:rsidDel="00000000" w:rsidR="00000000" w:rsidRPr="00000000">
              <w:rPr>
                <w:color w:val="000000"/>
                <w:rtl w:val="0"/>
              </w:rPr>
              <w:t xml:space="preserve">20</w:t>
            </w:r>
          </w:p>
        </w:tc>
        <w:tc>
          <w:tcPr>
            <w:vAlign w:val="center"/>
          </w:tcPr>
          <w:p w:rsidR="00000000" w:rsidDel="00000000" w:rsidP="00000000" w:rsidRDefault="00000000" w:rsidRPr="00000000" w14:paraId="000000C5">
            <w:pPr>
              <w:spacing w:line="240" w:lineRule="auto"/>
              <w:jc w:val="right"/>
              <w:rPr>
                <w:color w:val="000000"/>
              </w:rPr>
            </w:pPr>
            <w:r w:rsidDel="00000000" w:rsidR="00000000" w:rsidRPr="00000000">
              <w:rPr>
                <w:color w:val="000000"/>
                <w:rtl w:val="0"/>
              </w:rPr>
              <w:t xml:space="preserve">35</w:t>
            </w:r>
          </w:p>
        </w:tc>
      </w:tr>
      <w:tr>
        <w:trPr>
          <w:cantSplit w:val="0"/>
          <w:trHeight w:val="288" w:hRule="atLeast"/>
          <w:tblHeader w:val="0"/>
        </w:trPr>
        <w:tc>
          <w:tcPr>
            <w:vAlign w:val="center"/>
          </w:tcPr>
          <w:p w:rsidR="00000000" w:rsidDel="00000000" w:rsidP="00000000" w:rsidRDefault="00000000" w:rsidRPr="00000000" w14:paraId="000000C6">
            <w:pPr>
              <w:spacing w:line="240" w:lineRule="auto"/>
              <w:jc w:val="right"/>
              <w:rPr>
                <w:color w:val="000000"/>
              </w:rPr>
            </w:pPr>
            <w:r w:rsidDel="00000000" w:rsidR="00000000" w:rsidRPr="00000000">
              <w:rPr>
                <w:color w:val="000000"/>
                <w:rtl w:val="0"/>
              </w:rPr>
              <w:t xml:space="preserve">4</w:t>
            </w:r>
          </w:p>
        </w:tc>
        <w:tc>
          <w:tcPr>
            <w:vAlign w:val="center"/>
          </w:tcPr>
          <w:p w:rsidR="00000000" w:rsidDel="00000000" w:rsidP="00000000" w:rsidRDefault="00000000" w:rsidRPr="00000000" w14:paraId="000000C7">
            <w:pPr>
              <w:spacing w:line="240" w:lineRule="auto"/>
              <w:jc w:val="right"/>
              <w:rPr>
                <w:color w:val="000000"/>
              </w:rPr>
            </w:pPr>
            <w:r w:rsidDel="00000000" w:rsidR="00000000" w:rsidRPr="00000000">
              <w:rPr>
                <w:color w:val="000000"/>
                <w:rtl w:val="0"/>
              </w:rPr>
              <w:t xml:space="preserve">10</w:t>
            </w:r>
          </w:p>
        </w:tc>
        <w:tc>
          <w:tcPr>
            <w:vAlign w:val="center"/>
          </w:tcPr>
          <w:p w:rsidR="00000000" w:rsidDel="00000000" w:rsidP="00000000" w:rsidRDefault="00000000" w:rsidRPr="00000000" w14:paraId="000000C8">
            <w:pPr>
              <w:spacing w:line="240" w:lineRule="auto"/>
              <w:jc w:val="right"/>
              <w:rPr>
                <w:color w:val="000000"/>
              </w:rPr>
            </w:pPr>
            <w:r w:rsidDel="00000000" w:rsidR="00000000" w:rsidRPr="00000000">
              <w:rPr>
                <w:color w:val="000000"/>
                <w:rtl w:val="0"/>
              </w:rPr>
              <w:t xml:space="preserve">46</w:t>
            </w:r>
          </w:p>
        </w:tc>
        <w:tc>
          <w:tcPr>
            <w:vAlign w:val="bottom"/>
          </w:tcPr>
          <w:p w:rsidR="00000000" w:rsidDel="00000000" w:rsidP="00000000" w:rsidRDefault="00000000" w:rsidRPr="00000000" w14:paraId="000000C9">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0CA">
            <w:pPr>
              <w:spacing w:line="240" w:lineRule="auto"/>
              <w:jc w:val="right"/>
              <w:rPr>
                <w:color w:val="000000"/>
              </w:rPr>
            </w:pPr>
            <w:r w:rsidDel="00000000" w:rsidR="00000000" w:rsidRPr="00000000">
              <w:rPr>
                <w:color w:val="000000"/>
                <w:rtl w:val="0"/>
              </w:rPr>
              <w:t xml:space="preserve">4</w:t>
            </w:r>
          </w:p>
        </w:tc>
        <w:tc>
          <w:tcPr>
            <w:vAlign w:val="center"/>
          </w:tcPr>
          <w:p w:rsidR="00000000" w:rsidDel="00000000" w:rsidP="00000000" w:rsidRDefault="00000000" w:rsidRPr="00000000" w14:paraId="000000CB">
            <w:pPr>
              <w:spacing w:line="240" w:lineRule="auto"/>
              <w:jc w:val="right"/>
              <w:rPr>
                <w:color w:val="000000"/>
              </w:rPr>
            </w:pPr>
            <w:r w:rsidDel="00000000" w:rsidR="00000000" w:rsidRPr="00000000">
              <w:rPr>
                <w:color w:val="000000"/>
                <w:rtl w:val="0"/>
              </w:rPr>
              <w:t xml:space="preserve">11</w:t>
            </w:r>
          </w:p>
        </w:tc>
        <w:tc>
          <w:tcPr>
            <w:vAlign w:val="center"/>
          </w:tcPr>
          <w:p w:rsidR="00000000" w:rsidDel="00000000" w:rsidP="00000000" w:rsidRDefault="00000000" w:rsidRPr="00000000" w14:paraId="000000CC">
            <w:pPr>
              <w:spacing w:line="240" w:lineRule="auto"/>
              <w:jc w:val="right"/>
              <w:rPr>
                <w:color w:val="000000"/>
              </w:rPr>
            </w:pPr>
            <w:r w:rsidDel="00000000" w:rsidR="00000000" w:rsidRPr="00000000">
              <w:rPr>
                <w:color w:val="000000"/>
                <w:rtl w:val="0"/>
              </w:rPr>
              <w:t xml:space="preserve">44</w:t>
            </w:r>
          </w:p>
        </w:tc>
        <w:tc>
          <w:tcPr>
            <w:vAlign w:val="bottom"/>
          </w:tcPr>
          <w:p w:rsidR="00000000" w:rsidDel="00000000" w:rsidP="00000000" w:rsidRDefault="00000000" w:rsidRPr="00000000" w14:paraId="000000CD">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0CE">
            <w:pPr>
              <w:spacing w:line="240" w:lineRule="auto"/>
              <w:jc w:val="right"/>
              <w:rPr>
                <w:color w:val="000000"/>
              </w:rPr>
            </w:pPr>
            <w:r w:rsidDel="00000000" w:rsidR="00000000" w:rsidRPr="00000000">
              <w:rPr>
                <w:color w:val="000000"/>
                <w:rtl w:val="0"/>
              </w:rPr>
              <w:t xml:space="preserve">4</w:t>
            </w:r>
          </w:p>
        </w:tc>
        <w:tc>
          <w:tcPr>
            <w:vAlign w:val="center"/>
          </w:tcPr>
          <w:p w:rsidR="00000000" w:rsidDel="00000000" w:rsidP="00000000" w:rsidRDefault="00000000" w:rsidRPr="00000000" w14:paraId="000000CF">
            <w:pPr>
              <w:spacing w:line="240" w:lineRule="auto"/>
              <w:jc w:val="right"/>
              <w:rPr>
                <w:color w:val="000000"/>
              </w:rPr>
            </w:pPr>
            <w:r w:rsidDel="00000000" w:rsidR="00000000" w:rsidRPr="00000000">
              <w:rPr>
                <w:color w:val="000000"/>
                <w:rtl w:val="0"/>
              </w:rPr>
              <w:t xml:space="preserve">25</w:t>
            </w:r>
          </w:p>
        </w:tc>
        <w:tc>
          <w:tcPr>
            <w:vAlign w:val="center"/>
          </w:tcPr>
          <w:p w:rsidR="00000000" w:rsidDel="00000000" w:rsidP="00000000" w:rsidRDefault="00000000" w:rsidRPr="00000000" w14:paraId="000000D0">
            <w:pPr>
              <w:spacing w:line="240" w:lineRule="auto"/>
              <w:jc w:val="right"/>
              <w:rPr>
                <w:color w:val="000000"/>
              </w:rPr>
            </w:pPr>
            <w:r w:rsidDel="00000000" w:rsidR="00000000" w:rsidRPr="00000000">
              <w:rPr>
                <w:color w:val="000000"/>
                <w:rtl w:val="0"/>
              </w:rPr>
              <w:t xml:space="preserve">60</w:t>
            </w:r>
          </w:p>
        </w:tc>
      </w:tr>
      <w:tr>
        <w:trPr>
          <w:cantSplit w:val="0"/>
          <w:trHeight w:val="288" w:hRule="atLeast"/>
          <w:tblHeader w:val="0"/>
        </w:trPr>
        <w:tc>
          <w:tcPr>
            <w:vAlign w:val="center"/>
          </w:tcPr>
          <w:p w:rsidR="00000000" w:rsidDel="00000000" w:rsidP="00000000" w:rsidRDefault="00000000" w:rsidRPr="00000000" w14:paraId="000000D1">
            <w:pPr>
              <w:spacing w:line="240" w:lineRule="auto"/>
              <w:jc w:val="right"/>
              <w:rPr>
                <w:color w:val="000000"/>
              </w:rPr>
            </w:pPr>
            <w:r w:rsidDel="00000000" w:rsidR="00000000" w:rsidRPr="00000000">
              <w:rPr>
                <w:color w:val="000000"/>
                <w:rtl w:val="0"/>
              </w:rPr>
              <w:t xml:space="preserve">5</w:t>
            </w:r>
          </w:p>
        </w:tc>
        <w:tc>
          <w:tcPr>
            <w:vAlign w:val="center"/>
          </w:tcPr>
          <w:p w:rsidR="00000000" w:rsidDel="00000000" w:rsidP="00000000" w:rsidRDefault="00000000" w:rsidRPr="00000000" w14:paraId="000000D2">
            <w:pPr>
              <w:spacing w:line="240" w:lineRule="auto"/>
              <w:jc w:val="right"/>
              <w:rPr>
                <w:color w:val="000000"/>
              </w:rPr>
            </w:pPr>
            <w:r w:rsidDel="00000000" w:rsidR="00000000" w:rsidRPr="00000000">
              <w:rPr>
                <w:color w:val="000000"/>
                <w:rtl w:val="0"/>
              </w:rPr>
              <w:t xml:space="preserve">8</w:t>
            </w:r>
          </w:p>
        </w:tc>
        <w:tc>
          <w:tcPr>
            <w:vAlign w:val="center"/>
          </w:tcPr>
          <w:p w:rsidR="00000000" w:rsidDel="00000000" w:rsidP="00000000" w:rsidRDefault="00000000" w:rsidRPr="00000000" w14:paraId="000000D3">
            <w:pPr>
              <w:spacing w:line="240" w:lineRule="auto"/>
              <w:jc w:val="right"/>
              <w:rPr>
                <w:color w:val="000000"/>
              </w:rPr>
            </w:pPr>
            <w:r w:rsidDel="00000000" w:rsidR="00000000" w:rsidRPr="00000000">
              <w:rPr>
                <w:color w:val="000000"/>
                <w:rtl w:val="0"/>
              </w:rPr>
              <w:t xml:space="preserve">54</w:t>
            </w:r>
          </w:p>
        </w:tc>
        <w:tc>
          <w:tcPr>
            <w:vAlign w:val="bottom"/>
          </w:tcPr>
          <w:p w:rsidR="00000000" w:rsidDel="00000000" w:rsidP="00000000" w:rsidRDefault="00000000" w:rsidRPr="00000000" w14:paraId="000000D4">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0D5">
            <w:pPr>
              <w:spacing w:line="240" w:lineRule="auto"/>
              <w:jc w:val="right"/>
              <w:rPr>
                <w:color w:val="000000"/>
              </w:rPr>
            </w:pPr>
            <w:r w:rsidDel="00000000" w:rsidR="00000000" w:rsidRPr="00000000">
              <w:rPr>
                <w:color w:val="000000"/>
                <w:rtl w:val="0"/>
              </w:rPr>
              <w:t xml:space="preserve">5</w:t>
            </w:r>
          </w:p>
        </w:tc>
        <w:tc>
          <w:tcPr>
            <w:vAlign w:val="center"/>
          </w:tcPr>
          <w:p w:rsidR="00000000" w:rsidDel="00000000" w:rsidP="00000000" w:rsidRDefault="00000000" w:rsidRPr="00000000" w14:paraId="000000D6">
            <w:pPr>
              <w:spacing w:line="240" w:lineRule="auto"/>
              <w:jc w:val="right"/>
              <w:rPr>
                <w:color w:val="000000"/>
              </w:rPr>
            </w:pPr>
            <w:r w:rsidDel="00000000" w:rsidR="00000000" w:rsidRPr="00000000">
              <w:rPr>
                <w:color w:val="000000"/>
                <w:rtl w:val="0"/>
              </w:rPr>
              <w:t xml:space="preserve">11</w:t>
            </w:r>
          </w:p>
        </w:tc>
        <w:tc>
          <w:tcPr>
            <w:vAlign w:val="center"/>
          </w:tcPr>
          <w:p w:rsidR="00000000" w:rsidDel="00000000" w:rsidP="00000000" w:rsidRDefault="00000000" w:rsidRPr="00000000" w14:paraId="000000D7">
            <w:pPr>
              <w:spacing w:line="240" w:lineRule="auto"/>
              <w:jc w:val="right"/>
              <w:rPr>
                <w:color w:val="000000"/>
              </w:rPr>
            </w:pPr>
            <w:r w:rsidDel="00000000" w:rsidR="00000000" w:rsidRPr="00000000">
              <w:rPr>
                <w:color w:val="000000"/>
                <w:rtl w:val="0"/>
              </w:rPr>
              <w:t xml:space="preserve">55</w:t>
            </w:r>
          </w:p>
        </w:tc>
        <w:tc>
          <w:tcPr>
            <w:vAlign w:val="bottom"/>
          </w:tcPr>
          <w:p w:rsidR="00000000" w:rsidDel="00000000" w:rsidP="00000000" w:rsidRDefault="00000000" w:rsidRPr="00000000" w14:paraId="000000D8">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0D9">
            <w:pPr>
              <w:spacing w:line="240" w:lineRule="auto"/>
              <w:jc w:val="right"/>
              <w:rPr>
                <w:color w:val="000000"/>
              </w:rPr>
            </w:pPr>
            <w:r w:rsidDel="00000000" w:rsidR="00000000" w:rsidRPr="00000000">
              <w:rPr>
                <w:color w:val="000000"/>
                <w:rtl w:val="0"/>
              </w:rPr>
              <w:t xml:space="preserve">5</w:t>
            </w:r>
          </w:p>
        </w:tc>
        <w:tc>
          <w:tcPr>
            <w:vAlign w:val="center"/>
          </w:tcPr>
          <w:p w:rsidR="00000000" w:rsidDel="00000000" w:rsidP="00000000" w:rsidRDefault="00000000" w:rsidRPr="00000000" w14:paraId="000000DA">
            <w:pPr>
              <w:spacing w:line="240" w:lineRule="auto"/>
              <w:jc w:val="right"/>
              <w:rPr>
                <w:color w:val="000000"/>
              </w:rPr>
            </w:pPr>
            <w:r w:rsidDel="00000000" w:rsidR="00000000" w:rsidRPr="00000000">
              <w:rPr>
                <w:color w:val="000000"/>
                <w:rtl w:val="0"/>
              </w:rPr>
              <w:t xml:space="preserve">5</w:t>
            </w:r>
          </w:p>
        </w:tc>
        <w:tc>
          <w:tcPr>
            <w:vAlign w:val="center"/>
          </w:tcPr>
          <w:p w:rsidR="00000000" w:rsidDel="00000000" w:rsidP="00000000" w:rsidRDefault="00000000" w:rsidRPr="00000000" w14:paraId="000000DB">
            <w:pPr>
              <w:spacing w:line="240" w:lineRule="auto"/>
              <w:jc w:val="right"/>
              <w:rPr>
                <w:color w:val="000000"/>
              </w:rPr>
            </w:pPr>
            <w:r w:rsidDel="00000000" w:rsidR="00000000" w:rsidRPr="00000000">
              <w:rPr>
                <w:color w:val="000000"/>
                <w:rtl w:val="0"/>
              </w:rPr>
              <w:t xml:space="preserve">65</w:t>
            </w:r>
          </w:p>
        </w:tc>
      </w:tr>
      <w:tr>
        <w:trPr>
          <w:cantSplit w:val="0"/>
          <w:trHeight w:val="288" w:hRule="atLeast"/>
          <w:tblHeader w:val="0"/>
        </w:trPr>
        <w:tc>
          <w:tcPr>
            <w:gridSpan w:val="3"/>
            <w:vAlign w:val="bottom"/>
          </w:tcPr>
          <w:p w:rsidR="00000000" w:rsidDel="00000000" w:rsidP="00000000" w:rsidRDefault="00000000" w:rsidRPr="00000000" w14:paraId="000000DC">
            <w:pPr>
              <w:spacing w:line="240" w:lineRule="auto"/>
              <w:rPr>
                <w:color w:val="000000"/>
              </w:rPr>
            </w:pPr>
            <w:r w:rsidDel="00000000" w:rsidR="00000000" w:rsidRPr="00000000">
              <w:rPr>
                <w:color w:val="000000"/>
                <w:rtl w:val="0"/>
              </w:rPr>
              <w:t xml:space="preserve">Payback period = 4+4/8</w:t>
            </w:r>
          </w:p>
        </w:tc>
        <w:tc>
          <w:tcPr>
            <w:vAlign w:val="bottom"/>
          </w:tcPr>
          <w:p w:rsidR="00000000" w:rsidDel="00000000" w:rsidP="00000000" w:rsidRDefault="00000000" w:rsidRPr="00000000" w14:paraId="000000DF">
            <w:pPr>
              <w:spacing w:line="240" w:lineRule="auto"/>
              <w:rPr>
                <w:color w:val="000000"/>
              </w:rPr>
            </w:pPr>
            <w:r w:rsidDel="00000000" w:rsidR="00000000" w:rsidRPr="00000000">
              <w:rPr>
                <w:rtl w:val="0"/>
              </w:rPr>
            </w:r>
          </w:p>
        </w:tc>
        <w:tc>
          <w:tcPr>
            <w:gridSpan w:val="3"/>
            <w:vAlign w:val="bottom"/>
          </w:tcPr>
          <w:p w:rsidR="00000000" w:rsidDel="00000000" w:rsidP="00000000" w:rsidRDefault="00000000" w:rsidRPr="00000000" w14:paraId="000000E0">
            <w:pPr>
              <w:spacing w:line="240" w:lineRule="auto"/>
              <w:rPr>
                <w:color w:val="000000"/>
              </w:rPr>
            </w:pPr>
            <w:r w:rsidDel="00000000" w:rsidR="00000000" w:rsidRPr="00000000">
              <w:rPr>
                <w:color w:val="000000"/>
                <w:rtl w:val="0"/>
              </w:rPr>
              <w:t xml:space="preserve">Payback period = 4+6/11</w:t>
            </w:r>
          </w:p>
        </w:tc>
        <w:tc>
          <w:tcPr>
            <w:vAlign w:val="bottom"/>
          </w:tcPr>
          <w:p w:rsidR="00000000" w:rsidDel="00000000" w:rsidP="00000000" w:rsidRDefault="00000000" w:rsidRPr="00000000" w14:paraId="000000E3">
            <w:pPr>
              <w:spacing w:line="240" w:lineRule="auto"/>
              <w:rPr>
                <w:color w:val="000000"/>
              </w:rPr>
            </w:pPr>
            <w:r w:rsidDel="00000000" w:rsidR="00000000" w:rsidRPr="00000000">
              <w:rPr>
                <w:rtl w:val="0"/>
              </w:rPr>
            </w:r>
          </w:p>
        </w:tc>
        <w:tc>
          <w:tcPr>
            <w:gridSpan w:val="3"/>
            <w:vAlign w:val="bottom"/>
          </w:tcPr>
          <w:p w:rsidR="00000000" w:rsidDel="00000000" w:rsidP="00000000" w:rsidRDefault="00000000" w:rsidRPr="00000000" w14:paraId="000000E4">
            <w:pPr>
              <w:spacing w:line="240" w:lineRule="auto"/>
              <w:rPr>
                <w:color w:val="000000"/>
              </w:rPr>
            </w:pPr>
            <w:r w:rsidDel="00000000" w:rsidR="00000000" w:rsidRPr="00000000">
              <w:rPr>
                <w:color w:val="000000"/>
                <w:rtl w:val="0"/>
              </w:rPr>
              <w:t xml:space="preserve">Payback period = 3+15/25</w:t>
            </w:r>
          </w:p>
        </w:tc>
      </w:tr>
      <w:tr>
        <w:trPr>
          <w:cantSplit w:val="0"/>
          <w:trHeight w:val="288" w:hRule="atLeast"/>
          <w:tblHeader w:val="0"/>
        </w:trPr>
        <w:tc>
          <w:tcPr>
            <w:gridSpan w:val="3"/>
            <w:vAlign w:val="bottom"/>
          </w:tcPr>
          <w:p w:rsidR="00000000" w:rsidDel="00000000" w:rsidP="00000000" w:rsidRDefault="00000000" w:rsidRPr="00000000" w14:paraId="000000E7">
            <w:pPr>
              <w:spacing w:line="240" w:lineRule="auto"/>
              <w:rPr>
                <w:color w:val="000000"/>
              </w:rPr>
            </w:pPr>
            <w:r w:rsidDel="00000000" w:rsidR="00000000" w:rsidRPr="00000000">
              <w:rPr>
                <w:color w:val="000000"/>
                <w:rtl w:val="0"/>
              </w:rPr>
              <w:t xml:space="preserve">Payback period = 4.5 years</w:t>
            </w:r>
          </w:p>
        </w:tc>
        <w:tc>
          <w:tcPr>
            <w:vAlign w:val="bottom"/>
          </w:tcPr>
          <w:p w:rsidR="00000000" w:rsidDel="00000000" w:rsidP="00000000" w:rsidRDefault="00000000" w:rsidRPr="00000000" w14:paraId="000000EA">
            <w:pPr>
              <w:spacing w:line="240" w:lineRule="auto"/>
              <w:rPr>
                <w:color w:val="000000"/>
              </w:rPr>
            </w:pPr>
            <w:r w:rsidDel="00000000" w:rsidR="00000000" w:rsidRPr="00000000">
              <w:rPr>
                <w:rtl w:val="0"/>
              </w:rPr>
            </w:r>
          </w:p>
        </w:tc>
        <w:tc>
          <w:tcPr>
            <w:gridSpan w:val="3"/>
            <w:vAlign w:val="bottom"/>
          </w:tcPr>
          <w:p w:rsidR="00000000" w:rsidDel="00000000" w:rsidP="00000000" w:rsidRDefault="00000000" w:rsidRPr="00000000" w14:paraId="000000EB">
            <w:pPr>
              <w:spacing w:line="240" w:lineRule="auto"/>
              <w:rPr>
                <w:color w:val="000000"/>
              </w:rPr>
            </w:pPr>
            <w:r w:rsidDel="00000000" w:rsidR="00000000" w:rsidRPr="00000000">
              <w:rPr>
                <w:color w:val="000000"/>
                <w:rtl w:val="0"/>
              </w:rPr>
              <w:t xml:space="preserve">Payback period = 4.55 years</w:t>
            </w:r>
          </w:p>
        </w:tc>
        <w:tc>
          <w:tcPr>
            <w:vAlign w:val="bottom"/>
          </w:tcPr>
          <w:p w:rsidR="00000000" w:rsidDel="00000000" w:rsidP="00000000" w:rsidRDefault="00000000" w:rsidRPr="00000000" w14:paraId="000000EE">
            <w:pPr>
              <w:spacing w:line="240" w:lineRule="auto"/>
              <w:rPr>
                <w:color w:val="000000"/>
              </w:rPr>
            </w:pPr>
            <w:r w:rsidDel="00000000" w:rsidR="00000000" w:rsidRPr="00000000">
              <w:rPr>
                <w:rtl w:val="0"/>
              </w:rPr>
            </w:r>
          </w:p>
        </w:tc>
        <w:tc>
          <w:tcPr>
            <w:gridSpan w:val="3"/>
            <w:vAlign w:val="bottom"/>
          </w:tcPr>
          <w:p w:rsidR="00000000" w:rsidDel="00000000" w:rsidP="00000000" w:rsidRDefault="00000000" w:rsidRPr="00000000" w14:paraId="000000EF">
            <w:pPr>
              <w:spacing w:line="240" w:lineRule="auto"/>
              <w:rPr>
                <w:color w:val="000000"/>
              </w:rPr>
            </w:pPr>
            <w:r w:rsidDel="00000000" w:rsidR="00000000" w:rsidRPr="00000000">
              <w:rPr>
                <w:color w:val="000000"/>
                <w:rtl w:val="0"/>
              </w:rPr>
              <w:t xml:space="preserve">Payback period = 3.6 years</w:t>
            </w:r>
          </w:p>
        </w:tc>
      </w:tr>
    </w:tbl>
    <w:p w:rsidR="00000000" w:rsidDel="00000000" w:rsidP="00000000" w:rsidRDefault="00000000" w:rsidRPr="00000000" w14:paraId="000000F2">
      <w:pPr>
        <w:spacing w:line="360" w:lineRule="auto"/>
        <w:jc w:val="both"/>
        <w:rPr>
          <w:sz w:val="24"/>
          <w:szCs w:val="24"/>
        </w:rPr>
      </w:pPr>
      <w:r w:rsidDel="00000000" w:rsidR="00000000" w:rsidRPr="00000000">
        <w:rPr>
          <w:rtl w:val="0"/>
        </w:rPr>
      </w:r>
    </w:p>
    <w:p w:rsidR="00000000" w:rsidDel="00000000" w:rsidP="00000000" w:rsidRDefault="00000000" w:rsidRPr="00000000" w14:paraId="000000F3">
      <w:pPr>
        <w:spacing w:line="360" w:lineRule="auto"/>
        <w:jc w:val="both"/>
        <w:rPr>
          <w:sz w:val="24"/>
          <w:szCs w:val="24"/>
        </w:rPr>
      </w:pPr>
      <w:r w:rsidDel="00000000" w:rsidR="00000000" w:rsidRPr="00000000">
        <w:rPr>
          <w:sz w:val="24"/>
          <w:szCs w:val="24"/>
          <w:rtl w:val="0"/>
        </w:rPr>
        <w:t xml:space="preserve">Project A recovers £46 million by Year 4. The remaining 4 million is recovered in Year 5. Project B recovers £44 million by Year 4. The remaining £6 million is recovered during Year 5. Project C has the shortest payback period and thus offers the fastest recovery of investment. It helps in improving liquidity and reduces threat to uncertainty. Project A and B both have longer payback periods exceeding 4.5 years. </w:t>
      </w:r>
    </w:p>
    <w:p w:rsidR="00000000" w:rsidDel="00000000" w:rsidP="00000000" w:rsidRDefault="00000000" w:rsidRPr="00000000" w14:paraId="000000F4">
      <w:pPr>
        <w:spacing w:line="360" w:lineRule="auto"/>
        <w:jc w:val="both"/>
        <w:rPr>
          <w:b w:val="1"/>
          <w:bCs w:val="1"/>
          <w:sz w:val="24"/>
          <w:szCs w:val="24"/>
        </w:rPr>
      </w:pPr>
      <w:r w:rsidDel="00000000" w:rsidR="00000000" w:rsidRPr="00000000">
        <w:rPr>
          <w:b w:val="1"/>
          <w:bCs w:val="1"/>
          <w:sz w:val="24"/>
          <w:szCs w:val="24"/>
          <w:rtl w:val="0"/>
        </w:rPr>
        <w:t xml:space="preserve">‘Accounting Rate of Return’</w:t>
      </w:r>
    </w:p>
    <w:p w:rsidR="00000000" w:rsidDel="00000000" w:rsidP="00000000" w:rsidRDefault="00000000" w:rsidRPr="00000000" w14:paraId="000000F5">
      <w:pPr>
        <w:spacing w:line="360" w:lineRule="auto"/>
        <w:jc w:val="both"/>
        <w:rPr>
          <w:sz w:val="24"/>
          <w:szCs w:val="24"/>
        </w:rPr>
      </w:pPr>
      <w:r w:rsidDel="00000000" w:rsidR="00000000" w:rsidRPr="00000000">
        <w:rPr>
          <w:sz w:val="24"/>
          <w:szCs w:val="24"/>
          <w:rtl w:val="0"/>
        </w:rPr>
        <w:t xml:space="preserve">ARR measures average accounting profit as a % of the initial investment (ACCA Global, 2026). </w:t>
      </w:r>
    </w:p>
    <w:p w:rsidR="00000000" w:rsidDel="00000000" w:rsidP="00000000" w:rsidRDefault="00000000" w:rsidRPr="00000000" w14:paraId="000000F6">
      <w:pPr>
        <w:spacing w:line="360" w:lineRule="auto"/>
        <w:jc w:val="both"/>
        <w:rPr>
          <w:sz w:val="24"/>
          <w:szCs w:val="24"/>
        </w:rPr>
      </w:pPr>
      <w:r w:rsidDel="00000000" w:rsidR="00000000" w:rsidRPr="00000000">
        <w:rPr>
          <w:sz w:val="24"/>
          <w:szCs w:val="24"/>
          <w:rtl w:val="0"/>
        </w:rPr>
        <w:t xml:space="preserve">Depreciation per year = £50 million/ 5 = £10 million</w:t>
      </w:r>
    </w:p>
    <w:tbl>
      <w:tblPr>
        <w:tblStyle w:val="Table3"/>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71"/>
        <w:gridCol w:w="1024"/>
        <w:gridCol w:w="1409"/>
        <w:gridCol w:w="250"/>
        <w:gridCol w:w="986"/>
        <w:gridCol w:w="689"/>
        <w:gridCol w:w="1190"/>
        <w:gridCol w:w="250"/>
        <w:gridCol w:w="986"/>
        <w:gridCol w:w="746"/>
        <w:gridCol w:w="1249"/>
        <w:tblGridChange w:id="0">
          <w:tblGrid>
            <w:gridCol w:w="571"/>
            <w:gridCol w:w="1024"/>
            <w:gridCol w:w="1409"/>
            <w:gridCol w:w="250"/>
            <w:gridCol w:w="986"/>
            <w:gridCol w:w="689"/>
            <w:gridCol w:w="1190"/>
            <w:gridCol w:w="250"/>
            <w:gridCol w:w="986"/>
            <w:gridCol w:w="746"/>
            <w:gridCol w:w="1249"/>
          </w:tblGrid>
        </w:tblGridChange>
      </w:tblGrid>
      <w:tr>
        <w:trPr>
          <w:cantSplit w:val="0"/>
          <w:trHeight w:val="288" w:hRule="atLeast"/>
          <w:tblHeader w:val="0"/>
        </w:trPr>
        <w:tc>
          <w:tcPr>
            <w:gridSpan w:val="3"/>
            <w:vAlign w:val="bottom"/>
          </w:tcPr>
          <w:p w:rsidR="00000000" w:rsidDel="00000000" w:rsidP="00000000" w:rsidRDefault="00000000" w:rsidRPr="00000000" w14:paraId="000000F7">
            <w:pPr>
              <w:spacing w:line="240" w:lineRule="auto"/>
              <w:jc w:val="center"/>
              <w:rPr>
                <w:b w:val="1"/>
                <w:bCs w:val="1"/>
                <w:color w:val="000000"/>
              </w:rPr>
            </w:pPr>
            <w:r w:rsidDel="00000000" w:rsidR="00000000" w:rsidRPr="00000000">
              <w:rPr>
                <w:b w:val="1"/>
                <w:bCs w:val="1"/>
                <w:color w:val="000000"/>
                <w:rtl w:val="0"/>
              </w:rPr>
              <w:t xml:space="preserve">Project A</w:t>
            </w:r>
          </w:p>
        </w:tc>
        <w:tc>
          <w:tcPr>
            <w:vAlign w:val="bottom"/>
          </w:tcPr>
          <w:p w:rsidR="00000000" w:rsidDel="00000000" w:rsidP="00000000" w:rsidRDefault="00000000" w:rsidRPr="00000000" w14:paraId="000000FA">
            <w:pPr>
              <w:spacing w:line="240" w:lineRule="auto"/>
              <w:jc w:val="center"/>
              <w:rPr>
                <w:b w:val="1"/>
                <w:bCs w:val="1"/>
                <w:color w:val="000000"/>
              </w:rPr>
            </w:pPr>
            <w:r w:rsidDel="00000000" w:rsidR="00000000" w:rsidRPr="00000000">
              <w:rPr>
                <w:rtl w:val="0"/>
              </w:rPr>
            </w:r>
          </w:p>
        </w:tc>
        <w:tc>
          <w:tcPr>
            <w:gridSpan w:val="3"/>
            <w:vAlign w:val="bottom"/>
          </w:tcPr>
          <w:p w:rsidR="00000000" w:rsidDel="00000000" w:rsidP="00000000" w:rsidRDefault="00000000" w:rsidRPr="00000000" w14:paraId="000000FB">
            <w:pPr>
              <w:spacing w:line="240" w:lineRule="auto"/>
              <w:jc w:val="center"/>
              <w:rPr>
                <w:b w:val="1"/>
                <w:bCs w:val="1"/>
                <w:color w:val="000000"/>
              </w:rPr>
            </w:pPr>
            <w:r w:rsidDel="00000000" w:rsidR="00000000" w:rsidRPr="00000000">
              <w:rPr>
                <w:b w:val="1"/>
                <w:bCs w:val="1"/>
                <w:color w:val="000000"/>
                <w:rtl w:val="0"/>
              </w:rPr>
              <w:t xml:space="preserve">Project B</w:t>
            </w:r>
          </w:p>
        </w:tc>
        <w:tc>
          <w:tcPr>
            <w:gridSpan w:val="2"/>
            <w:vAlign w:val="bottom"/>
          </w:tcPr>
          <w:p w:rsidR="00000000" w:rsidDel="00000000" w:rsidP="00000000" w:rsidRDefault="00000000" w:rsidRPr="00000000" w14:paraId="000000FE">
            <w:pPr>
              <w:spacing w:line="240" w:lineRule="auto"/>
              <w:jc w:val="center"/>
              <w:rPr>
                <w:b w:val="1"/>
                <w:bCs w:val="1"/>
                <w:color w:val="000000"/>
              </w:rPr>
            </w:pPr>
            <w:r w:rsidDel="00000000" w:rsidR="00000000" w:rsidRPr="00000000">
              <w:rPr>
                <w:rtl w:val="0"/>
              </w:rPr>
            </w:r>
          </w:p>
        </w:tc>
        <w:tc>
          <w:tcPr>
            <w:gridSpan w:val="2"/>
            <w:vAlign w:val="bottom"/>
          </w:tcPr>
          <w:p w:rsidR="00000000" w:rsidDel="00000000" w:rsidP="00000000" w:rsidRDefault="00000000" w:rsidRPr="00000000" w14:paraId="00000100">
            <w:pPr>
              <w:spacing w:line="240" w:lineRule="auto"/>
              <w:jc w:val="center"/>
              <w:rPr>
                <w:b w:val="1"/>
                <w:bCs w:val="1"/>
                <w:color w:val="000000"/>
              </w:rPr>
            </w:pPr>
            <w:r w:rsidDel="00000000" w:rsidR="00000000" w:rsidRPr="00000000">
              <w:rPr>
                <w:b w:val="1"/>
                <w:bCs w:val="1"/>
                <w:color w:val="000000"/>
                <w:rtl w:val="0"/>
              </w:rPr>
              <w:t xml:space="preserve">Project C</w:t>
            </w:r>
          </w:p>
        </w:tc>
      </w:tr>
      <w:tr>
        <w:trPr>
          <w:cantSplit w:val="0"/>
          <w:trHeight w:val="1152" w:hRule="atLeast"/>
          <w:tblHeader w:val="0"/>
        </w:trPr>
        <w:tc>
          <w:tcPr>
            <w:vAlign w:val="center"/>
          </w:tcPr>
          <w:p w:rsidR="00000000" w:rsidDel="00000000" w:rsidP="00000000" w:rsidRDefault="00000000" w:rsidRPr="00000000" w14:paraId="00000102">
            <w:pPr>
              <w:spacing w:line="240" w:lineRule="auto"/>
              <w:rPr>
                <w:b w:val="1"/>
                <w:bCs w:val="1"/>
                <w:color w:val="000000"/>
              </w:rPr>
            </w:pPr>
            <w:r w:rsidDel="00000000" w:rsidR="00000000" w:rsidRPr="00000000">
              <w:rPr>
                <w:b w:val="1"/>
                <w:bCs w:val="1"/>
                <w:color w:val="000000"/>
                <w:rtl w:val="0"/>
              </w:rPr>
              <w:t xml:space="preserve">Year</w:t>
            </w:r>
          </w:p>
        </w:tc>
        <w:tc>
          <w:tcPr>
            <w:vAlign w:val="center"/>
          </w:tcPr>
          <w:p w:rsidR="00000000" w:rsidDel="00000000" w:rsidP="00000000" w:rsidRDefault="00000000" w:rsidRPr="00000000" w14:paraId="00000103">
            <w:pPr>
              <w:spacing w:line="240" w:lineRule="auto"/>
              <w:rPr>
                <w:b w:val="1"/>
                <w:bCs w:val="1"/>
                <w:color w:val="000000"/>
              </w:rPr>
            </w:pPr>
            <w:r w:rsidDel="00000000" w:rsidR="00000000" w:rsidRPr="00000000">
              <w:rPr>
                <w:b w:val="1"/>
                <w:bCs w:val="1"/>
                <w:color w:val="000000"/>
                <w:rtl w:val="0"/>
              </w:rPr>
              <w:t xml:space="preserve">Cash Inflow (£m)</w:t>
            </w:r>
          </w:p>
        </w:tc>
        <w:tc>
          <w:tcPr>
            <w:vAlign w:val="center"/>
          </w:tcPr>
          <w:p w:rsidR="00000000" w:rsidDel="00000000" w:rsidP="00000000" w:rsidRDefault="00000000" w:rsidRPr="00000000" w14:paraId="00000104">
            <w:pPr>
              <w:spacing w:line="240" w:lineRule="auto"/>
              <w:rPr>
                <w:b w:val="1"/>
                <w:bCs w:val="1"/>
                <w:color w:val="000000"/>
              </w:rPr>
            </w:pPr>
            <w:r w:rsidDel="00000000" w:rsidR="00000000" w:rsidRPr="00000000">
              <w:rPr>
                <w:b w:val="1"/>
                <w:bCs w:val="1"/>
                <w:color w:val="000000"/>
                <w:rtl w:val="0"/>
              </w:rPr>
              <w:t xml:space="preserve">Profit after depreciation (£m)</w:t>
            </w:r>
          </w:p>
        </w:tc>
        <w:tc>
          <w:tcPr>
            <w:vAlign w:val="bottom"/>
          </w:tcPr>
          <w:p w:rsidR="00000000" w:rsidDel="00000000" w:rsidP="00000000" w:rsidRDefault="00000000" w:rsidRPr="00000000" w14:paraId="00000105">
            <w:pPr>
              <w:spacing w:line="240" w:lineRule="auto"/>
              <w:rPr>
                <w:b w:val="1"/>
                <w:bCs w:val="1"/>
                <w:color w:val="000000"/>
              </w:rPr>
            </w:pPr>
            <w:r w:rsidDel="00000000" w:rsidR="00000000" w:rsidRPr="00000000">
              <w:rPr>
                <w:rtl w:val="0"/>
              </w:rPr>
            </w:r>
          </w:p>
        </w:tc>
        <w:tc>
          <w:tcPr>
            <w:vAlign w:val="center"/>
          </w:tcPr>
          <w:p w:rsidR="00000000" w:rsidDel="00000000" w:rsidP="00000000" w:rsidRDefault="00000000" w:rsidRPr="00000000" w14:paraId="00000106">
            <w:pPr>
              <w:spacing w:line="240" w:lineRule="auto"/>
              <w:rPr>
                <w:b w:val="1"/>
                <w:bCs w:val="1"/>
                <w:color w:val="000000"/>
              </w:rPr>
            </w:pPr>
            <w:r w:rsidDel="00000000" w:rsidR="00000000" w:rsidRPr="00000000">
              <w:rPr>
                <w:b w:val="1"/>
                <w:bCs w:val="1"/>
                <w:color w:val="000000"/>
                <w:rtl w:val="0"/>
              </w:rPr>
              <w:t xml:space="preserve">Year</w:t>
            </w:r>
          </w:p>
        </w:tc>
        <w:tc>
          <w:tcPr>
            <w:vAlign w:val="center"/>
          </w:tcPr>
          <w:p w:rsidR="00000000" w:rsidDel="00000000" w:rsidP="00000000" w:rsidRDefault="00000000" w:rsidRPr="00000000" w14:paraId="00000107">
            <w:pPr>
              <w:spacing w:line="240" w:lineRule="auto"/>
              <w:rPr>
                <w:b w:val="1"/>
                <w:bCs w:val="1"/>
                <w:color w:val="000000"/>
              </w:rPr>
            </w:pPr>
            <w:r w:rsidDel="00000000" w:rsidR="00000000" w:rsidRPr="00000000">
              <w:rPr>
                <w:b w:val="1"/>
                <w:bCs w:val="1"/>
                <w:color w:val="000000"/>
                <w:rtl w:val="0"/>
              </w:rPr>
              <w:t xml:space="preserve">Cash Inflow (£m)</w:t>
            </w:r>
          </w:p>
        </w:tc>
        <w:tc>
          <w:tcPr>
            <w:vAlign w:val="center"/>
          </w:tcPr>
          <w:p w:rsidR="00000000" w:rsidDel="00000000" w:rsidP="00000000" w:rsidRDefault="00000000" w:rsidRPr="00000000" w14:paraId="00000108">
            <w:pPr>
              <w:spacing w:line="240" w:lineRule="auto"/>
              <w:rPr>
                <w:b w:val="1"/>
                <w:bCs w:val="1"/>
                <w:color w:val="000000"/>
              </w:rPr>
            </w:pPr>
            <w:r w:rsidDel="00000000" w:rsidR="00000000" w:rsidRPr="00000000">
              <w:rPr>
                <w:b w:val="1"/>
                <w:bCs w:val="1"/>
                <w:color w:val="000000"/>
                <w:rtl w:val="0"/>
              </w:rPr>
              <w:t xml:space="preserve">Profit after depreciation (£m)</w:t>
            </w:r>
          </w:p>
        </w:tc>
        <w:tc>
          <w:tcPr>
            <w:vAlign w:val="bottom"/>
          </w:tcPr>
          <w:p w:rsidR="00000000" w:rsidDel="00000000" w:rsidP="00000000" w:rsidRDefault="00000000" w:rsidRPr="00000000" w14:paraId="00000109">
            <w:pPr>
              <w:spacing w:line="240" w:lineRule="auto"/>
              <w:rPr>
                <w:b w:val="1"/>
                <w:bCs w:val="1"/>
                <w:color w:val="000000"/>
              </w:rPr>
            </w:pPr>
            <w:r w:rsidDel="00000000" w:rsidR="00000000" w:rsidRPr="00000000">
              <w:rPr>
                <w:rtl w:val="0"/>
              </w:rPr>
            </w:r>
          </w:p>
        </w:tc>
        <w:tc>
          <w:tcPr>
            <w:vAlign w:val="center"/>
          </w:tcPr>
          <w:p w:rsidR="00000000" w:rsidDel="00000000" w:rsidP="00000000" w:rsidRDefault="00000000" w:rsidRPr="00000000" w14:paraId="0000010A">
            <w:pPr>
              <w:spacing w:line="240" w:lineRule="auto"/>
              <w:rPr>
                <w:b w:val="1"/>
                <w:bCs w:val="1"/>
                <w:color w:val="000000"/>
              </w:rPr>
            </w:pPr>
            <w:r w:rsidDel="00000000" w:rsidR="00000000" w:rsidRPr="00000000">
              <w:rPr>
                <w:b w:val="1"/>
                <w:bCs w:val="1"/>
                <w:color w:val="000000"/>
                <w:rtl w:val="0"/>
              </w:rPr>
              <w:t xml:space="preserve">Year</w:t>
            </w:r>
          </w:p>
        </w:tc>
        <w:tc>
          <w:tcPr>
            <w:vAlign w:val="center"/>
          </w:tcPr>
          <w:p w:rsidR="00000000" w:rsidDel="00000000" w:rsidP="00000000" w:rsidRDefault="00000000" w:rsidRPr="00000000" w14:paraId="0000010B">
            <w:pPr>
              <w:spacing w:line="240" w:lineRule="auto"/>
              <w:rPr>
                <w:b w:val="1"/>
                <w:bCs w:val="1"/>
                <w:color w:val="000000"/>
              </w:rPr>
            </w:pPr>
            <w:r w:rsidDel="00000000" w:rsidR="00000000" w:rsidRPr="00000000">
              <w:rPr>
                <w:b w:val="1"/>
                <w:bCs w:val="1"/>
                <w:color w:val="000000"/>
                <w:rtl w:val="0"/>
              </w:rPr>
              <w:t xml:space="preserve">Cash Inflow (£m)</w:t>
            </w:r>
          </w:p>
        </w:tc>
        <w:tc>
          <w:tcPr>
            <w:vAlign w:val="center"/>
          </w:tcPr>
          <w:p w:rsidR="00000000" w:rsidDel="00000000" w:rsidP="00000000" w:rsidRDefault="00000000" w:rsidRPr="00000000" w14:paraId="0000010C">
            <w:pPr>
              <w:spacing w:line="240" w:lineRule="auto"/>
              <w:rPr>
                <w:b w:val="1"/>
                <w:bCs w:val="1"/>
                <w:color w:val="000000"/>
              </w:rPr>
            </w:pPr>
            <w:r w:rsidDel="00000000" w:rsidR="00000000" w:rsidRPr="00000000">
              <w:rPr>
                <w:b w:val="1"/>
                <w:bCs w:val="1"/>
                <w:color w:val="000000"/>
                <w:rtl w:val="0"/>
              </w:rPr>
              <w:t xml:space="preserve">Profit after depreciation (£m)</w:t>
            </w:r>
          </w:p>
        </w:tc>
      </w:tr>
      <w:tr>
        <w:trPr>
          <w:cantSplit w:val="0"/>
          <w:trHeight w:val="288" w:hRule="atLeast"/>
          <w:tblHeader w:val="0"/>
        </w:trPr>
        <w:tc>
          <w:tcPr>
            <w:vAlign w:val="center"/>
          </w:tcPr>
          <w:p w:rsidR="00000000" w:rsidDel="00000000" w:rsidP="00000000" w:rsidRDefault="00000000" w:rsidRPr="00000000" w14:paraId="0000010D">
            <w:pPr>
              <w:spacing w:line="240" w:lineRule="auto"/>
              <w:jc w:val="right"/>
              <w:rPr>
                <w:color w:val="000000"/>
              </w:rPr>
            </w:pPr>
            <w:r w:rsidDel="00000000" w:rsidR="00000000" w:rsidRPr="00000000">
              <w:rPr>
                <w:color w:val="000000"/>
                <w:rtl w:val="0"/>
              </w:rPr>
              <w:t xml:space="preserve">1</w:t>
            </w:r>
          </w:p>
        </w:tc>
        <w:tc>
          <w:tcPr>
            <w:vAlign w:val="center"/>
          </w:tcPr>
          <w:p w:rsidR="00000000" w:rsidDel="00000000" w:rsidP="00000000" w:rsidRDefault="00000000" w:rsidRPr="00000000" w14:paraId="0000010E">
            <w:pPr>
              <w:spacing w:line="240" w:lineRule="auto"/>
              <w:jc w:val="right"/>
              <w:rPr>
                <w:color w:val="000000"/>
              </w:rPr>
            </w:pPr>
            <w:r w:rsidDel="00000000" w:rsidR="00000000" w:rsidRPr="00000000">
              <w:rPr>
                <w:color w:val="000000"/>
                <w:rtl w:val="0"/>
              </w:rPr>
              <w:t xml:space="preserve">10</w:t>
            </w:r>
          </w:p>
        </w:tc>
        <w:tc>
          <w:tcPr>
            <w:vAlign w:val="center"/>
          </w:tcPr>
          <w:p w:rsidR="00000000" w:rsidDel="00000000" w:rsidP="00000000" w:rsidRDefault="00000000" w:rsidRPr="00000000" w14:paraId="0000010F">
            <w:pPr>
              <w:spacing w:line="240" w:lineRule="auto"/>
              <w:jc w:val="right"/>
              <w:rPr>
                <w:color w:val="000000"/>
              </w:rPr>
            </w:pPr>
            <w:r w:rsidDel="00000000" w:rsidR="00000000" w:rsidRPr="00000000">
              <w:rPr>
                <w:color w:val="000000"/>
                <w:rtl w:val="0"/>
              </w:rPr>
              <w:t xml:space="preserve">0</w:t>
            </w:r>
          </w:p>
        </w:tc>
        <w:tc>
          <w:tcPr>
            <w:vAlign w:val="bottom"/>
          </w:tcPr>
          <w:p w:rsidR="00000000" w:rsidDel="00000000" w:rsidP="00000000" w:rsidRDefault="00000000" w:rsidRPr="00000000" w14:paraId="00000110">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111">
            <w:pPr>
              <w:spacing w:line="240" w:lineRule="auto"/>
              <w:jc w:val="right"/>
              <w:rPr>
                <w:color w:val="000000"/>
              </w:rPr>
            </w:pPr>
            <w:r w:rsidDel="00000000" w:rsidR="00000000" w:rsidRPr="00000000">
              <w:rPr>
                <w:color w:val="000000"/>
                <w:rtl w:val="0"/>
              </w:rPr>
              <w:t xml:space="preserve">1</w:t>
            </w:r>
          </w:p>
        </w:tc>
        <w:tc>
          <w:tcPr>
            <w:vAlign w:val="center"/>
          </w:tcPr>
          <w:p w:rsidR="00000000" w:rsidDel="00000000" w:rsidP="00000000" w:rsidRDefault="00000000" w:rsidRPr="00000000" w14:paraId="00000112">
            <w:pPr>
              <w:spacing w:line="240" w:lineRule="auto"/>
              <w:jc w:val="right"/>
              <w:rPr>
                <w:color w:val="000000"/>
              </w:rPr>
            </w:pPr>
            <w:r w:rsidDel="00000000" w:rsidR="00000000" w:rsidRPr="00000000">
              <w:rPr>
                <w:color w:val="000000"/>
                <w:rtl w:val="0"/>
              </w:rPr>
              <w:t xml:space="preserve">11</w:t>
            </w:r>
          </w:p>
        </w:tc>
        <w:tc>
          <w:tcPr>
            <w:vAlign w:val="center"/>
          </w:tcPr>
          <w:p w:rsidR="00000000" w:rsidDel="00000000" w:rsidP="00000000" w:rsidRDefault="00000000" w:rsidRPr="00000000" w14:paraId="00000113">
            <w:pPr>
              <w:spacing w:line="240" w:lineRule="auto"/>
              <w:jc w:val="right"/>
              <w:rPr>
                <w:color w:val="000000"/>
              </w:rPr>
            </w:pPr>
            <w:r w:rsidDel="00000000" w:rsidR="00000000" w:rsidRPr="00000000">
              <w:rPr>
                <w:color w:val="000000"/>
                <w:rtl w:val="0"/>
              </w:rPr>
              <w:t xml:space="preserve">1</w:t>
            </w:r>
          </w:p>
        </w:tc>
        <w:tc>
          <w:tcPr>
            <w:vAlign w:val="bottom"/>
          </w:tcPr>
          <w:p w:rsidR="00000000" w:rsidDel="00000000" w:rsidP="00000000" w:rsidRDefault="00000000" w:rsidRPr="00000000" w14:paraId="00000114">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115">
            <w:pPr>
              <w:spacing w:line="240" w:lineRule="auto"/>
              <w:jc w:val="right"/>
              <w:rPr>
                <w:color w:val="000000"/>
              </w:rPr>
            </w:pPr>
            <w:r w:rsidDel="00000000" w:rsidR="00000000" w:rsidRPr="00000000">
              <w:rPr>
                <w:color w:val="000000"/>
                <w:rtl w:val="0"/>
              </w:rPr>
              <w:t xml:space="preserve">1</w:t>
            </w:r>
          </w:p>
        </w:tc>
        <w:tc>
          <w:tcPr>
            <w:vAlign w:val="center"/>
          </w:tcPr>
          <w:p w:rsidR="00000000" w:rsidDel="00000000" w:rsidP="00000000" w:rsidRDefault="00000000" w:rsidRPr="00000000" w14:paraId="00000116">
            <w:pPr>
              <w:spacing w:line="240" w:lineRule="auto"/>
              <w:jc w:val="right"/>
              <w:rPr>
                <w:color w:val="000000"/>
              </w:rPr>
            </w:pPr>
            <w:r w:rsidDel="00000000" w:rsidR="00000000" w:rsidRPr="00000000">
              <w:rPr>
                <w:color w:val="000000"/>
                <w:rtl w:val="0"/>
              </w:rPr>
              <w:t xml:space="preserve">5</w:t>
            </w:r>
          </w:p>
        </w:tc>
        <w:tc>
          <w:tcPr>
            <w:vAlign w:val="center"/>
          </w:tcPr>
          <w:p w:rsidR="00000000" w:rsidDel="00000000" w:rsidP="00000000" w:rsidRDefault="00000000" w:rsidRPr="00000000" w14:paraId="00000117">
            <w:pPr>
              <w:spacing w:line="240" w:lineRule="auto"/>
              <w:jc w:val="right"/>
              <w:rPr>
                <w:color w:val="000000"/>
              </w:rPr>
            </w:pPr>
            <w:r w:rsidDel="00000000" w:rsidR="00000000" w:rsidRPr="00000000">
              <w:rPr>
                <w:color w:val="000000"/>
                <w:rtl w:val="0"/>
              </w:rPr>
              <w:t xml:space="preserve">-5</w:t>
            </w:r>
          </w:p>
        </w:tc>
      </w:tr>
      <w:tr>
        <w:trPr>
          <w:cantSplit w:val="0"/>
          <w:trHeight w:val="288" w:hRule="atLeast"/>
          <w:tblHeader w:val="0"/>
        </w:trPr>
        <w:tc>
          <w:tcPr>
            <w:vAlign w:val="center"/>
          </w:tcPr>
          <w:p w:rsidR="00000000" w:rsidDel="00000000" w:rsidP="00000000" w:rsidRDefault="00000000" w:rsidRPr="00000000" w14:paraId="00000118">
            <w:pPr>
              <w:spacing w:line="240" w:lineRule="auto"/>
              <w:jc w:val="right"/>
              <w:rPr>
                <w:color w:val="000000"/>
              </w:rPr>
            </w:pPr>
            <w:r w:rsidDel="00000000" w:rsidR="00000000" w:rsidRPr="00000000">
              <w:rPr>
                <w:color w:val="000000"/>
                <w:rtl w:val="0"/>
              </w:rPr>
              <w:t xml:space="preserve">2</w:t>
            </w:r>
          </w:p>
        </w:tc>
        <w:tc>
          <w:tcPr>
            <w:vAlign w:val="center"/>
          </w:tcPr>
          <w:p w:rsidR="00000000" w:rsidDel="00000000" w:rsidP="00000000" w:rsidRDefault="00000000" w:rsidRPr="00000000" w14:paraId="00000119">
            <w:pPr>
              <w:spacing w:line="240" w:lineRule="auto"/>
              <w:jc w:val="right"/>
              <w:rPr>
                <w:color w:val="000000"/>
              </w:rPr>
            </w:pPr>
            <w:r w:rsidDel="00000000" w:rsidR="00000000" w:rsidRPr="00000000">
              <w:rPr>
                <w:color w:val="000000"/>
                <w:rtl w:val="0"/>
              </w:rPr>
              <w:t xml:space="preserve">12</w:t>
            </w:r>
          </w:p>
        </w:tc>
        <w:tc>
          <w:tcPr>
            <w:vAlign w:val="center"/>
          </w:tcPr>
          <w:p w:rsidR="00000000" w:rsidDel="00000000" w:rsidP="00000000" w:rsidRDefault="00000000" w:rsidRPr="00000000" w14:paraId="0000011A">
            <w:pPr>
              <w:spacing w:line="240" w:lineRule="auto"/>
              <w:jc w:val="right"/>
              <w:rPr>
                <w:color w:val="000000"/>
              </w:rPr>
            </w:pPr>
            <w:r w:rsidDel="00000000" w:rsidR="00000000" w:rsidRPr="00000000">
              <w:rPr>
                <w:color w:val="000000"/>
                <w:rtl w:val="0"/>
              </w:rPr>
              <w:t xml:space="preserve">2</w:t>
            </w:r>
          </w:p>
        </w:tc>
        <w:tc>
          <w:tcPr>
            <w:vAlign w:val="bottom"/>
          </w:tcPr>
          <w:p w:rsidR="00000000" w:rsidDel="00000000" w:rsidP="00000000" w:rsidRDefault="00000000" w:rsidRPr="00000000" w14:paraId="0000011B">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11C">
            <w:pPr>
              <w:spacing w:line="240" w:lineRule="auto"/>
              <w:jc w:val="right"/>
              <w:rPr>
                <w:color w:val="000000"/>
              </w:rPr>
            </w:pPr>
            <w:r w:rsidDel="00000000" w:rsidR="00000000" w:rsidRPr="00000000">
              <w:rPr>
                <w:color w:val="000000"/>
                <w:rtl w:val="0"/>
              </w:rPr>
              <w:t xml:space="preserve">2</w:t>
            </w:r>
          </w:p>
        </w:tc>
        <w:tc>
          <w:tcPr>
            <w:vAlign w:val="center"/>
          </w:tcPr>
          <w:p w:rsidR="00000000" w:rsidDel="00000000" w:rsidP="00000000" w:rsidRDefault="00000000" w:rsidRPr="00000000" w14:paraId="0000011D">
            <w:pPr>
              <w:spacing w:line="240" w:lineRule="auto"/>
              <w:jc w:val="right"/>
              <w:rPr>
                <w:color w:val="000000"/>
              </w:rPr>
            </w:pPr>
            <w:r w:rsidDel="00000000" w:rsidR="00000000" w:rsidRPr="00000000">
              <w:rPr>
                <w:color w:val="000000"/>
                <w:rtl w:val="0"/>
              </w:rPr>
              <w:t xml:space="preserve">11</w:t>
            </w:r>
          </w:p>
        </w:tc>
        <w:tc>
          <w:tcPr>
            <w:vAlign w:val="center"/>
          </w:tcPr>
          <w:p w:rsidR="00000000" w:rsidDel="00000000" w:rsidP="00000000" w:rsidRDefault="00000000" w:rsidRPr="00000000" w14:paraId="0000011E">
            <w:pPr>
              <w:spacing w:line="240" w:lineRule="auto"/>
              <w:jc w:val="right"/>
              <w:rPr>
                <w:color w:val="000000"/>
              </w:rPr>
            </w:pPr>
            <w:r w:rsidDel="00000000" w:rsidR="00000000" w:rsidRPr="00000000">
              <w:rPr>
                <w:color w:val="000000"/>
                <w:rtl w:val="0"/>
              </w:rPr>
              <w:t xml:space="preserve">1</w:t>
            </w:r>
          </w:p>
        </w:tc>
        <w:tc>
          <w:tcPr>
            <w:vAlign w:val="bottom"/>
          </w:tcPr>
          <w:p w:rsidR="00000000" w:rsidDel="00000000" w:rsidP="00000000" w:rsidRDefault="00000000" w:rsidRPr="00000000" w14:paraId="0000011F">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120">
            <w:pPr>
              <w:spacing w:line="240" w:lineRule="auto"/>
              <w:jc w:val="right"/>
              <w:rPr>
                <w:color w:val="000000"/>
              </w:rPr>
            </w:pPr>
            <w:r w:rsidDel="00000000" w:rsidR="00000000" w:rsidRPr="00000000">
              <w:rPr>
                <w:color w:val="000000"/>
                <w:rtl w:val="0"/>
              </w:rPr>
              <w:t xml:space="preserve">2</w:t>
            </w:r>
          </w:p>
        </w:tc>
        <w:tc>
          <w:tcPr>
            <w:vAlign w:val="center"/>
          </w:tcPr>
          <w:p w:rsidR="00000000" w:rsidDel="00000000" w:rsidP="00000000" w:rsidRDefault="00000000" w:rsidRPr="00000000" w14:paraId="00000121">
            <w:pPr>
              <w:spacing w:line="240" w:lineRule="auto"/>
              <w:jc w:val="right"/>
              <w:rPr>
                <w:color w:val="000000"/>
              </w:rPr>
            </w:pPr>
            <w:r w:rsidDel="00000000" w:rsidR="00000000" w:rsidRPr="00000000">
              <w:rPr>
                <w:color w:val="000000"/>
                <w:rtl w:val="0"/>
              </w:rPr>
              <w:t xml:space="preserve">10</w:t>
            </w:r>
          </w:p>
        </w:tc>
        <w:tc>
          <w:tcPr>
            <w:vAlign w:val="center"/>
          </w:tcPr>
          <w:p w:rsidR="00000000" w:rsidDel="00000000" w:rsidP="00000000" w:rsidRDefault="00000000" w:rsidRPr="00000000" w14:paraId="00000122">
            <w:pPr>
              <w:spacing w:line="240" w:lineRule="auto"/>
              <w:jc w:val="right"/>
              <w:rPr>
                <w:color w:val="000000"/>
              </w:rPr>
            </w:pPr>
            <w:r w:rsidDel="00000000" w:rsidR="00000000" w:rsidRPr="00000000">
              <w:rPr>
                <w:color w:val="000000"/>
                <w:rtl w:val="0"/>
              </w:rPr>
              <w:t xml:space="preserve">0</w:t>
            </w:r>
          </w:p>
        </w:tc>
      </w:tr>
      <w:tr>
        <w:trPr>
          <w:cantSplit w:val="0"/>
          <w:trHeight w:val="288" w:hRule="atLeast"/>
          <w:tblHeader w:val="0"/>
        </w:trPr>
        <w:tc>
          <w:tcPr>
            <w:vAlign w:val="center"/>
          </w:tcPr>
          <w:p w:rsidR="00000000" w:rsidDel="00000000" w:rsidP="00000000" w:rsidRDefault="00000000" w:rsidRPr="00000000" w14:paraId="00000123">
            <w:pPr>
              <w:spacing w:line="240" w:lineRule="auto"/>
              <w:jc w:val="right"/>
              <w:rPr>
                <w:color w:val="000000"/>
              </w:rPr>
            </w:pPr>
            <w:r w:rsidDel="00000000" w:rsidR="00000000" w:rsidRPr="00000000">
              <w:rPr>
                <w:color w:val="000000"/>
                <w:rtl w:val="0"/>
              </w:rPr>
              <w:t xml:space="preserve">3</w:t>
            </w:r>
          </w:p>
        </w:tc>
        <w:tc>
          <w:tcPr>
            <w:vAlign w:val="center"/>
          </w:tcPr>
          <w:p w:rsidR="00000000" w:rsidDel="00000000" w:rsidP="00000000" w:rsidRDefault="00000000" w:rsidRPr="00000000" w14:paraId="00000124">
            <w:pPr>
              <w:spacing w:line="240" w:lineRule="auto"/>
              <w:jc w:val="right"/>
              <w:rPr>
                <w:color w:val="000000"/>
              </w:rPr>
            </w:pPr>
            <w:r w:rsidDel="00000000" w:rsidR="00000000" w:rsidRPr="00000000">
              <w:rPr>
                <w:color w:val="000000"/>
                <w:rtl w:val="0"/>
              </w:rPr>
              <w:t xml:space="preserve">14</w:t>
            </w:r>
          </w:p>
        </w:tc>
        <w:tc>
          <w:tcPr>
            <w:vAlign w:val="center"/>
          </w:tcPr>
          <w:p w:rsidR="00000000" w:rsidDel="00000000" w:rsidP="00000000" w:rsidRDefault="00000000" w:rsidRPr="00000000" w14:paraId="00000125">
            <w:pPr>
              <w:spacing w:line="240" w:lineRule="auto"/>
              <w:jc w:val="right"/>
              <w:rPr>
                <w:color w:val="000000"/>
              </w:rPr>
            </w:pPr>
            <w:r w:rsidDel="00000000" w:rsidR="00000000" w:rsidRPr="00000000">
              <w:rPr>
                <w:color w:val="000000"/>
                <w:rtl w:val="0"/>
              </w:rPr>
              <w:t xml:space="preserve">4</w:t>
            </w:r>
          </w:p>
        </w:tc>
        <w:tc>
          <w:tcPr>
            <w:vAlign w:val="bottom"/>
          </w:tcPr>
          <w:p w:rsidR="00000000" w:rsidDel="00000000" w:rsidP="00000000" w:rsidRDefault="00000000" w:rsidRPr="00000000" w14:paraId="00000126">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127">
            <w:pPr>
              <w:spacing w:line="240" w:lineRule="auto"/>
              <w:jc w:val="right"/>
              <w:rPr>
                <w:color w:val="000000"/>
              </w:rPr>
            </w:pPr>
            <w:r w:rsidDel="00000000" w:rsidR="00000000" w:rsidRPr="00000000">
              <w:rPr>
                <w:color w:val="000000"/>
                <w:rtl w:val="0"/>
              </w:rPr>
              <w:t xml:space="preserve">3</w:t>
            </w:r>
          </w:p>
        </w:tc>
        <w:tc>
          <w:tcPr>
            <w:vAlign w:val="center"/>
          </w:tcPr>
          <w:p w:rsidR="00000000" w:rsidDel="00000000" w:rsidP="00000000" w:rsidRDefault="00000000" w:rsidRPr="00000000" w14:paraId="00000128">
            <w:pPr>
              <w:spacing w:line="240" w:lineRule="auto"/>
              <w:jc w:val="right"/>
              <w:rPr>
                <w:color w:val="000000"/>
              </w:rPr>
            </w:pPr>
            <w:r w:rsidDel="00000000" w:rsidR="00000000" w:rsidRPr="00000000">
              <w:rPr>
                <w:color w:val="000000"/>
                <w:rtl w:val="0"/>
              </w:rPr>
              <w:t xml:space="preserve">11</w:t>
            </w:r>
          </w:p>
        </w:tc>
        <w:tc>
          <w:tcPr>
            <w:vAlign w:val="center"/>
          </w:tcPr>
          <w:p w:rsidR="00000000" w:rsidDel="00000000" w:rsidP="00000000" w:rsidRDefault="00000000" w:rsidRPr="00000000" w14:paraId="00000129">
            <w:pPr>
              <w:spacing w:line="240" w:lineRule="auto"/>
              <w:jc w:val="right"/>
              <w:rPr>
                <w:color w:val="000000"/>
              </w:rPr>
            </w:pPr>
            <w:r w:rsidDel="00000000" w:rsidR="00000000" w:rsidRPr="00000000">
              <w:rPr>
                <w:color w:val="000000"/>
                <w:rtl w:val="0"/>
              </w:rPr>
              <w:t xml:space="preserve">1</w:t>
            </w:r>
          </w:p>
        </w:tc>
        <w:tc>
          <w:tcPr>
            <w:vAlign w:val="bottom"/>
          </w:tcPr>
          <w:p w:rsidR="00000000" w:rsidDel="00000000" w:rsidP="00000000" w:rsidRDefault="00000000" w:rsidRPr="00000000" w14:paraId="0000012A">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12B">
            <w:pPr>
              <w:spacing w:line="240" w:lineRule="auto"/>
              <w:jc w:val="right"/>
              <w:rPr>
                <w:color w:val="000000"/>
              </w:rPr>
            </w:pPr>
            <w:r w:rsidDel="00000000" w:rsidR="00000000" w:rsidRPr="00000000">
              <w:rPr>
                <w:color w:val="000000"/>
                <w:rtl w:val="0"/>
              </w:rPr>
              <w:t xml:space="preserve">3</w:t>
            </w:r>
          </w:p>
        </w:tc>
        <w:tc>
          <w:tcPr>
            <w:vAlign w:val="center"/>
          </w:tcPr>
          <w:p w:rsidR="00000000" w:rsidDel="00000000" w:rsidP="00000000" w:rsidRDefault="00000000" w:rsidRPr="00000000" w14:paraId="0000012C">
            <w:pPr>
              <w:spacing w:line="240" w:lineRule="auto"/>
              <w:jc w:val="right"/>
              <w:rPr>
                <w:color w:val="000000"/>
              </w:rPr>
            </w:pPr>
            <w:r w:rsidDel="00000000" w:rsidR="00000000" w:rsidRPr="00000000">
              <w:rPr>
                <w:color w:val="000000"/>
                <w:rtl w:val="0"/>
              </w:rPr>
              <w:t xml:space="preserve">20</w:t>
            </w:r>
          </w:p>
        </w:tc>
        <w:tc>
          <w:tcPr>
            <w:vAlign w:val="center"/>
          </w:tcPr>
          <w:p w:rsidR="00000000" w:rsidDel="00000000" w:rsidP="00000000" w:rsidRDefault="00000000" w:rsidRPr="00000000" w14:paraId="0000012D">
            <w:pPr>
              <w:spacing w:line="240" w:lineRule="auto"/>
              <w:jc w:val="right"/>
              <w:rPr>
                <w:color w:val="000000"/>
              </w:rPr>
            </w:pPr>
            <w:r w:rsidDel="00000000" w:rsidR="00000000" w:rsidRPr="00000000">
              <w:rPr>
                <w:color w:val="000000"/>
                <w:rtl w:val="0"/>
              </w:rPr>
              <w:t xml:space="preserve">10</w:t>
            </w:r>
          </w:p>
        </w:tc>
      </w:tr>
      <w:tr>
        <w:trPr>
          <w:cantSplit w:val="0"/>
          <w:trHeight w:val="288" w:hRule="atLeast"/>
          <w:tblHeader w:val="0"/>
        </w:trPr>
        <w:tc>
          <w:tcPr>
            <w:vAlign w:val="center"/>
          </w:tcPr>
          <w:p w:rsidR="00000000" w:rsidDel="00000000" w:rsidP="00000000" w:rsidRDefault="00000000" w:rsidRPr="00000000" w14:paraId="0000012E">
            <w:pPr>
              <w:spacing w:line="240" w:lineRule="auto"/>
              <w:jc w:val="right"/>
              <w:rPr>
                <w:color w:val="000000"/>
              </w:rPr>
            </w:pPr>
            <w:r w:rsidDel="00000000" w:rsidR="00000000" w:rsidRPr="00000000">
              <w:rPr>
                <w:color w:val="000000"/>
                <w:rtl w:val="0"/>
              </w:rPr>
              <w:t xml:space="preserve">4</w:t>
            </w:r>
          </w:p>
        </w:tc>
        <w:tc>
          <w:tcPr>
            <w:vAlign w:val="center"/>
          </w:tcPr>
          <w:p w:rsidR="00000000" w:rsidDel="00000000" w:rsidP="00000000" w:rsidRDefault="00000000" w:rsidRPr="00000000" w14:paraId="0000012F">
            <w:pPr>
              <w:spacing w:line="240" w:lineRule="auto"/>
              <w:jc w:val="right"/>
              <w:rPr>
                <w:color w:val="000000"/>
              </w:rPr>
            </w:pPr>
            <w:r w:rsidDel="00000000" w:rsidR="00000000" w:rsidRPr="00000000">
              <w:rPr>
                <w:color w:val="000000"/>
                <w:rtl w:val="0"/>
              </w:rPr>
              <w:t xml:space="preserve">10</w:t>
            </w:r>
          </w:p>
        </w:tc>
        <w:tc>
          <w:tcPr>
            <w:vAlign w:val="center"/>
          </w:tcPr>
          <w:p w:rsidR="00000000" w:rsidDel="00000000" w:rsidP="00000000" w:rsidRDefault="00000000" w:rsidRPr="00000000" w14:paraId="00000130">
            <w:pPr>
              <w:spacing w:line="240" w:lineRule="auto"/>
              <w:jc w:val="right"/>
              <w:rPr>
                <w:color w:val="000000"/>
              </w:rPr>
            </w:pPr>
            <w:r w:rsidDel="00000000" w:rsidR="00000000" w:rsidRPr="00000000">
              <w:rPr>
                <w:color w:val="000000"/>
                <w:rtl w:val="0"/>
              </w:rPr>
              <w:t xml:space="preserve">0</w:t>
            </w:r>
          </w:p>
        </w:tc>
        <w:tc>
          <w:tcPr>
            <w:vAlign w:val="bottom"/>
          </w:tcPr>
          <w:p w:rsidR="00000000" w:rsidDel="00000000" w:rsidP="00000000" w:rsidRDefault="00000000" w:rsidRPr="00000000" w14:paraId="00000131">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132">
            <w:pPr>
              <w:spacing w:line="240" w:lineRule="auto"/>
              <w:jc w:val="right"/>
              <w:rPr>
                <w:color w:val="000000"/>
              </w:rPr>
            </w:pPr>
            <w:r w:rsidDel="00000000" w:rsidR="00000000" w:rsidRPr="00000000">
              <w:rPr>
                <w:color w:val="000000"/>
                <w:rtl w:val="0"/>
              </w:rPr>
              <w:t xml:space="preserve">4</w:t>
            </w:r>
          </w:p>
        </w:tc>
        <w:tc>
          <w:tcPr>
            <w:vAlign w:val="center"/>
          </w:tcPr>
          <w:p w:rsidR="00000000" w:rsidDel="00000000" w:rsidP="00000000" w:rsidRDefault="00000000" w:rsidRPr="00000000" w14:paraId="00000133">
            <w:pPr>
              <w:spacing w:line="240" w:lineRule="auto"/>
              <w:jc w:val="right"/>
              <w:rPr>
                <w:color w:val="000000"/>
              </w:rPr>
            </w:pPr>
            <w:r w:rsidDel="00000000" w:rsidR="00000000" w:rsidRPr="00000000">
              <w:rPr>
                <w:color w:val="000000"/>
                <w:rtl w:val="0"/>
              </w:rPr>
              <w:t xml:space="preserve">11</w:t>
            </w:r>
          </w:p>
        </w:tc>
        <w:tc>
          <w:tcPr>
            <w:vAlign w:val="center"/>
          </w:tcPr>
          <w:p w:rsidR="00000000" w:rsidDel="00000000" w:rsidP="00000000" w:rsidRDefault="00000000" w:rsidRPr="00000000" w14:paraId="00000134">
            <w:pPr>
              <w:spacing w:line="240" w:lineRule="auto"/>
              <w:jc w:val="right"/>
              <w:rPr>
                <w:color w:val="000000"/>
              </w:rPr>
            </w:pPr>
            <w:r w:rsidDel="00000000" w:rsidR="00000000" w:rsidRPr="00000000">
              <w:rPr>
                <w:color w:val="000000"/>
                <w:rtl w:val="0"/>
              </w:rPr>
              <w:t xml:space="preserve">1</w:t>
            </w:r>
          </w:p>
        </w:tc>
        <w:tc>
          <w:tcPr>
            <w:vAlign w:val="bottom"/>
          </w:tcPr>
          <w:p w:rsidR="00000000" w:rsidDel="00000000" w:rsidP="00000000" w:rsidRDefault="00000000" w:rsidRPr="00000000" w14:paraId="00000135">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136">
            <w:pPr>
              <w:spacing w:line="240" w:lineRule="auto"/>
              <w:jc w:val="right"/>
              <w:rPr>
                <w:color w:val="000000"/>
              </w:rPr>
            </w:pPr>
            <w:r w:rsidDel="00000000" w:rsidR="00000000" w:rsidRPr="00000000">
              <w:rPr>
                <w:color w:val="000000"/>
                <w:rtl w:val="0"/>
              </w:rPr>
              <w:t xml:space="preserve">4</w:t>
            </w:r>
          </w:p>
        </w:tc>
        <w:tc>
          <w:tcPr>
            <w:vAlign w:val="center"/>
          </w:tcPr>
          <w:p w:rsidR="00000000" w:rsidDel="00000000" w:rsidP="00000000" w:rsidRDefault="00000000" w:rsidRPr="00000000" w14:paraId="00000137">
            <w:pPr>
              <w:spacing w:line="240" w:lineRule="auto"/>
              <w:jc w:val="right"/>
              <w:rPr>
                <w:color w:val="000000"/>
              </w:rPr>
            </w:pPr>
            <w:r w:rsidDel="00000000" w:rsidR="00000000" w:rsidRPr="00000000">
              <w:rPr>
                <w:color w:val="000000"/>
                <w:rtl w:val="0"/>
              </w:rPr>
              <w:t xml:space="preserve">25</w:t>
            </w:r>
          </w:p>
        </w:tc>
        <w:tc>
          <w:tcPr>
            <w:vAlign w:val="center"/>
          </w:tcPr>
          <w:p w:rsidR="00000000" w:rsidDel="00000000" w:rsidP="00000000" w:rsidRDefault="00000000" w:rsidRPr="00000000" w14:paraId="00000138">
            <w:pPr>
              <w:spacing w:line="240" w:lineRule="auto"/>
              <w:jc w:val="right"/>
              <w:rPr>
                <w:color w:val="000000"/>
              </w:rPr>
            </w:pPr>
            <w:r w:rsidDel="00000000" w:rsidR="00000000" w:rsidRPr="00000000">
              <w:rPr>
                <w:color w:val="000000"/>
                <w:rtl w:val="0"/>
              </w:rPr>
              <w:t xml:space="preserve">15</w:t>
            </w:r>
          </w:p>
        </w:tc>
      </w:tr>
      <w:tr>
        <w:trPr>
          <w:cantSplit w:val="0"/>
          <w:trHeight w:val="288" w:hRule="atLeast"/>
          <w:tblHeader w:val="0"/>
        </w:trPr>
        <w:tc>
          <w:tcPr>
            <w:vAlign w:val="center"/>
          </w:tcPr>
          <w:p w:rsidR="00000000" w:rsidDel="00000000" w:rsidP="00000000" w:rsidRDefault="00000000" w:rsidRPr="00000000" w14:paraId="00000139">
            <w:pPr>
              <w:spacing w:line="240" w:lineRule="auto"/>
              <w:jc w:val="right"/>
              <w:rPr>
                <w:color w:val="000000"/>
              </w:rPr>
            </w:pPr>
            <w:r w:rsidDel="00000000" w:rsidR="00000000" w:rsidRPr="00000000">
              <w:rPr>
                <w:color w:val="000000"/>
                <w:rtl w:val="0"/>
              </w:rPr>
              <w:t xml:space="preserve">5</w:t>
            </w:r>
          </w:p>
        </w:tc>
        <w:tc>
          <w:tcPr>
            <w:vAlign w:val="center"/>
          </w:tcPr>
          <w:p w:rsidR="00000000" w:rsidDel="00000000" w:rsidP="00000000" w:rsidRDefault="00000000" w:rsidRPr="00000000" w14:paraId="0000013A">
            <w:pPr>
              <w:spacing w:line="240" w:lineRule="auto"/>
              <w:jc w:val="right"/>
              <w:rPr>
                <w:color w:val="000000"/>
              </w:rPr>
            </w:pPr>
            <w:r w:rsidDel="00000000" w:rsidR="00000000" w:rsidRPr="00000000">
              <w:rPr>
                <w:color w:val="000000"/>
                <w:rtl w:val="0"/>
              </w:rPr>
              <w:t xml:space="preserve">8</w:t>
            </w:r>
          </w:p>
        </w:tc>
        <w:tc>
          <w:tcPr>
            <w:vAlign w:val="center"/>
          </w:tcPr>
          <w:p w:rsidR="00000000" w:rsidDel="00000000" w:rsidP="00000000" w:rsidRDefault="00000000" w:rsidRPr="00000000" w14:paraId="0000013B">
            <w:pPr>
              <w:spacing w:line="240" w:lineRule="auto"/>
              <w:jc w:val="right"/>
              <w:rPr>
                <w:color w:val="000000"/>
              </w:rPr>
            </w:pPr>
            <w:r w:rsidDel="00000000" w:rsidR="00000000" w:rsidRPr="00000000">
              <w:rPr>
                <w:color w:val="000000"/>
                <w:rtl w:val="0"/>
              </w:rPr>
              <w:t xml:space="preserve">-2</w:t>
            </w:r>
          </w:p>
        </w:tc>
        <w:tc>
          <w:tcPr>
            <w:vAlign w:val="bottom"/>
          </w:tcPr>
          <w:p w:rsidR="00000000" w:rsidDel="00000000" w:rsidP="00000000" w:rsidRDefault="00000000" w:rsidRPr="00000000" w14:paraId="0000013C">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13D">
            <w:pPr>
              <w:spacing w:line="240" w:lineRule="auto"/>
              <w:jc w:val="right"/>
              <w:rPr>
                <w:color w:val="000000"/>
              </w:rPr>
            </w:pPr>
            <w:r w:rsidDel="00000000" w:rsidR="00000000" w:rsidRPr="00000000">
              <w:rPr>
                <w:color w:val="000000"/>
                <w:rtl w:val="0"/>
              </w:rPr>
              <w:t xml:space="preserve">5</w:t>
            </w:r>
          </w:p>
        </w:tc>
        <w:tc>
          <w:tcPr>
            <w:vAlign w:val="center"/>
          </w:tcPr>
          <w:p w:rsidR="00000000" w:rsidDel="00000000" w:rsidP="00000000" w:rsidRDefault="00000000" w:rsidRPr="00000000" w14:paraId="0000013E">
            <w:pPr>
              <w:spacing w:line="240" w:lineRule="auto"/>
              <w:jc w:val="right"/>
              <w:rPr>
                <w:color w:val="000000"/>
              </w:rPr>
            </w:pPr>
            <w:r w:rsidDel="00000000" w:rsidR="00000000" w:rsidRPr="00000000">
              <w:rPr>
                <w:color w:val="000000"/>
                <w:rtl w:val="0"/>
              </w:rPr>
              <w:t xml:space="preserve">11</w:t>
            </w:r>
          </w:p>
        </w:tc>
        <w:tc>
          <w:tcPr>
            <w:vAlign w:val="center"/>
          </w:tcPr>
          <w:p w:rsidR="00000000" w:rsidDel="00000000" w:rsidP="00000000" w:rsidRDefault="00000000" w:rsidRPr="00000000" w14:paraId="0000013F">
            <w:pPr>
              <w:spacing w:line="240" w:lineRule="auto"/>
              <w:jc w:val="right"/>
              <w:rPr>
                <w:color w:val="000000"/>
              </w:rPr>
            </w:pPr>
            <w:r w:rsidDel="00000000" w:rsidR="00000000" w:rsidRPr="00000000">
              <w:rPr>
                <w:color w:val="000000"/>
                <w:rtl w:val="0"/>
              </w:rPr>
              <w:t xml:space="preserve">1</w:t>
            </w:r>
          </w:p>
        </w:tc>
        <w:tc>
          <w:tcPr>
            <w:vAlign w:val="bottom"/>
          </w:tcPr>
          <w:p w:rsidR="00000000" w:rsidDel="00000000" w:rsidP="00000000" w:rsidRDefault="00000000" w:rsidRPr="00000000" w14:paraId="00000140">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141">
            <w:pPr>
              <w:spacing w:line="240" w:lineRule="auto"/>
              <w:jc w:val="right"/>
              <w:rPr>
                <w:color w:val="000000"/>
              </w:rPr>
            </w:pPr>
            <w:r w:rsidDel="00000000" w:rsidR="00000000" w:rsidRPr="00000000">
              <w:rPr>
                <w:color w:val="000000"/>
                <w:rtl w:val="0"/>
              </w:rPr>
              <w:t xml:space="preserve">5</w:t>
            </w:r>
          </w:p>
        </w:tc>
        <w:tc>
          <w:tcPr>
            <w:vAlign w:val="center"/>
          </w:tcPr>
          <w:p w:rsidR="00000000" w:rsidDel="00000000" w:rsidP="00000000" w:rsidRDefault="00000000" w:rsidRPr="00000000" w14:paraId="00000142">
            <w:pPr>
              <w:spacing w:line="240" w:lineRule="auto"/>
              <w:jc w:val="right"/>
              <w:rPr>
                <w:color w:val="000000"/>
              </w:rPr>
            </w:pPr>
            <w:r w:rsidDel="00000000" w:rsidR="00000000" w:rsidRPr="00000000">
              <w:rPr>
                <w:color w:val="000000"/>
                <w:rtl w:val="0"/>
              </w:rPr>
              <w:t xml:space="preserve">5</w:t>
            </w:r>
          </w:p>
        </w:tc>
        <w:tc>
          <w:tcPr>
            <w:vAlign w:val="center"/>
          </w:tcPr>
          <w:p w:rsidR="00000000" w:rsidDel="00000000" w:rsidP="00000000" w:rsidRDefault="00000000" w:rsidRPr="00000000" w14:paraId="00000143">
            <w:pPr>
              <w:spacing w:line="240" w:lineRule="auto"/>
              <w:jc w:val="right"/>
              <w:rPr>
                <w:color w:val="000000"/>
              </w:rPr>
            </w:pPr>
            <w:r w:rsidDel="00000000" w:rsidR="00000000" w:rsidRPr="00000000">
              <w:rPr>
                <w:color w:val="000000"/>
                <w:rtl w:val="0"/>
              </w:rPr>
              <w:t xml:space="preserve">-5</w:t>
            </w:r>
          </w:p>
        </w:tc>
      </w:tr>
      <w:tr>
        <w:trPr>
          <w:cantSplit w:val="0"/>
          <w:trHeight w:val="288" w:hRule="atLeast"/>
          <w:tblHeader w:val="0"/>
        </w:trPr>
        <w:tc>
          <w:tcPr>
            <w:gridSpan w:val="3"/>
            <w:vAlign w:val="bottom"/>
          </w:tcPr>
          <w:p w:rsidR="00000000" w:rsidDel="00000000" w:rsidP="00000000" w:rsidRDefault="00000000" w:rsidRPr="00000000" w14:paraId="00000144">
            <w:pPr>
              <w:spacing w:line="240" w:lineRule="auto"/>
              <w:rPr>
                <w:color w:val="000000"/>
              </w:rPr>
            </w:pPr>
            <w:r w:rsidDel="00000000" w:rsidR="00000000" w:rsidRPr="00000000">
              <w:rPr>
                <w:color w:val="000000"/>
                <w:rtl w:val="0"/>
              </w:rPr>
              <w:t xml:space="preserve">Average profit = 0+2+4+0-2/5 = 0.8</w:t>
            </w:r>
          </w:p>
        </w:tc>
        <w:tc>
          <w:tcPr>
            <w:vAlign w:val="bottom"/>
          </w:tcPr>
          <w:p w:rsidR="00000000" w:rsidDel="00000000" w:rsidP="00000000" w:rsidRDefault="00000000" w:rsidRPr="00000000" w14:paraId="00000147">
            <w:pPr>
              <w:spacing w:line="240" w:lineRule="auto"/>
              <w:rPr>
                <w:color w:val="000000"/>
              </w:rPr>
            </w:pPr>
            <w:r w:rsidDel="00000000" w:rsidR="00000000" w:rsidRPr="00000000">
              <w:rPr>
                <w:rtl w:val="0"/>
              </w:rPr>
            </w:r>
          </w:p>
        </w:tc>
        <w:tc>
          <w:tcPr>
            <w:gridSpan w:val="2"/>
            <w:vAlign w:val="bottom"/>
          </w:tcPr>
          <w:p w:rsidR="00000000" w:rsidDel="00000000" w:rsidP="00000000" w:rsidRDefault="00000000" w:rsidRPr="00000000" w14:paraId="00000148">
            <w:pPr>
              <w:spacing w:line="240" w:lineRule="auto"/>
              <w:rPr>
                <w:color w:val="000000"/>
              </w:rPr>
            </w:pPr>
            <w:r w:rsidDel="00000000" w:rsidR="00000000" w:rsidRPr="00000000">
              <w:rPr>
                <w:color w:val="000000"/>
                <w:rtl w:val="0"/>
              </w:rPr>
              <w:t xml:space="preserve">Average profit = 1</w:t>
            </w:r>
          </w:p>
        </w:tc>
        <w:tc>
          <w:tcPr>
            <w:vAlign w:val="bottom"/>
          </w:tcPr>
          <w:p w:rsidR="00000000" w:rsidDel="00000000" w:rsidP="00000000" w:rsidRDefault="00000000" w:rsidRPr="00000000" w14:paraId="0000014A">
            <w:pPr>
              <w:spacing w:line="240" w:lineRule="auto"/>
              <w:rPr>
                <w:color w:val="000000"/>
              </w:rPr>
            </w:pPr>
            <w:r w:rsidDel="00000000" w:rsidR="00000000" w:rsidRPr="00000000">
              <w:rPr>
                <w:rtl w:val="0"/>
              </w:rPr>
            </w:r>
          </w:p>
        </w:tc>
        <w:tc>
          <w:tcPr>
            <w:vAlign w:val="bottom"/>
          </w:tcPr>
          <w:p w:rsidR="00000000" w:rsidDel="00000000" w:rsidP="00000000" w:rsidRDefault="00000000" w:rsidRPr="00000000" w14:paraId="0000014B">
            <w:pPr>
              <w:spacing w:line="240" w:lineRule="auto"/>
              <w:rPr/>
            </w:pPr>
            <w:r w:rsidDel="00000000" w:rsidR="00000000" w:rsidRPr="00000000">
              <w:rPr>
                <w:rtl w:val="0"/>
              </w:rPr>
            </w:r>
          </w:p>
        </w:tc>
        <w:tc>
          <w:tcPr>
            <w:gridSpan w:val="3"/>
            <w:vAlign w:val="bottom"/>
          </w:tcPr>
          <w:p w:rsidR="00000000" w:rsidDel="00000000" w:rsidP="00000000" w:rsidRDefault="00000000" w:rsidRPr="00000000" w14:paraId="0000014C">
            <w:pPr>
              <w:spacing w:line="240" w:lineRule="auto"/>
              <w:rPr>
                <w:color w:val="000000"/>
              </w:rPr>
            </w:pPr>
            <w:r w:rsidDel="00000000" w:rsidR="00000000" w:rsidRPr="00000000">
              <w:rPr>
                <w:color w:val="000000"/>
                <w:rtl w:val="0"/>
              </w:rPr>
              <w:t xml:space="preserve">Average profit = -5+0+10+15-5/5 = 3</w:t>
            </w:r>
          </w:p>
        </w:tc>
      </w:tr>
      <w:tr>
        <w:trPr>
          <w:cantSplit w:val="0"/>
          <w:trHeight w:val="288" w:hRule="atLeast"/>
          <w:tblHeader w:val="0"/>
        </w:trPr>
        <w:tc>
          <w:tcPr>
            <w:gridSpan w:val="2"/>
            <w:vAlign w:val="bottom"/>
          </w:tcPr>
          <w:p w:rsidR="00000000" w:rsidDel="00000000" w:rsidP="00000000" w:rsidRDefault="00000000" w:rsidRPr="00000000" w14:paraId="0000014F">
            <w:pPr>
              <w:spacing w:line="240" w:lineRule="auto"/>
              <w:rPr>
                <w:color w:val="000000"/>
              </w:rPr>
            </w:pPr>
            <w:r w:rsidDel="00000000" w:rsidR="00000000" w:rsidRPr="00000000">
              <w:rPr>
                <w:color w:val="000000"/>
                <w:rtl w:val="0"/>
              </w:rPr>
              <w:t xml:space="preserve">ARR = 0.8/50*100</w:t>
            </w:r>
          </w:p>
        </w:tc>
        <w:tc>
          <w:tcPr>
            <w:vAlign w:val="bottom"/>
          </w:tcPr>
          <w:p w:rsidR="00000000" w:rsidDel="00000000" w:rsidP="00000000" w:rsidRDefault="00000000" w:rsidRPr="00000000" w14:paraId="00000151">
            <w:pPr>
              <w:spacing w:line="240" w:lineRule="auto"/>
              <w:rPr>
                <w:color w:val="000000"/>
              </w:rPr>
            </w:pPr>
            <w:r w:rsidDel="00000000" w:rsidR="00000000" w:rsidRPr="00000000">
              <w:rPr>
                <w:rtl w:val="0"/>
              </w:rPr>
            </w:r>
          </w:p>
        </w:tc>
        <w:tc>
          <w:tcPr>
            <w:vAlign w:val="bottom"/>
          </w:tcPr>
          <w:p w:rsidR="00000000" w:rsidDel="00000000" w:rsidP="00000000" w:rsidRDefault="00000000" w:rsidRPr="00000000" w14:paraId="00000152">
            <w:pPr>
              <w:spacing w:line="240" w:lineRule="auto"/>
              <w:rPr/>
            </w:pPr>
            <w:r w:rsidDel="00000000" w:rsidR="00000000" w:rsidRPr="00000000">
              <w:rPr>
                <w:rtl w:val="0"/>
              </w:rPr>
            </w:r>
          </w:p>
        </w:tc>
        <w:tc>
          <w:tcPr>
            <w:gridSpan w:val="2"/>
            <w:vAlign w:val="bottom"/>
          </w:tcPr>
          <w:p w:rsidR="00000000" w:rsidDel="00000000" w:rsidP="00000000" w:rsidRDefault="00000000" w:rsidRPr="00000000" w14:paraId="00000153">
            <w:pPr>
              <w:spacing w:line="240" w:lineRule="auto"/>
              <w:rPr>
                <w:color w:val="000000"/>
              </w:rPr>
            </w:pPr>
            <w:r w:rsidDel="00000000" w:rsidR="00000000" w:rsidRPr="00000000">
              <w:rPr>
                <w:color w:val="000000"/>
                <w:rtl w:val="0"/>
              </w:rPr>
              <w:t xml:space="preserve">ARR = 1/50*100</w:t>
            </w:r>
          </w:p>
        </w:tc>
        <w:tc>
          <w:tcPr>
            <w:vAlign w:val="bottom"/>
          </w:tcPr>
          <w:p w:rsidR="00000000" w:rsidDel="00000000" w:rsidP="00000000" w:rsidRDefault="00000000" w:rsidRPr="00000000" w14:paraId="00000155">
            <w:pPr>
              <w:spacing w:line="240" w:lineRule="auto"/>
              <w:rPr>
                <w:color w:val="000000"/>
              </w:rPr>
            </w:pPr>
            <w:r w:rsidDel="00000000" w:rsidR="00000000" w:rsidRPr="00000000">
              <w:rPr>
                <w:rtl w:val="0"/>
              </w:rPr>
            </w:r>
          </w:p>
        </w:tc>
        <w:tc>
          <w:tcPr>
            <w:vAlign w:val="bottom"/>
          </w:tcPr>
          <w:p w:rsidR="00000000" w:rsidDel="00000000" w:rsidP="00000000" w:rsidRDefault="00000000" w:rsidRPr="00000000" w14:paraId="00000156">
            <w:pPr>
              <w:spacing w:line="240" w:lineRule="auto"/>
              <w:rPr/>
            </w:pPr>
            <w:r w:rsidDel="00000000" w:rsidR="00000000" w:rsidRPr="00000000">
              <w:rPr>
                <w:rtl w:val="0"/>
              </w:rPr>
            </w:r>
          </w:p>
        </w:tc>
        <w:tc>
          <w:tcPr>
            <w:gridSpan w:val="2"/>
            <w:vAlign w:val="bottom"/>
          </w:tcPr>
          <w:p w:rsidR="00000000" w:rsidDel="00000000" w:rsidP="00000000" w:rsidRDefault="00000000" w:rsidRPr="00000000" w14:paraId="00000157">
            <w:pPr>
              <w:spacing w:line="240" w:lineRule="auto"/>
              <w:rPr>
                <w:color w:val="000000"/>
              </w:rPr>
            </w:pPr>
            <w:r w:rsidDel="00000000" w:rsidR="00000000" w:rsidRPr="00000000">
              <w:rPr>
                <w:color w:val="000000"/>
                <w:rtl w:val="0"/>
              </w:rPr>
              <w:t xml:space="preserve">ARR = 3/50*100</w:t>
            </w:r>
          </w:p>
        </w:tc>
        <w:tc>
          <w:tcPr>
            <w:vAlign w:val="bottom"/>
          </w:tcPr>
          <w:p w:rsidR="00000000" w:rsidDel="00000000" w:rsidP="00000000" w:rsidRDefault="00000000" w:rsidRPr="00000000" w14:paraId="00000159">
            <w:pPr>
              <w:spacing w:line="240" w:lineRule="auto"/>
              <w:rPr>
                <w:color w:val="000000"/>
              </w:rPr>
            </w:pPr>
            <w:r w:rsidDel="00000000" w:rsidR="00000000" w:rsidRPr="00000000">
              <w:rPr>
                <w:rtl w:val="0"/>
              </w:rPr>
            </w:r>
          </w:p>
        </w:tc>
      </w:tr>
      <w:tr>
        <w:trPr>
          <w:cantSplit w:val="0"/>
          <w:trHeight w:val="288" w:hRule="atLeast"/>
          <w:tblHeader w:val="0"/>
        </w:trPr>
        <w:tc>
          <w:tcPr>
            <w:gridSpan w:val="2"/>
            <w:vAlign w:val="bottom"/>
          </w:tcPr>
          <w:p w:rsidR="00000000" w:rsidDel="00000000" w:rsidP="00000000" w:rsidRDefault="00000000" w:rsidRPr="00000000" w14:paraId="0000015A">
            <w:pPr>
              <w:spacing w:line="240" w:lineRule="auto"/>
              <w:rPr>
                <w:color w:val="000000"/>
              </w:rPr>
            </w:pPr>
            <w:r w:rsidDel="00000000" w:rsidR="00000000" w:rsidRPr="00000000">
              <w:rPr>
                <w:color w:val="000000"/>
                <w:rtl w:val="0"/>
              </w:rPr>
              <w:t xml:space="preserve">ARR = 1.6%</w:t>
            </w:r>
          </w:p>
        </w:tc>
        <w:tc>
          <w:tcPr>
            <w:vAlign w:val="bottom"/>
          </w:tcPr>
          <w:p w:rsidR="00000000" w:rsidDel="00000000" w:rsidP="00000000" w:rsidRDefault="00000000" w:rsidRPr="00000000" w14:paraId="0000015C">
            <w:pPr>
              <w:spacing w:line="240" w:lineRule="auto"/>
              <w:rPr>
                <w:color w:val="000000"/>
              </w:rPr>
            </w:pPr>
            <w:r w:rsidDel="00000000" w:rsidR="00000000" w:rsidRPr="00000000">
              <w:rPr>
                <w:rtl w:val="0"/>
              </w:rPr>
            </w:r>
          </w:p>
        </w:tc>
        <w:tc>
          <w:tcPr>
            <w:vAlign w:val="bottom"/>
          </w:tcPr>
          <w:p w:rsidR="00000000" w:rsidDel="00000000" w:rsidP="00000000" w:rsidRDefault="00000000" w:rsidRPr="00000000" w14:paraId="0000015D">
            <w:pPr>
              <w:spacing w:line="240" w:lineRule="auto"/>
              <w:rPr/>
            </w:pPr>
            <w:r w:rsidDel="00000000" w:rsidR="00000000" w:rsidRPr="00000000">
              <w:rPr>
                <w:rtl w:val="0"/>
              </w:rPr>
            </w:r>
          </w:p>
        </w:tc>
        <w:tc>
          <w:tcPr>
            <w:vAlign w:val="bottom"/>
          </w:tcPr>
          <w:p w:rsidR="00000000" w:rsidDel="00000000" w:rsidP="00000000" w:rsidRDefault="00000000" w:rsidRPr="00000000" w14:paraId="0000015E">
            <w:pPr>
              <w:spacing w:line="240" w:lineRule="auto"/>
              <w:rPr>
                <w:color w:val="000000"/>
              </w:rPr>
            </w:pPr>
            <w:r w:rsidDel="00000000" w:rsidR="00000000" w:rsidRPr="00000000">
              <w:rPr>
                <w:color w:val="000000"/>
                <w:rtl w:val="0"/>
              </w:rPr>
              <w:t xml:space="preserve">ARR = 2%</w:t>
            </w:r>
          </w:p>
        </w:tc>
        <w:tc>
          <w:tcPr>
            <w:vAlign w:val="bottom"/>
          </w:tcPr>
          <w:p w:rsidR="00000000" w:rsidDel="00000000" w:rsidP="00000000" w:rsidRDefault="00000000" w:rsidRPr="00000000" w14:paraId="0000015F">
            <w:pPr>
              <w:spacing w:line="240" w:lineRule="auto"/>
              <w:rPr>
                <w:color w:val="000000"/>
              </w:rPr>
            </w:pPr>
            <w:r w:rsidDel="00000000" w:rsidR="00000000" w:rsidRPr="00000000">
              <w:rPr>
                <w:rtl w:val="0"/>
              </w:rPr>
            </w:r>
          </w:p>
        </w:tc>
        <w:tc>
          <w:tcPr>
            <w:vAlign w:val="bottom"/>
          </w:tcPr>
          <w:p w:rsidR="00000000" w:rsidDel="00000000" w:rsidP="00000000" w:rsidRDefault="00000000" w:rsidRPr="00000000" w14:paraId="00000160">
            <w:pPr>
              <w:spacing w:line="240" w:lineRule="auto"/>
              <w:rPr/>
            </w:pPr>
            <w:r w:rsidDel="00000000" w:rsidR="00000000" w:rsidRPr="00000000">
              <w:rPr>
                <w:rtl w:val="0"/>
              </w:rPr>
            </w:r>
          </w:p>
        </w:tc>
        <w:tc>
          <w:tcPr>
            <w:vAlign w:val="bottom"/>
          </w:tcPr>
          <w:p w:rsidR="00000000" w:rsidDel="00000000" w:rsidP="00000000" w:rsidRDefault="00000000" w:rsidRPr="00000000" w14:paraId="00000161">
            <w:pPr>
              <w:spacing w:line="240" w:lineRule="auto"/>
              <w:rPr/>
            </w:pPr>
            <w:r w:rsidDel="00000000" w:rsidR="00000000" w:rsidRPr="00000000">
              <w:rPr>
                <w:rtl w:val="0"/>
              </w:rPr>
            </w:r>
          </w:p>
        </w:tc>
        <w:tc>
          <w:tcPr>
            <w:vAlign w:val="bottom"/>
          </w:tcPr>
          <w:p w:rsidR="00000000" w:rsidDel="00000000" w:rsidP="00000000" w:rsidRDefault="00000000" w:rsidRPr="00000000" w14:paraId="00000162">
            <w:pPr>
              <w:spacing w:line="240" w:lineRule="auto"/>
              <w:rPr>
                <w:color w:val="000000"/>
              </w:rPr>
            </w:pPr>
            <w:r w:rsidDel="00000000" w:rsidR="00000000" w:rsidRPr="00000000">
              <w:rPr>
                <w:color w:val="000000"/>
                <w:rtl w:val="0"/>
              </w:rPr>
              <w:t xml:space="preserve">ARR = 6%</w:t>
            </w:r>
          </w:p>
        </w:tc>
        <w:tc>
          <w:tcPr>
            <w:vAlign w:val="bottom"/>
          </w:tcPr>
          <w:p w:rsidR="00000000" w:rsidDel="00000000" w:rsidP="00000000" w:rsidRDefault="00000000" w:rsidRPr="00000000" w14:paraId="00000163">
            <w:pPr>
              <w:spacing w:line="240" w:lineRule="auto"/>
              <w:rPr>
                <w:color w:val="000000"/>
              </w:rPr>
            </w:pPr>
            <w:r w:rsidDel="00000000" w:rsidR="00000000" w:rsidRPr="00000000">
              <w:rPr>
                <w:rtl w:val="0"/>
              </w:rPr>
            </w:r>
          </w:p>
        </w:tc>
        <w:tc>
          <w:tcPr>
            <w:vAlign w:val="bottom"/>
          </w:tcPr>
          <w:p w:rsidR="00000000" w:rsidDel="00000000" w:rsidP="00000000" w:rsidRDefault="00000000" w:rsidRPr="00000000" w14:paraId="00000164">
            <w:pPr>
              <w:spacing w:line="240" w:lineRule="auto"/>
              <w:rPr/>
            </w:pPr>
            <w:r w:rsidDel="00000000" w:rsidR="00000000" w:rsidRPr="00000000">
              <w:rPr>
                <w:rtl w:val="0"/>
              </w:rPr>
            </w:r>
          </w:p>
        </w:tc>
      </w:tr>
    </w:tbl>
    <w:p w:rsidR="00000000" w:rsidDel="00000000" w:rsidP="00000000" w:rsidRDefault="00000000" w:rsidRPr="00000000" w14:paraId="00000165">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166">
      <w:pPr>
        <w:spacing w:line="360" w:lineRule="auto"/>
        <w:jc w:val="both"/>
        <w:rPr>
          <w:sz w:val="24"/>
          <w:szCs w:val="24"/>
        </w:rPr>
      </w:pPr>
      <w:r w:rsidDel="00000000" w:rsidR="00000000" w:rsidRPr="00000000">
        <w:rPr>
          <w:sz w:val="24"/>
          <w:szCs w:val="24"/>
          <w:rtl w:val="0"/>
        </w:rPr>
        <w:t xml:space="preserve">Project C achieves the highest ARR of 6% reflecting stronger profitability in relation to the investment cost. Project B offers stability however lower returns whereas Project A generates the weakest accounting profits. </w:t>
      </w:r>
    </w:p>
    <w:p w:rsidR="00000000" w:rsidDel="00000000" w:rsidP="00000000" w:rsidRDefault="00000000" w:rsidRPr="00000000" w14:paraId="00000167">
      <w:pPr>
        <w:spacing w:line="360" w:lineRule="auto"/>
        <w:jc w:val="both"/>
        <w:rPr>
          <w:b w:val="1"/>
          <w:bCs w:val="1"/>
          <w:sz w:val="24"/>
          <w:szCs w:val="24"/>
        </w:rPr>
      </w:pPr>
      <w:r w:rsidDel="00000000" w:rsidR="00000000" w:rsidRPr="00000000">
        <w:rPr>
          <w:b w:val="1"/>
          <w:bCs w:val="1"/>
          <w:sz w:val="24"/>
          <w:szCs w:val="24"/>
          <w:rtl w:val="0"/>
        </w:rPr>
        <w:t xml:space="preserve">‘Net Present Value’</w:t>
      </w:r>
    </w:p>
    <w:p w:rsidR="00000000" w:rsidDel="00000000" w:rsidP="00000000" w:rsidRDefault="00000000" w:rsidRPr="00000000" w14:paraId="00000168">
      <w:pPr>
        <w:spacing w:line="360" w:lineRule="auto"/>
        <w:jc w:val="both"/>
        <w:rPr>
          <w:sz w:val="24"/>
          <w:szCs w:val="24"/>
        </w:rPr>
      </w:pPr>
      <w:r w:rsidDel="00000000" w:rsidR="00000000" w:rsidRPr="00000000">
        <w:rPr>
          <w:sz w:val="24"/>
          <w:szCs w:val="24"/>
          <w:rtl w:val="0"/>
        </w:rPr>
        <w:t xml:space="preserve">NPV measures the net difference between the ‘present value of cash inflows’ and the initial investment (Association for Financial Professionals, 2026). It takes into account the ‘time value of money’. A positive NPV reflects value creation for shareholders.</w:t>
      </w:r>
    </w:p>
    <w:tbl>
      <w:tblPr>
        <w:tblStyle w:val="Table4"/>
        <w:tblW w:w="103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27"/>
        <w:gridCol w:w="864"/>
        <w:gridCol w:w="1062"/>
        <w:gridCol w:w="975"/>
        <w:gridCol w:w="250"/>
        <w:gridCol w:w="526"/>
        <w:gridCol w:w="863"/>
        <w:gridCol w:w="827"/>
        <w:gridCol w:w="975"/>
        <w:gridCol w:w="250"/>
        <w:gridCol w:w="526"/>
        <w:gridCol w:w="863"/>
        <w:gridCol w:w="827"/>
        <w:gridCol w:w="975"/>
        <w:tblGridChange w:id="0">
          <w:tblGrid>
            <w:gridCol w:w="527"/>
            <w:gridCol w:w="864"/>
            <w:gridCol w:w="1062"/>
            <w:gridCol w:w="975"/>
            <w:gridCol w:w="250"/>
            <w:gridCol w:w="526"/>
            <w:gridCol w:w="863"/>
            <w:gridCol w:w="827"/>
            <w:gridCol w:w="975"/>
            <w:gridCol w:w="250"/>
            <w:gridCol w:w="526"/>
            <w:gridCol w:w="863"/>
            <w:gridCol w:w="827"/>
            <w:gridCol w:w="975"/>
          </w:tblGrid>
        </w:tblGridChange>
      </w:tblGrid>
      <w:tr>
        <w:trPr>
          <w:cantSplit w:val="0"/>
          <w:trHeight w:val="288" w:hRule="atLeast"/>
          <w:tblHeader w:val="0"/>
        </w:trPr>
        <w:tc>
          <w:tcPr>
            <w:gridSpan w:val="3"/>
            <w:vAlign w:val="bottom"/>
          </w:tcPr>
          <w:p w:rsidR="00000000" w:rsidDel="00000000" w:rsidP="00000000" w:rsidRDefault="00000000" w:rsidRPr="00000000" w14:paraId="00000169">
            <w:pPr>
              <w:spacing w:line="240" w:lineRule="auto"/>
              <w:jc w:val="center"/>
              <w:rPr>
                <w:b w:val="1"/>
                <w:bCs w:val="1"/>
                <w:color w:val="000000"/>
              </w:rPr>
            </w:pPr>
            <w:r w:rsidDel="00000000" w:rsidR="00000000" w:rsidRPr="00000000">
              <w:rPr>
                <w:b w:val="1"/>
                <w:bCs w:val="1"/>
                <w:color w:val="000000"/>
                <w:rtl w:val="0"/>
              </w:rPr>
              <w:t xml:space="preserve">Project A</w:t>
            </w:r>
          </w:p>
        </w:tc>
        <w:tc>
          <w:tcPr>
            <w:vAlign w:val="bottom"/>
          </w:tcPr>
          <w:p w:rsidR="00000000" w:rsidDel="00000000" w:rsidP="00000000" w:rsidRDefault="00000000" w:rsidRPr="00000000" w14:paraId="0000016C">
            <w:pPr>
              <w:spacing w:line="240" w:lineRule="auto"/>
              <w:jc w:val="center"/>
              <w:rPr>
                <w:b w:val="1"/>
                <w:bCs w:val="1"/>
                <w:color w:val="000000"/>
              </w:rPr>
            </w:pPr>
            <w:r w:rsidDel="00000000" w:rsidR="00000000" w:rsidRPr="00000000">
              <w:rPr>
                <w:rtl w:val="0"/>
              </w:rPr>
            </w:r>
          </w:p>
        </w:tc>
        <w:tc>
          <w:tcPr/>
          <w:p w:rsidR="00000000" w:rsidDel="00000000" w:rsidP="00000000" w:rsidRDefault="00000000" w:rsidRPr="00000000" w14:paraId="0000016D">
            <w:pPr>
              <w:spacing w:line="240" w:lineRule="auto"/>
              <w:jc w:val="center"/>
              <w:rPr>
                <w:b w:val="1"/>
                <w:bCs w:val="1"/>
                <w:color w:val="000000"/>
              </w:rPr>
            </w:pPr>
            <w:r w:rsidDel="00000000" w:rsidR="00000000" w:rsidRPr="00000000">
              <w:rPr>
                <w:rtl w:val="0"/>
              </w:rPr>
            </w:r>
          </w:p>
        </w:tc>
        <w:tc>
          <w:tcPr>
            <w:gridSpan w:val="3"/>
            <w:vAlign w:val="bottom"/>
          </w:tcPr>
          <w:p w:rsidR="00000000" w:rsidDel="00000000" w:rsidP="00000000" w:rsidRDefault="00000000" w:rsidRPr="00000000" w14:paraId="0000016E">
            <w:pPr>
              <w:spacing w:line="240" w:lineRule="auto"/>
              <w:jc w:val="center"/>
              <w:rPr>
                <w:b w:val="1"/>
                <w:bCs w:val="1"/>
                <w:color w:val="000000"/>
              </w:rPr>
            </w:pPr>
            <w:r w:rsidDel="00000000" w:rsidR="00000000" w:rsidRPr="00000000">
              <w:rPr>
                <w:b w:val="1"/>
                <w:bCs w:val="1"/>
                <w:color w:val="000000"/>
                <w:rtl w:val="0"/>
              </w:rPr>
              <w:t xml:space="preserve">Project B</w:t>
            </w:r>
          </w:p>
        </w:tc>
        <w:tc>
          <w:tcPr>
            <w:vAlign w:val="bottom"/>
          </w:tcPr>
          <w:p w:rsidR="00000000" w:rsidDel="00000000" w:rsidP="00000000" w:rsidRDefault="00000000" w:rsidRPr="00000000" w14:paraId="00000171">
            <w:pPr>
              <w:spacing w:line="240" w:lineRule="auto"/>
              <w:jc w:val="center"/>
              <w:rPr>
                <w:b w:val="1"/>
                <w:bCs w:val="1"/>
                <w:color w:val="000000"/>
              </w:rPr>
            </w:pPr>
            <w:r w:rsidDel="00000000" w:rsidR="00000000" w:rsidRPr="00000000">
              <w:rPr>
                <w:rtl w:val="0"/>
              </w:rPr>
            </w:r>
          </w:p>
        </w:tc>
        <w:tc>
          <w:tcPr/>
          <w:p w:rsidR="00000000" w:rsidDel="00000000" w:rsidP="00000000" w:rsidRDefault="00000000" w:rsidRPr="00000000" w14:paraId="00000172">
            <w:pPr>
              <w:spacing w:line="240" w:lineRule="auto"/>
              <w:jc w:val="center"/>
              <w:rPr>
                <w:b w:val="1"/>
                <w:bCs w:val="1"/>
                <w:color w:val="000000"/>
              </w:rPr>
            </w:pPr>
            <w:r w:rsidDel="00000000" w:rsidR="00000000" w:rsidRPr="00000000">
              <w:rPr>
                <w:rtl w:val="0"/>
              </w:rPr>
            </w:r>
          </w:p>
        </w:tc>
        <w:tc>
          <w:tcPr>
            <w:gridSpan w:val="3"/>
            <w:vAlign w:val="bottom"/>
          </w:tcPr>
          <w:p w:rsidR="00000000" w:rsidDel="00000000" w:rsidP="00000000" w:rsidRDefault="00000000" w:rsidRPr="00000000" w14:paraId="00000173">
            <w:pPr>
              <w:spacing w:line="240" w:lineRule="auto"/>
              <w:jc w:val="center"/>
              <w:rPr>
                <w:b w:val="1"/>
                <w:bCs w:val="1"/>
                <w:color w:val="000000"/>
              </w:rPr>
            </w:pPr>
            <w:r w:rsidDel="00000000" w:rsidR="00000000" w:rsidRPr="00000000">
              <w:rPr>
                <w:b w:val="1"/>
                <w:bCs w:val="1"/>
                <w:color w:val="000000"/>
                <w:rtl w:val="0"/>
              </w:rPr>
              <w:t xml:space="preserve">Project C</w:t>
            </w:r>
          </w:p>
        </w:tc>
        <w:tc>
          <w:tcPr>
            <w:vAlign w:val="bottom"/>
          </w:tcPr>
          <w:p w:rsidR="00000000" w:rsidDel="00000000" w:rsidP="00000000" w:rsidRDefault="00000000" w:rsidRPr="00000000" w14:paraId="00000176">
            <w:pPr>
              <w:spacing w:line="240" w:lineRule="auto"/>
              <w:jc w:val="center"/>
              <w:rPr>
                <w:b w:val="1"/>
                <w:bCs w:val="1"/>
                <w:color w:val="000000"/>
              </w:rPr>
            </w:pPr>
            <w:r w:rsidDel="00000000" w:rsidR="00000000" w:rsidRPr="00000000">
              <w:rPr>
                <w:rtl w:val="0"/>
              </w:rPr>
            </w:r>
          </w:p>
        </w:tc>
      </w:tr>
      <w:tr>
        <w:trPr>
          <w:cantSplit w:val="0"/>
          <w:trHeight w:val="864" w:hRule="atLeast"/>
          <w:tblHeader w:val="0"/>
        </w:trPr>
        <w:tc>
          <w:tcPr>
            <w:vAlign w:val="center"/>
          </w:tcPr>
          <w:p w:rsidR="00000000" w:rsidDel="00000000" w:rsidP="00000000" w:rsidRDefault="00000000" w:rsidRPr="00000000" w14:paraId="00000177">
            <w:pPr>
              <w:spacing w:line="240" w:lineRule="auto"/>
              <w:rPr>
                <w:b w:val="1"/>
                <w:bCs w:val="1"/>
                <w:color w:val="000000"/>
              </w:rPr>
            </w:pPr>
            <w:r w:rsidDel="00000000" w:rsidR="00000000" w:rsidRPr="00000000">
              <w:rPr>
                <w:b w:val="1"/>
                <w:bCs w:val="1"/>
                <w:color w:val="000000"/>
                <w:rtl w:val="0"/>
              </w:rPr>
              <w:t xml:space="preserve">Year</w:t>
            </w:r>
          </w:p>
        </w:tc>
        <w:tc>
          <w:tcPr>
            <w:vAlign w:val="center"/>
          </w:tcPr>
          <w:p w:rsidR="00000000" w:rsidDel="00000000" w:rsidP="00000000" w:rsidRDefault="00000000" w:rsidRPr="00000000" w14:paraId="00000178">
            <w:pPr>
              <w:spacing w:line="240" w:lineRule="auto"/>
              <w:rPr>
                <w:b w:val="1"/>
                <w:bCs w:val="1"/>
                <w:color w:val="000000"/>
              </w:rPr>
            </w:pPr>
            <w:r w:rsidDel="00000000" w:rsidR="00000000" w:rsidRPr="00000000">
              <w:rPr>
                <w:b w:val="1"/>
                <w:bCs w:val="1"/>
                <w:color w:val="000000"/>
                <w:rtl w:val="0"/>
              </w:rPr>
              <w:t xml:space="preserve">Cash Inflow (£m)</w:t>
            </w:r>
          </w:p>
        </w:tc>
        <w:tc>
          <w:tcPr>
            <w:vAlign w:val="center"/>
          </w:tcPr>
          <w:p w:rsidR="00000000" w:rsidDel="00000000" w:rsidP="00000000" w:rsidRDefault="00000000" w:rsidRPr="00000000" w14:paraId="00000179">
            <w:pPr>
              <w:spacing w:line="240" w:lineRule="auto"/>
              <w:rPr>
                <w:b w:val="1"/>
                <w:bCs w:val="1"/>
                <w:color w:val="000000"/>
              </w:rPr>
            </w:pPr>
            <w:r w:rsidDel="00000000" w:rsidR="00000000" w:rsidRPr="00000000">
              <w:rPr>
                <w:b w:val="1"/>
                <w:bCs w:val="1"/>
                <w:color w:val="000000"/>
                <w:rtl w:val="0"/>
              </w:rPr>
              <w:t xml:space="preserve">Discount rate</w:t>
            </w:r>
          </w:p>
        </w:tc>
        <w:tc>
          <w:tcPr>
            <w:vAlign w:val="center"/>
          </w:tcPr>
          <w:p w:rsidR="00000000" w:rsidDel="00000000" w:rsidP="00000000" w:rsidRDefault="00000000" w:rsidRPr="00000000" w14:paraId="0000017A">
            <w:pPr>
              <w:spacing w:line="240" w:lineRule="auto"/>
              <w:rPr>
                <w:b w:val="1"/>
                <w:bCs w:val="1"/>
                <w:color w:val="000000"/>
              </w:rPr>
            </w:pPr>
            <w:r w:rsidDel="00000000" w:rsidR="00000000" w:rsidRPr="00000000">
              <w:rPr>
                <w:b w:val="1"/>
                <w:bCs w:val="1"/>
                <w:color w:val="000000"/>
                <w:rtl w:val="0"/>
              </w:rPr>
              <w:t xml:space="preserve">Present Value (£m)</w:t>
            </w:r>
          </w:p>
        </w:tc>
        <w:tc>
          <w:tcPr/>
          <w:p w:rsidR="00000000" w:rsidDel="00000000" w:rsidP="00000000" w:rsidRDefault="00000000" w:rsidRPr="00000000" w14:paraId="0000017B">
            <w:pPr>
              <w:spacing w:line="240" w:lineRule="auto"/>
              <w:rPr>
                <w:b w:val="1"/>
                <w:bCs w:val="1"/>
                <w:color w:val="000000"/>
              </w:rPr>
            </w:pPr>
            <w:r w:rsidDel="00000000" w:rsidR="00000000" w:rsidRPr="00000000">
              <w:rPr>
                <w:rtl w:val="0"/>
              </w:rPr>
            </w:r>
          </w:p>
        </w:tc>
        <w:tc>
          <w:tcPr>
            <w:vAlign w:val="center"/>
          </w:tcPr>
          <w:p w:rsidR="00000000" w:rsidDel="00000000" w:rsidP="00000000" w:rsidRDefault="00000000" w:rsidRPr="00000000" w14:paraId="0000017C">
            <w:pPr>
              <w:spacing w:line="240" w:lineRule="auto"/>
              <w:rPr>
                <w:b w:val="1"/>
                <w:bCs w:val="1"/>
                <w:color w:val="000000"/>
              </w:rPr>
            </w:pPr>
            <w:r w:rsidDel="00000000" w:rsidR="00000000" w:rsidRPr="00000000">
              <w:rPr>
                <w:b w:val="1"/>
                <w:bCs w:val="1"/>
                <w:color w:val="000000"/>
                <w:rtl w:val="0"/>
              </w:rPr>
              <w:t xml:space="preserve">Year</w:t>
            </w:r>
          </w:p>
        </w:tc>
        <w:tc>
          <w:tcPr>
            <w:vAlign w:val="center"/>
          </w:tcPr>
          <w:p w:rsidR="00000000" w:rsidDel="00000000" w:rsidP="00000000" w:rsidRDefault="00000000" w:rsidRPr="00000000" w14:paraId="0000017D">
            <w:pPr>
              <w:spacing w:line="240" w:lineRule="auto"/>
              <w:rPr>
                <w:b w:val="1"/>
                <w:bCs w:val="1"/>
                <w:color w:val="000000"/>
              </w:rPr>
            </w:pPr>
            <w:r w:rsidDel="00000000" w:rsidR="00000000" w:rsidRPr="00000000">
              <w:rPr>
                <w:b w:val="1"/>
                <w:bCs w:val="1"/>
                <w:color w:val="000000"/>
                <w:rtl w:val="0"/>
              </w:rPr>
              <w:t xml:space="preserve">Cash Inflow (£m)</w:t>
            </w:r>
          </w:p>
        </w:tc>
        <w:tc>
          <w:tcPr>
            <w:vAlign w:val="center"/>
          </w:tcPr>
          <w:p w:rsidR="00000000" w:rsidDel="00000000" w:rsidP="00000000" w:rsidRDefault="00000000" w:rsidRPr="00000000" w14:paraId="0000017E">
            <w:pPr>
              <w:spacing w:line="240" w:lineRule="auto"/>
              <w:rPr>
                <w:b w:val="1"/>
                <w:bCs w:val="1"/>
                <w:color w:val="000000"/>
              </w:rPr>
            </w:pPr>
            <w:r w:rsidDel="00000000" w:rsidR="00000000" w:rsidRPr="00000000">
              <w:rPr>
                <w:b w:val="1"/>
                <w:bCs w:val="1"/>
                <w:color w:val="000000"/>
                <w:rtl w:val="0"/>
              </w:rPr>
              <w:t xml:space="preserve">Discount rate</w:t>
            </w:r>
          </w:p>
        </w:tc>
        <w:tc>
          <w:tcPr>
            <w:vAlign w:val="center"/>
          </w:tcPr>
          <w:p w:rsidR="00000000" w:rsidDel="00000000" w:rsidP="00000000" w:rsidRDefault="00000000" w:rsidRPr="00000000" w14:paraId="0000017F">
            <w:pPr>
              <w:spacing w:line="240" w:lineRule="auto"/>
              <w:rPr>
                <w:b w:val="1"/>
                <w:bCs w:val="1"/>
                <w:color w:val="000000"/>
              </w:rPr>
            </w:pPr>
            <w:r w:rsidDel="00000000" w:rsidR="00000000" w:rsidRPr="00000000">
              <w:rPr>
                <w:b w:val="1"/>
                <w:bCs w:val="1"/>
                <w:color w:val="000000"/>
                <w:rtl w:val="0"/>
              </w:rPr>
              <w:t xml:space="preserve">Present Value (£m)</w:t>
            </w:r>
          </w:p>
        </w:tc>
        <w:tc>
          <w:tcPr/>
          <w:p w:rsidR="00000000" w:rsidDel="00000000" w:rsidP="00000000" w:rsidRDefault="00000000" w:rsidRPr="00000000" w14:paraId="00000180">
            <w:pPr>
              <w:spacing w:line="240" w:lineRule="auto"/>
              <w:rPr>
                <w:b w:val="1"/>
                <w:bCs w:val="1"/>
                <w:color w:val="000000"/>
              </w:rPr>
            </w:pPr>
            <w:r w:rsidDel="00000000" w:rsidR="00000000" w:rsidRPr="00000000">
              <w:rPr>
                <w:rtl w:val="0"/>
              </w:rPr>
            </w:r>
          </w:p>
        </w:tc>
        <w:tc>
          <w:tcPr>
            <w:vAlign w:val="center"/>
          </w:tcPr>
          <w:p w:rsidR="00000000" w:rsidDel="00000000" w:rsidP="00000000" w:rsidRDefault="00000000" w:rsidRPr="00000000" w14:paraId="00000181">
            <w:pPr>
              <w:spacing w:line="240" w:lineRule="auto"/>
              <w:rPr>
                <w:b w:val="1"/>
                <w:bCs w:val="1"/>
                <w:color w:val="000000"/>
              </w:rPr>
            </w:pPr>
            <w:r w:rsidDel="00000000" w:rsidR="00000000" w:rsidRPr="00000000">
              <w:rPr>
                <w:b w:val="1"/>
                <w:bCs w:val="1"/>
                <w:color w:val="000000"/>
                <w:rtl w:val="0"/>
              </w:rPr>
              <w:t xml:space="preserve">Year</w:t>
            </w:r>
          </w:p>
        </w:tc>
        <w:tc>
          <w:tcPr>
            <w:vAlign w:val="center"/>
          </w:tcPr>
          <w:p w:rsidR="00000000" w:rsidDel="00000000" w:rsidP="00000000" w:rsidRDefault="00000000" w:rsidRPr="00000000" w14:paraId="00000182">
            <w:pPr>
              <w:spacing w:line="240" w:lineRule="auto"/>
              <w:rPr>
                <w:b w:val="1"/>
                <w:bCs w:val="1"/>
                <w:color w:val="000000"/>
              </w:rPr>
            </w:pPr>
            <w:r w:rsidDel="00000000" w:rsidR="00000000" w:rsidRPr="00000000">
              <w:rPr>
                <w:b w:val="1"/>
                <w:bCs w:val="1"/>
                <w:color w:val="000000"/>
                <w:rtl w:val="0"/>
              </w:rPr>
              <w:t xml:space="preserve">Cash Inflow (£m)</w:t>
            </w:r>
          </w:p>
        </w:tc>
        <w:tc>
          <w:tcPr>
            <w:vAlign w:val="center"/>
          </w:tcPr>
          <w:p w:rsidR="00000000" w:rsidDel="00000000" w:rsidP="00000000" w:rsidRDefault="00000000" w:rsidRPr="00000000" w14:paraId="00000183">
            <w:pPr>
              <w:spacing w:line="240" w:lineRule="auto"/>
              <w:rPr>
                <w:b w:val="1"/>
                <w:bCs w:val="1"/>
                <w:color w:val="000000"/>
              </w:rPr>
            </w:pPr>
            <w:r w:rsidDel="00000000" w:rsidR="00000000" w:rsidRPr="00000000">
              <w:rPr>
                <w:b w:val="1"/>
                <w:bCs w:val="1"/>
                <w:color w:val="000000"/>
                <w:rtl w:val="0"/>
              </w:rPr>
              <w:t xml:space="preserve">Discount rate</w:t>
            </w:r>
          </w:p>
        </w:tc>
        <w:tc>
          <w:tcPr>
            <w:vAlign w:val="center"/>
          </w:tcPr>
          <w:p w:rsidR="00000000" w:rsidDel="00000000" w:rsidP="00000000" w:rsidRDefault="00000000" w:rsidRPr="00000000" w14:paraId="00000184">
            <w:pPr>
              <w:spacing w:line="240" w:lineRule="auto"/>
              <w:rPr>
                <w:b w:val="1"/>
                <w:bCs w:val="1"/>
                <w:color w:val="000000"/>
              </w:rPr>
            </w:pPr>
            <w:r w:rsidDel="00000000" w:rsidR="00000000" w:rsidRPr="00000000">
              <w:rPr>
                <w:b w:val="1"/>
                <w:bCs w:val="1"/>
                <w:color w:val="000000"/>
                <w:rtl w:val="0"/>
              </w:rPr>
              <w:t xml:space="preserve">Present Value (£m)</w:t>
            </w:r>
          </w:p>
        </w:tc>
      </w:tr>
      <w:tr>
        <w:trPr>
          <w:cantSplit w:val="0"/>
          <w:trHeight w:val="288" w:hRule="atLeast"/>
          <w:tblHeader w:val="0"/>
        </w:trPr>
        <w:tc>
          <w:tcPr>
            <w:vAlign w:val="center"/>
          </w:tcPr>
          <w:p w:rsidR="00000000" w:rsidDel="00000000" w:rsidP="00000000" w:rsidRDefault="00000000" w:rsidRPr="00000000" w14:paraId="00000185">
            <w:pPr>
              <w:spacing w:line="240" w:lineRule="auto"/>
              <w:jc w:val="right"/>
              <w:rPr>
                <w:color w:val="000000"/>
              </w:rPr>
            </w:pPr>
            <w:r w:rsidDel="00000000" w:rsidR="00000000" w:rsidRPr="00000000">
              <w:rPr>
                <w:color w:val="000000"/>
                <w:rtl w:val="0"/>
              </w:rPr>
              <w:t xml:space="preserve">1</w:t>
            </w:r>
          </w:p>
        </w:tc>
        <w:tc>
          <w:tcPr>
            <w:vAlign w:val="center"/>
          </w:tcPr>
          <w:p w:rsidR="00000000" w:rsidDel="00000000" w:rsidP="00000000" w:rsidRDefault="00000000" w:rsidRPr="00000000" w14:paraId="00000186">
            <w:pPr>
              <w:spacing w:line="240" w:lineRule="auto"/>
              <w:jc w:val="right"/>
              <w:rPr>
                <w:color w:val="000000"/>
              </w:rPr>
            </w:pPr>
            <w:r w:rsidDel="00000000" w:rsidR="00000000" w:rsidRPr="00000000">
              <w:rPr>
                <w:color w:val="000000"/>
                <w:rtl w:val="0"/>
              </w:rPr>
              <w:t xml:space="preserve">10</w:t>
            </w:r>
          </w:p>
        </w:tc>
        <w:tc>
          <w:tcPr>
            <w:vAlign w:val="center"/>
          </w:tcPr>
          <w:p w:rsidR="00000000" w:rsidDel="00000000" w:rsidP="00000000" w:rsidRDefault="00000000" w:rsidRPr="00000000" w14:paraId="00000187">
            <w:pPr>
              <w:spacing w:line="240" w:lineRule="auto"/>
              <w:jc w:val="right"/>
              <w:rPr>
                <w:color w:val="000000"/>
              </w:rPr>
            </w:pPr>
            <w:r w:rsidDel="00000000" w:rsidR="00000000" w:rsidRPr="00000000">
              <w:rPr>
                <w:color w:val="000000"/>
                <w:rtl w:val="0"/>
              </w:rPr>
              <w:t xml:space="preserve">0.926</w:t>
            </w:r>
          </w:p>
        </w:tc>
        <w:tc>
          <w:tcPr>
            <w:vAlign w:val="bottom"/>
          </w:tcPr>
          <w:p w:rsidR="00000000" w:rsidDel="00000000" w:rsidP="00000000" w:rsidRDefault="00000000" w:rsidRPr="00000000" w14:paraId="00000188">
            <w:pPr>
              <w:spacing w:line="240" w:lineRule="auto"/>
              <w:jc w:val="right"/>
              <w:rPr>
                <w:color w:val="000000"/>
              </w:rPr>
            </w:pPr>
            <w:r w:rsidDel="00000000" w:rsidR="00000000" w:rsidRPr="00000000">
              <w:rPr>
                <w:color w:val="000000"/>
                <w:rtl w:val="0"/>
              </w:rPr>
              <w:t xml:space="preserve">9.259</w:t>
            </w:r>
          </w:p>
        </w:tc>
        <w:tc>
          <w:tcPr/>
          <w:p w:rsidR="00000000" w:rsidDel="00000000" w:rsidP="00000000" w:rsidRDefault="00000000" w:rsidRPr="00000000" w14:paraId="00000189">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18A">
            <w:pPr>
              <w:spacing w:line="240" w:lineRule="auto"/>
              <w:jc w:val="right"/>
              <w:rPr>
                <w:color w:val="000000"/>
              </w:rPr>
            </w:pPr>
            <w:r w:rsidDel="00000000" w:rsidR="00000000" w:rsidRPr="00000000">
              <w:rPr>
                <w:color w:val="000000"/>
                <w:rtl w:val="0"/>
              </w:rPr>
              <w:t xml:space="preserve">1</w:t>
            </w:r>
          </w:p>
        </w:tc>
        <w:tc>
          <w:tcPr>
            <w:vAlign w:val="center"/>
          </w:tcPr>
          <w:p w:rsidR="00000000" w:rsidDel="00000000" w:rsidP="00000000" w:rsidRDefault="00000000" w:rsidRPr="00000000" w14:paraId="0000018B">
            <w:pPr>
              <w:spacing w:line="240" w:lineRule="auto"/>
              <w:jc w:val="right"/>
              <w:rPr>
                <w:color w:val="000000"/>
              </w:rPr>
            </w:pPr>
            <w:r w:rsidDel="00000000" w:rsidR="00000000" w:rsidRPr="00000000">
              <w:rPr>
                <w:color w:val="000000"/>
                <w:rtl w:val="0"/>
              </w:rPr>
              <w:t xml:space="preserve">11</w:t>
            </w:r>
          </w:p>
        </w:tc>
        <w:tc>
          <w:tcPr>
            <w:vAlign w:val="center"/>
          </w:tcPr>
          <w:p w:rsidR="00000000" w:rsidDel="00000000" w:rsidP="00000000" w:rsidRDefault="00000000" w:rsidRPr="00000000" w14:paraId="0000018C">
            <w:pPr>
              <w:spacing w:line="240" w:lineRule="auto"/>
              <w:jc w:val="right"/>
              <w:rPr>
                <w:color w:val="000000"/>
              </w:rPr>
            </w:pPr>
            <w:r w:rsidDel="00000000" w:rsidR="00000000" w:rsidRPr="00000000">
              <w:rPr>
                <w:color w:val="000000"/>
                <w:rtl w:val="0"/>
              </w:rPr>
              <w:t xml:space="preserve">0.926</w:t>
            </w:r>
          </w:p>
        </w:tc>
        <w:tc>
          <w:tcPr>
            <w:vAlign w:val="bottom"/>
          </w:tcPr>
          <w:p w:rsidR="00000000" w:rsidDel="00000000" w:rsidP="00000000" w:rsidRDefault="00000000" w:rsidRPr="00000000" w14:paraId="0000018D">
            <w:pPr>
              <w:spacing w:line="240" w:lineRule="auto"/>
              <w:jc w:val="right"/>
              <w:rPr>
                <w:color w:val="000000"/>
              </w:rPr>
            </w:pPr>
            <w:r w:rsidDel="00000000" w:rsidR="00000000" w:rsidRPr="00000000">
              <w:rPr>
                <w:color w:val="000000"/>
                <w:rtl w:val="0"/>
              </w:rPr>
              <w:t xml:space="preserve">10.185</w:t>
            </w:r>
          </w:p>
        </w:tc>
        <w:tc>
          <w:tcPr/>
          <w:p w:rsidR="00000000" w:rsidDel="00000000" w:rsidP="00000000" w:rsidRDefault="00000000" w:rsidRPr="00000000" w14:paraId="0000018E">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18F">
            <w:pPr>
              <w:spacing w:line="240" w:lineRule="auto"/>
              <w:jc w:val="right"/>
              <w:rPr>
                <w:color w:val="000000"/>
              </w:rPr>
            </w:pPr>
            <w:r w:rsidDel="00000000" w:rsidR="00000000" w:rsidRPr="00000000">
              <w:rPr>
                <w:color w:val="000000"/>
                <w:rtl w:val="0"/>
              </w:rPr>
              <w:t xml:space="preserve">1</w:t>
            </w:r>
          </w:p>
        </w:tc>
        <w:tc>
          <w:tcPr>
            <w:vAlign w:val="center"/>
          </w:tcPr>
          <w:p w:rsidR="00000000" w:rsidDel="00000000" w:rsidP="00000000" w:rsidRDefault="00000000" w:rsidRPr="00000000" w14:paraId="00000190">
            <w:pPr>
              <w:spacing w:line="240" w:lineRule="auto"/>
              <w:jc w:val="right"/>
              <w:rPr>
                <w:color w:val="000000"/>
              </w:rPr>
            </w:pPr>
            <w:r w:rsidDel="00000000" w:rsidR="00000000" w:rsidRPr="00000000">
              <w:rPr>
                <w:color w:val="000000"/>
                <w:rtl w:val="0"/>
              </w:rPr>
              <w:t xml:space="preserve">5</w:t>
            </w:r>
          </w:p>
        </w:tc>
        <w:tc>
          <w:tcPr>
            <w:vAlign w:val="center"/>
          </w:tcPr>
          <w:p w:rsidR="00000000" w:rsidDel="00000000" w:rsidP="00000000" w:rsidRDefault="00000000" w:rsidRPr="00000000" w14:paraId="00000191">
            <w:pPr>
              <w:spacing w:line="240" w:lineRule="auto"/>
              <w:jc w:val="right"/>
              <w:rPr>
                <w:color w:val="000000"/>
              </w:rPr>
            </w:pPr>
            <w:r w:rsidDel="00000000" w:rsidR="00000000" w:rsidRPr="00000000">
              <w:rPr>
                <w:color w:val="000000"/>
                <w:rtl w:val="0"/>
              </w:rPr>
              <w:t xml:space="preserve">0.926</w:t>
            </w:r>
          </w:p>
        </w:tc>
        <w:tc>
          <w:tcPr>
            <w:vAlign w:val="bottom"/>
          </w:tcPr>
          <w:p w:rsidR="00000000" w:rsidDel="00000000" w:rsidP="00000000" w:rsidRDefault="00000000" w:rsidRPr="00000000" w14:paraId="00000192">
            <w:pPr>
              <w:spacing w:line="240" w:lineRule="auto"/>
              <w:jc w:val="right"/>
              <w:rPr>
                <w:color w:val="000000"/>
              </w:rPr>
            </w:pPr>
            <w:r w:rsidDel="00000000" w:rsidR="00000000" w:rsidRPr="00000000">
              <w:rPr>
                <w:color w:val="000000"/>
                <w:rtl w:val="0"/>
              </w:rPr>
              <w:t xml:space="preserve">4.630</w:t>
            </w:r>
          </w:p>
        </w:tc>
      </w:tr>
      <w:tr>
        <w:trPr>
          <w:cantSplit w:val="0"/>
          <w:trHeight w:val="288" w:hRule="atLeast"/>
          <w:tblHeader w:val="0"/>
        </w:trPr>
        <w:tc>
          <w:tcPr>
            <w:vAlign w:val="center"/>
          </w:tcPr>
          <w:p w:rsidR="00000000" w:rsidDel="00000000" w:rsidP="00000000" w:rsidRDefault="00000000" w:rsidRPr="00000000" w14:paraId="00000193">
            <w:pPr>
              <w:spacing w:line="240" w:lineRule="auto"/>
              <w:jc w:val="right"/>
              <w:rPr>
                <w:color w:val="000000"/>
              </w:rPr>
            </w:pPr>
            <w:r w:rsidDel="00000000" w:rsidR="00000000" w:rsidRPr="00000000">
              <w:rPr>
                <w:color w:val="000000"/>
                <w:rtl w:val="0"/>
              </w:rPr>
              <w:t xml:space="preserve">2</w:t>
            </w:r>
          </w:p>
        </w:tc>
        <w:tc>
          <w:tcPr>
            <w:vAlign w:val="center"/>
          </w:tcPr>
          <w:p w:rsidR="00000000" w:rsidDel="00000000" w:rsidP="00000000" w:rsidRDefault="00000000" w:rsidRPr="00000000" w14:paraId="00000194">
            <w:pPr>
              <w:spacing w:line="240" w:lineRule="auto"/>
              <w:jc w:val="right"/>
              <w:rPr>
                <w:color w:val="000000"/>
              </w:rPr>
            </w:pPr>
            <w:r w:rsidDel="00000000" w:rsidR="00000000" w:rsidRPr="00000000">
              <w:rPr>
                <w:color w:val="000000"/>
                <w:rtl w:val="0"/>
              </w:rPr>
              <w:t xml:space="preserve">12</w:t>
            </w:r>
          </w:p>
        </w:tc>
        <w:tc>
          <w:tcPr>
            <w:vAlign w:val="center"/>
          </w:tcPr>
          <w:p w:rsidR="00000000" w:rsidDel="00000000" w:rsidP="00000000" w:rsidRDefault="00000000" w:rsidRPr="00000000" w14:paraId="00000195">
            <w:pPr>
              <w:spacing w:line="240" w:lineRule="auto"/>
              <w:jc w:val="right"/>
              <w:rPr>
                <w:color w:val="000000"/>
              </w:rPr>
            </w:pPr>
            <w:r w:rsidDel="00000000" w:rsidR="00000000" w:rsidRPr="00000000">
              <w:rPr>
                <w:color w:val="000000"/>
                <w:rtl w:val="0"/>
              </w:rPr>
              <w:t xml:space="preserve">0.857</w:t>
            </w:r>
          </w:p>
        </w:tc>
        <w:tc>
          <w:tcPr>
            <w:vAlign w:val="bottom"/>
          </w:tcPr>
          <w:p w:rsidR="00000000" w:rsidDel="00000000" w:rsidP="00000000" w:rsidRDefault="00000000" w:rsidRPr="00000000" w14:paraId="00000196">
            <w:pPr>
              <w:spacing w:line="240" w:lineRule="auto"/>
              <w:jc w:val="right"/>
              <w:rPr>
                <w:color w:val="000000"/>
              </w:rPr>
            </w:pPr>
            <w:r w:rsidDel="00000000" w:rsidR="00000000" w:rsidRPr="00000000">
              <w:rPr>
                <w:color w:val="000000"/>
                <w:rtl w:val="0"/>
              </w:rPr>
              <w:t xml:space="preserve">10.288</w:t>
            </w:r>
          </w:p>
        </w:tc>
        <w:tc>
          <w:tcPr/>
          <w:p w:rsidR="00000000" w:rsidDel="00000000" w:rsidP="00000000" w:rsidRDefault="00000000" w:rsidRPr="00000000" w14:paraId="00000197">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198">
            <w:pPr>
              <w:spacing w:line="240" w:lineRule="auto"/>
              <w:jc w:val="right"/>
              <w:rPr>
                <w:color w:val="000000"/>
              </w:rPr>
            </w:pPr>
            <w:r w:rsidDel="00000000" w:rsidR="00000000" w:rsidRPr="00000000">
              <w:rPr>
                <w:color w:val="000000"/>
                <w:rtl w:val="0"/>
              </w:rPr>
              <w:t xml:space="preserve">2</w:t>
            </w:r>
          </w:p>
        </w:tc>
        <w:tc>
          <w:tcPr>
            <w:vAlign w:val="center"/>
          </w:tcPr>
          <w:p w:rsidR="00000000" w:rsidDel="00000000" w:rsidP="00000000" w:rsidRDefault="00000000" w:rsidRPr="00000000" w14:paraId="00000199">
            <w:pPr>
              <w:spacing w:line="240" w:lineRule="auto"/>
              <w:jc w:val="right"/>
              <w:rPr>
                <w:color w:val="000000"/>
              </w:rPr>
            </w:pPr>
            <w:r w:rsidDel="00000000" w:rsidR="00000000" w:rsidRPr="00000000">
              <w:rPr>
                <w:color w:val="000000"/>
                <w:rtl w:val="0"/>
              </w:rPr>
              <w:t xml:space="preserve">11</w:t>
            </w:r>
          </w:p>
        </w:tc>
        <w:tc>
          <w:tcPr>
            <w:vAlign w:val="center"/>
          </w:tcPr>
          <w:p w:rsidR="00000000" w:rsidDel="00000000" w:rsidP="00000000" w:rsidRDefault="00000000" w:rsidRPr="00000000" w14:paraId="0000019A">
            <w:pPr>
              <w:spacing w:line="240" w:lineRule="auto"/>
              <w:jc w:val="right"/>
              <w:rPr>
                <w:color w:val="000000"/>
              </w:rPr>
            </w:pPr>
            <w:r w:rsidDel="00000000" w:rsidR="00000000" w:rsidRPr="00000000">
              <w:rPr>
                <w:color w:val="000000"/>
                <w:rtl w:val="0"/>
              </w:rPr>
              <w:t xml:space="preserve">0.857</w:t>
            </w:r>
          </w:p>
        </w:tc>
        <w:tc>
          <w:tcPr>
            <w:vAlign w:val="bottom"/>
          </w:tcPr>
          <w:p w:rsidR="00000000" w:rsidDel="00000000" w:rsidP="00000000" w:rsidRDefault="00000000" w:rsidRPr="00000000" w14:paraId="0000019B">
            <w:pPr>
              <w:spacing w:line="240" w:lineRule="auto"/>
              <w:jc w:val="right"/>
              <w:rPr>
                <w:color w:val="000000"/>
              </w:rPr>
            </w:pPr>
            <w:r w:rsidDel="00000000" w:rsidR="00000000" w:rsidRPr="00000000">
              <w:rPr>
                <w:color w:val="000000"/>
                <w:rtl w:val="0"/>
              </w:rPr>
              <w:t xml:space="preserve">9.431</w:t>
            </w:r>
          </w:p>
        </w:tc>
        <w:tc>
          <w:tcPr/>
          <w:p w:rsidR="00000000" w:rsidDel="00000000" w:rsidP="00000000" w:rsidRDefault="00000000" w:rsidRPr="00000000" w14:paraId="0000019C">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19D">
            <w:pPr>
              <w:spacing w:line="240" w:lineRule="auto"/>
              <w:jc w:val="right"/>
              <w:rPr>
                <w:color w:val="000000"/>
              </w:rPr>
            </w:pPr>
            <w:r w:rsidDel="00000000" w:rsidR="00000000" w:rsidRPr="00000000">
              <w:rPr>
                <w:color w:val="000000"/>
                <w:rtl w:val="0"/>
              </w:rPr>
              <w:t xml:space="preserve">2</w:t>
            </w:r>
          </w:p>
        </w:tc>
        <w:tc>
          <w:tcPr>
            <w:vAlign w:val="center"/>
          </w:tcPr>
          <w:p w:rsidR="00000000" w:rsidDel="00000000" w:rsidP="00000000" w:rsidRDefault="00000000" w:rsidRPr="00000000" w14:paraId="0000019E">
            <w:pPr>
              <w:spacing w:line="240" w:lineRule="auto"/>
              <w:jc w:val="right"/>
              <w:rPr>
                <w:color w:val="000000"/>
              </w:rPr>
            </w:pPr>
            <w:r w:rsidDel="00000000" w:rsidR="00000000" w:rsidRPr="00000000">
              <w:rPr>
                <w:color w:val="000000"/>
                <w:rtl w:val="0"/>
              </w:rPr>
              <w:t xml:space="preserve">10</w:t>
            </w:r>
          </w:p>
        </w:tc>
        <w:tc>
          <w:tcPr>
            <w:vAlign w:val="center"/>
          </w:tcPr>
          <w:p w:rsidR="00000000" w:rsidDel="00000000" w:rsidP="00000000" w:rsidRDefault="00000000" w:rsidRPr="00000000" w14:paraId="0000019F">
            <w:pPr>
              <w:spacing w:line="240" w:lineRule="auto"/>
              <w:jc w:val="right"/>
              <w:rPr>
                <w:color w:val="000000"/>
              </w:rPr>
            </w:pPr>
            <w:r w:rsidDel="00000000" w:rsidR="00000000" w:rsidRPr="00000000">
              <w:rPr>
                <w:color w:val="000000"/>
                <w:rtl w:val="0"/>
              </w:rPr>
              <w:t xml:space="preserve">0.857</w:t>
            </w:r>
          </w:p>
        </w:tc>
        <w:tc>
          <w:tcPr>
            <w:vAlign w:val="bottom"/>
          </w:tcPr>
          <w:p w:rsidR="00000000" w:rsidDel="00000000" w:rsidP="00000000" w:rsidRDefault="00000000" w:rsidRPr="00000000" w14:paraId="000001A0">
            <w:pPr>
              <w:spacing w:line="240" w:lineRule="auto"/>
              <w:jc w:val="right"/>
              <w:rPr>
                <w:color w:val="000000"/>
              </w:rPr>
            </w:pPr>
            <w:r w:rsidDel="00000000" w:rsidR="00000000" w:rsidRPr="00000000">
              <w:rPr>
                <w:color w:val="000000"/>
                <w:rtl w:val="0"/>
              </w:rPr>
              <w:t xml:space="preserve">8.573</w:t>
            </w:r>
          </w:p>
        </w:tc>
      </w:tr>
      <w:tr>
        <w:trPr>
          <w:cantSplit w:val="0"/>
          <w:trHeight w:val="288" w:hRule="atLeast"/>
          <w:tblHeader w:val="0"/>
        </w:trPr>
        <w:tc>
          <w:tcPr>
            <w:vAlign w:val="center"/>
          </w:tcPr>
          <w:p w:rsidR="00000000" w:rsidDel="00000000" w:rsidP="00000000" w:rsidRDefault="00000000" w:rsidRPr="00000000" w14:paraId="000001A1">
            <w:pPr>
              <w:spacing w:line="240" w:lineRule="auto"/>
              <w:jc w:val="right"/>
              <w:rPr>
                <w:color w:val="000000"/>
              </w:rPr>
            </w:pPr>
            <w:r w:rsidDel="00000000" w:rsidR="00000000" w:rsidRPr="00000000">
              <w:rPr>
                <w:color w:val="000000"/>
                <w:rtl w:val="0"/>
              </w:rPr>
              <w:t xml:space="preserve">3</w:t>
            </w:r>
          </w:p>
        </w:tc>
        <w:tc>
          <w:tcPr>
            <w:vAlign w:val="center"/>
          </w:tcPr>
          <w:p w:rsidR="00000000" w:rsidDel="00000000" w:rsidP="00000000" w:rsidRDefault="00000000" w:rsidRPr="00000000" w14:paraId="000001A2">
            <w:pPr>
              <w:spacing w:line="240" w:lineRule="auto"/>
              <w:jc w:val="right"/>
              <w:rPr>
                <w:color w:val="000000"/>
              </w:rPr>
            </w:pPr>
            <w:r w:rsidDel="00000000" w:rsidR="00000000" w:rsidRPr="00000000">
              <w:rPr>
                <w:color w:val="000000"/>
                <w:rtl w:val="0"/>
              </w:rPr>
              <w:t xml:space="preserve">14</w:t>
            </w:r>
          </w:p>
        </w:tc>
        <w:tc>
          <w:tcPr>
            <w:vAlign w:val="center"/>
          </w:tcPr>
          <w:p w:rsidR="00000000" w:rsidDel="00000000" w:rsidP="00000000" w:rsidRDefault="00000000" w:rsidRPr="00000000" w14:paraId="000001A3">
            <w:pPr>
              <w:spacing w:line="240" w:lineRule="auto"/>
              <w:jc w:val="right"/>
              <w:rPr>
                <w:color w:val="000000"/>
              </w:rPr>
            </w:pPr>
            <w:r w:rsidDel="00000000" w:rsidR="00000000" w:rsidRPr="00000000">
              <w:rPr>
                <w:color w:val="000000"/>
                <w:rtl w:val="0"/>
              </w:rPr>
              <w:t xml:space="preserve">0.794</w:t>
            </w:r>
          </w:p>
        </w:tc>
        <w:tc>
          <w:tcPr>
            <w:vAlign w:val="bottom"/>
          </w:tcPr>
          <w:p w:rsidR="00000000" w:rsidDel="00000000" w:rsidP="00000000" w:rsidRDefault="00000000" w:rsidRPr="00000000" w14:paraId="000001A4">
            <w:pPr>
              <w:spacing w:line="240" w:lineRule="auto"/>
              <w:jc w:val="right"/>
              <w:rPr>
                <w:color w:val="000000"/>
              </w:rPr>
            </w:pPr>
            <w:r w:rsidDel="00000000" w:rsidR="00000000" w:rsidRPr="00000000">
              <w:rPr>
                <w:color w:val="000000"/>
                <w:rtl w:val="0"/>
              </w:rPr>
              <w:t xml:space="preserve">11.114</w:t>
            </w:r>
          </w:p>
        </w:tc>
        <w:tc>
          <w:tcPr/>
          <w:p w:rsidR="00000000" w:rsidDel="00000000" w:rsidP="00000000" w:rsidRDefault="00000000" w:rsidRPr="00000000" w14:paraId="000001A5">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1A6">
            <w:pPr>
              <w:spacing w:line="240" w:lineRule="auto"/>
              <w:jc w:val="right"/>
              <w:rPr>
                <w:color w:val="000000"/>
              </w:rPr>
            </w:pPr>
            <w:r w:rsidDel="00000000" w:rsidR="00000000" w:rsidRPr="00000000">
              <w:rPr>
                <w:color w:val="000000"/>
                <w:rtl w:val="0"/>
              </w:rPr>
              <w:t xml:space="preserve">3</w:t>
            </w:r>
          </w:p>
        </w:tc>
        <w:tc>
          <w:tcPr>
            <w:vAlign w:val="center"/>
          </w:tcPr>
          <w:p w:rsidR="00000000" w:rsidDel="00000000" w:rsidP="00000000" w:rsidRDefault="00000000" w:rsidRPr="00000000" w14:paraId="000001A7">
            <w:pPr>
              <w:spacing w:line="240" w:lineRule="auto"/>
              <w:jc w:val="right"/>
              <w:rPr>
                <w:color w:val="000000"/>
              </w:rPr>
            </w:pPr>
            <w:r w:rsidDel="00000000" w:rsidR="00000000" w:rsidRPr="00000000">
              <w:rPr>
                <w:color w:val="000000"/>
                <w:rtl w:val="0"/>
              </w:rPr>
              <w:t xml:space="preserve">11</w:t>
            </w:r>
          </w:p>
        </w:tc>
        <w:tc>
          <w:tcPr>
            <w:vAlign w:val="center"/>
          </w:tcPr>
          <w:p w:rsidR="00000000" w:rsidDel="00000000" w:rsidP="00000000" w:rsidRDefault="00000000" w:rsidRPr="00000000" w14:paraId="000001A8">
            <w:pPr>
              <w:spacing w:line="240" w:lineRule="auto"/>
              <w:jc w:val="right"/>
              <w:rPr>
                <w:color w:val="000000"/>
              </w:rPr>
            </w:pPr>
            <w:r w:rsidDel="00000000" w:rsidR="00000000" w:rsidRPr="00000000">
              <w:rPr>
                <w:color w:val="000000"/>
                <w:rtl w:val="0"/>
              </w:rPr>
              <w:t xml:space="preserve">0.794</w:t>
            </w:r>
          </w:p>
        </w:tc>
        <w:tc>
          <w:tcPr>
            <w:vAlign w:val="bottom"/>
          </w:tcPr>
          <w:p w:rsidR="00000000" w:rsidDel="00000000" w:rsidP="00000000" w:rsidRDefault="00000000" w:rsidRPr="00000000" w14:paraId="000001A9">
            <w:pPr>
              <w:spacing w:line="240" w:lineRule="auto"/>
              <w:jc w:val="right"/>
              <w:rPr>
                <w:color w:val="000000"/>
              </w:rPr>
            </w:pPr>
            <w:r w:rsidDel="00000000" w:rsidR="00000000" w:rsidRPr="00000000">
              <w:rPr>
                <w:color w:val="000000"/>
                <w:rtl w:val="0"/>
              </w:rPr>
              <w:t xml:space="preserve">8.732</w:t>
            </w:r>
          </w:p>
        </w:tc>
        <w:tc>
          <w:tcPr/>
          <w:p w:rsidR="00000000" w:rsidDel="00000000" w:rsidP="00000000" w:rsidRDefault="00000000" w:rsidRPr="00000000" w14:paraId="000001AA">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1AB">
            <w:pPr>
              <w:spacing w:line="240" w:lineRule="auto"/>
              <w:jc w:val="right"/>
              <w:rPr>
                <w:color w:val="000000"/>
              </w:rPr>
            </w:pPr>
            <w:r w:rsidDel="00000000" w:rsidR="00000000" w:rsidRPr="00000000">
              <w:rPr>
                <w:color w:val="000000"/>
                <w:rtl w:val="0"/>
              </w:rPr>
              <w:t xml:space="preserve">3</w:t>
            </w:r>
          </w:p>
        </w:tc>
        <w:tc>
          <w:tcPr>
            <w:vAlign w:val="center"/>
          </w:tcPr>
          <w:p w:rsidR="00000000" w:rsidDel="00000000" w:rsidP="00000000" w:rsidRDefault="00000000" w:rsidRPr="00000000" w14:paraId="000001AC">
            <w:pPr>
              <w:spacing w:line="240" w:lineRule="auto"/>
              <w:jc w:val="right"/>
              <w:rPr>
                <w:color w:val="000000"/>
              </w:rPr>
            </w:pPr>
            <w:r w:rsidDel="00000000" w:rsidR="00000000" w:rsidRPr="00000000">
              <w:rPr>
                <w:color w:val="000000"/>
                <w:rtl w:val="0"/>
              </w:rPr>
              <w:t xml:space="preserve">20</w:t>
            </w:r>
          </w:p>
        </w:tc>
        <w:tc>
          <w:tcPr>
            <w:vAlign w:val="center"/>
          </w:tcPr>
          <w:p w:rsidR="00000000" w:rsidDel="00000000" w:rsidP="00000000" w:rsidRDefault="00000000" w:rsidRPr="00000000" w14:paraId="000001AD">
            <w:pPr>
              <w:spacing w:line="240" w:lineRule="auto"/>
              <w:jc w:val="right"/>
              <w:rPr>
                <w:color w:val="000000"/>
              </w:rPr>
            </w:pPr>
            <w:r w:rsidDel="00000000" w:rsidR="00000000" w:rsidRPr="00000000">
              <w:rPr>
                <w:color w:val="000000"/>
                <w:rtl w:val="0"/>
              </w:rPr>
              <w:t xml:space="preserve">0.794</w:t>
            </w:r>
          </w:p>
        </w:tc>
        <w:tc>
          <w:tcPr>
            <w:vAlign w:val="bottom"/>
          </w:tcPr>
          <w:p w:rsidR="00000000" w:rsidDel="00000000" w:rsidP="00000000" w:rsidRDefault="00000000" w:rsidRPr="00000000" w14:paraId="000001AE">
            <w:pPr>
              <w:spacing w:line="240" w:lineRule="auto"/>
              <w:jc w:val="right"/>
              <w:rPr>
                <w:color w:val="000000"/>
              </w:rPr>
            </w:pPr>
            <w:r w:rsidDel="00000000" w:rsidR="00000000" w:rsidRPr="00000000">
              <w:rPr>
                <w:color w:val="000000"/>
                <w:rtl w:val="0"/>
              </w:rPr>
              <w:t xml:space="preserve">15.877</w:t>
            </w:r>
          </w:p>
        </w:tc>
      </w:tr>
      <w:tr>
        <w:trPr>
          <w:cantSplit w:val="0"/>
          <w:trHeight w:val="288" w:hRule="atLeast"/>
          <w:tblHeader w:val="0"/>
        </w:trPr>
        <w:tc>
          <w:tcPr>
            <w:vAlign w:val="center"/>
          </w:tcPr>
          <w:p w:rsidR="00000000" w:rsidDel="00000000" w:rsidP="00000000" w:rsidRDefault="00000000" w:rsidRPr="00000000" w14:paraId="000001AF">
            <w:pPr>
              <w:spacing w:line="240" w:lineRule="auto"/>
              <w:jc w:val="right"/>
              <w:rPr>
                <w:color w:val="000000"/>
              </w:rPr>
            </w:pPr>
            <w:r w:rsidDel="00000000" w:rsidR="00000000" w:rsidRPr="00000000">
              <w:rPr>
                <w:color w:val="000000"/>
                <w:rtl w:val="0"/>
              </w:rPr>
              <w:t xml:space="preserve">4</w:t>
            </w:r>
          </w:p>
        </w:tc>
        <w:tc>
          <w:tcPr>
            <w:vAlign w:val="center"/>
          </w:tcPr>
          <w:p w:rsidR="00000000" w:rsidDel="00000000" w:rsidP="00000000" w:rsidRDefault="00000000" w:rsidRPr="00000000" w14:paraId="000001B0">
            <w:pPr>
              <w:spacing w:line="240" w:lineRule="auto"/>
              <w:jc w:val="right"/>
              <w:rPr>
                <w:color w:val="000000"/>
              </w:rPr>
            </w:pPr>
            <w:r w:rsidDel="00000000" w:rsidR="00000000" w:rsidRPr="00000000">
              <w:rPr>
                <w:color w:val="000000"/>
                <w:rtl w:val="0"/>
              </w:rPr>
              <w:t xml:space="preserve">10</w:t>
            </w:r>
          </w:p>
        </w:tc>
        <w:tc>
          <w:tcPr>
            <w:vAlign w:val="center"/>
          </w:tcPr>
          <w:p w:rsidR="00000000" w:rsidDel="00000000" w:rsidP="00000000" w:rsidRDefault="00000000" w:rsidRPr="00000000" w14:paraId="000001B1">
            <w:pPr>
              <w:spacing w:line="240" w:lineRule="auto"/>
              <w:jc w:val="right"/>
              <w:rPr>
                <w:color w:val="000000"/>
              </w:rPr>
            </w:pPr>
            <w:r w:rsidDel="00000000" w:rsidR="00000000" w:rsidRPr="00000000">
              <w:rPr>
                <w:color w:val="000000"/>
                <w:rtl w:val="0"/>
              </w:rPr>
              <w:t xml:space="preserve">0.735</w:t>
            </w:r>
          </w:p>
        </w:tc>
        <w:tc>
          <w:tcPr>
            <w:vAlign w:val="bottom"/>
          </w:tcPr>
          <w:p w:rsidR="00000000" w:rsidDel="00000000" w:rsidP="00000000" w:rsidRDefault="00000000" w:rsidRPr="00000000" w14:paraId="000001B2">
            <w:pPr>
              <w:spacing w:line="240" w:lineRule="auto"/>
              <w:jc w:val="right"/>
              <w:rPr>
                <w:color w:val="000000"/>
              </w:rPr>
            </w:pPr>
            <w:r w:rsidDel="00000000" w:rsidR="00000000" w:rsidRPr="00000000">
              <w:rPr>
                <w:color w:val="000000"/>
                <w:rtl w:val="0"/>
              </w:rPr>
              <w:t xml:space="preserve">7.350</w:t>
            </w:r>
          </w:p>
        </w:tc>
        <w:tc>
          <w:tcPr/>
          <w:p w:rsidR="00000000" w:rsidDel="00000000" w:rsidP="00000000" w:rsidRDefault="00000000" w:rsidRPr="00000000" w14:paraId="000001B3">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1B4">
            <w:pPr>
              <w:spacing w:line="240" w:lineRule="auto"/>
              <w:jc w:val="right"/>
              <w:rPr>
                <w:color w:val="000000"/>
              </w:rPr>
            </w:pPr>
            <w:r w:rsidDel="00000000" w:rsidR="00000000" w:rsidRPr="00000000">
              <w:rPr>
                <w:color w:val="000000"/>
                <w:rtl w:val="0"/>
              </w:rPr>
              <w:t xml:space="preserve">4</w:t>
            </w:r>
          </w:p>
        </w:tc>
        <w:tc>
          <w:tcPr>
            <w:vAlign w:val="center"/>
          </w:tcPr>
          <w:p w:rsidR="00000000" w:rsidDel="00000000" w:rsidP="00000000" w:rsidRDefault="00000000" w:rsidRPr="00000000" w14:paraId="000001B5">
            <w:pPr>
              <w:spacing w:line="240" w:lineRule="auto"/>
              <w:jc w:val="right"/>
              <w:rPr>
                <w:color w:val="000000"/>
              </w:rPr>
            </w:pPr>
            <w:r w:rsidDel="00000000" w:rsidR="00000000" w:rsidRPr="00000000">
              <w:rPr>
                <w:color w:val="000000"/>
                <w:rtl w:val="0"/>
              </w:rPr>
              <w:t xml:space="preserve">11</w:t>
            </w:r>
          </w:p>
        </w:tc>
        <w:tc>
          <w:tcPr>
            <w:vAlign w:val="center"/>
          </w:tcPr>
          <w:p w:rsidR="00000000" w:rsidDel="00000000" w:rsidP="00000000" w:rsidRDefault="00000000" w:rsidRPr="00000000" w14:paraId="000001B6">
            <w:pPr>
              <w:spacing w:line="240" w:lineRule="auto"/>
              <w:jc w:val="right"/>
              <w:rPr>
                <w:color w:val="000000"/>
              </w:rPr>
            </w:pPr>
            <w:r w:rsidDel="00000000" w:rsidR="00000000" w:rsidRPr="00000000">
              <w:rPr>
                <w:color w:val="000000"/>
                <w:rtl w:val="0"/>
              </w:rPr>
              <w:t xml:space="preserve">0.735</w:t>
            </w:r>
          </w:p>
        </w:tc>
        <w:tc>
          <w:tcPr>
            <w:vAlign w:val="bottom"/>
          </w:tcPr>
          <w:p w:rsidR="00000000" w:rsidDel="00000000" w:rsidP="00000000" w:rsidRDefault="00000000" w:rsidRPr="00000000" w14:paraId="000001B7">
            <w:pPr>
              <w:spacing w:line="240" w:lineRule="auto"/>
              <w:jc w:val="right"/>
              <w:rPr>
                <w:color w:val="000000"/>
              </w:rPr>
            </w:pPr>
            <w:r w:rsidDel="00000000" w:rsidR="00000000" w:rsidRPr="00000000">
              <w:rPr>
                <w:color w:val="000000"/>
                <w:rtl w:val="0"/>
              </w:rPr>
              <w:t xml:space="preserve">8.085</w:t>
            </w:r>
          </w:p>
        </w:tc>
        <w:tc>
          <w:tcPr/>
          <w:p w:rsidR="00000000" w:rsidDel="00000000" w:rsidP="00000000" w:rsidRDefault="00000000" w:rsidRPr="00000000" w14:paraId="000001B8">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1B9">
            <w:pPr>
              <w:spacing w:line="240" w:lineRule="auto"/>
              <w:jc w:val="right"/>
              <w:rPr>
                <w:color w:val="000000"/>
              </w:rPr>
            </w:pPr>
            <w:r w:rsidDel="00000000" w:rsidR="00000000" w:rsidRPr="00000000">
              <w:rPr>
                <w:color w:val="000000"/>
                <w:rtl w:val="0"/>
              </w:rPr>
              <w:t xml:space="preserve">4</w:t>
            </w:r>
          </w:p>
        </w:tc>
        <w:tc>
          <w:tcPr>
            <w:vAlign w:val="center"/>
          </w:tcPr>
          <w:p w:rsidR="00000000" w:rsidDel="00000000" w:rsidP="00000000" w:rsidRDefault="00000000" w:rsidRPr="00000000" w14:paraId="000001BA">
            <w:pPr>
              <w:spacing w:line="240" w:lineRule="auto"/>
              <w:jc w:val="right"/>
              <w:rPr>
                <w:color w:val="000000"/>
              </w:rPr>
            </w:pPr>
            <w:r w:rsidDel="00000000" w:rsidR="00000000" w:rsidRPr="00000000">
              <w:rPr>
                <w:color w:val="000000"/>
                <w:rtl w:val="0"/>
              </w:rPr>
              <w:t xml:space="preserve">25</w:t>
            </w:r>
          </w:p>
        </w:tc>
        <w:tc>
          <w:tcPr>
            <w:vAlign w:val="center"/>
          </w:tcPr>
          <w:p w:rsidR="00000000" w:rsidDel="00000000" w:rsidP="00000000" w:rsidRDefault="00000000" w:rsidRPr="00000000" w14:paraId="000001BB">
            <w:pPr>
              <w:spacing w:line="240" w:lineRule="auto"/>
              <w:jc w:val="right"/>
              <w:rPr>
                <w:color w:val="000000"/>
              </w:rPr>
            </w:pPr>
            <w:r w:rsidDel="00000000" w:rsidR="00000000" w:rsidRPr="00000000">
              <w:rPr>
                <w:color w:val="000000"/>
                <w:rtl w:val="0"/>
              </w:rPr>
              <w:t xml:space="preserve">0.735</w:t>
            </w:r>
          </w:p>
        </w:tc>
        <w:tc>
          <w:tcPr>
            <w:vAlign w:val="bottom"/>
          </w:tcPr>
          <w:p w:rsidR="00000000" w:rsidDel="00000000" w:rsidP="00000000" w:rsidRDefault="00000000" w:rsidRPr="00000000" w14:paraId="000001BC">
            <w:pPr>
              <w:spacing w:line="240" w:lineRule="auto"/>
              <w:jc w:val="right"/>
              <w:rPr>
                <w:color w:val="000000"/>
              </w:rPr>
            </w:pPr>
            <w:r w:rsidDel="00000000" w:rsidR="00000000" w:rsidRPr="00000000">
              <w:rPr>
                <w:color w:val="000000"/>
                <w:rtl w:val="0"/>
              </w:rPr>
              <w:t xml:space="preserve">18.376</w:t>
            </w:r>
          </w:p>
        </w:tc>
      </w:tr>
      <w:tr>
        <w:trPr>
          <w:cantSplit w:val="0"/>
          <w:trHeight w:val="288" w:hRule="atLeast"/>
          <w:tblHeader w:val="0"/>
        </w:trPr>
        <w:tc>
          <w:tcPr>
            <w:vAlign w:val="center"/>
          </w:tcPr>
          <w:p w:rsidR="00000000" w:rsidDel="00000000" w:rsidP="00000000" w:rsidRDefault="00000000" w:rsidRPr="00000000" w14:paraId="000001BD">
            <w:pPr>
              <w:spacing w:line="240" w:lineRule="auto"/>
              <w:jc w:val="right"/>
              <w:rPr>
                <w:color w:val="000000"/>
              </w:rPr>
            </w:pPr>
            <w:r w:rsidDel="00000000" w:rsidR="00000000" w:rsidRPr="00000000">
              <w:rPr>
                <w:color w:val="000000"/>
                <w:rtl w:val="0"/>
              </w:rPr>
              <w:t xml:space="preserve">5</w:t>
            </w:r>
          </w:p>
        </w:tc>
        <w:tc>
          <w:tcPr>
            <w:vAlign w:val="center"/>
          </w:tcPr>
          <w:p w:rsidR="00000000" w:rsidDel="00000000" w:rsidP="00000000" w:rsidRDefault="00000000" w:rsidRPr="00000000" w14:paraId="000001BE">
            <w:pPr>
              <w:spacing w:line="240" w:lineRule="auto"/>
              <w:jc w:val="right"/>
              <w:rPr>
                <w:color w:val="000000"/>
              </w:rPr>
            </w:pPr>
            <w:r w:rsidDel="00000000" w:rsidR="00000000" w:rsidRPr="00000000">
              <w:rPr>
                <w:color w:val="000000"/>
                <w:rtl w:val="0"/>
              </w:rPr>
              <w:t xml:space="preserve">8</w:t>
            </w:r>
          </w:p>
        </w:tc>
        <w:tc>
          <w:tcPr>
            <w:vAlign w:val="center"/>
          </w:tcPr>
          <w:p w:rsidR="00000000" w:rsidDel="00000000" w:rsidP="00000000" w:rsidRDefault="00000000" w:rsidRPr="00000000" w14:paraId="000001BF">
            <w:pPr>
              <w:spacing w:line="240" w:lineRule="auto"/>
              <w:jc w:val="right"/>
              <w:rPr>
                <w:color w:val="000000"/>
              </w:rPr>
            </w:pPr>
            <w:r w:rsidDel="00000000" w:rsidR="00000000" w:rsidRPr="00000000">
              <w:rPr>
                <w:color w:val="000000"/>
                <w:rtl w:val="0"/>
              </w:rPr>
              <w:t xml:space="preserve">0.681</w:t>
            </w:r>
          </w:p>
        </w:tc>
        <w:tc>
          <w:tcPr>
            <w:vAlign w:val="bottom"/>
          </w:tcPr>
          <w:p w:rsidR="00000000" w:rsidDel="00000000" w:rsidP="00000000" w:rsidRDefault="00000000" w:rsidRPr="00000000" w14:paraId="000001C0">
            <w:pPr>
              <w:spacing w:line="240" w:lineRule="auto"/>
              <w:jc w:val="right"/>
              <w:rPr>
                <w:color w:val="000000"/>
              </w:rPr>
            </w:pPr>
            <w:r w:rsidDel="00000000" w:rsidR="00000000" w:rsidRPr="00000000">
              <w:rPr>
                <w:color w:val="000000"/>
                <w:rtl w:val="0"/>
              </w:rPr>
              <w:t xml:space="preserve">5.445</w:t>
            </w:r>
          </w:p>
        </w:tc>
        <w:tc>
          <w:tcPr/>
          <w:p w:rsidR="00000000" w:rsidDel="00000000" w:rsidP="00000000" w:rsidRDefault="00000000" w:rsidRPr="00000000" w14:paraId="000001C1">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1C2">
            <w:pPr>
              <w:spacing w:line="240" w:lineRule="auto"/>
              <w:jc w:val="right"/>
              <w:rPr>
                <w:color w:val="000000"/>
              </w:rPr>
            </w:pPr>
            <w:r w:rsidDel="00000000" w:rsidR="00000000" w:rsidRPr="00000000">
              <w:rPr>
                <w:color w:val="000000"/>
                <w:rtl w:val="0"/>
              </w:rPr>
              <w:t xml:space="preserve">5</w:t>
            </w:r>
          </w:p>
        </w:tc>
        <w:tc>
          <w:tcPr>
            <w:vAlign w:val="center"/>
          </w:tcPr>
          <w:p w:rsidR="00000000" w:rsidDel="00000000" w:rsidP="00000000" w:rsidRDefault="00000000" w:rsidRPr="00000000" w14:paraId="000001C3">
            <w:pPr>
              <w:spacing w:line="240" w:lineRule="auto"/>
              <w:jc w:val="right"/>
              <w:rPr>
                <w:color w:val="000000"/>
              </w:rPr>
            </w:pPr>
            <w:r w:rsidDel="00000000" w:rsidR="00000000" w:rsidRPr="00000000">
              <w:rPr>
                <w:color w:val="000000"/>
                <w:rtl w:val="0"/>
              </w:rPr>
              <w:t xml:space="preserve">11</w:t>
            </w:r>
          </w:p>
        </w:tc>
        <w:tc>
          <w:tcPr>
            <w:vAlign w:val="center"/>
          </w:tcPr>
          <w:p w:rsidR="00000000" w:rsidDel="00000000" w:rsidP="00000000" w:rsidRDefault="00000000" w:rsidRPr="00000000" w14:paraId="000001C4">
            <w:pPr>
              <w:spacing w:line="240" w:lineRule="auto"/>
              <w:jc w:val="right"/>
              <w:rPr>
                <w:color w:val="000000"/>
              </w:rPr>
            </w:pPr>
            <w:r w:rsidDel="00000000" w:rsidR="00000000" w:rsidRPr="00000000">
              <w:rPr>
                <w:color w:val="000000"/>
                <w:rtl w:val="0"/>
              </w:rPr>
              <w:t xml:space="preserve">0.681</w:t>
            </w:r>
          </w:p>
        </w:tc>
        <w:tc>
          <w:tcPr>
            <w:vAlign w:val="bottom"/>
          </w:tcPr>
          <w:p w:rsidR="00000000" w:rsidDel="00000000" w:rsidP="00000000" w:rsidRDefault="00000000" w:rsidRPr="00000000" w14:paraId="000001C5">
            <w:pPr>
              <w:spacing w:line="240" w:lineRule="auto"/>
              <w:jc w:val="right"/>
              <w:rPr>
                <w:color w:val="000000"/>
              </w:rPr>
            </w:pPr>
            <w:r w:rsidDel="00000000" w:rsidR="00000000" w:rsidRPr="00000000">
              <w:rPr>
                <w:color w:val="000000"/>
                <w:rtl w:val="0"/>
              </w:rPr>
              <w:t xml:space="preserve">7.486</w:t>
            </w:r>
          </w:p>
        </w:tc>
        <w:tc>
          <w:tcPr/>
          <w:p w:rsidR="00000000" w:rsidDel="00000000" w:rsidP="00000000" w:rsidRDefault="00000000" w:rsidRPr="00000000" w14:paraId="000001C6">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1C7">
            <w:pPr>
              <w:spacing w:line="240" w:lineRule="auto"/>
              <w:jc w:val="right"/>
              <w:rPr>
                <w:color w:val="000000"/>
              </w:rPr>
            </w:pPr>
            <w:r w:rsidDel="00000000" w:rsidR="00000000" w:rsidRPr="00000000">
              <w:rPr>
                <w:color w:val="000000"/>
                <w:rtl w:val="0"/>
              </w:rPr>
              <w:t xml:space="preserve">5</w:t>
            </w:r>
          </w:p>
        </w:tc>
        <w:tc>
          <w:tcPr>
            <w:vAlign w:val="center"/>
          </w:tcPr>
          <w:p w:rsidR="00000000" w:rsidDel="00000000" w:rsidP="00000000" w:rsidRDefault="00000000" w:rsidRPr="00000000" w14:paraId="000001C8">
            <w:pPr>
              <w:spacing w:line="240" w:lineRule="auto"/>
              <w:jc w:val="right"/>
              <w:rPr>
                <w:color w:val="000000"/>
              </w:rPr>
            </w:pPr>
            <w:r w:rsidDel="00000000" w:rsidR="00000000" w:rsidRPr="00000000">
              <w:rPr>
                <w:color w:val="000000"/>
                <w:rtl w:val="0"/>
              </w:rPr>
              <w:t xml:space="preserve">5</w:t>
            </w:r>
          </w:p>
        </w:tc>
        <w:tc>
          <w:tcPr>
            <w:vAlign w:val="center"/>
          </w:tcPr>
          <w:p w:rsidR="00000000" w:rsidDel="00000000" w:rsidP="00000000" w:rsidRDefault="00000000" w:rsidRPr="00000000" w14:paraId="000001C9">
            <w:pPr>
              <w:spacing w:line="240" w:lineRule="auto"/>
              <w:jc w:val="right"/>
              <w:rPr>
                <w:color w:val="000000"/>
              </w:rPr>
            </w:pPr>
            <w:r w:rsidDel="00000000" w:rsidR="00000000" w:rsidRPr="00000000">
              <w:rPr>
                <w:color w:val="000000"/>
                <w:rtl w:val="0"/>
              </w:rPr>
              <w:t xml:space="preserve">0.681</w:t>
            </w:r>
          </w:p>
        </w:tc>
        <w:tc>
          <w:tcPr>
            <w:vAlign w:val="bottom"/>
          </w:tcPr>
          <w:p w:rsidR="00000000" w:rsidDel="00000000" w:rsidP="00000000" w:rsidRDefault="00000000" w:rsidRPr="00000000" w14:paraId="000001CA">
            <w:pPr>
              <w:spacing w:line="240" w:lineRule="auto"/>
              <w:jc w:val="right"/>
              <w:rPr>
                <w:color w:val="000000"/>
              </w:rPr>
            </w:pPr>
            <w:r w:rsidDel="00000000" w:rsidR="00000000" w:rsidRPr="00000000">
              <w:rPr>
                <w:color w:val="000000"/>
                <w:rtl w:val="0"/>
              </w:rPr>
              <w:t xml:space="preserve">3.403</w:t>
            </w:r>
          </w:p>
        </w:tc>
      </w:tr>
      <w:tr>
        <w:trPr>
          <w:cantSplit w:val="0"/>
          <w:trHeight w:val="288" w:hRule="atLeast"/>
          <w:tblHeader w:val="0"/>
        </w:trPr>
        <w:tc>
          <w:tcPr>
            <w:vAlign w:val="bottom"/>
          </w:tcPr>
          <w:p w:rsidR="00000000" w:rsidDel="00000000" w:rsidP="00000000" w:rsidRDefault="00000000" w:rsidRPr="00000000" w14:paraId="000001CB">
            <w:pPr>
              <w:spacing w:line="240" w:lineRule="auto"/>
              <w:rPr>
                <w:color w:val="000000"/>
              </w:rPr>
            </w:pPr>
            <w:r w:rsidDel="00000000" w:rsidR="00000000" w:rsidRPr="00000000">
              <w:rPr>
                <w:color w:val="000000"/>
                <w:rtl w:val="0"/>
              </w:rPr>
              <w:t xml:space="preserve">PV</w:t>
            </w:r>
          </w:p>
        </w:tc>
        <w:tc>
          <w:tcPr>
            <w:vAlign w:val="bottom"/>
          </w:tcPr>
          <w:p w:rsidR="00000000" w:rsidDel="00000000" w:rsidP="00000000" w:rsidRDefault="00000000" w:rsidRPr="00000000" w14:paraId="000001CC">
            <w:pPr>
              <w:spacing w:line="240" w:lineRule="auto"/>
              <w:rPr>
                <w:color w:val="000000"/>
              </w:rPr>
            </w:pPr>
            <w:r w:rsidDel="00000000" w:rsidR="00000000" w:rsidRPr="00000000">
              <w:rPr>
                <w:rtl w:val="0"/>
              </w:rPr>
            </w:r>
          </w:p>
        </w:tc>
        <w:tc>
          <w:tcPr>
            <w:vAlign w:val="bottom"/>
          </w:tcPr>
          <w:p w:rsidR="00000000" w:rsidDel="00000000" w:rsidP="00000000" w:rsidRDefault="00000000" w:rsidRPr="00000000" w14:paraId="000001CD">
            <w:pPr>
              <w:spacing w:line="240" w:lineRule="auto"/>
              <w:rPr>
                <w:sz w:val="20"/>
                <w:szCs w:val="20"/>
              </w:rPr>
            </w:pPr>
            <w:r w:rsidDel="00000000" w:rsidR="00000000" w:rsidRPr="00000000">
              <w:rPr>
                <w:rtl w:val="0"/>
              </w:rPr>
            </w:r>
          </w:p>
        </w:tc>
        <w:tc>
          <w:tcPr>
            <w:vAlign w:val="bottom"/>
          </w:tcPr>
          <w:p w:rsidR="00000000" w:rsidDel="00000000" w:rsidP="00000000" w:rsidRDefault="00000000" w:rsidRPr="00000000" w14:paraId="000001CE">
            <w:pPr>
              <w:spacing w:line="240" w:lineRule="auto"/>
              <w:jc w:val="right"/>
              <w:rPr>
                <w:color w:val="000000"/>
              </w:rPr>
            </w:pPr>
            <w:r w:rsidDel="00000000" w:rsidR="00000000" w:rsidRPr="00000000">
              <w:rPr>
                <w:color w:val="000000"/>
                <w:rtl w:val="0"/>
              </w:rPr>
              <w:t xml:space="preserve">43.456</w:t>
            </w:r>
          </w:p>
        </w:tc>
        <w:tc>
          <w:tcPr/>
          <w:p w:rsidR="00000000" w:rsidDel="00000000" w:rsidP="00000000" w:rsidRDefault="00000000" w:rsidRPr="00000000" w14:paraId="000001CF">
            <w:pPr>
              <w:spacing w:line="240" w:lineRule="auto"/>
              <w:rPr>
                <w:color w:val="000000"/>
              </w:rPr>
            </w:pPr>
            <w:r w:rsidDel="00000000" w:rsidR="00000000" w:rsidRPr="00000000">
              <w:rPr>
                <w:rtl w:val="0"/>
              </w:rPr>
            </w:r>
          </w:p>
        </w:tc>
        <w:tc>
          <w:tcPr>
            <w:vAlign w:val="bottom"/>
          </w:tcPr>
          <w:p w:rsidR="00000000" w:rsidDel="00000000" w:rsidP="00000000" w:rsidRDefault="00000000" w:rsidRPr="00000000" w14:paraId="000001D0">
            <w:pPr>
              <w:spacing w:line="240" w:lineRule="auto"/>
              <w:rPr>
                <w:color w:val="000000"/>
              </w:rPr>
            </w:pPr>
            <w:r w:rsidDel="00000000" w:rsidR="00000000" w:rsidRPr="00000000">
              <w:rPr>
                <w:color w:val="000000"/>
                <w:rtl w:val="0"/>
              </w:rPr>
              <w:t xml:space="preserve">PV</w:t>
            </w:r>
          </w:p>
        </w:tc>
        <w:tc>
          <w:tcPr>
            <w:vAlign w:val="bottom"/>
          </w:tcPr>
          <w:p w:rsidR="00000000" w:rsidDel="00000000" w:rsidP="00000000" w:rsidRDefault="00000000" w:rsidRPr="00000000" w14:paraId="000001D1">
            <w:pPr>
              <w:spacing w:line="240" w:lineRule="auto"/>
              <w:rPr>
                <w:color w:val="000000"/>
              </w:rPr>
            </w:pPr>
            <w:r w:rsidDel="00000000" w:rsidR="00000000" w:rsidRPr="00000000">
              <w:rPr>
                <w:rtl w:val="0"/>
              </w:rPr>
            </w:r>
          </w:p>
        </w:tc>
        <w:tc>
          <w:tcPr>
            <w:vAlign w:val="bottom"/>
          </w:tcPr>
          <w:p w:rsidR="00000000" w:rsidDel="00000000" w:rsidP="00000000" w:rsidRDefault="00000000" w:rsidRPr="00000000" w14:paraId="000001D2">
            <w:pPr>
              <w:spacing w:line="240" w:lineRule="auto"/>
              <w:rPr>
                <w:sz w:val="20"/>
                <w:szCs w:val="20"/>
              </w:rPr>
            </w:pPr>
            <w:r w:rsidDel="00000000" w:rsidR="00000000" w:rsidRPr="00000000">
              <w:rPr>
                <w:rtl w:val="0"/>
              </w:rPr>
            </w:r>
          </w:p>
        </w:tc>
        <w:tc>
          <w:tcPr>
            <w:vAlign w:val="bottom"/>
          </w:tcPr>
          <w:p w:rsidR="00000000" w:rsidDel="00000000" w:rsidP="00000000" w:rsidRDefault="00000000" w:rsidRPr="00000000" w14:paraId="000001D3">
            <w:pPr>
              <w:spacing w:line="240" w:lineRule="auto"/>
              <w:jc w:val="right"/>
              <w:rPr>
                <w:color w:val="000000"/>
              </w:rPr>
            </w:pPr>
            <w:r w:rsidDel="00000000" w:rsidR="00000000" w:rsidRPr="00000000">
              <w:rPr>
                <w:color w:val="000000"/>
                <w:rtl w:val="0"/>
              </w:rPr>
              <w:t xml:space="preserve">43.920</w:t>
            </w:r>
          </w:p>
        </w:tc>
        <w:tc>
          <w:tcPr/>
          <w:p w:rsidR="00000000" w:rsidDel="00000000" w:rsidP="00000000" w:rsidRDefault="00000000" w:rsidRPr="00000000" w14:paraId="000001D4">
            <w:pPr>
              <w:spacing w:line="240" w:lineRule="auto"/>
              <w:rPr>
                <w:color w:val="000000"/>
              </w:rPr>
            </w:pPr>
            <w:r w:rsidDel="00000000" w:rsidR="00000000" w:rsidRPr="00000000">
              <w:rPr>
                <w:rtl w:val="0"/>
              </w:rPr>
            </w:r>
          </w:p>
        </w:tc>
        <w:tc>
          <w:tcPr>
            <w:vAlign w:val="bottom"/>
          </w:tcPr>
          <w:p w:rsidR="00000000" w:rsidDel="00000000" w:rsidP="00000000" w:rsidRDefault="00000000" w:rsidRPr="00000000" w14:paraId="000001D5">
            <w:pPr>
              <w:spacing w:line="240" w:lineRule="auto"/>
              <w:rPr>
                <w:color w:val="000000"/>
              </w:rPr>
            </w:pPr>
            <w:r w:rsidDel="00000000" w:rsidR="00000000" w:rsidRPr="00000000">
              <w:rPr>
                <w:color w:val="000000"/>
                <w:rtl w:val="0"/>
              </w:rPr>
              <w:t xml:space="preserve">PV</w:t>
            </w:r>
          </w:p>
        </w:tc>
        <w:tc>
          <w:tcPr>
            <w:vAlign w:val="bottom"/>
          </w:tcPr>
          <w:p w:rsidR="00000000" w:rsidDel="00000000" w:rsidP="00000000" w:rsidRDefault="00000000" w:rsidRPr="00000000" w14:paraId="000001D6">
            <w:pPr>
              <w:spacing w:line="240" w:lineRule="auto"/>
              <w:rPr>
                <w:color w:val="000000"/>
              </w:rPr>
            </w:pPr>
            <w:r w:rsidDel="00000000" w:rsidR="00000000" w:rsidRPr="00000000">
              <w:rPr>
                <w:rtl w:val="0"/>
              </w:rPr>
            </w:r>
          </w:p>
        </w:tc>
        <w:tc>
          <w:tcPr>
            <w:vAlign w:val="bottom"/>
          </w:tcPr>
          <w:p w:rsidR="00000000" w:rsidDel="00000000" w:rsidP="00000000" w:rsidRDefault="00000000" w:rsidRPr="00000000" w14:paraId="000001D7">
            <w:pPr>
              <w:spacing w:line="240" w:lineRule="auto"/>
              <w:rPr>
                <w:sz w:val="20"/>
                <w:szCs w:val="20"/>
              </w:rPr>
            </w:pPr>
            <w:r w:rsidDel="00000000" w:rsidR="00000000" w:rsidRPr="00000000">
              <w:rPr>
                <w:rtl w:val="0"/>
              </w:rPr>
            </w:r>
          </w:p>
        </w:tc>
        <w:tc>
          <w:tcPr>
            <w:vAlign w:val="bottom"/>
          </w:tcPr>
          <w:p w:rsidR="00000000" w:rsidDel="00000000" w:rsidP="00000000" w:rsidRDefault="00000000" w:rsidRPr="00000000" w14:paraId="000001D8">
            <w:pPr>
              <w:spacing w:line="240" w:lineRule="auto"/>
              <w:jc w:val="right"/>
              <w:rPr>
                <w:color w:val="000000"/>
              </w:rPr>
            </w:pPr>
            <w:r w:rsidDel="00000000" w:rsidR="00000000" w:rsidRPr="00000000">
              <w:rPr>
                <w:color w:val="000000"/>
                <w:rtl w:val="0"/>
              </w:rPr>
              <w:t xml:space="preserve">50.858</w:t>
            </w:r>
          </w:p>
        </w:tc>
      </w:tr>
      <w:tr>
        <w:trPr>
          <w:cantSplit w:val="0"/>
          <w:trHeight w:val="288" w:hRule="atLeast"/>
          <w:tblHeader w:val="0"/>
        </w:trPr>
        <w:tc>
          <w:tcPr>
            <w:gridSpan w:val="2"/>
            <w:vAlign w:val="bottom"/>
          </w:tcPr>
          <w:p w:rsidR="00000000" w:rsidDel="00000000" w:rsidP="00000000" w:rsidRDefault="00000000" w:rsidRPr="00000000" w14:paraId="000001D9">
            <w:pPr>
              <w:spacing w:line="240" w:lineRule="auto"/>
              <w:rPr>
                <w:color w:val="000000"/>
              </w:rPr>
            </w:pPr>
            <w:r w:rsidDel="00000000" w:rsidR="00000000" w:rsidRPr="00000000">
              <w:rPr>
                <w:color w:val="000000"/>
                <w:rtl w:val="0"/>
              </w:rPr>
              <w:t xml:space="preserve">NPV = 43.456-50</w:t>
            </w:r>
          </w:p>
        </w:tc>
        <w:tc>
          <w:tcPr>
            <w:vAlign w:val="bottom"/>
          </w:tcPr>
          <w:p w:rsidR="00000000" w:rsidDel="00000000" w:rsidP="00000000" w:rsidRDefault="00000000" w:rsidRPr="00000000" w14:paraId="000001DB">
            <w:pPr>
              <w:spacing w:line="240" w:lineRule="auto"/>
              <w:rPr>
                <w:color w:val="000000"/>
              </w:rPr>
            </w:pPr>
            <w:r w:rsidDel="00000000" w:rsidR="00000000" w:rsidRPr="00000000">
              <w:rPr>
                <w:rtl w:val="0"/>
              </w:rPr>
            </w:r>
          </w:p>
        </w:tc>
        <w:tc>
          <w:tcPr>
            <w:vAlign w:val="bottom"/>
          </w:tcPr>
          <w:p w:rsidR="00000000" w:rsidDel="00000000" w:rsidP="00000000" w:rsidRDefault="00000000" w:rsidRPr="00000000" w14:paraId="000001DC">
            <w:pPr>
              <w:spacing w:line="240" w:lineRule="auto"/>
              <w:rPr>
                <w:sz w:val="20"/>
                <w:szCs w:val="20"/>
              </w:rPr>
            </w:pPr>
            <w:r w:rsidDel="00000000" w:rsidR="00000000" w:rsidRPr="00000000">
              <w:rPr>
                <w:rtl w:val="0"/>
              </w:rPr>
            </w:r>
          </w:p>
        </w:tc>
        <w:tc>
          <w:tcPr/>
          <w:p w:rsidR="00000000" w:rsidDel="00000000" w:rsidP="00000000" w:rsidRDefault="00000000" w:rsidRPr="00000000" w14:paraId="000001DD">
            <w:pPr>
              <w:spacing w:line="240" w:lineRule="auto"/>
              <w:rPr>
                <w:color w:val="000000"/>
              </w:rPr>
            </w:pPr>
            <w:r w:rsidDel="00000000" w:rsidR="00000000" w:rsidRPr="00000000">
              <w:rPr>
                <w:rtl w:val="0"/>
              </w:rPr>
            </w:r>
          </w:p>
        </w:tc>
        <w:tc>
          <w:tcPr>
            <w:gridSpan w:val="2"/>
            <w:vAlign w:val="bottom"/>
          </w:tcPr>
          <w:p w:rsidR="00000000" w:rsidDel="00000000" w:rsidP="00000000" w:rsidRDefault="00000000" w:rsidRPr="00000000" w14:paraId="000001DE">
            <w:pPr>
              <w:spacing w:line="240" w:lineRule="auto"/>
              <w:rPr>
                <w:color w:val="000000"/>
              </w:rPr>
            </w:pPr>
            <w:r w:rsidDel="00000000" w:rsidR="00000000" w:rsidRPr="00000000">
              <w:rPr>
                <w:color w:val="000000"/>
                <w:rtl w:val="0"/>
              </w:rPr>
              <w:t xml:space="preserve">NPV = 43.920-50</w:t>
            </w:r>
          </w:p>
        </w:tc>
        <w:tc>
          <w:tcPr>
            <w:vAlign w:val="bottom"/>
          </w:tcPr>
          <w:p w:rsidR="00000000" w:rsidDel="00000000" w:rsidP="00000000" w:rsidRDefault="00000000" w:rsidRPr="00000000" w14:paraId="000001E0">
            <w:pPr>
              <w:spacing w:line="240" w:lineRule="auto"/>
              <w:rPr>
                <w:color w:val="000000"/>
              </w:rPr>
            </w:pPr>
            <w:r w:rsidDel="00000000" w:rsidR="00000000" w:rsidRPr="00000000">
              <w:rPr>
                <w:rtl w:val="0"/>
              </w:rPr>
            </w:r>
          </w:p>
        </w:tc>
        <w:tc>
          <w:tcPr>
            <w:vAlign w:val="bottom"/>
          </w:tcPr>
          <w:p w:rsidR="00000000" w:rsidDel="00000000" w:rsidP="00000000" w:rsidRDefault="00000000" w:rsidRPr="00000000" w14:paraId="000001E1">
            <w:pPr>
              <w:spacing w:line="240" w:lineRule="auto"/>
              <w:rPr>
                <w:sz w:val="20"/>
                <w:szCs w:val="20"/>
              </w:rPr>
            </w:pPr>
            <w:r w:rsidDel="00000000" w:rsidR="00000000" w:rsidRPr="00000000">
              <w:rPr>
                <w:rtl w:val="0"/>
              </w:rPr>
            </w:r>
          </w:p>
        </w:tc>
        <w:tc>
          <w:tcPr/>
          <w:p w:rsidR="00000000" w:rsidDel="00000000" w:rsidP="00000000" w:rsidRDefault="00000000" w:rsidRPr="00000000" w14:paraId="000001E2">
            <w:pPr>
              <w:spacing w:line="240" w:lineRule="auto"/>
              <w:rPr>
                <w:color w:val="000000"/>
              </w:rPr>
            </w:pPr>
            <w:r w:rsidDel="00000000" w:rsidR="00000000" w:rsidRPr="00000000">
              <w:rPr>
                <w:rtl w:val="0"/>
              </w:rPr>
            </w:r>
          </w:p>
        </w:tc>
        <w:tc>
          <w:tcPr>
            <w:gridSpan w:val="2"/>
            <w:vAlign w:val="bottom"/>
          </w:tcPr>
          <w:p w:rsidR="00000000" w:rsidDel="00000000" w:rsidP="00000000" w:rsidRDefault="00000000" w:rsidRPr="00000000" w14:paraId="000001E3">
            <w:pPr>
              <w:spacing w:line="240" w:lineRule="auto"/>
              <w:rPr>
                <w:color w:val="000000"/>
              </w:rPr>
            </w:pPr>
            <w:r w:rsidDel="00000000" w:rsidR="00000000" w:rsidRPr="00000000">
              <w:rPr>
                <w:color w:val="000000"/>
                <w:rtl w:val="0"/>
              </w:rPr>
              <w:t xml:space="preserve">NPV = 50.858-50</w:t>
            </w:r>
          </w:p>
        </w:tc>
        <w:tc>
          <w:tcPr>
            <w:vAlign w:val="bottom"/>
          </w:tcPr>
          <w:p w:rsidR="00000000" w:rsidDel="00000000" w:rsidP="00000000" w:rsidRDefault="00000000" w:rsidRPr="00000000" w14:paraId="000001E5">
            <w:pPr>
              <w:spacing w:line="240" w:lineRule="auto"/>
              <w:rPr>
                <w:color w:val="000000"/>
              </w:rPr>
            </w:pPr>
            <w:r w:rsidDel="00000000" w:rsidR="00000000" w:rsidRPr="00000000">
              <w:rPr>
                <w:rtl w:val="0"/>
              </w:rPr>
            </w:r>
          </w:p>
        </w:tc>
        <w:tc>
          <w:tcPr>
            <w:vAlign w:val="bottom"/>
          </w:tcPr>
          <w:p w:rsidR="00000000" w:rsidDel="00000000" w:rsidP="00000000" w:rsidRDefault="00000000" w:rsidRPr="00000000" w14:paraId="000001E6">
            <w:pPr>
              <w:spacing w:line="240" w:lineRule="auto"/>
              <w:rPr>
                <w:sz w:val="20"/>
                <w:szCs w:val="20"/>
              </w:rPr>
            </w:pPr>
            <w:r w:rsidDel="00000000" w:rsidR="00000000" w:rsidRPr="00000000">
              <w:rPr>
                <w:rtl w:val="0"/>
              </w:rPr>
            </w:r>
          </w:p>
        </w:tc>
      </w:tr>
      <w:tr>
        <w:trPr>
          <w:cantSplit w:val="0"/>
          <w:trHeight w:val="288" w:hRule="atLeast"/>
          <w:tblHeader w:val="0"/>
        </w:trPr>
        <w:tc>
          <w:tcPr>
            <w:gridSpan w:val="2"/>
            <w:vAlign w:val="bottom"/>
          </w:tcPr>
          <w:p w:rsidR="00000000" w:rsidDel="00000000" w:rsidP="00000000" w:rsidRDefault="00000000" w:rsidRPr="00000000" w14:paraId="000001E7">
            <w:pPr>
              <w:spacing w:line="240" w:lineRule="auto"/>
              <w:rPr>
                <w:color w:val="000000"/>
              </w:rPr>
            </w:pPr>
            <w:r w:rsidDel="00000000" w:rsidR="00000000" w:rsidRPr="00000000">
              <w:rPr>
                <w:color w:val="000000"/>
                <w:rtl w:val="0"/>
              </w:rPr>
              <w:t xml:space="preserve">NPV =-6.544</w:t>
            </w:r>
          </w:p>
        </w:tc>
        <w:tc>
          <w:tcPr>
            <w:vAlign w:val="bottom"/>
          </w:tcPr>
          <w:p w:rsidR="00000000" w:rsidDel="00000000" w:rsidP="00000000" w:rsidRDefault="00000000" w:rsidRPr="00000000" w14:paraId="000001E9">
            <w:pPr>
              <w:spacing w:line="240" w:lineRule="auto"/>
              <w:rPr>
                <w:color w:val="000000"/>
              </w:rPr>
            </w:pPr>
            <w:r w:rsidDel="00000000" w:rsidR="00000000" w:rsidRPr="00000000">
              <w:rPr>
                <w:rtl w:val="0"/>
              </w:rPr>
            </w:r>
          </w:p>
        </w:tc>
        <w:tc>
          <w:tcPr>
            <w:vAlign w:val="bottom"/>
          </w:tcPr>
          <w:p w:rsidR="00000000" w:rsidDel="00000000" w:rsidP="00000000" w:rsidRDefault="00000000" w:rsidRPr="00000000" w14:paraId="000001EA">
            <w:pPr>
              <w:spacing w:line="240" w:lineRule="auto"/>
              <w:rPr>
                <w:sz w:val="20"/>
                <w:szCs w:val="20"/>
              </w:rPr>
            </w:pPr>
            <w:r w:rsidDel="00000000" w:rsidR="00000000" w:rsidRPr="00000000">
              <w:rPr>
                <w:rtl w:val="0"/>
              </w:rPr>
            </w:r>
          </w:p>
        </w:tc>
        <w:tc>
          <w:tcPr/>
          <w:p w:rsidR="00000000" w:rsidDel="00000000" w:rsidP="00000000" w:rsidRDefault="00000000" w:rsidRPr="00000000" w14:paraId="000001EB">
            <w:pPr>
              <w:spacing w:line="240" w:lineRule="auto"/>
              <w:rPr>
                <w:color w:val="000000"/>
              </w:rPr>
            </w:pPr>
            <w:r w:rsidDel="00000000" w:rsidR="00000000" w:rsidRPr="00000000">
              <w:rPr>
                <w:rtl w:val="0"/>
              </w:rPr>
            </w:r>
          </w:p>
        </w:tc>
        <w:tc>
          <w:tcPr>
            <w:gridSpan w:val="2"/>
            <w:vAlign w:val="bottom"/>
          </w:tcPr>
          <w:p w:rsidR="00000000" w:rsidDel="00000000" w:rsidP="00000000" w:rsidRDefault="00000000" w:rsidRPr="00000000" w14:paraId="000001EC">
            <w:pPr>
              <w:spacing w:line="240" w:lineRule="auto"/>
              <w:rPr>
                <w:color w:val="000000"/>
              </w:rPr>
            </w:pPr>
            <w:r w:rsidDel="00000000" w:rsidR="00000000" w:rsidRPr="00000000">
              <w:rPr>
                <w:color w:val="000000"/>
                <w:rtl w:val="0"/>
              </w:rPr>
              <w:t xml:space="preserve">NPV =-6.08</w:t>
            </w:r>
          </w:p>
        </w:tc>
        <w:tc>
          <w:tcPr>
            <w:vAlign w:val="bottom"/>
          </w:tcPr>
          <w:p w:rsidR="00000000" w:rsidDel="00000000" w:rsidP="00000000" w:rsidRDefault="00000000" w:rsidRPr="00000000" w14:paraId="000001EE">
            <w:pPr>
              <w:spacing w:line="240" w:lineRule="auto"/>
              <w:rPr>
                <w:color w:val="000000"/>
              </w:rPr>
            </w:pPr>
            <w:r w:rsidDel="00000000" w:rsidR="00000000" w:rsidRPr="00000000">
              <w:rPr>
                <w:rtl w:val="0"/>
              </w:rPr>
            </w:r>
          </w:p>
        </w:tc>
        <w:tc>
          <w:tcPr>
            <w:vAlign w:val="bottom"/>
          </w:tcPr>
          <w:p w:rsidR="00000000" w:rsidDel="00000000" w:rsidP="00000000" w:rsidRDefault="00000000" w:rsidRPr="00000000" w14:paraId="000001EF">
            <w:pPr>
              <w:spacing w:line="240" w:lineRule="auto"/>
              <w:rPr>
                <w:sz w:val="20"/>
                <w:szCs w:val="20"/>
              </w:rPr>
            </w:pPr>
            <w:r w:rsidDel="00000000" w:rsidR="00000000" w:rsidRPr="00000000">
              <w:rPr>
                <w:rtl w:val="0"/>
              </w:rPr>
            </w:r>
          </w:p>
        </w:tc>
        <w:tc>
          <w:tcPr/>
          <w:p w:rsidR="00000000" w:rsidDel="00000000" w:rsidP="00000000" w:rsidRDefault="00000000" w:rsidRPr="00000000" w14:paraId="000001F0">
            <w:pPr>
              <w:spacing w:line="240" w:lineRule="auto"/>
              <w:rPr>
                <w:color w:val="000000"/>
              </w:rPr>
            </w:pPr>
            <w:r w:rsidDel="00000000" w:rsidR="00000000" w:rsidRPr="00000000">
              <w:rPr>
                <w:rtl w:val="0"/>
              </w:rPr>
            </w:r>
          </w:p>
        </w:tc>
        <w:tc>
          <w:tcPr>
            <w:gridSpan w:val="2"/>
            <w:vAlign w:val="bottom"/>
          </w:tcPr>
          <w:p w:rsidR="00000000" w:rsidDel="00000000" w:rsidP="00000000" w:rsidRDefault="00000000" w:rsidRPr="00000000" w14:paraId="000001F1">
            <w:pPr>
              <w:spacing w:line="240" w:lineRule="auto"/>
              <w:rPr>
                <w:color w:val="000000"/>
              </w:rPr>
            </w:pPr>
            <w:r w:rsidDel="00000000" w:rsidR="00000000" w:rsidRPr="00000000">
              <w:rPr>
                <w:color w:val="000000"/>
                <w:rtl w:val="0"/>
              </w:rPr>
              <w:t xml:space="preserve">NPV = 0.858</w:t>
            </w:r>
          </w:p>
        </w:tc>
        <w:tc>
          <w:tcPr>
            <w:vAlign w:val="bottom"/>
          </w:tcPr>
          <w:p w:rsidR="00000000" w:rsidDel="00000000" w:rsidP="00000000" w:rsidRDefault="00000000" w:rsidRPr="00000000" w14:paraId="000001F3">
            <w:pPr>
              <w:spacing w:line="240" w:lineRule="auto"/>
              <w:rPr>
                <w:color w:val="000000"/>
              </w:rPr>
            </w:pPr>
            <w:r w:rsidDel="00000000" w:rsidR="00000000" w:rsidRPr="00000000">
              <w:rPr>
                <w:rtl w:val="0"/>
              </w:rPr>
            </w:r>
          </w:p>
        </w:tc>
        <w:tc>
          <w:tcPr>
            <w:vAlign w:val="bottom"/>
          </w:tcPr>
          <w:p w:rsidR="00000000" w:rsidDel="00000000" w:rsidP="00000000" w:rsidRDefault="00000000" w:rsidRPr="00000000" w14:paraId="000001F4">
            <w:pPr>
              <w:spacing w:line="240" w:lineRule="auto"/>
              <w:rPr>
                <w:sz w:val="20"/>
                <w:szCs w:val="20"/>
              </w:rPr>
            </w:pPr>
            <w:r w:rsidDel="00000000" w:rsidR="00000000" w:rsidRPr="00000000">
              <w:rPr>
                <w:rtl w:val="0"/>
              </w:rPr>
            </w:r>
          </w:p>
        </w:tc>
      </w:tr>
    </w:tbl>
    <w:p w:rsidR="00000000" w:rsidDel="00000000" w:rsidP="00000000" w:rsidRDefault="00000000" w:rsidRPr="00000000" w14:paraId="000001F5">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1F6">
      <w:pPr>
        <w:spacing w:line="360" w:lineRule="auto"/>
        <w:jc w:val="both"/>
        <w:rPr>
          <w:sz w:val="24"/>
          <w:szCs w:val="24"/>
        </w:rPr>
      </w:pPr>
      <w:r w:rsidDel="00000000" w:rsidR="00000000" w:rsidRPr="00000000">
        <w:rPr>
          <w:sz w:val="24"/>
          <w:szCs w:val="24"/>
          <w:rtl w:val="0"/>
        </w:rPr>
        <w:t xml:space="preserve">Project C is the only project which has generated a positive NPV. It means it is expected to increase shareholder value. Project A and B have negative NPVs which means that their returns are below the required cost of capital which is 8%. </w:t>
      </w:r>
    </w:p>
    <w:p w:rsidR="00000000" w:rsidDel="00000000" w:rsidP="00000000" w:rsidRDefault="00000000" w:rsidRPr="00000000" w14:paraId="000001F7">
      <w:pPr>
        <w:spacing w:line="360" w:lineRule="auto"/>
        <w:jc w:val="both"/>
        <w:rPr>
          <w:b w:val="1"/>
          <w:bCs w:val="1"/>
          <w:sz w:val="24"/>
          <w:szCs w:val="24"/>
        </w:rPr>
      </w:pPr>
      <w:r w:rsidDel="00000000" w:rsidR="00000000" w:rsidRPr="00000000">
        <w:rPr>
          <w:b w:val="1"/>
          <w:bCs w:val="1"/>
          <w:sz w:val="24"/>
          <w:szCs w:val="24"/>
          <w:rtl w:val="0"/>
        </w:rPr>
        <w:t xml:space="preserve">‘Profitability Index’</w:t>
      </w:r>
    </w:p>
    <w:p w:rsidR="00000000" w:rsidDel="00000000" w:rsidP="00000000" w:rsidRDefault="00000000" w:rsidRPr="00000000" w14:paraId="000001F8">
      <w:pPr>
        <w:spacing w:line="360" w:lineRule="auto"/>
        <w:jc w:val="both"/>
        <w:rPr>
          <w:sz w:val="24"/>
          <w:szCs w:val="24"/>
        </w:rPr>
      </w:pPr>
      <w:r w:rsidDel="00000000" w:rsidR="00000000" w:rsidRPr="00000000">
        <w:rPr>
          <w:sz w:val="24"/>
          <w:szCs w:val="24"/>
          <w:rtl w:val="0"/>
        </w:rPr>
        <w:t xml:space="preserve">PI measures the ‘present value of cash inflows’ per £ invested (Wall Street Prep, 2021). </w:t>
      </w:r>
    </w:p>
    <w:tbl>
      <w:tblPr>
        <w:tblStyle w:val="Table5"/>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92"/>
        <w:gridCol w:w="844"/>
        <w:gridCol w:w="1014"/>
        <w:gridCol w:w="250"/>
        <w:gridCol w:w="1092"/>
        <w:gridCol w:w="844"/>
        <w:gridCol w:w="1014"/>
        <w:gridCol w:w="250"/>
        <w:gridCol w:w="1092"/>
        <w:gridCol w:w="844"/>
        <w:gridCol w:w="1014"/>
        <w:tblGridChange w:id="0">
          <w:tblGrid>
            <w:gridCol w:w="1092"/>
            <w:gridCol w:w="844"/>
            <w:gridCol w:w="1014"/>
            <w:gridCol w:w="250"/>
            <w:gridCol w:w="1092"/>
            <w:gridCol w:w="844"/>
            <w:gridCol w:w="1014"/>
            <w:gridCol w:w="250"/>
            <w:gridCol w:w="1092"/>
            <w:gridCol w:w="844"/>
            <w:gridCol w:w="1014"/>
          </w:tblGrid>
        </w:tblGridChange>
      </w:tblGrid>
      <w:tr>
        <w:trPr>
          <w:cantSplit w:val="0"/>
          <w:trHeight w:val="288" w:hRule="atLeast"/>
          <w:tblHeader w:val="0"/>
        </w:trPr>
        <w:tc>
          <w:tcPr>
            <w:gridSpan w:val="3"/>
            <w:vAlign w:val="bottom"/>
          </w:tcPr>
          <w:p w:rsidR="00000000" w:rsidDel="00000000" w:rsidP="00000000" w:rsidRDefault="00000000" w:rsidRPr="00000000" w14:paraId="000001F9">
            <w:pPr>
              <w:spacing w:line="240" w:lineRule="auto"/>
              <w:jc w:val="center"/>
              <w:rPr>
                <w:b w:val="1"/>
                <w:bCs w:val="1"/>
                <w:color w:val="000000"/>
              </w:rPr>
            </w:pPr>
            <w:r w:rsidDel="00000000" w:rsidR="00000000" w:rsidRPr="00000000">
              <w:rPr>
                <w:b w:val="1"/>
                <w:bCs w:val="1"/>
                <w:color w:val="000000"/>
                <w:rtl w:val="0"/>
              </w:rPr>
              <w:t xml:space="preserve">Project A</w:t>
            </w:r>
          </w:p>
        </w:tc>
        <w:tc>
          <w:tcPr>
            <w:vAlign w:val="bottom"/>
          </w:tcPr>
          <w:p w:rsidR="00000000" w:rsidDel="00000000" w:rsidP="00000000" w:rsidRDefault="00000000" w:rsidRPr="00000000" w14:paraId="000001FC">
            <w:pPr>
              <w:spacing w:line="240" w:lineRule="auto"/>
              <w:jc w:val="center"/>
              <w:rPr>
                <w:b w:val="1"/>
                <w:bCs w:val="1"/>
                <w:color w:val="000000"/>
              </w:rPr>
            </w:pPr>
            <w:r w:rsidDel="00000000" w:rsidR="00000000" w:rsidRPr="00000000">
              <w:rPr>
                <w:rtl w:val="0"/>
              </w:rPr>
            </w:r>
          </w:p>
        </w:tc>
        <w:tc>
          <w:tcPr>
            <w:gridSpan w:val="3"/>
            <w:vAlign w:val="bottom"/>
          </w:tcPr>
          <w:p w:rsidR="00000000" w:rsidDel="00000000" w:rsidP="00000000" w:rsidRDefault="00000000" w:rsidRPr="00000000" w14:paraId="000001FD">
            <w:pPr>
              <w:spacing w:line="240" w:lineRule="auto"/>
              <w:jc w:val="center"/>
              <w:rPr>
                <w:b w:val="1"/>
                <w:bCs w:val="1"/>
                <w:color w:val="000000"/>
              </w:rPr>
            </w:pPr>
            <w:r w:rsidDel="00000000" w:rsidR="00000000" w:rsidRPr="00000000">
              <w:rPr>
                <w:b w:val="1"/>
                <w:bCs w:val="1"/>
                <w:color w:val="000000"/>
                <w:rtl w:val="0"/>
              </w:rPr>
              <w:t xml:space="preserve">Project B</w:t>
            </w:r>
          </w:p>
        </w:tc>
        <w:tc>
          <w:tcPr>
            <w:vAlign w:val="bottom"/>
          </w:tcPr>
          <w:p w:rsidR="00000000" w:rsidDel="00000000" w:rsidP="00000000" w:rsidRDefault="00000000" w:rsidRPr="00000000" w14:paraId="00000200">
            <w:pPr>
              <w:spacing w:line="240" w:lineRule="auto"/>
              <w:jc w:val="center"/>
              <w:rPr>
                <w:b w:val="1"/>
                <w:bCs w:val="1"/>
                <w:color w:val="000000"/>
              </w:rPr>
            </w:pPr>
            <w:r w:rsidDel="00000000" w:rsidR="00000000" w:rsidRPr="00000000">
              <w:rPr>
                <w:rtl w:val="0"/>
              </w:rPr>
            </w:r>
          </w:p>
        </w:tc>
        <w:tc>
          <w:tcPr>
            <w:gridSpan w:val="3"/>
            <w:vAlign w:val="bottom"/>
          </w:tcPr>
          <w:p w:rsidR="00000000" w:rsidDel="00000000" w:rsidP="00000000" w:rsidRDefault="00000000" w:rsidRPr="00000000" w14:paraId="00000201">
            <w:pPr>
              <w:spacing w:line="240" w:lineRule="auto"/>
              <w:jc w:val="center"/>
              <w:rPr>
                <w:b w:val="1"/>
                <w:bCs w:val="1"/>
                <w:color w:val="000000"/>
              </w:rPr>
            </w:pPr>
            <w:r w:rsidDel="00000000" w:rsidR="00000000" w:rsidRPr="00000000">
              <w:rPr>
                <w:b w:val="1"/>
                <w:bCs w:val="1"/>
                <w:color w:val="000000"/>
                <w:rtl w:val="0"/>
              </w:rPr>
              <w:t xml:space="preserve">Project C</w:t>
            </w:r>
          </w:p>
        </w:tc>
      </w:tr>
      <w:tr>
        <w:trPr>
          <w:cantSplit w:val="0"/>
          <w:trHeight w:val="864" w:hRule="atLeast"/>
          <w:tblHeader w:val="0"/>
        </w:trPr>
        <w:tc>
          <w:tcPr>
            <w:vAlign w:val="center"/>
          </w:tcPr>
          <w:p w:rsidR="00000000" w:rsidDel="00000000" w:rsidP="00000000" w:rsidRDefault="00000000" w:rsidRPr="00000000" w14:paraId="00000204">
            <w:pPr>
              <w:spacing w:line="240" w:lineRule="auto"/>
              <w:rPr>
                <w:b w:val="1"/>
                <w:bCs w:val="1"/>
                <w:color w:val="000000"/>
              </w:rPr>
            </w:pPr>
            <w:r w:rsidDel="00000000" w:rsidR="00000000" w:rsidRPr="00000000">
              <w:rPr>
                <w:b w:val="1"/>
                <w:bCs w:val="1"/>
                <w:color w:val="000000"/>
                <w:rtl w:val="0"/>
              </w:rPr>
              <w:t xml:space="preserve">Year</w:t>
            </w:r>
          </w:p>
        </w:tc>
        <w:tc>
          <w:tcPr>
            <w:vAlign w:val="center"/>
          </w:tcPr>
          <w:p w:rsidR="00000000" w:rsidDel="00000000" w:rsidP="00000000" w:rsidRDefault="00000000" w:rsidRPr="00000000" w14:paraId="00000205">
            <w:pPr>
              <w:spacing w:line="240" w:lineRule="auto"/>
              <w:rPr>
                <w:b w:val="1"/>
                <w:bCs w:val="1"/>
                <w:color w:val="000000"/>
              </w:rPr>
            </w:pPr>
            <w:r w:rsidDel="00000000" w:rsidR="00000000" w:rsidRPr="00000000">
              <w:rPr>
                <w:b w:val="1"/>
                <w:bCs w:val="1"/>
                <w:color w:val="000000"/>
                <w:rtl w:val="0"/>
              </w:rPr>
              <w:t xml:space="preserve">Cash Inflow (£m)</w:t>
            </w:r>
          </w:p>
        </w:tc>
        <w:tc>
          <w:tcPr>
            <w:vAlign w:val="center"/>
          </w:tcPr>
          <w:p w:rsidR="00000000" w:rsidDel="00000000" w:rsidP="00000000" w:rsidRDefault="00000000" w:rsidRPr="00000000" w14:paraId="00000206">
            <w:pPr>
              <w:spacing w:line="240" w:lineRule="auto"/>
              <w:rPr>
                <w:b w:val="1"/>
                <w:bCs w:val="1"/>
                <w:color w:val="000000"/>
              </w:rPr>
            </w:pPr>
            <w:r w:rsidDel="00000000" w:rsidR="00000000" w:rsidRPr="00000000">
              <w:rPr>
                <w:b w:val="1"/>
                <w:bCs w:val="1"/>
                <w:color w:val="000000"/>
                <w:rtl w:val="0"/>
              </w:rPr>
              <w:t xml:space="preserve">Present Value (£m)</w:t>
            </w:r>
          </w:p>
        </w:tc>
        <w:tc>
          <w:tcPr>
            <w:vAlign w:val="bottom"/>
          </w:tcPr>
          <w:p w:rsidR="00000000" w:rsidDel="00000000" w:rsidP="00000000" w:rsidRDefault="00000000" w:rsidRPr="00000000" w14:paraId="00000207">
            <w:pPr>
              <w:spacing w:line="240" w:lineRule="auto"/>
              <w:rPr>
                <w:b w:val="1"/>
                <w:bCs w:val="1"/>
                <w:color w:val="000000"/>
              </w:rPr>
            </w:pPr>
            <w:r w:rsidDel="00000000" w:rsidR="00000000" w:rsidRPr="00000000">
              <w:rPr>
                <w:rtl w:val="0"/>
              </w:rPr>
            </w:r>
          </w:p>
        </w:tc>
        <w:tc>
          <w:tcPr>
            <w:vAlign w:val="center"/>
          </w:tcPr>
          <w:p w:rsidR="00000000" w:rsidDel="00000000" w:rsidP="00000000" w:rsidRDefault="00000000" w:rsidRPr="00000000" w14:paraId="00000208">
            <w:pPr>
              <w:spacing w:line="240" w:lineRule="auto"/>
              <w:rPr>
                <w:b w:val="1"/>
                <w:bCs w:val="1"/>
                <w:color w:val="000000"/>
              </w:rPr>
            </w:pPr>
            <w:r w:rsidDel="00000000" w:rsidR="00000000" w:rsidRPr="00000000">
              <w:rPr>
                <w:b w:val="1"/>
                <w:bCs w:val="1"/>
                <w:color w:val="000000"/>
                <w:rtl w:val="0"/>
              </w:rPr>
              <w:t xml:space="preserve">Year</w:t>
            </w:r>
          </w:p>
        </w:tc>
        <w:tc>
          <w:tcPr>
            <w:vAlign w:val="center"/>
          </w:tcPr>
          <w:p w:rsidR="00000000" w:rsidDel="00000000" w:rsidP="00000000" w:rsidRDefault="00000000" w:rsidRPr="00000000" w14:paraId="00000209">
            <w:pPr>
              <w:spacing w:line="240" w:lineRule="auto"/>
              <w:rPr>
                <w:b w:val="1"/>
                <w:bCs w:val="1"/>
                <w:color w:val="000000"/>
              </w:rPr>
            </w:pPr>
            <w:r w:rsidDel="00000000" w:rsidR="00000000" w:rsidRPr="00000000">
              <w:rPr>
                <w:b w:val="1"/>
                <w:bCs w:val="1"/>
                <w:color w:val="000000"/>
                <w:rtl w:val="0"/>
              </w:rPr>
              <w:t xml:space="preserve">Cash Inflow (£m)</w:t>
            </w:r>
          </w:p>
        </w:tc>
        <w:tc>
          <w:tcPr>
            <w:vAlign w:val="center"/>
          </w:tcPr>
          <w:p w:rsidR="00000000" w:rsidDel="00000000" w:rsidP="00000000" w:rsidRDefault="00000000" w:rsidRPr="00000000" w14:paraId="0000020A">
            <w:pPr>
              <w:spacing w:line="240" w:lineRule="auto"/>
              <w:rPr>
                <w:b w:val="1"/>
                <w:bCs w:val="1"/>
                <w:color w:val="000000"/>
              </w:rPr>
            </w:pPr>
            <w:r w:rsidDel="00000000" w:rsidR="00000000" w:rsidRPr="00000000">
              <w:rPr>
                <w:b w:val="1"/>
                <w:bCs w:val="1"/>
                <w:color w:val="000000"/>
                <w:rtl w:val="0"/>
              </w:rPr>
              <w:t xml:space="preserve">Present Value (£m)</w:t>
            </w:r>
          </w:p>
        </w:tc>
        <w:tc>
          <w:tcPr>
            <w:vAlign w:val="bottom"/>
          </w:tcPr>
          <w:p w:rsidR="00000000" w:rsidDel="00000000" w:rsidP="00000000" w:rsidRDefault="00000000" w:rsidRPr="00000000" w14:paraId="0000020B">
            <w:pPr>
              <w:spacing w:line="240" w:lineRule="auto"/>
              <w:rPr>
                <w:b w:val="1"/>
                <w:bCs w:val="1"/>
                <w:color w:val="000000"/>
              </w:rPr>
            </w:pPr>
            <w:r w:rsidDel="00000000" w:rsidR="00000000" w:rsidRPr="00000000">
              <w:rPr>
                <w:rtl w:val="0"/>
              </w:rPr>
            </w:r>
          </w:p>
        </w:tc>
        <w:tc>
          <w:tcPr>
            <w:vAlign w:val="center"/>
          </w:tcPr>
          <w:p w:rsidR="00000000" w:rsidDel="00000000" w:rsidP="00000000" w:rsidRDefault="00000000" w:rsidRPr="00000000" w14:paraId="0000020C">
            <w:pPr>
              <w:spacing w:line="240" w:lineRule="auto"/>
              <w:rPr>
                <w:b w:val="1"/>
                <w:bCs w:val="1"/>
                <w:color w:val="000000"/>
              </w:rPr>
            </w:pPr>
            <w:r w:rsidDel="00000000" w:rsidR="00000000" w:rsidRPr="00000000">
              <w:rPr>
                <w:b w:val="1"/>
                <w:bCs w:val="1"/>
                <w:color w:val="000000"/>
                <w:rtl w:val="0"/>
              </w:rPr>
              <w:t xml:space="preserve">Year</w:t>
            </w:r>
          </w:p>
        </w:tc>
        <w:tc>
          <w:tcPr>
            <w:vAlign w:val="center"/>
          </w:tcPr>
          <w:p w:rsidR="00000000" w:rsidDel="00000000" w:rsidP="00000000" w:rsidRDefault="00000000" w:rsidRPr="00000000" w14:paraId="0000020D">
            <w:pPr>
              <w:spacing w:line="240" w:lineRule="auto"/>
              <w:rPr>
                <w:b w:val="1"/>
                <w:bCs w:val="1"/>
                <w:color w:val="000000"/>
              </w:rPr>
            </w:pPr>
            <w:r w:rsidDel="00000000" w:rsidR="00000000" w:rsidRPr="00000000">
              <w:rPr>
                <w:b w:val="1"/>
                <w:bCs w:val="1"/>
                <w:color w:val="000000"/>
                <w:rtl w:val="0"/>
              </w:rPr>
              <w:t xml:space="preserve">Cash Inflow (£m)</w:t>
            </w:r>
          </w:p>
        </w:tc>
        <w:tc>
          <w:tcPr>
            <w:vAlign w:val="center"/>
          </w:tcPr>
          <w:p w:rsidR="00000000" w:rsidDel="00000000" w:rsidP="00000000" w:rsidRDefault="00000000" w:rsidRPr="00000000" w14:paraId="0000020E">
            <w:pPr>
              <w:spacing w:line="240" w:lineRule="auto"/>
              <w:rPr>
                <w:b w:val="1"/>
                <w:bCs w:val="1"/>
                <w:color w:val="000000"/>
              </w:rPr>
            </w:pPr>
            <w:r w:rsidDel="00000000" w:rsidR="00000000" w:rsidRPr="00000000">
              <w:rPr>
                <w:b w:val="1"/>
                <w:bCs w:val="1"/>
                <w:color w:val="000000"/>
                <w:rtl w:val="0"/>
              </w:rPr>
              <w:t xml:space="preserve">Present Value (£m)</w:t>
            </w:r>
          </w:p>
        </w:tc>
      </w:tr>
      <w:tr>
        <w:trPr>
          <w:cantSplit w:val="0"/>
          <w:trHeight w:val="288" w:hRule="atLeast"/>
          <w:tblHeader w:val="0"/>
        </w:trPr>
        <w:tc>
          <w:tcPr>
            <w:vAlign w:val="center"/>
          </w:tcPr>
          <w:p w:rsidR="00000000" w:rsidDel="00000000" w:rsidP="00000000" w:rsidRDefault="00000000" w:rsidRPr="00000000" w14:paraId="0000020F">
            <w:pPr>
              <w:spacing w:line="240" w:lineRule="auto"/>
              <w:jc w:val="right"/>
              <w:rPr>
                <w:color w:val="000000"/>
              </w:rPr>
            </w:pPr>
            <w:r w:rsidDel="00000000" w:rsidR="00000000" w:rsidRPr="00000000">
              <w:rPr>
                <w:color w:val="000000"/>
                <w:rtl w:val="0"/>
              </w:rPr>
              <w:t xml:space="preserve">1</w:t>
            </w:r>
          </w:p>
        </w:tc>
        <w:tc>
          <w:tcPr>
            <w:vAlign w:val="center"/>
          </w:tcPr>
          <w:p w:rsidR="00000000" w:rsidDel="00000000" w:rsidP="00000000" w:rsidRDefault="00000000" w:rsidRPr="00000000" w14:paraId="00000210">
            <w:pPr>
              <w:spacing w:line="240" w:lineRule="auto"/>
              <w:jc w:val="right"/>
              <w:rPr>
                <w:color w:val="000000"/>
              </w:rPr>
            </w:pPr>
            <w:r w:rsidDel="00000000" w:rsidR="00000000" w:rsidRPr="00000000">
              <w:rPr>
                <w:color w:val="000000"/>
                <w:rtl w:val="0"/>
              </w:rPr>
              <w:t xml:space="preserve">10</w:t>
            </w:r>
          </w:p>
        </w:tc>
        <w:tc>
          <w:tcPr>
            <w:vAlign w:val="bottom"/>
          </w:tcPr>
          <w:p w:rsidR="00000000" w:rsidDel="00000000" w:rsidP="00000000" w:rsidRDefault="00000000" w:rsidRPr="00000000" w14:paraId="00000211">
            <w:pPr>
              <w:spacing w:line="240" w:lineRule="auto"/>
              <w:jc w:val="right"/>
              <w:rPr>
                <w:color w:val="000000"/>
              </w:rPr>
            </w:pPr>
            <w:r w:rsidDel="00000000" w:rsidR="00000000" w:rsidRPr="00000000">
              <w:rPr>
                <w:color w:val="000000"/>
                <w:rtl w:val="0"/>
              </w:rPr>
              <w:t xml:space="preserve">9.259</w:t>
            </w:r>
          </w:p>
        </w:tc>
        <w:tc>
          <w:tcPr>
            <w:vAlign w:val="bottom"/>
          </w:tcPr>
          <w:p w:rsidR="00000000" w:rsidDel="00000000" w:rsidP="00000000" w:rsidRDefault="00000000" w:rsidRPr="00000000" w14:paraId="00000212">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213">
            <w:pPr>
              <w:spacing w:line="240" w:lineRule="auto"/>
              <w:jc w:val="right"/>
              <w:rPr>
                <w:color w:val="000000"/>
              </w:rPr>
            </w:pPr>
            <w:r w:rsidDel="00000000" w:rsidR="00000000" w:rsidRPr="00000000">
              <w:rPr>
                <w:color w:val="000000"/>
                <w:rtl w:val="0"/>
              </w:rPr>
              <w:t xml:space="preserve">1</w:t>
            </w:r>
          </w:p>
        </w:tc>
        <w:tc>
          <w:tcPr>
            <w:vAlign w:val="center"/>
          </w:tcPr>
          <w:p w:rsidR="00000000" w:rsidDel="00000000" w:rsidP="00000000" w:rsidRDefault="00000000" w:rsidRPr="00000000" w14:paraId="00000214">
            <w:pPr>
              <w:spacing w:line="240" w:lineRule="auto"/>
              <w:jc w:val="right"/>
              <w:rPr>
                <w:color w:val="000000"/>
              </w:rPr>
            </w:pPr>
            <w:r w:rsidDel="00000000" w:rsidR="00000000" w:rsidRPr="00000000">
              <w:rPr>
                <w:color w:val="000000"/>
                <w:rtl w:val="0"/>
              </w:rPr>
              <w:t xml:space="preserve">11</w:t>
            </w:r>
          </w:p>
        </w:tc>
        <w:tc>
          <w:tcPr>
            <w:vAlign w:val="center"/>
          </w:tcPr>
          <w:p w:rsidR="00000000" w:rsidDel="00000000" w:rsidP="00000000" w:rsidRDefault="00000000" w:rsidRPr="00000000" w14:paraId="00000215">
            <w:pPr>
              <w:spacing w:line="240" w:lineRule="auto"/>
              <w:jc w:val="right"/>
              <w:rPr>
                <w:color w:val="000000"/>
              </w:rPr>
            </w:pPr>
            <w:r w:rsidDel="00000000" w:rsidR="00000000" w:rsidRPr="00000000">
              <w:rPr>
                <w:color w:val="000000"/>
                <w:rtl w:val="0"/>
              </w:rPr>
              <w:t xml:space="preserve">10.185</w:t>
            </w:r>
          </w:p>
        </w:tc>
        <w:tc>
          <w:tcPr>
            <w:vAlign w:val="bottom"/>
          </w:tcPr>
          <w:p w:rsidR="00000000" w:rsidDel="00000000" w:rsidP="00000000" w:rsidRDefault="00000000" w:rsidRPr="00000000" w14:paraId="00000216">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217">
            <w:pPr>
              <w:spacing w:line="240" w:lineRule="auto"/>
              <w:jc w:val="right"/>
              <w:rPr>
                <w:color w:val="000000"/>
              </w:rPr>
            </w:pPr>
            <w:r w:rsidDel="00000000" w:rsidR="00000000" w:rsidRPr="00000000">
              <w:rPr>
                <w:color w:val="000000"/>
                <w:rtl w:val="0"/>
              </w:rPr>
              <w:t xml:space="preserve">1</w:t>
            </w:r>
          </w:p>
        </w:tc>
        <w:tc>
          <w:tcPr>
            <w:vAlign w:val="center"/>
          </w:tcPr>
          <w:p w:rsidR="00000000" w:rsidDel="00000000" w:rsidP="00000000" w:rsidRDefault="00000000" w:rsidRPr="00000000" w14:paraId="00000218">
            <w:pPr>
              <w:spacing w:line="240" w:lineRule="auto"/>
              <w:jc w:val="right"/>
              <w:rPr>
                <w:color w:val="000000"/>
              </w:rPr>
            </w:pPr>
            <w:r w:rsidDel="00000000" w:rsidR="00000000" w:rsidRPr="00000000">
              <w:rPr>
                <w:color w:val="000000"/>
                <w:rtl w:val="0"/>
              </w:rPr>
              <w:t xml:space="preserve">5</w:t>
            </w:r>
          </w:p>
        </w:tc>
        <w:tc>
          <w:tcPr>
            <w:vAlign w:val="center"/>
          </w:tcPr>
          <w:p w:rsidR="00000000" w:rsidDel="00000000" w:rsidP="00000000" w:rsidRDefault="00000000" w:rsidRPr="00000000" w14:paraId="00000219">
            <w:pPr>
              <w:spacing w:line="240" w:lineRule="auto"/>
              <w:jc w:val="right"/>
              <w:rPr>
                <w:color w:val="000000"/>
              </w:rPr>
            </w:pPr>
            <w:r w:rsidDel="00000000" w:rsidR="00000000" w:rsidRPr="00000000">
              <w:rPr>
                <w:color w:val="000000"/>
                <w:rtl w:val="0"/>
              </w:rPr>
              <w:t xml:space="preserve">4.630</w:t>
            </w:r>
          </w:p>
        </w:tc>
      </w:tr>
      <w:tr>
        <w:trPr>
          <w:cantSplit w:val="0"/>
          <w:trHeight w:val="288" w:hRule="atLeast"/>
          <w:tblHeader w:val="0"/>
        </w:trPr>
        <w:tc>
          <w:tcPr>
            <w:vAlign w:val="center"/>
          </w:tcPr>
          <w:p w:rsidR="00000000" w:rsidDel="00000000" w:rsidP="00000000" w:rsidRDefault="00000000" w:rsidRPr="00000000" w14:paraId="0000021A">
            <w:pPr>
              <w:spacing w:line="240" w:lineRule="auto"/>
              <w:jc w:val="right"/>
              <w:rPr>
                <w:color w:val="000000"/>
              </w:rPr>
            </w:pPr>
            <w:r w:rsidDel="00000000" w:rsidR="00000000" w:rsidRPr="00000000">
              <w:rPr>
                <w:color w:val="000000"/>
                <w:rtl w:val="0"/>
              </w:rPr>
              <w:t xml:space="preserve">2</w:t>
            </w:r>
          </w:p>
        </w:tc>
        <w:tc>
          <w:tcPr>
            <w:vAlign w:val="center"/>
          </w:tcPr>
          <w:p w:rsidR="00000000" w:rsidDel="00000000" w:rsidP="00000000" w:rsidRDefault="00000000" w:rsidRPr="00000000" w14:paraId="0000021B">
            <w:pPr>
              <w:spacing w:line="240" w:lineRule="auto"/>
              <w:jc w:val="right"/>
              <w:rPr>
                <w:color w:val="000000"/>
              </w:rPr>
            </w:pPr>
            <w:r w:rsidDel="00000000" w:rsidR="00000000" w:rsidRPr="00000000">
              <w:rPr>
                <w:color w:val="000000"/>
                <w:rtl w:val="0"/>
              </w:rPr>
              <w:t xml:space="preserve">12</w:t>
            </w:r>
          </w:p>
        </w:tc>
        <w:tc>
          <w:tcPr>
            <w:vAlign w:val="bottom"/>
          </w:tcPr>
          <w:p w:rsidR="00000000" w:rsidDel="00000000" w:rsidP="00000000" w:rsidRDefault="00000000" w:rsidRPr="00000000" w14:paraId="0000021C">
            <w:pPr>
              <w:spacing w:line="240" w:lineRule="auto"/>
              <w:jc w:val="right"/>
              <w:rPr>
                <w:color w:val="000000"/>
              </w:rPr>
            </w:pPr>
            <w:r w:rsidDel="00000000" w:rsidR="00000000" w:rsidRPr="00000000">
              <w:rPr>
                <w:color w:val="000000"/>
                <w:rtl w:val="0"/>
              </w:rPr>
              <w:t xml:space="preserve">10.288</w:t>
            </w:r>
          </w:p>
        </w:tc>
        <w:tc>
          <w:tcPr>
            <w:vAlign w:val="bottom"/>
          </w:tcPr>
          <w:p w:rsidR="00000000" w:rsidDel="00000000" w:rsidP="00000000" w:rsidRDefault="00000000" w:rsidRPr="00000000" w14:paraId="0000021D">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21E">
            <w:pPr>
              <w:spacing w:line="240" w:lineRule="auto"/>
              <w:jc w:val="right"/>
              <w:rPr>
                <w:color w:val="000000"/>
              </w:rPr>
            </w:pPr>
            <w:r w:rsidDel="00000000" w:rsidR="00000000" w:rsidRPr="00000000">
              <w:rPr>
                <w:color w:val="000000"/>
                <w:rtl w:val="0"/>
              </w:rPr>
              <w:t xml:space="preserve">2</w:t>
            </w:r>
          </w:p>
        </w:tc>
        <w:tc>
          <w:tcPr>
            <w:vAlign w:val="center"/>
          </w:tcPr>
          <w:p w:rsidR="00000000" w:rsidDel="00000000" w:rsidP="00000000" w:rsidRDefault="00000000" w:rsidRPr="00000000" w14:paraId="0000021F">
            <w:pPr>
              <w:spacing w:line="240" w:lineRule="auto"/>
              <w:jc w:val="right"/>
              <w:rPr>
                <w:color w:val="000000"/>
              </w:rPr>
            </w:pPr>
            <w:r w:rsidDel="00000000" w:rsidR="00000000" w:rsidRPr="00000000">
              <w:rPr>
                <w:color w:val="000000"/>
                <w:rtl w:val="0"/>
              </w:rPr>
              <w:t xml:space="preserve">11</w:t>
            </w:r>
          </w:p>
        </w:tc>
        <w:tc>
          <w:tcPr>
            <w:vAlign w:val="center"/>
          </w:tcPr>
          <w:p w:rsidR="00000000" w:rsidDel="00000000" w:rsidP="00000000" w:rsidRDefault="00000000" w:rsidRPr="00000000" w14:paraId="00000220">
            <w:pPr>
              <w:spacing w:line="240" w:lineRule="auto"/>
              <w:jc w:val="right"/>
              <w:rPr>
                <w:color w:val="000000"/>
              </w:rPr>
            </w:pPr>
            <w:r w:rsidDel="00000000" w:rsidR="00000000" w:rsidRPr="00000000">
              <w:rPr>
                <w:color w:val="000000"/>
                <w:rtl w:val="0"/>
              </w:rPr>
              <w:t xml:space="preserve">9.431</w:t>
            </w:r>
          </w:p>
        </w:tc>
        <w:tc>
          <w:tcPr>
            <w:vAlign w:val="bottom"/>
          </w:tcPr>
          <w:p w:rsidR="00000000" w:rsidDel="00000000" w:rsidP="00000000" w:rsidRDefault="00000000" w:rsidRPr="00000000" w14:paraId="00000221">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222">
            <w:pPr>
              <w:spacing w:line="240" w:lineRule="auto"/>
              <w:jc w:val="right"/>
              <w:rPr>
                <w:color w:val="000000"/>
              </w:rPr>
            </w:pPr>
            <w:r w:rsidDel="00000000" w:rsidR="00000000" w:rsidRPr="00000000">
              <w:rPr>
                <w:color w:val="000000"/>
                <w:rtl w:val="0"/>
              </w:rPr>
              <w:t xml:space="preserve">2</w:t>
            </w:r>
          </w:p>
        </w:tc>
        <w:tc>
          <w:tcPr>
            <w:vAlign w:val="center"/>
          </w:tcPr>
          <w:p w:rsidR="00000000" w:rsidDel="00000000" w:rsidP="00000000" w:rsidRDefault="00000000" w:rsidRPr="00000000" w14:paraId="00000223">
            <w:pPr>
              <w:spacing w:line="240" w:lineRule="auto"/>
              <w:jc w:val="right"/>
              <w:rPr>
                <w:color w:val="000000"/>
              </w:rPr>
            </w:pPr>
            <w:r w:rsidDel="00000000" w:rsidR="00000000" w:rsidRPr="00000000">
              <w:rPr>
                <w:color w:val="000000"/>
                <w:rtl w:val="0"/>
              </w:rPr>
              <w:t xml:space="preserve">10</w:t>
            </w:r>
          </w:p>
        </w:tc>
        <w:tc>
          <w:tcPr>
            <w:vAlign w:val="center"/>
          </w:tcPr>
          <w:p w:rsidR="00000000" w:rsidDel="00000000" w:rsidP="00000000" w:rsidRDefault="00000000" w:rsidRPr="00000000" w14:paraId="00000224">
            <w:pPr>
              <w:spacing w:line="240" w:lineRule="auto"/>
              <w:jc w:val="right"/>
              <w:rPr>
                <w:color w:val="000000"/>
              </w:rPr>
            </w:pPr>
            <w:r w:rsidDel="00000000" w:rsidR="00000000" w:rsidRPr="00000000">
              <w:rPr>
                <w:color w:val="000000"/>
                <w:rtl w:val="0"/>
              </w:rPr>
              <w:t xml:space="preserve">8.573</w:t>
            </w:r>
          </w:p>
        </w:tc>
      </w:tr>
      <w:tr>
        <w:trPr>
          <w:cantSplit w:val="0"/>
          <w:trHeight w:val="288" w:hRule="atLeast"/>
          <w:tblHeader w:val="0"/>
        </w:trPr>
        <w:tc>
          <w:tcPr>
            <w:vAlign w:val="center"/>
          </w:tcPr>
          <w:p w:rsidR="00000000" w:rsidDel="00000000" w:rsidP="00000000" w:rsidRDefault="00000000" w:rsidRPr="00000000" w14:paraId="00000225">
            <w:pPr>
              <w:spacing w:line="240" w:lineRule="auto"/>
              <w:jc w:val="right"/>
              <w:rPr>
                <w:color w:val="000000"/>
              </w:rPr>
            </w:pPr>
            <w:r w:rsidDel="00000000" w:rsidR="00000000" w:rsidRPr="00000000">
              <w:rPr>
                <w:color w:val="000000"/>
                <w:rtl w:val="0"/>
              </w:rPr>
              <w:t xml:space="preserve">3</w:t>
            </w:r>
          </w:p>
        </w:tc>
        <w:tc>
          <w:tcPr>
            <w:vAlign w:val="center"/>
          </w:tcPr>
          <w:p w:rsidR="00000000" w:rsidDel="00000000" w:rsidP="00000000" w:rsidRDefault="00000000" w:rsidRPr="00000000" w14:paraId="00000226">
            <w:pPr>
              <w:spacing w:line="240" w:lineRule="auto"/>
              <w:jc w:val="right"/>
              <w:rPr>
                <w:color w:val="000000"/>
              </w:rPr>
            </w:pPr>
            <w:r w:rsidDel="00000000" w:rsidR="00000000" w:rsidRPr="00000000">
              <w:rPr>
                <w:color w:val="000000"/>
                <w:rtl w:val="0"/>
              </w:rPr>
              <w:t xml:space="preserve">14</w:t>
            </w:r>
          </w:p>
        </w:tc>
        <w:tc>
          <w:tcPr>
            <w:vAlign w:val="bottom"/>
          </w:tcPr>
          <w:p w:rsidR="00000000" w:rsidDel="00000000" w:rsidP="00000000" w:rsidRDefault="00000000" w:rsidRPr="00000000" w14:paraId="00000227">
            <w:pPr>
              <w:spacing w:line="240" w:lineRule="auto"/>
              <w:jc w:val="right"/>
              <w:rPr>
                <w:color w:val="000000"/>
              </w:rPr>
            </w:pPr>
            <w:r w:rsidDel="00000000" w:rsidR="00000000" w:rsidRPr="00000000">
              <w:rPr>
                <w:color w:val="000000"/>
                <w:rtl w:val="0"/>
              </w:rPr>
              <w:t xml:space="preserve">11.114</w:t>
            </w:r>
          </w:p>
        </w:tc>
        <w:tc>
          <w:tcPr>
            <w:vAlign w:val="bottom"/>
          </w:tcPr>
          <w:p w:rsidR="00000000" w:rsidDel="00000000" w:rsidP="00000000" w:rsidRDefault="00000000" w:rsidRPr="00000000" w14:paraId="00000228">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229">
            <w:pPr>
              <w:spacing w:line="240" w:lineRule="auto"/>
              <w:jc w:val="right"/>
              <w:rPr>
                <w:color w:val="000000"/>
              </w:rPr>
            </w:pPr>
            <w:r w:rsidDel="00000000" w:rsidR="00000000" w:rsidRPr="00000000">
              <w:rPr>
                <w:color w:val="000000"/>
                <w:rtl w:val="0"/>
              </w:rPr>
              <w:t xml:space="preserve">3</w:t>
            </w:r>
          </w:p>
        </w:tc>
        <w:tc>
          <w:tcPr>
            <w:vAlign w:val="center"/>
          </w:tcPr>
          <w:p w:rsidR="00000000" w:rsidDel="00000000" w:rsidP="00000000" w:rsidRDefault="00000000" w:rsidRPr="00000000" w14:paraId="0000022A">
            <w:pPr>
              <w:spacing w:line="240" w:lineRule="auto"/>
              <w:jc w:val="right"/>
              <w:rPr>
                <w:color w:val="000000"/>
              </w:rPr>
            </w:pPr>
            <w:r w:rsidDel="00000000" w:rsidR="00000000" w:rsidRPr="00000000">
              <w:rPr>
                <w:color w:val="000000"/>
                <w:rtl w:val="0"/>
              </w:rPr>
              <w:t xml:space="preserve">11</w:t>
            </w:r>
          </w:p>
        </w:tc>
        <w:tc>
          <w:tcPr>
            <w:vAlign w:val="center"/>
          </w:tcPr>
          <w:p w:rsidR="00000000" w:rsidDel="00000000" w:rsidP="00000000" w:rsidRDefault="00000000" w:rsidRPr="00000000" w14:paraId="0000022B">
            <w:pPr>
              <w:spacing w:line="240" w:lineRule="auto"/>
              <w:jc w:val="right"/>
              <w:rPr>
                <w:color w:val="000000"/>
              </w:rPr>
            </w:pPr>
            <w:r w:rsidDel="00000000" w:rsidR="00000000" w:rsidRPr="00000000">
              <w:rPr>
                <w:color w:val="000000"/>
                <w:rtl w:val="0"/>
              </w:rPr>
              <w:t xml:space="preserve">8.732</w:t>
            </w:r>
          </w:p>
        </w:tc>
        <w:tc>
          <w:tcPr>
            <w:vAlign w:val="bottom"/>
          </w:tcPr>
          <w:p w:rsidR="00000000" w:rsidDel="00000000" w:rsidP="00000000" w:rsidRDefault="00000000" w:rsidRPr="00000000" w14:paraId="0000022C">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22D">
            <w:pPr>
              <w:spacing w:line="240" w:lineRule="auto"/>
              <w:jc w:val="right"/>
              <w:rPr>
                <w:color w:val="000000"/>
              </w:rPr>
            </w:pPr>
            <w:r w:rsidDel="00000000" w:rsidR="00000000" w:rsidRPr="00000000">
              <w:rPr>
                <w:color w:val="000000"/>
                <w:rtl w:val="0"/>
              </w:rPr>
              <w:t xml:space="preserve">3</w:t>
            </w:r>
          </w:p>
        </w:tc>
        <w:tc>
          <w:tcPr>
            <w:vAlign w:val="center"/>
          </w:tcPr>
          <w:p w:rsidR="00000000" w:rsidDel="00000000" w:rsidP="00000000" w:rsidRDefault="00000000" w:rsidRPr="00000000" w14:paraId="0000022E">
            <w:pPr>
              <w:spacing w:line="240" w:lineRule="auto"/>
              <w:jc w:val="right"/>
              <w:rPr>
                <w:color w:val="000000"/>
              </w:rPr>
            </w:pPr>
            <w:r w:rsidDel="00000000" w:rsidR="00000000" w:rsidRPr="00000000">
              <w:rPr>
                <w:color w:val="000000"/>
                <w:rtl w:val="0"/>
              </w:rPr>
              <w:t xml:space="preserve">20</w:t>
            </w:r>
          </w:p>
        </w:tc>
        <w:tc>
          <w:tcPr>
            <w:vAlign w:val="center"/>
          </w:tcPr>
          <w:p w:rsidR="00000000" w:rsidDel="00000000" w:rsidP="00000000" w:rsidRDefault="00000000" w:rsidRPr="00000000" w14:paraId="0000022F">
            <w:pPr>
              <w:spacing w:line="240" w:lineRule="auto"/>
              <w:jc w:val="right"/>
              <w:rPr>
                <w:color w:val="000000"/>
              </w:rPr>
            </w:pPr>
            <w:r w:rsidDel="00000000" w:rsidR="00000000" w:rsidRPr="00000000">
              <w:rPr>
                <w:color w:val="000000"/>
                <w:rtl w:val="0"/>
              </w:rPr>
              <w:t xml:space="preserve">15.877</w:t>
            </w:r>
          </w:p>
        </w:tc>
      </w:tr>
      <w:tr>
        <w:trPr>
          <w:cantSplit w:val="0"/>
          <w:trHeight w:val="288" w:hRule="atLeast"/>
          <w:tblHeader w:val="0"/>
        </w:trPr>
        <w:tc>
          <w:tcPr>
            <w:vAlign w:val="center"/>
          </w:tcPr>
          <w:p w:rsidR="00000000" w:rsidDel="00000000" w:rsidP="00000000" w:rsidRDefault="00000000" w:rsidRPr="00000000" w14:paraId="00000230">
            <w:pPr>
              <w:spacing w:line="240" w:lineRule="auto"/>
              <w:jc w:val="right"/>
              <w:rPr>
                <w:color w:val="000000"/>
              </w:rPr>
            </w:pPr>
            <w:r w:rsidDel="00000000" w:rsidR="00000000" w:rsidRPr="00000000">
              <w:rPr>
                <w:color w:val="000000"/>
                <w:rtl w:val="0"/>
              </w:rPr>
              <w:t xml:space="preserve">4</w:t>
            </w:r>
          </w:p>
        </w:tc>
        <w:tc>
          <w:tcPr>
            <w:vAlign w:val="center"/>
          </w:tcPr>
          <w:p w:rsidR="00000000" w:rsidDel="00000000" w:rsidP="00000000" w:rsidRDefault="00000000" w:rsidRPr="00000000" w14:paraId="00000231">
            <w:pPr>
              <w:spacing w:line="240" w:lineRule="auto"/>
              <w:jc w:val="right"/>
              <w:rPr>
                <w:color w:val="000000"/>
              </w:rPr>
            </w:pPr>
            <w:r w:rsidDel="00000000" w:rsidR="00000000" w:rsidRPr="00000000">
              <w:rPr>
                <w:color w:val="000000"/>
                <w:rtl w:val="0"/>
              </w:rPr>
              <w:t xml:space="preserve">10</w:t>
            </w:r>
          </w:p>
        </w:tc>
        <w:tc>
          <w:tcPr>
            <w:vAlign w:val="bottom"/>
          </w:tcPr>
          <w:p w:rsidR="00000000" w:rsidDel="00000000" w:rsidP="00000000" w:rsidRDefault="00000000" w:rsidRPr="00000000" w14:paraId="00000232">
            <w:pPr>
              <w:spacing w:line="240" w:lineRule="auto"/>
              <w:jc w:val="right"/>
              <w:rPr>
                <w:color w:val="000000"/>
              </w:rPr>
            </w:pPr>
            <w:r w:rsidDel="00000000" w:rsidR="00000000" w:rsidRPr="00000000">
              <w:rPr>
                <w:color w:val="000000"/>
                <w:rtl w:val="0"/>
              </w:rPr>
              <w:t xml:space="preserve">7.350</w:t>
            </w:r>
          </w:p>
        </w:tc>
        <w:tc>
          <w:tcPr>
            <w:vAlign w:val="bottom"/>
          </w:tcPr>
          <w:p w:rsidR="00000000" w:rsidDel="00000000" w:rsidP="00000000" w:rsidRDefault="00000000" w:rsidRPr="00000000" w14:paraId="00000233">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234">
            <w:pPr>
              <w:spacing w:line="240" w:lineRule="auto"/>
              <w:jc w:val="right"/>
              <w:rPr>
                <w:color w:val="000000"/>
              </w:rPr>
            </w:pPr>
            <w:r w:rsidDel="00000000" w:rsidR="00000000" w:rsidRPr="00000000">
              <w:rPr>
                <w:color w:val="000000"/>
                <w:rtl w:val="0"/>
              </w:rPr>
              <w:t xml:space="preserve">4</w:t>
            </w:r>
          </w:p>
        </w:tc>
        <w:tc>
          <w:tcPr>
            <w:vAlign w:val="center"/>
          </w:tcPr>
          <w:p w:rsidR="00000000" w:rsidDel="00000000" w:rsidP="00000000" w:rsidRDefault="00000000" w:rsidRPr="00000000" w14:paraId="00000235">
            <w:pPr>
              <w:spacing w:line="240" w:lineRule="auto"/>
              <w:jc w:val="right"/>
              <w:rPr>
                <w:color w:val="000000"/>
              </w:rPr>
            </w:pPr>
            <w:r w:rsidDel="00000000" w:rsidR="00000000" w:rsidRPr="00000000">
              <w:rPr>
                <w:color w:val="000000"/>
                <w:rtl w:val="0"/>
              </w:rPr>
              <w:t xml:space="preserve">11</w:t>
            </w:r>
          </w:p>
        </w:tc>
        <w:tc>
          <w:tcPr>
            <w:vAlign w:val="center"/>
          </w:tcPr>
          <w:p w:rsidR="00000000" w:rsidDel="00000000" w:rsidP="00000000" w:rsidRDefault="00000000" w:rsidRPr="00000000" w14:paraId="00000236">
            <w:pPr>
              <w:spacing w:line="240" w:lineRule="auto"/>
              <w:jc w:val="right"/>
              <w:rPr>
                <w:color w:val="000000"/>
              </w:rPr>
            </w:pPr>
            <w:r w:rsidDel="00000000" w:rsidR="00000000" w:rsidRPr="00000000">
              <w:rPr>
                <w:color w:val="000000"/>
                <w:rtl w:val="0"/>
              </w:rPr>
              <w:t xml:space="preserve">8.085</w:t>
            </w:r>
          </w:p>
        </w:tc>
        <w:tc>
          <w:tcPr>
            <w:vAlign w:val="bottom"/>
          </w:tcPr>
          <w:p w:rsidR="00000000" w:rsidDel="00000000" w:rsidP="00000000" w:rsidRDefault="00000000" w:rsidRPr="00000000" w14:paraId="00000237">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238">
            <w:pPr>
              <w:spacing w:line="240" w:lineRule="auto"/>
              <w:jc w:val="right"/>
              <w:rPr>
                <w:color w:val="000000"/>
              </w:rPr>
            </w:pPr>
            <w:r w:rsidDel="00000000" w:rsidR="00000000" w:rsidRPr="00000000">
              <w:rPr>
                <w:color w:val="000000"/>
                <w:rtl w:val="0"/>
              </w:rPr>
              <w:t xml:space="preserve">4</w:t>
            </w:r>
          </w:p>
        </w:tc>
        <w:tc>
          <w:tcPr>
            <w:vAlign w:val="center"/>
          </w:tcPr>
          <w:p w:rsidR="00000000" w:rsidDel="00000000" w:rsidP="00000000" w:rsidRDefault="00000000" w:rsidRPr="00000000" w14:paraId="00000239">
            <w:pPr>
              <w:spacing w:line="240" w:lineRule="auto"/>
              <w:jc w:val="right"/>
              <w:rPr>
                <w:color w:val="000000"/>
              </w:rPr>
            </w:pPr>
            <w:r w:rsidDel="00000000" w:rsidR="00000000" w:rsidRPr="00000000">
              <w:rPr>
                <w:color w:val="000000"/>
                <w:rtl w:val="0"/>
              </w:rPr>
              <w:t xml:space="preserve">25</w:t>
            </w:r>
          </w:p>
        </w:tc>
        <w:tc>
          <w:tcPr>
            <w:vAlign w:val="center"/>
          </w:tcPr>
          <w:p w:rsidR="00000000" w:rsidDel="00000000" w:rsidP="00000000" w:rsidRDefault="00000000" w:rsidRPr="00000000" w14:paraId="0000023A">
            <w:pPr>
              <w:spacing w:line="240" w:lineRule="auto"/>
              <w:jc w:val="right"/>
              <w:rPr>
                <w:color w:val="000000"/>
              </w:rPr>
            </w:pPr>
            <w:r w:rsidDel="00000000" w:rsidR="00000000" w:rsidRPr="00000000">
              <w:rPr>
                <w:color w:val="000000"/>
                <w:rtl w:val="0"/>
              </w:rPr>
              <w:t xml:space="preserve">18.376</w:t>
            </w:r>
          </w:p>
        </w:tc>
      </w:tr>
      <w:tr>
        <w:trPr>
          <w:cantSplit w:val="0"/>
          <w:trHeight w:val="288" w:hRule="atLeast"/>
          <w:tblHeader w:val="0"/>
        </w:trPr>
        <w:tc>
          <w:tcPr>
            <w:vAlign w:val="center"/>
          </w:tcPr>
          <w:p w:rsidR="00000000" w:rsidDel="00000000" w:rsidP="00000000" w:rsidRDefault="00000000" w:rsidRPr="00000000" w14:paraId="0000023B">
            <w:pPr>
              <w:spacing w:line="240" w:lineRule="auto"/>
              <w:jc w:val="right"/>
              <w:rPr>
                <w:color w:val="000000"/>
              </w:rPr>
            </w:pPr>
            <w:r w:rsidDel="00000000" w:rsidR="00000000" w:rsidRPr="00000000">
              <w:rPr>
                <w:color w:val="000000"/>
                <w:rtl w:val="0"/>
              </w:rPr>
              <w:t xml:space="preserve">5</w:t>
            </w:r>
          </w:p>
        </w:tc>
        <w:tc>
          <w:tcPr>
            <w:vAlign w:val="center"/>
          </w:tcPr>
          <w:p w:rsidR="00000000" w:rsidDel="00000000" w:rsidP="00000000" w:rsidRDefault="00000000" w:rsidRPr="00000000" w14:paraId="0000023C">
            <w:pPr>
              <w:spacing w:line="240" w:lineRule="auto"/>
              <w:jc w:val="right"/>
              <w:rPr>
                <w:color w:val="000000"/>
              </w:rPr>
            </w:pPr>
            <w:r w:rsidDel="00000000" w:rsidR="00000000" w:rsidRPr="00000000">
              <w:rPr>
                <w:color w:val="000000"/>
                <w:rtl w:val="0"/>
              </w:rPr>
              <w:t xml:space="preserve">8</w:t>
            </w:r>
          </w:p>
        </w:tc>
        <w:tc>
          <w:tcPr>
            <w:vAlign w:val="bottom"/>
          </w:tcPr>
          <w:p w:rsidR="00000000" w:rsidDel="00000000" w:rsidP="00000000" w:rsidRDefault="00000000" w:rsidRPr="00000000" w14:paraId="0000023D">
            <w:pPr>
              <w:spacing w:line="240" w:lineRule="auto"/>
              <w:jc w:val="right"/>
              <w:rPr>
                <w:color w:val="000000"/>
              </w:rPr>
            </w:pPr>
            <w:r w:rsidDel="00000000" w:rsidR="00000000" w:rsidRPr="00000000">
              <w:rPr>
                <w:color w:val="000000"/>
                <w:rtl w:val="0"/>
              </w:rPr>
              <w:t xml:space="preserve">5.445</w:t>
            </w:r>
          </w:p>
        </w:tc>
        <w:tc>
          <w:tcPr>
            <w:vAlign w:val="bottom"/>
          </w:tcPr>
          <w:p w:rsidR="00000000" w:rsidDel="00000000" w:rsidP="00000000" w:rsidRDefault="00000000" w:rsidRPr="00000000" w14:paraId="0000023E">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23F">
            <w:pPr>
              <w:spacing w:line="240" w:lineRule="auto"/>
              <w:jc w:val="right"/>
              <w:rPr>
                <w:color w:val="000000"/>
              </w:rPr>
            </w:pPr>
            <w:r w:rsidDel="00000000" w:rsidR="00000000" w:rsidRPr="00000000">
              <w:rPr>
                <w:color w:val="000000"/>
                <w:rtl w:val="0"/>
              </w:rPr>
              <w:t xml:space="preserve">5</w:t>
            </w:r>
          </w:p>
        </w:tc>
        <w:tc>
          <w:tcPr>
            <w:vAlign w:val="center"/>
          </w:tcPr>
          <w:p w:rsidR="00000000" w:rsidDel="00000000" w:rsidP="00000000" w:rsidRDefault="00000000" w:rsidRPr="00000000" w14:paraId="00000240">
            <w:pPr>
              <w:spacing w:line="240" w:lineRule="auto"/>
              <w:jc w:val="right"/>
              <w:rPr>
                <w:color w:val="000000"/>
              </w:rPr>
            </w:pPr>
            <w:r w:rsidDel="00000000" w:rsidR="00000000" w:rsidRPr="00000000">
              <w:rPr>
                <w:color w:val="000000"/>
                <w:rtl w:val="0"/>
              </w:rPr>
              <w:t xml:space="preserve">11</w:t>
            </w:r>
          </w:p>
        </w:tc>
        <w:tc>
          <w:tcPr>
            <w:vAlign w:val="center"/>
          </w:tcPr>
          <w:p w:rsidR="00000000" w:rsidDel="00000000" w:rsidP="00000000" w:rsidRDefault="00000000" w:rsidRPr="00000000" w14:paraId="00000241">
            <w:pPr>
              <w:spacing w:line="240" w:lineRule="auto"/>
              <w:jc w:val="right"/>
              <w:rPr>
                <w:color w:val="000000"/>
              </w:rPr>
            </w:pPr>
            <w:r w:rsidDel="00000000" w:rsidR="00000000" w:rsidRPr="00000000">
              <w:rPr>
                <w:color w:val="000000"/>
                <w:rtl w:val="0"/>
              </w:rPr>
              <w:t xml:space="preserve">7.486</w:t>
            </w:r>
          </w:p>
        </w:tc>
        <w:tc>
          <w:tcPr>
            <w:vAlign w:val="bottom"/>
          </w:tcPr>
          <w:p w:rsidR="00000000" w:rsidDel="00000000" w:rsidP="00000000" w:rsidRDefault="00000000" w:rsidRPr="00000000" w14:paraId="00000242">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243">
            <w:pPr>
              <w:spacing w:line="240" w:lineRule="auto"/>
              <w:jc w:val="right"/>
              <w:rPr>
                <w:color w:val="000000"/>
              </w:rPr>
            </w:pPr>
            <w:r w:rsidDel="00000000" w:rsidR="00000000" w:rsidRPr="00000000">
              <w:rPr>
                <w:color w:val="000000"/>
                <w:rtl w:val="0"/>
              </w:rPr>
              <w:t xml:space="preserve">5</w:t>
            </w:r>
          </w:p>
        </w:tc>
        <w:tc>
          <w:tcPr>
            <w:vAlign w:val="center"/>
          </w:tcPr>
          <w:p w:rsidR="00000000" w:rsidDel="00000000" w:rsidP="00000000" w:rsidRDefault="00000000" w:rsidRPr="00000000" w14:paraId="00000244">
            <w:pPr>
              <w:spacing w:line="240" w:lineRule="auto"/>
              <w:jc w:val="right"/>
              <w:rPr>
                <w:color w:val="000000"/>
              </w:rPr>
            </w:pPr>
            <w:r w:rsidDel="00000000" w:rsidR="00000000" w:rsidRPr="00000000">
              <w:rPr>
                <w:color w:val="000000"/>
                <w:rtl w:val="0"/>
              </w:rPr>
              <w:t xml:space="preserve">5</w:t>
            </w:r>
          </w:p>
        </w:tc>
        <w:tc>
          <w:tcPr>
            <w:vAlign w:val="center"/>
          </w:tcPr>
          <w:p w:rsidR="00000000" w:rsidDel="00000000" w:rsidP="00000000" w:rsidRDefault="00000000" w:rsidRPr="00000000" w14:paraId="00000245">
            <w:pPr>
              <w:spacing w:line="240" w:lineRule="auto"/>
              <w:jc w:val="right"/>
              <w:rPr>
                <w:color w:val="000000"/>
              </w:rPr>
            </w:pPr>
            <w:r w:rsidDel="00000000" w:rsidR="00000000" w:rsidRPr="00000000">
              <w:rPr>
                <w:color w:val="000000"/>
                <w:rtl w:val="0"/>
              </w:rPr>
              <w:t xml:space="preserve">3.403</w:t>
            </w:r>
          </w:p>
        </w:tc>
      </w:tr>
      <w:tr>
        <w:trPr>
          <w:cantSplit w:val="0"/>
          <w:trHeight w:val="288" w:hRule="atLeast"/>
          <w:tblHeader w:val="0"/>
        </w:trPr>
        <w:tc>
          <w:tcPr>
            <w:vAlign w:val="bottom"/>
          </w:tcPr>
          <w:p w:rsidR="00000000" w:rsidDel="00000000" w:rsidP="00000000" w:rsidRDefault="00000000" w:rsidRPr="00000000" w14:paraId="00000246">
            <w:pPr>
              <w:spacing w:line="240" w:lineRule="auto"/>
              <w:rPr>
                <w:color w:val="000000"/>
              </w:rPr>
            </w:pPr>
            <w:r w:rsidDel="00000000" w:rsidR="00000000" w:rsidRPr="00000000">
              <w:rPr>
                <w:color w:val="000000"/>
                <w:rtl w:val="0"/>
              </w:rPr>
              <w:t xml:space="preserve">PV</w:t>
            </w:r>
          </w:p>
        </w:tc>
        <w:tc>
          <w:tcPr>
            <w:vAlign w:val="bottom"/>
          </w:tcPr>
          <w:p w:rsidR="00000000" w:rsidDel="00000000" w:rsidP="00000000" w:rsidRDefault="00000000" w:rsidRPr="00000000" w14:paraId="00000247">
            <w:pPr>
              <w:spacing w:line="240" w:lineRule="auto"/>
              <w:rPr>
                <w:color w:val="000000"/>
              </w:rPr>
            </w:pPr>
            <w:r w:rsidDel="00000000" w:rsidR="00000000" w:rsidRPr="00000000">
              <w:rPr>
                <w:rtl w:val="0"/>
              </w:rPr>
            </w:r>
          </w:p>
        </w:tc>
        <w:tc>
          <w:tcPr>
            <w:vAlign w:val="bottom"/>
          </w:tcPr>
          <w:p w:rsidR="00000000" w:rsidDel="00000000" w:rsidP="00000000" w:rsidRDefault="00000000" w:rsidRPr="00000000" w14:paraId="00000248">
            <w:pPr>
              <w:spacing w:line="240" w:lineRule="auto"/>
              <w:jc w:val="right"/>
              <w:rPr>
                <w:color w:val="000000"/>
              </w:rPr>
            </w:pPr>
            <w:r w:rsidDel="00000000" w:rsidR="00000000" w:rsidRPr="00000000">
              <w:rPr>
                <w:color w:val="000000"/>
                <w:rtl w:val="0"/>
              </w:rPr>
              <w:t xml:space="preserve">43.456</w:t>
            </w:r>
          </w:p>
        </w:tc>
        <w:tc>
          <w:tcPr>
            <w:vAlign w:val="bottom"/>
          </w:tcPr>
          <w:p w:rsidR="00000000" w:rsidDel="00000000" w:rsidP="00000000" w:rsidRDefault="00000000" w:rsidRPr="00000000" w14:paraId="00000249">
            <w:pPr>
              <w:spacing w:line="240" w:lineRule="auto"/>
              <w:jc w:val="right"/>
              <w:rPr>
                <w:color w:val="000000"/>
              </w:rPr>
            </w:pPr>
            <w:r w:rsidDel="00000000" w:rsidR="00000000" w:rsidRPr="00000000">
              <w:rPr>
                <w:rtl w:val="0"/>
              </w:rPr>
            </w:r>
          </w:p>
        </w:tc>
        <w:tc>
          <w:tcPr>
            <w:vAlign w:val="bottom"/>
          </w:tcPr>
          <w:p w:rsidR="00000000" w:rsidDel="00000000" w:rsidP="00000000" w:rsidRDefault="00000000" w:rsidRPr="00000000" w14:paraId="0000024A">
            <w:pPr>
              <w:spacing w:line="240" w:lineRule="auto"/>
              <w:rPr>
                <w:color w:val="000000"/>
              </w:rPr>
            </w:pPr>
            <w:r w:rsidDel="00000000" w:rsidR="00000000" w:rsidRPr="00000000">
              <w:rPr>
                <w:color w:val="000000"/>
                <w:rtl w:val="0"/>
              </w:rPr>
              <w:t xml:space="preserve">PV</w:t>
            </w:r>
          </w:p>
        </w:tc>
        <w:tc>
          <w:tcPr>
            <w:vAlign w:val="bottom"/>
          </w:tcPr>
          <w:p w:rsidR="00000000" w:rsidDel="00000000" w:rsidP="00000000" w:rsidRDefault="00000000" w:rsidRPr="00000000" w14:paraId="0000024B">
            <w:pPr>
              <w:spacing w:line="240" w:lineRule="auto"/>
              <w:rPr>
                <w:color w:val="000000"/>
              </w:rPr>
            </w:pPr>
            <w:r w:rsidDel="00000000" w:rsidR="00000000" w:rsidRPr="00000000">
              <w:rPr>
                <w:rtl w:val="0"/>
              </w:rPr>
            </w:r>
          </w:p>
        </w:tc>
        <w:tc>
          <w:tcPr>
            <w:vAlign w:val="center"/>
          </w:tcPr>
          <w:p w:rsidR="00000000" w:rsidDel="00000000" w:rsidP="00000000" w:rsidRDefault="00000000" w:rsidRPr="00000000" w14:paraId="0000024C">
            <w:pPr>
              <w:spacing w:line="240" w:lineRule="auto"/>
              <w:jc w:val="right"/>
              <w:rPr>
                <w:color w:val="000000"/>
              </w:rPr>
            </w:pPr>
            <w:r w:rsidDel="00000000" w:rsidR="00000000" w:rsidRPr="00000000">
              <w:rPr>
                <w:color w:val="000000"/>
                <w:rtl w:val="0"/>
              </w:rPr>
              <w:t xml:space="preserve">43.920</w:t>
            </w:r>
          </w:p>
        </w:tc>
        <w:tc>
          <w:tcPr>
            <w:vAlign w:val="bottom"/>
          </w:tcPr>
          <w:p w:rsidR="00000000" w:rsidDel="00000000" w:rsidP="00000000" w:rsidRDefault="00000000" w:rsidRPr="00000000" w14:paraId="0000024D">
            <w:pPr>
              <w:spacing w:line="240" w:lineRule="auto"/>
              <w:jc w:val="right"/>
              <w:rPr>
                <w:color w:val="000000"/>
              </w:rPr>
            </w:pPr>
            <w:r w:rsidDel="00000000" w:rsidR="00000000" w:rsidRPr="00000000">
              <w:rPr>
                <w:rtl w:val="0"/>
              </w:rPr>
            </w:r>
          </w:p>
        </w:tc>
        <w:tc>
          <w:tcPr>
            <w:vAlign w:val="bottom"/>
          </w:tcPr>
          <w:p w:rsidR="00000000" w:rsidDel="00000000" w:rsidP="00000000" w:rsidRDefault="00000000" w:rsidRPr="00000000" w14:paraId="0000024E">
            <w:pPr>
              <w:spacing w:line="240" w:lineRule="auto"/>
              <w:rPr>
                <w:color w:val="000000"/>
              </w:rPr>
            </w:pPr>
            <w:r w:rsidDel="00000000" w:rsidR="00000000" w:rsidRPr="00000000">
              <w:rPr>
                <w:color w:val="000000"/>
                <w:rtl w:val="0"/>
              </w:rPr>
              <w:t xml:space="preserve">PV </w:t>
            </w:r>
          </w:p>
        </w:tc>
        <w:tc>
          <w:tcPr>
            <w:vAlign w:val="bottom"/>
          </w:tcPr>
          <w:p w:rsidR="00000000" w:rsidDel="00000000" w:rsidP="00000000" w:rsidRDefault="00000000" w:rsidRPr="00000000" w14:paraId="0000024F">
            <w:pPr>
              <w:spacing w:line="240" w:lineRule="auto"/>
              <w:rPr>
                <w:color w:val="000000"/>
              </w:rPr>
            </w:pPr>
            <w:r w:rsidDel="00000000" w:rsidR="00000000" w:rsidRPr="00000000">
              <w:rPr>
                <w:rtl w:val="0"/>
              </w:rPr>
            </w:r>
          </w:p>
        </w:tc>
        <w:tc>
          <w:tcPr>
            <w:vAlign w:val="center"/>
          </w:tcPr>
          <w:p w:rsidR="00000000" w:rsidDel="00000000" w:rsidP="00000000" w:rsidRDefault="00000000" w:rsidRPr="00000000" w14:paraId="00000250">
            <w:pPr>
              <w:spacing w:line="240" w:lineRule="auto"/>
              <w:jc w:val="right"/>
              <w:rPr>
                <w:color w:val="000000"/>
              </w:rPr>
            </w:pPr>
            <w:r w:rsidDel="00000000" w:rsidR="00000000" w:rsidRPr="00000000">
              <w:rPr>
                <w:color w:val="000000"/>
                <w:rtl w:val="0"/>
              </w:rPr>
              <w:t xml:space="preserve">50.858</w:t>
            </w:r>
          </w:p>
        </w:tc>
      </w:tr>
      <w:tr>
        <w:trPr>
          <w:cantSplit w:val="0"/>
          <w:trHeight w:val="288" w:hRule="atLeast"/>
          <w:tblHeader w:val="0"/>
        </w:trPr>
        <w:tc>
          <w:tcPr>
            <w:gridSpan w:val="2"/>
            <w:vAlign w:val="bottom"/>
          </w:tcPr>
          <w:p w:rsidR="00000000" w:rsidDel="00000000" w:rsidP="00000000" w:rsidRDefault="00000000" w:rsidRPr="00000000" w14:paraId="00000251">
            <w:pPr>
              <w:spacing w:line="240" w:lineRule="auto"/>
              <w:rPr>
                <w:color w:val="000000"/>
              </w:rPr>
            </w:pPr>
            <w:r w:rsidDel="00000000" w:rsidR="00000000" w:rsidRPr="00000000">
              <w:rPr>
                <w:color w:val="000000"/>
                <w:rtl w:val="0"/>
              </w:rPr>
              <w:t xml:space="preserve">PI = 43.456/50</w:t>
            </w:r>
          </w:p>
        </w:tc>
        <w:tc>
          <w:tcPr>
            <w:vAlign w:val="bottom"/>
          </w:tcPr>
          <w:p w:rsidR="00000000" w:rsidDel="00000000" w:rsidP="00000000" w:rsidRDefault="00000000" w:rsidRPr="00000000" w14:paraId="00000253">
            <w:pPr>
              <w:spacing w:line="240" w:lineRule="auto"/>
              <w:rPr>
                <w:color w:val="000000"/>
              </w:rPr>
            </w:pPr>
            <w:r w:rsidDel="00000000" w:rsidR="00000000" w:rsidRPr="00000000">
              <w:rPr>
                <w:rtl w:val="0"/>
              </w:rPr>
            </w:r>
          </w:p>
        </w:tc>
        <w:tc>
          <w:tcPr>
            <w:vAlign w:val="bottom"/>
          </w:tcPr>
          <w:p w:rsidR="00000000" w:rsidDel="00000000" w:rsidP="00000000" w:rsidRDefault="00000000" w:rsidRPr="00000000" w14:paraId="00000254">
            <w:pPr>
              <w:spacing w:line="240" w:lineRule="auto"/>
              <w:rPr/>
            </w:pPr>
            <w:r w:rsidDel="00000000" w:rsidR="00000000" w:rsidRPr="00000000">
              <w:rPr>
                <w:rtl w:val="0"/>
              </w:rPr>
            </w:r>
          </w:p>
        </w:tc>
        <w:tc>
          <w:tcPr>
            <w:gridSpan w:val="2"/>
            <w:vAlign w:val="bottom"/>
          </w:tcPr>
          <w:p w:rsidR="00000000" w:rsidDel="00000000" w:rsidP="00000000" w:rsidRDefault="00000000" w:rsidRPr="00000000" w14:paraId="00000255">
            <w:pPr>
              <w:spacing w:line="240" w:lineRule="auto"/>
              <w:rPr>
                <w:color w:val="000000"/>
              </w:rPr>
            </w:pPr>
            <w:r w:rsidDel="00000000" w:rsidR="00000000" w:rsidRPr="00000000">
              <w:rPr>
                <w:color w:val="000000"/>
                <w:rtl w:val="0"/>
              </w:rPr>
              <w:t xml:space="preserve">PI = 43.920/50</w:t>
            </w:r>
          </w:p>
        </w:tc>
        <w:tc>
          <w:tcPr>
            <w:vAlign w:val="bottom"/>
          </w:tcPr>
          <w:p w:rsidR="00000000" w:rsidDel="00000000" w:rsidP="00000000" w:rsidRDefault="00000000" w:rsidRPr="00000000" w14:paraId="00000257">
            <w:pPr>
              <w:spacing w:line="240" w:lineRule="auto"/>
              <w:rPr>
                <w:color w:val="000000"/>
              </w:rPr>
            </w:pPr>
            <w:r w:rsidDel="00000000" w:rsidR="00000000" w:rsidRPr="00000000">
              <w:rPr>
                <w:rtl w:val="0"/>
              </w:rPr>
            </w:r>
          </w:p>
        </w:tc>
        <w:tc>
          <w:tcPr>
            <w:vAlign w:val="bottom"/>
          </w:tcPr>
          <w:p w:rsidR="00000000" w:rsidDel="00000000" w:rsidP="00000000" w:rsidRDefault="00000000" w:rsidRPr="00000000" w14:paraId="00000258">
            <w:pPr>
              <w:spacing w:line="240" w:lineRule="auto"/>
              <w:rPr/>
            </w:pPr>
            <w:r w:rsidDel="00000000" w:rsidR="00000000" w:rsidRPr="00000000">
              <w:rPr>
                <w:rtl w:val="0"/>
              </w:rPr>
            </w:r>
          </w:p>
        </w:tc>
        <w:tc>
          <w:tcPr>
            <w:gridSpan w:val="2"/>
            <w:vAlign w:val="bottom"/>
          </w:tcPr>
          <w:p w:rsidR="00000000" w:rsidDel="00000000" w:rsidP="00000000" w:rsidRDefault="00000000" w:rsidRPr="00000000" w14:paraId="00000259">
            <w:pPr>
              <w:spacing w:line="240" w:lineRule="auto"/>
              <w:rPr>
                <w:color w:val="000000"/>
              </w:rPr>
            </w:pPr>
            <w:r w:rsidDel="00000000" w:rsidR="00000000" w:rsidRPr="00000000">
              <w:rPr>
                <w:color w:val="000000"/>
                <w:rtl w:val="0"/>
              </w:rPr>
              <w:t xml:space="preserve">PI = 50.858/50</w:t>
            </w:r>
          </w:p>
        </w:tc>
        <w:tc>
          <w:tcPr>
            <w:vAlign w:val="bottom"/>
          </w:tcPr>
          <w:p w:rsidR="00000000" w:rsidDel="00000000" w:rsidP="00000000" w:rsidRDefault="00000000" w:rsidRPr="00000000" w14:paraId="0000025B">
            <w:pPr>
              <w:spacing w:line="240" w:lineRule="auto"/>
              <w:rPr>
                <w:color w:val="000000"/>
              </w:rPr>
            </w:pPr>
            <w:r w:rsidDel="00000000" w:rsidR="00000000" w:rsidRPr="00000000">
              <w:rPr>
                <w:rtl w:val="0"/>
              </w:rPr>
            </w:r>
          </w:p>
        </w:tc>
      </w:tr>
      <w:tr>
        <w:trPr>
          <w:cantSplit w:val="0"/>
          <w:trHeight w:val="288" w:hRule="atLeast"/>
          <w:tblHeader w:val="0"/>
        </w:trPr>
        <w:tc>
          <w:tcPr>
            <w:vAlign w:val="bottom"/>
          </w:tcPr>
          <w:p w:rsidR="00000000" w:rsidDel="00000000" w:rsidP="00000000" w:rsidRDefault="00000000" w:rsidRPr="00000000" w14:paraId="0000025C">
            <w:pPr>
              <w:spacing w:line="240" w:lineRule="auto"/>
              <w:rPr>
                <w:color w:val="000000"/>
              </w:rPr>
            </w:pPr>
            <w:r w:rsidDel="00000000" w:rsidR="00000000" w:rsidRPr="00000000">
              <w:rPr>
                <w:color w:val="000000"/>
                <w:rtl w:val="0"/>
              </w:rPr>
              <w:t xml:space="preserve">PI = 0.87</w:t>
            </w:r>
          </w:p>
        </w:tc>
        <w:tc>
          <w:tcPr>
            <w:vAlign w:val="bottom"/>
          </w:tcPr>
          <w:p w:rsidR="00000000" w:rsidDel="00000000" w:rsidP="00000000" w:rsidRDefault="00000000" w:rsidRPr="00000000" w14:paraId="0000025D">
            <w:pPr>
              <w:spacing w:line="240" w:lineRule="auto"/>
              <w:rPr>
                <w:color w:val="000000"/>
              </w:rPr>
            </w:pPr>
            <w:r w:rsidDel="00000000" w:rsidR="00000000" w:rsidRPr="00000000">
              <w:rPr>
                <w:rtl w:val="0"/>
              </w:rPr>
            </w:r>
          </w:p>
        </w:tc>
        <w:tc>
          <w:tcPr>
            <w:vAlign w:val="bottom"/>
          </w:tcPr>
          <w:p w:rsidR="00000000" w:rsidDel="00000000" w:rsidP="00000000" w:rsidRDefault="00000000" w:rsidRPr="00000000" w14:paraId="0000025E">
            <w:pPr>
              <w:spacing w:line="240" w:lineRule="auto"/>
              <w:rPr/>
            </w:pPr>
            <w:r w:rsidDel="00000000" w:rsidR="00000000" w:rsidRPr="00000000">
              <w:rPr>
                <w:rtl w:val="0"/>
              </w:rPr>
            </w:r>
          </w:p>
        </w:tc>
        <w:tc>
          <w:tcPr>
            <w:vAlign w:val="bottom"/>
          </w:tcPr>
          <w:p w:rsidR="00000000" w:rsidDel="00000000" w:rsidP="00000000" w:rsidRDefault="00000000" w:rsidRPr="00000000" w14:paraId="0000025F">
            <w:pPr>
              <w:spacing w:line="240" w:lineRule="auto"/>
              <w:rPr/>
            </w:pPr>
            <w:r w:rsidDel="00000000" w:rsidR="00000000" w:rsidRPr="00000000">
              <w:rPr>
                <w:rtl w:val="0"/>
              </w:rPr>
            </w:r>
          </w:p>
        </w:tc>
        <w:tc>
          <w:tcPr>
            <w:vAlign w:val="bottom"/>
          </w:tcPr>
          <w:p w:rsidR="00000000" w:rsidDel="00000000" w:rsidP="00000000" w:rsidRDefault="00000000" w:rsidRPr="00000000" w14:paraId="00000260">
            <w:pPr>
              <w:spacing w:line="240" w:lineRule="auto"/>
              <w:rPr>
                <w:color w:val="000000"/>
              </w:rPr>
            </w:pPr>
            <w:r w:rsidDel="00000000" w:rsidR="00000000" w:rsidRPr="00000000">
              <w:rPr>
                <w:color w:val="000000"/>
                <w:rtl w:val="0"/>
              </w:rPr>
              <w:t xml:space="preserve">PI = 0.88</w:t>
            </w:r>
          </w:p>
        </w:tc>
        <w:tc>
          <w:tcPr>
            <w:vAlign w:val="bottom"/>
          </w:tcPr>
          <w:p w:rsidR="00000000" w:rsidDel="00000000" w:rsidP="00000000" w:rsidRDefault="00000000" w:rsidRPr="00000000" w14:paraId="00000261">
            <w:pPr>
              <w:spacing w:line="240" w:lineRule="auto"/>
              <w:rPr>
                <w:color w:val="000000"/>
              </w:rPr>
            </w:pPr>
            <w:r w:rsidDel="00000000" w:rsidR="00000000" w:rsidRPr="00000000">
              <w:rPr>
                <w:rtl w:val="0"/>
              </w:rPr>
            </w:r>
          </w:p>
        </w:tc>
        <w:tc>
          <w:tcPr>
            <w:vAlign w:val="bottom"/>
          </w:tcPr>
          <w:p w:rsidR="00000000" w:rsidDel="00000000" w:rsidP="00000000" w:rsidRDefault="00000000" w:rsidRPr="00000000" w14:paraId="00000262">
            <w:pPr>
              <w:spacing w:line="240" w:lineRule="auto"/>
              <w:rPr/>
            </w:pPr>
            <w:r w:rsidDel="00000000" w:rsidR="00000000" w:rsidRPr="00000000">
              <w:rPr>
                <w:rtl w:val="0"/>
              </w:rPr>
            </w:r>
          </w:p>
        </w:tc>
        <w:tc>
          <w:tcPr>
            <w:vAlign w:val="bottom"/>
          </w:tcPr>
          <w:p w:rsidR="00000000" w:rsidDel="00000000" w:rsidP="00000000" w:rsidRDefault="00000000" w:rsidRPr="00000000" w14:paraId="00000263">
            <w:pPr>
              <w:spacing w:line="240" w:lineRule="auto"/>
              <w:rPr/>
            </w:pPr>
            <w:r w:rsidDel="00000000" w:rsidR="00000000" w:rsidRPr="00000000">
              <w:rPr>
                <w:rtl w:val="0"/>
              </w:rPr>
            </w:r>
          </w:p>
        </w:tc>
        <w:tc>
          <w:tcPr>
            <w:vAlign w:val="bottom"/>
          </w:tcPr>
          <w:p w:rsidR="00000000" w:rsidDel="00000000" w:rsidP="00000000" w:rsidRDefault="00000000" w:rsidRPr="00000000" w14:paraId="00000264">
            <w:pPr>
              <w:spacing w:line="240" w:lineRule="auto"/>
              <w:rPr>
                <w:color w:val="000000"/>
              </w:rPr>
            </w:pPr>
            <w:r w:rsidDel="00000000" w:rsidR="00000000" w:rsidRPr="00000000">
              <w:rPr>
                <w:color w:val="000000"/>
                <w:rtl w:val="0"/>
              </w:rPr>
              <w:t xml:space="preserve">PI = 1.02</w:t>
            </w:r>
          </w:p>
        </w:tc>
        <w:tc>
          <w:tcPr>
            <w:vAlign w:val="bottom"/>
          </w:tcPr>
          <w:p w:rsidR="00000000" w:rsidDel="00000000" w:rsidP="00000000" w:rsidRDefault="00000000" w:rsidRPr="00000000" w14:paraId="00000265">
            <w:pPr>
              <w:spacing w:line="240" w:lineRule="auto"/>
              <w:rPr>
                <w:color w:val="000000"/>
              </w:rPr>
            </w:pPr>
            <w:r w:rsidDel="00000000" w:rsidR="00000000" w:rsidRPr="00000000">
              <w:rPr>
                <w:rtl w:val="0"/>
              </w:rPr>
            </w:r>
          </w:p>
        </w:tc>
        <w:tc>
          <w:tcPr>
            <w:vAlign w:val="bottom"/>
          </w:tcPr>
          <w:p w:rsidR="00000000" w:rsidDel="00000000" w:rsidP="00000000" w:rsidRDefault="00000000" w:rsidRPr="00000000" w14:paraId="00000266">
            <w:pPr>
              <w:spacing w:line="240" w:lineRule="auto"/>
              <w:rPr/>
            </w:pPr>
            <w:r w:rsidDel="00000000" w:rsidR="00000000" w:rsidRPr="00000000">
              <w:rPr>
                <w:rtl w:val="0"/>
              </w:rPr>
            </w:r>
          </w:p>
        </w:tc>
      </w:tr>
    </w:tbl>
    <w:p w:rsidR="00000000" w:rsidDel="00000000" w:rsidP="00000000" w:rsidRDefault="00000000" w:rsidRPr="00000000" w14:paraId="00000267">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268">
      <w:pPr>
        <w:spacing w:line="360" w:lineRule="auto"/>
        <w:jc w:val="both"/>
        <w:rPr>
          <w:sz w:val="24"/>
          <w:szCs w:val="24"/>
        </w:rPr>
      </w:pPr>
      <w:r w:rsidDel="00000000" w:rsidR="00000000" w:rsidRPr="00000000">
        <w:rPr>
          <w:sz w:val="24"/>
          <w:szCs w:val="24"/>
          <w:rtl w:val="0"/>
        </w:rPr>
        <w:t xml:space="preserve">A PI above 1 indicates an acceptable project. Project C has the highest PI and is the only project which exceeds 1 that confirms its financial attractiveness. </w:t>
      </w:r>
    </w:p>
    <w:p w:rsidR="00000000" w:rsidDel="00000000" w:rsidP="00000000" w:rsidRDefault="00000000" w:rsidRPr="00000000" w14:paraId="00000269">
      <w:pPr>
        <w:spacing w:line="360" w:lineRule="auto"/>
        <w:jc w:val="both"/>
        <w:rPr>
          <w:b w:val="1"/>
          <w:bCs w:val="1"/>
          <w:sz w:val="24"/>
          <w:szCs w:val="24"/>
        </w:rPr>
      </w:pPr>
      <w:r w:rsidDel="00000000" w:rsidR="00000000" w:rsidRPr="00000000">
        <w:rPr>
          <w:b w:val="1"/>
          <w:bCs w:val="1"/>
          <w:sz w:val="24"/>
          <w:szCs w:val="24"/>
          <w:rtl w:val="0"/>
        </w:rPr>
        <w:t xml:space="preserve">‘Internal Rate of Return’</w:t>
      </w:r>
    </w:p>
    <w:p w:rsidR="00000000" w:rsidDel="00000000" w:rsidP="00000000" w:rsidRDefault="00000000" w:rsidRPr="00000000" w14:paraId="0000026A">
      <w:pPr>
        <w:spacing w:line="360" w:lineRule="auto"/>
        <w:jc w:val="both"/>
        <w:rPr>
          <w:sz w:val="24"/>
          <w:szCs w:val="24"/>
        </w:rPr>
      </w:pPr>
      <w:r w:rsidDel="00000000" w:rsidR="00000000" w:rsidRPr="00000000">
        <w:rPr>
          <w:sz w:val="24"/>
          <w:szCs w:val="24"/>
          <w:rtl w:val="0"/>
        </w:rPr>
        <w:t xml:space="preserve">IRR is the discount rate when the NPV is equal to 0 (Huang et al., 2022).</w:t>
      </w:r>
    </w:p>
    <w:tbl>
      <w:tblPr>
        <w:tblStyle w:val="Table6"/>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92"/>
        <w:gridCol w:w="1041"/>
        <w:gridCol w:w="1219"/>
        <w:gridCol w:w="250"/>
        <w:gridCol w:w="690"/>
        <w:gridCol w:w="1040"/>
        <w:gridCol w:w="1219"/>
        <w:gridCol w:w="250"/>
        <w:gridCol w:w="690"/>
        <w:gridCol w:w="1040"/>
        <w:gridCol w:w="1219"/>
        <w:tblGridChange w:id="0">
          <w:tblGrid>
            <w:gridCol w:w="692"/>
            <w:gridCol w:w="1041"/>
            <w:gridCol w:w="1219"/>
            <w:gridCol w:w="250"/>
            <w:gridCol w:w="690"/>
            <w:gridCol w:w="1040"/>
            <w:gridCol w:w="1219"/>
            <w:gridCol w:w="250"/>
            <w:gridCol w:w="690"/>
            <w:gridCol w:w="1040"/>
            <w:gridCol w:w="1219"/>
          </w:tblGrid>
        </w:tblGridChange>
      </w:tblGrid>
      <w:tr>
        <w:trPr>
          <w:cantSplit w:val="0"/>
          <w:trHeight w:val="288" w:hRule="atLeast"/>
          <w:tblHeader w:val="0"/>
        </w:trPr>
        <w:tc>
          <w:tcPr>
            <w:gridSpan w:val="3"/>
            <w:vAlign w:val="bottom"/>
          </w:tcPr>
          <w:p w:rsidR="00000000" w:rsidDel="00000000" w:rsidP="00000000" w:rsidRDefault="00000000" w:rsidRPr="00000000" w14:paraId="0000026B">
            <w:pPr>
              <w:spacing w:line="240" w:lineRule="auto"/>
              <w:jc w:val="center"/>
              <w:rPr>
                <w:b w:val="1"/>
                <w:bCs w:val="1"/>
                <w:color w:val="000000"/>
              </w:rPr>
            </w:pPr>
            <w:r w:rsidDel="00000000" w:rsidR="00000000" w:rsidRPr="00000000">
              <w:rPr>
                <w:b w:val="1"/>
                <w:bCs w:val="1"/>
                <w:color w:val="000000"/>
                <w:rtl w:val="0"/>
              </w:rPr>
              <w:t xml:space="preserve">Project A</w:t>
            </w:r>
          </w:p>
        </w:tc>
        <w:tc>
          <w:tcPr>
            <w:vAlign w:val="bottom"/>
          </w:tcPr>
          <w:p w:rsidR="00000000" w:rsidDel="00000000" w:rsidP="00000000" w:rsidRDefault="00000000" w:rsidRPr="00000000" w14:paraId="0000026E">
            <w:pPr>
              <w:spacing w:line="240" w:lineRule="auto"/>
              <w:jc w:val="center"/>
              <w:rPr>
                <w:b w:val="1"/>
                <w:bCs w:val="1"/>
                <w:color w:val="000000"/>
              </w:rPr>
            </w:pPr>
            <w:r w:rsidDel="00000000" w:rsidR="00000000" w:rsidRPr="00000000">
              <w:rPr>
                <w:rtl w:val="0"/>
              </w:rPr>
            </w:r>
          </w:p>
        </w:tc>
        <w:tc>
          <w:tcPr>
            <w:gridSpan w:val="3"/>
            <w:vAlign w:val="bottom"/>
          </w:tcPr>
          <w:p w:rsidR="00000000" w:rsidDel="00000000" w:rsidP="00000000" w:rsidRDefault="00000000" w:rsidRPr="00000000" w14:paraId="0000026F">
            <w:pPr>
              <w:spacing w:line="240" w:lineRule="auto"/>
              <w:jc w:val="center"/>
              <w:rPr>
                <w:b w:val="1"/>
                <w:bCs w:val="1"/>
                <w:color w:val="000000"/>
              </w:rPr>
            </w:pPr>
            <w:r w:rsidDel="00000000" w:rsidR="00000000" w:rsidRPr="00000000">
              <w:rPr>
                <w:b w:val="1"/>
                <w:bCs w:val="1"/>
                <w:color w:val="000000"/>
                <w:rtl w:val="0"/>
              </w:rPr>
              <w:t xml:space="preserve">Project B</w:t>
            </w:r>
          </w:p>
        </w:tc>
        <w:tc>
          <w:tcPr>
            <w:vAlign w:val="bottom"/>
          </w:tcPr>
          <w:p w:rsidR="00000000" w:rsidDel="00000000" w:rsidP="00000000" w:rsidRDefault="00000000" w:rsidRPr="00000000" w14:paraId="00000272">
            <w:pPr>
              <w:spacing w:line="240" w:lineRule="auto"/>
              <w:jc w:val="center"/>
              <w:rPr>
                <w:b w:val="1"/>
                <w:bCs w:val="1"/>
                <w:color w:val="000000"/>
              </w:rPr>
            </w:pPr>
            <w:r w:rsidDel="00000000" w:rsidR="00000000" w:rsidRPr="00000000">
              <w:rPr>
                <w:rtl w:val="0"/>
              </w:rPr>
            </w:r>
          </w:p>
        </w:tc>
        <w:tc>
          <w:tcPr>
            <w:gridSpan w:val="3"/>
            <w:vAlign w:val="bottom"/>
          </w:tcPr>
          <w:p w:rsidR="00000000" w:rsidDel="00000000" w:rsidP="00000000" w:rsidRDefault="00000000" w:rsidRPr="00000000" w14:paraId="00000273">
            <w:pPr>
              <w:spacing w:line="240" w:lineRule="auto"/>
              <w:jc w:val="center"/>
              <w:rPr>
                <w:b w:val="1"/>
                <w:bCs w:val="1"/>
                <w:color w:val="000000"/>
              </w:rPr>
            </w:pPr>
            <w:r w:rsidDel="00000000" w:rsidR="00000000" w:rsidRPr="00000000">
              <w:rPr>
                <w:b w:val="1"/>
                <w:bCs w:val="1"/>
                <w:color w:val="000000"/>
                <w:rtl w:val="0"/>
              </w:rPr>
              <w:t xml:space="preserve">Project C</w:t>
            </w:r>
          </w:p>
        </w:tc>
      </w:tr>
      <w:tr>
        <w:trPr>
          <w:cantSplit w:val="0"/>
          <w:trHeight w:val="864" w:hRule="atLeast"/>
          <w:tblHeader w:val="0"/>
        </w:trPr>
        <w:tc>
          <w:tcPr>
            <w:vAlign w:val="center"/>
          </w:tcPr>
          <w:p w:rsidR="00000000" w:rsidDel="00000000" w:rsidP="00000000" w:rsidRDefault="00000000" w:rsidRPr="00000000" w14:paraId="00000276">
            <w:pPr>
              <w:spacing w:line="240" w:lineRule="auto"/>
              <w:rPr>
                <w:b w:val="1"/>
                <w:bCs w:val="1"/>
                <w:color w:val="000000"/>
              </w:rPr>
            </w:pPr>
            <w:r w:rsidDel="00000000" w:rsidR="00000000" w:rsidRPr="00000000">
              <w:rPr>
                <w:b w:val="1"/>
                <w:bCs w:val="1"/>
                <w:color w:val="000000"/>
                <w:rtl w:val="0"/>
              </w:rPr>
              <w:t xml:space="preserve">Year</w:t>
            </w:r>
          </w:p>
        </w:tc>
        <w:tc>
          <w:tcPr>
            <w:vAlign w:val="center"/>
          </w:tcPr>
          <w:p w:rsidR="00000000" w:rsidDel="00000000" w:rsidP="00000000" w:rsidRDefault="00000000" w:rsidRPr="00000000" w14:paraId="00000277">
            <w:pPr>
              <w:spacing w:line="240" w:lineRule="auto"/>
              <w:rPr>
                <w:b w:val="1"/>
                <w:bCs w:val="1"/>
                <w:color w:val="000000"/>
              </w:rPr>
            </w:pPr>
            <w:r w:rsidDel="00000000" w:rsidR="00000000" w:rsidRPr="00000000">
              <w:rPr>
                <w:b w:val="1"/>
                <w:bCs w:val="1"/>
                <w:color w:val="000000"/>
                <w:rtl w:val="0"/>
              </w:rPr>
              <w:t xml:space="preserve">Cash Inflow (£m)</w:t>
            </w:r>
          </w:p>
        </w:tc>
        <w:tc>
          <w:tcPr>
            <w:vAlign w:val="center"/>
          </w:tcPr>
          <w:p w:rsidR="00000000" w:rsidDel="00000000" w:rsidP="00000000" w:rsidRDefault="00000000" w:rsidRPr="00000000" w14:paraId="00000278">
            <w:pPr>
              <w:spacing w:line="240" w:lineRule="auto"/>
              <w:rPr>
                <w:b w:val="1"/>
                <w:bCs w:val="1"/>
                <w:color w:val="000000"/>
              </w:rPr>
            </w:pPr>
            <w:r w:rsidDel="00000000" w:rsidR="00000000" w:rsidRPr="00000000">
              <w:rPr>
                <w:b w:val="1"/>
                <w:bCs w:val="1"/>
                <w:color w:val="000000"/>
                <w:rtl w:val="0"/>
              </w:rPr>
              <w:t xml:space="preserve">Present Value (£m)</w:t>
            </w:r>
          </w:p>
        </w:tc>
        <w:tc>
          <w:tcPr>
            <w:vAlign w:val="bottom"/>
          </w:tcPr>
          <w:p w:rsidR="00000000" w:rsidDel="00000000" w:rsidP="00000000" w:rsidRDefault="00000000" w:rsidRPr="00000000" w14:paraId="00000279">
            <w:pPr>
              <w:spacing w:line="240" w:lineRule="auto"/>
              <w:rPr>
                <w:b w:val="1"/>
                <w:bCs w:val="1"/>
                <w:color w:val="000000"/>
              </w:rPr>
            </w:pPr>
            <w:r w:rsidDel="00000000" w:rsidR="00000000" w:rsidRPr="00000000">
              <w:rPr>
                <w:rtl w:val="0"/>
              </w:rPr>
            </w:r>
          </w:p>
        </w:tc>
        <w:tc>
          <w:tcPr>
            <w:vAlign w:val="center"/>
          </w:tcPr>
          <w:p w:rsidR="00000000" w:rsidDel="00000000" w:rsidP="00000000" w:rsidRDefault="00000000" w:rsidRPr="00000000" w14:paraId="0000027A">
            <w:pPr>
              <w:spacing w:line="240" w:lineRule="auto"/>
              <w:rPr>
                <w:b w:val="1"/>
                <w:bCs w:val="1"/>
                <w:color w:val="000000"/>
              </w:rPr>
            </w:pPr>
            <w:r w:rsidDel="00000000" w:rsidR="00000000" w:rsidRPr="00000000">
              <w:rPr>
                <w:b w:val="1"/>
                <w:bCs w:val="1"/>
                <w:color w:val="000000"/>
                <w:rtl w:val="0"/>
              </w:rPr>
              <w:t xml:space="preserve">Year</w:t>
            </w:r>
          </w:p>
        </w:tc>
        <w:tc>
          <w:tcPr>
            <w:vAlign w:val="center"/>
          </w:tcPr>
          <w:p w:rsidR="00000000" w:rsidDel="00000000" w:rsidP="00000000" w:rsidRDefault="00000000" w:rsidRPr="00000000" w14:paraId="0000027B">
            <w:pPr>
              <w:spacing w:line="240" w:lineRule="auto"/>
              <w:rPr>
                <w:b w:val="1"/>
                <w:bCs w:val="1"/>
                <w:color w:val="000000"/>
              </w:rPr>
            </w:pPr>
            <w:r w:rsidDel="00000000" w:rsidR="00000000" w:rsidRPr="00000000">
              <w:rPr>
                <w:b w:val="1"/>
                <w:bCs w:val="1"/>
                <w:color w:val="000000"/>
                <w:rtl w:val="0"/>
              </w:rPr>
              <w:t xml:space="preserve">Cash Inflow (£m)</w:t>
            </w:r>
          </w:p>
        </w:tc>
        <w:tc>
          <w:tcPr>
            <w:vAlign w:val="center"/>
          </w:tcPr>
          <w:p w:rsidR="00000000" w:rsidDel="00000000" w:rsidP="00000000" w:rsidRDefault="00000000" w:rsidRPr="00000000" w14:paraId="0000027C">
            <w:pPr>
              <w:spacing w:line="240" w:lineRule="auto"/>
              <w:rPr>
                <w:b w:val="1"/>
                <w:bCs w:val="1"/>
                <w:color w:val="000000"/>
              </w:rPr>
            </w:pPr>
            <w:r w:rsidDel="00000000" w:rsidR="00000000" w:rsidRPr="00000000">
              <w:rPr>
                <w:b w:val="1"/>
                <w:bCs w:val="1"/>
                <w:color w:val="000000"/>
                <w:rtl w:val="0"/>
              </w:rPr>
              <w:t xml:space="preserve">Present Value (£m)</w:t>
            </w:r>
          </w:p>
        </w:tc>
        <w:tc>
          <w:tcPr>
            <w:vAlign w:val="bottom"/>
          </w:tcPr>
          <w:p w:rsidR="00000000" w:rsidDel="00000000" w:rsidP="00000000" w:rsidRDefault="00000000" w:rsidRPr="00000000" w14:paraId="0000027D">
            <w:pPr>
              <w:spacing w:line="240" w:lineRule="auto"/>
              <w:rPr>
                <w:b w:val="1"/>
                <w:bCs w:val="1"/>
                <w:color w:val="000000"/>
              </w:rPr>
            </w:pPr>
            <w:r w:rsidDel="00000000" w:rsidR="00000000" w:rsidRPr="00000000">
              <w:rPr>
                <w:rtl w:val="0"/>
              </w:rPr>
            </w:r>
          </w:p>
        </w:tc>
        <w:tc>
          <w:tcPr>
            <w:vAlign w:val="center"/>
          </w:tcPr>
          <w:p w:rsidR="00000000" w:rsidDel="00000000" w:rsidP="00000000" w:rsidRDefault="00000000" w:rsidRPr="00000000" w14:paraId="0000027E">
            <w:pPr>
              <w:spacing w:line="240" w:lineRule="auto"/>
              <w:rPr>
                <w:b w:val="1"/>
                <w:bCs w:val="1"/>
                <w:color w:val="000000"/>
              </w:rPr>
            </w:pPr>
            <w:r w:rsidDel="00000000" w:rsidR="00000000" w:rsidRPr="00000000">
              <w:rPr>
                <w:b w:val="1"/>
                <w:bCs w:val="1"/>
                <w:color w:val="000000"/>
                <w:rtl w:val="0"/>
              </w:rPr>
              <w:t xml:space="preserve">Year</w:t>
            </w:r>
          </w:p>
        </w:tc>
        <w:tc>
          <w:tcPr>
            <w:vAlign w:val="center"/>
          </w:tcPr>
          <w:p w:rsidR="00000000" w:rsidDel="00000000" w:rsidP="00000000" w:rsidRDefault="00000000" w:rsidRPr="00000000" w14:paraId="0000027F">
            <w:pPr>
              <w:spacing w:line="240" w:lineRule="auto"/>
              <w:rPr>
                <w:b w:val="1"/>
                <w:bCs w:val="1"/>
                <w:color w:val="000000"/>
              </w:rPr>
            </w:pPr>
            <w:r w:rsidDel="00000000" w:rsidR="00000000" w:rsidRPr="00000000">
              <w:rPr>
                <w:b w:val="1"/>
                <w:bCs w:val="1"/>
                <w:color w:val="000000"/>
                <w:rtl w:val="0"/>
              </w:rPr>
              <w:t xml:space="preserve">Cash Inflow (£m)</w:t>
            </w:r>
          </w:p>
        </w:tc>
        <w:tc>
          <w:tcPr>
            <w:vAlign w:val="center"/>
          </w:tcPr>
          <w:p w:rsidR="00000000" w:rsidDel="00000000" w:rsidP="00000000" w:rsidRDefault="00000000" w:rsidRPr="00000000" w14:paraId="00000280">
            <w:pPr>
              <w:spacing w:line="240" w:lineRule="auto"/>
              <w:rPr>
                <w:b w:val="1"/>
                <w:bCs w:val="1"/>
                <w:color w:val="000000"/>
              </w:rPr>
            </w:pPr>
            <w:r w:rsidDel="00000000" w:rsidR="00000000" w:rsidRPr="00000000">
              <w:rPr>
                <w:b w:val="1"/>
                <w:bCs w:val="1"/>
                <w:color w:val="000000"/>
                <w:rtl w:val="0"/>
              </w:rPr>
              <w:t xml:space="preserve">Present Value (£m)</w:t>
            </w:r>
          </w:p>
        </w:tc>
      </w:tr>
      <w:tr>
        <w:trPr>
          <w:cantSplit w:val="0"/>
          <w:trHeight w:val="288" w:hRule="atLeast"/>
          <w:tblHeader w:val="0"/>
        </w:trPr>
        <w:tc>
          <w:tcPr>
            <w:vAlign w:val="center"/>
          </w:tcPr>
          <w:p w:rsidR="00000000" w:rsidDel="00000000" w:rsidP="00000000" w:rsidRDefault="00000000" w:rsidRPr="00000000" w14:paraId="00000281">
            <w:pPr>
              <w:spacing w:line="240" w:lineRule="auto"/>
              <w:jc w:val="right"/>
              <w:rPr>
                <w:color w:val="000000"/>
              </w:rPr>
            </w:pPr>
            <w:r w:rsidDel="00000000" w:rsidR="00000000" w:rsidRPr="00000000">
              <w:rPr>
                <w:color w:val="000000"/>
                <w:rtl w:val="0"/>
              </w:rPr>
              <w:t xml:space="preserve">0</w:t>
            </w:r>
          </w:p>
        </w:tc>
        <w:tc>
          <w:tcPr>
            <w:vAlign w:val="center"/>
          </w:tcPr>
          <w:p w:rsidR="00000000" w:rsidDel="00000000" w:rsidP="00000000" w:rsidRDefault="00000000" w:rsidRPr="00000000" w14:paraId="00000282">
            <w:pPr>
              <w:spacing w:line="240" w:lineRule="auto"/>
              <w:jc w:val="right"/>
              <w:rPr>
                <w:color w:val="000000"/>
              </w:rPr>
            </w:pPr>
            <w:r w:rsidDel="00000000" w:rsidR="00000000" w:rsidRPr="00000000">
              <w:rPr>
                <w:color w:val="000000"/>
                <w:rtl w:val="0"/>
              </w:rPr>
              <w:t xml:space="preserve">-50</w:t>
            </w:r>
          </w:p>
        </w:tc>
        <w:tc>
          <w:tcPr>
            <w:vAlign w:val="center"/>
          </w:tcPr>
          <w:p w:rsidR="00000000" w:rsidDel="00000000" w:rsidP="00000000" w:rsidRDefault="00000000" w:rsidRPr="00000000" w14:paraId="00000283">
            <w:pPr>
              <w:spacing w:line="240" w:lineRule="auto"/>
              <w:jc w:val="right"/>
              <w:rPr>
                <w:color w:val="000000"/>
              </w:rPr>
            </w:pPr>
            <w:r w:rsidDel="00000000" w:rsidR="00000000" w:rsidRPr="00000000">
              <w:rPr>
                <w:color w:val="000000"/>
                <w:rtl w:val="0"/>
              </w:rPr>
              <w:t xml:space="preserve">-50</w:t>
            </w:r>
          </w:p>
        </w:tc>
        <w:tc>
          <w:tcPr>
            <w:vAlign w:val="bottom"/>
          </w:tcPr>
          <w:p w:rsidR="00000000" w:rsidDel="00000000" w:rsidP="00000000" w:rsidRDefault="00000000" w:rsidRPr="00000000" w14:paraId="00000284">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285">
            <w:pPr>
              <w:spacing w:line="240" w:lineRule="auto"/>
              <w:jc w:val="right"/>
              <w:rPr>
                <w:color w:val="000000"/>
              </w:rPr>
            </w:pPr>
            <w:r w:rsidDel="00000000" w:rsidR="00000000" w:rsidRPr="00000000">
              <w:rPr>
                <w:color w:val="000000"/>
                <w:rtl w:val="0"/>
              </w:rPr>
              <w:t xml:space="preserve">0</w:t>
            </w:r>
          </w:p>
        </w:tc>
        <w:tc>
          <w:tcPr>
            <w:vAlign w:val="center"/>
          </w:tcPr>
          <w:p w:rsidR="00000000" w:rsidDel="00000000" w:rsidP="00000000" w:rsidRDefault="00000000" w:rsidRPr="00000000" w14:paraId="00000286">
            <w:pPr>
              <w:spacing w:line="240" w:lineRule="auto"/>
              <w:jc w:val="right"/>
              <w:rPr>
                <w:color w:val="000000"/>
              </w:rPr>
            </w:pPr>
            <w:r w:rsidDel="00000000" w:rsidR="00000000" w:rsidRPr="00000000">
              <w:rPr>
                <w:color w:val="000000"/>
                <w:rtl w:val="0"/>
              </w:rPr>
              <w:t xml:space="preserve">-50</w:t>
            </w:r>
          </w:p>
        </w:tc>
        <w:tc>
          <w:tcPr>
            <w:vAlign w:val="center"/>
          </w:tcPr>
          <w:p w:rsidR="00000000" w:rsidDel="00000000" w:rsidP="00000000" w:rsidRDefault="00000000" w:rsidRPr="00000000" w14:paraId="00000287">
            <w:pPr>
              <w:spacing w:line="240" w:lineRule="auto"/>
              <w:jc w:val="right"/>
              <w:rPr>
                <w:color w:val="000000"/>
              </w:rPr>
            </w:pPr>
            <w:r w:rsidDel="00000000" w:rsidR="00000000" w:rsidRPr="00000000">
              <w:rPr>
                <w:color w:val="000000"/>
                <w:rtl w:val="0"/>
              </w:rPr>
              <w:t xml:space="preserve">-50</w:t>
            </w:r>
          </w:p>
        </w:tc>
        <w:tc>
          <w:tcPr>
            <w:vAlign w:val="bottom"/>
          </w:tcPr>
          <w:p w:rsidR="00000000" w:rsidDel="00000000" w:rsidP="00000000" w:rsidRDefault="00000000" w:rsidRPr="00000000" w14:paraId="00000288">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289">
            <w:pPr>
              <w:spacing w:line="240" w:lineRule="auto"/>
              <w:jc w:val="right"/>
              <w:rPr>
                <w:color w:val="000000"/>
              </w:rPr>
            </w:pPr>
            <w:r w:rsidDel="00000000" w:rsidR="00000000" w:rsidRPr="00000000">
              <w:rPr>
                <w:color w:val="000000"/>
                <w:rtl w:val="0"/>
              </w:rPr>
              <w:t xml:space="preserve">0</w:t>
            </w:r>
          </w:p>
        </w:tc>
        <w:tc>
          <w:tcPr>
            <w:vAlign w:val="center"/>
          </w:tcPr>
          <w:p w:rsidR="00000000" w:rsidDel="00000000" w:rsidP="00000000" w:rsidRDefault="00000000" w:rsidRPr="00000000" w14:paraId="0000028A">
            <w:pPr>
              <w:spacing w:line="240" w:lineRule="auto"/>
              <w:jc w:val="right"/>
              <w:rPr>
                <w:color w:val="000000"/>
              </w:rPr>
            </w:pPr>
            <w:r w:rsidDel="00000000" w:rsidR="00000000" w:rsidRPr="00000000">
              <w:rPr>
                <w:color w:val="000000"/>
                <w:rtl w:val="0"/>
              </w:rPr>
              <w:t xml:space="preserve">-50</w:t>
            </w:r>
          </w:p>
        </w:tc>
        <w:tc>
          <w:tcPr>
            <w:vAlign w:val="center"/>
          </w:tcPr>
          <w:p w:rsidR="00000000" w:rsidDel="00000000" w:rsidP="00000000" w:rsidRDefault="00000000" w:rsidRPr="00000000" w14:paraId="0000028B">
            <w:pPr>
              <w:spacing w:line="240" w:lineRule="auto"/>
              <w:jc w:val="right"/>
              <w:rPr>
                <w:color w:val="000000"/>
              </w:rPr>
            </w:pPr>
            <w:r w:rsidDel="00000000" w:rsidR="00000000" w:rsidRPr="00000000">
              <w:rPr>
                <w:color w:val="000000"/>
                <w:rtl w:val="0"/>
              </w:rPr>
              <w:t xml:space="preserve">-50</w:t>
            </w:r>
          </w:p>
        </w:tc>
      </w:tr>
      <w:tr>
        <w:trPr>
          <w:cantSplit w:val="0"/>
          <w:trHeight w:val="288" w:hRule="atLeast"/>
          <w:tblHeader w:val="0"/>
        </w:trPr>
        <w:tc>
          <w:tcPr>
            <w:vAlign w:val="center"/>
          </w:tcPr>
          <w:p w:rsidR="00000000" w:rsidDel="00000000" w:rsidP="00000000" w:rsidRDefault="00000000" w:rsidRPr="00000000" w14:paraId="0000028C">
            <w:pPr>
              <w:spacing w:line="240" w:lineRule="auto"/>
              <w:jc w:val="right"/>
              <w:rPr>
                <w:color w:val="000000"/>
              </w:rPr>
            </w:pPr>
            <w:r w:rsidDel="00000000" w:rsidR="00000000" w:rsidRPr="00000000">
              <w:rPr>
                <w:color w:val="000000"/>
                <w:rtl w:val="0"/>
              </w:rPr>
              <w:t xml:space="preserve">1</w:t>
            </w:r>
          </w:p>
        </w:tc>
        <w:tc>
          <w:tcPr>
            <w:vAlign w:val="center"/>
          </w:tcPr>
          <w:p w:rsidR="00000000" w:rsidDel="00000000" w:rsidP="00000000" w:rsidRDefault="00000000" w:rsidRPr="00000000" w14:paraId="0000028D">
            <w:pPr>
              <w:spacing w:line="240" w:lineRule="auto"/>
              <w:jc w:val="right"/>
              <w:rPr>
                <w:color w:val="000000"/>
              </w:rPr>
            </w:pPr>
            <w:r w:rsidDel="00000000" w:rsidR="00000000" w:rsidRPr="00000000">
              <w:rPr>
                <w:color w:val="000000"/>
                <w:rtl w:val="0"/>
              </w:rPr>
              <w:t xml:space="preserve">10</w:t>
            </w:r>
          </w:p>
        </w:tc>
        <w:tc>
          <w:tcPr>
            <w:vAlign w:val="bottom"/>
          </w:tcPr>
          <w:p w:rsidR="00000000" w:rsidDel="00000000" w:rsidP="00000000" w:rsidRDefault="00000000" w:rsidRPr="00000000" w14:paraId="0000028E">
            <w:pPr>
              <w:spacing w:line="240" w:lineRule="auto"/>
              <w:jc w:val="right"/>
              <w:rPr>
                <w:color w:val="000000"/>
              </w:rPr>
            </w:pPr>
            <w:r w:rsidDel="00000000" w:rsidR="00000000" w:rsidRPr="00000000">
              <w:rPr>
                <w:color w:val="000000"/>
                <w:rtl w:val="0"/>
              </w:rPr>
              <w:t xml:space="preserve">9.259</w:t>
            </w:r>
          </w:p>
        </w:tc>
        <w:tc>
          <w:tcPr>
            <w:vAlign w:val="bottom"/>
          </w:tcPr>
          <w:p w:rsidR="00000000" w:rsidDel="00000000" w:rsidP="00000000" w:rsidRDefault="00000000" w:rsidRPr="00000000" w14:paraId="0000028F">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290">
            <w:pPr>
              <w:spacing w:line="240" w:lineRule="auto"/>
              <w:jc w:val="right"/>
              <w:rPr>
                <w:color w:val="000000"/>
              </w:rPr>
            </w:pPr>
            <w:r w:rsidDel="00000000" w:rsidR="00000000" w:rsidRPr="00000000">
              <w:rPr>
                <w:color w:val="000000"/>
                <w:rtl w:val="0"/>
              </w:rPr>
              <w:t xml:space="preserve">1</w:t>
            </w:r>
          </w:p>
        </w:tc>
        <w:tc>
          <w:tcPr>
            <w:vAlign w:val="center"/>
          </w:tcPr>
          <w:p w:rsidR="00000000" w:rsidDel="00000000" w:rsidP="00000000" w:rsidRDefault="00000000" w:rsidRPr="00000000" w14:paraId="00000291">
            <w:pPr>
              <w:spacing w:line="240" w:lineRule="auto"/>
              <w:jc w:val="right"/>
              <w:rPr>
                <w:color w:val="000000"/>
              </w:rPr>
            </w:pPr>
            <w:r w:rsidDel="00000000" w:rsidR="00000000" w:rsidRPr="00000000">
              <w:rPr>
                <w:color w:val="000000"/>
                <w:rtl w:val="0"/>
              </w:rPr>
              <w:t xml:space="preserve">11</w:t>
            </w:r>
          </w:p>
        </w:tc>
        <w:tc>
          <w:tcPr>
            <w:vAlign w:val="center"/>
          </w:tcPr>
          <w:p w:rsidR="00000000" w:rsidDel="00000000" w:rsidP="00000000" w:rsidRDefault="00000000" w:rsidRPr="00000000" w14:paraId="00000292">
            <w:pPr>
              <w:spacing w:line="240" w:lineRule="auto"/>
              <w:jc w:val="right"/>
              <w:rPr>
                <w:color w:val="000000"/>
              </w:rPr>
            </w:pPr>
            <w:r w:rsidDel="00000000" w:rsidR="00000000" w:rsidRPr="00000000">
              <w:rPr>
                <w:color w:val="000000"/>
                <w:rtl w:val="0"/>
              </w:rPr>
              <w:t xml:space="preserve">10.185</w:t>
            </w:r>
          </w:p>
        </w:tc>
        <w:tc>
          <w:tcPr>
            <w:vAlign w:val="bottom"/>
          </w:tcPr>
          <w:p w:rsidR="00000000" w:rsidDel="00000000" w:rsidP="00000000" w:rsidRDefault="00000000" w:rsidRPr="00000000" w14:paraId="00000293">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294">
            <w:pPr>
              <w:spacing w:line="240" w:lineRule="auto"/>
              <w:jc w:val="right"/>
              <w:rPr>
                <w:color w:val="000000"/>
              </w:rPr>
            </w:pPr>
            <w:r w:rsidDel="00000000" w:rsidR="00000000" w:rsidRPr="00000000">
              <w:rPr>
                <w:color w:val="000000"/>
                <w:rtl w:val="0"/>
              </w:rPr>
              <w:t xml:space="preserve">1</w:t>
            </w:r>
          </w:p>
        </w:tc>
        <w:tc>
          <w:tcPr>
            <w:vAlign w:val="center"/>
          </w:tcPr>
          <w:p w:rsidR="00000000" w:rsidDel="00000000" w:rsidP="00000000" w:rsidRDefault="00000000" w:rsidRPr="00000000" w14:paraId="00000295">
            <w:pPr>
              <w:spacing w:line="240" w:lineRule="auto"/>
              <w:jc w:val="right"/>
              <w:rPr>
                <w:color w:val="000000"/>
              </w:rPr>
            </w:pPr>
            <w:r w:rsidDel="00000000" w:rsidR="00000000" w:rsidRPr="00000000">
              <w:rPr>
                <w:color w:val="000000"/>
                <w:rtl w:val="0"/>
              </w:rPr>
              <w:t xml:space="preserve">5</w:t>
            </w:r>
          </w:p>
        </w:tc>
        <w:tc>
          <w:tcPr>
            <w:vAlign w:val="center"/>
          </w:tcPr>
          <w:p w:rsidR="00000000" w:rsidDel="00000000" w:rsidP="00000000" w:rsidRDefault="00000000" w:rsidRPr="00000000" w14:paraId="00000296">
            <w:pPr>
              <w:spacing w:line="240" w:lineRule="auto"/>
              <w:jc w:val="right"/>
              <w:rPr>
                <w:color w:val="000000"/>
              </w:rPr>
            </w:pPr>
            <w:r w:rsidDel="00000000" w:rsidR="00000000" w:rsidRPr="00000000">
              <w:rPr>
                <w:color w:val="000000"/>
                <w:rtl w:val="0"/>
              </w:rPr>
              <w:t xml:space="preserve">4.630</w:t>
            </w:r>
          </w:p>
        </w:tc>
      </w:tr>
      <w:tr>
        <w:trPr>
          <w:cantSplit w:val="0"/>
          <w:trHeight w:val="288" w:hRule="atLeast"/>
          <w:tblHeader w:val="0"/>
        </w:trPr>
        <w:tc>
          <w:tcPr>
            <w:vAlign w:val="center"/>
          </w:tcPr>
          <w:p w:rsidR="00000000" w:rsidDel="00000000" w:rsidP="00000000" w:rsidRDefault="00000000" w:rsidRPr="00000000" w14:paraId="00000297">
            <w:pPr>
              <w:spacing w:line="240" w:lineRule="auto"/>
              <w:jc w:val="right"/>
              <w:rPr>
                <w:color w:val="000000"/>
              </w:rPr>
            </w:pPr>
            <w:r w:rsidDel="00000000" w:rsidR="00000000" w:rsidRPr="00000000">
              <w:rPr>
                <w:color w:val="000000"/>
                <w:rtl w:val="0"/>
              </w:rPr>
              <w:t xml:space="preserve">2</w:t>
            </w:r>
          </w:p>
        </w:tc>
        <w:tc>
          <w:tcPr>
            <w:vAlign w:val="center"/>
          </w:tcPr>
          <w:p w:rsidR="00000000" w:rsidDel="00000000" w:rsidP="00000000" w:rsidRDefault="00000000" w:rsidRPr="00000000" w14:paraId="00000298">
            <w:pPr>
              <w:spacing w:line="240" w:lineRule="auto"/>
              <w:jc w:val="right"/>
              <w:rPr>
                <w:color w:val="000000"/>
              </w:rPr>
            </w:pPr>
            <w:r w:rsidDel="00000000" w:rsidR="00000000" w:rsidRPr="00000000">
              <w:rPr>
                <w:color w:val="000000"/>
                <w:rtl w:val="0"/>
              </w:rPr>
              <w:t xml:space="preserve">12</w:t>
            </w:r>
          </w:p>
        </w:tc>
        <w:tc>
          <w:tcPr>
            <w:vAlign w:val="bottom"/>
          </w:tcPr>
          <w:p w:rsidR="00000000" w:rsidDel="00000000" w:rsidP="00000000" w:rsidRDefault="00000000" w:rsidRPr="00000000" w14:paraId="00000299">
            <w:pPr>
              <w:spacing w:line="240" w:lineRule="auto"/>
              <w:jc w:val="right"/>
              <w:rPr>
                <w:color w:val="000000"/>
              </w:rPr>
            </w:pPr>
            <w:r w:rsidDel="00000000" w:rsidR="00000000" w:rsidRPr="00000000">
              <w:rPr>
                <w:color w:val="000000"/>
                <w:rtl w:val="0"/>
              </w:rPr>
              <w:t xml:space="preserve">10.288</w:t>
            </w:r>
          </w:p>
        </w:tc>
        <w:tc>
          <w:tcPr>
            <w:vAlign w:val="bottom"/>
          </w:tcPr>
          <w:p w:rsidR="00000000" w:rsidDel="00000000" w:rsidP="00000000" w:rsidRDefault="00000000" w:rsidRPr="00000000" w14:paraId="0000029A">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29B">
            <w:pPr>
              <w:spacing w:line="240" w:lineRule="auto"/>
              <w:jc w:val="right"/>
              <w:rPr>
                <w:color w:val="000000"/>
              </w:rPr>
            </w:pPr>
            <w:r w:rsidDel="00000000" w:rsidR="00000000" w:rsidRPr="00000000">
              <w:rPr>
                <w:color w:val="000000"/>
                <w:rtl w:val="0"/>
              </w:rPr>
              <w:t xml:space="preserve">2</w:t>
            </w:r>
          </w:p>
        </w:tc>
        <w:tc>
          <w:tcPr>
            <w:vAlign w:val="center"/>
          </w:tcPr>
          <w:p w:rsidR="00000000" w:rsidDel="00000000" w:rsidP="00000000" w:rsidRDefault="00000000" w:rsidRPr="00000000" w14:paraId="0000029C">
            <w:pPr>
              <w:spacing w:line="240" w:lineRule="auto"/>
              <w:jc w:val="right"/>
              <w:rPr>
                <w:color w:val="000000"/>
              </w:rPr>
            </w:pPr>
            <w:r w:rsidDel="00000000" w:rsidR="00000000" w:rsidRPr="00000000">
              <w:rPr>
                <w:color w:val="000000"/>
                <w:rtl w:val="0"/>
              </w:rPr>
              <w:t xml:space="preserve">11</w:t>
            </w:r>
          </w:p>
        </w:tc>
        <w:tc>
          <w:tcPr>
            <w:vAlign w:val="center"/>
          </w:tcPr>
          <w:p w:rsidR="00000000" w:rsidDel="00000000" w:rsidP="00000000" w:rsidRDefault="00000000" w:rsidRPr="00000000" w14:paraId="0000029D">
            <w:pPr>
              <w:spacing w:line="240" w:lineRule="auto"/>
              <w:jc w:val="right"/>
              <w:rPr>
                <w:color w:val="000000"/>
              </w:rPr>
            </w:pPr>
            <w:r w:rsidDel="00000000" w:rsidR="00000000" w:rsidRPr="00000000">
              <w:rPr>
                <w:color w:val="000000"/>
                <w:rtl w:val="0"/>
              </w:rPr>
              <w:t xml:space="preserve">9.431</w:t>
            </w:r>
          </w:p>
        </w:tc>
        <w:tc>
          <w:tcPr>
            <w:vAlign w:val="bottom"/>
          </w:tcPr>
          <w:p w:rsidR="00000000" w:rsidDel="00000000" w:rsidP="00000000" w:rsidRDefault="00000000" w:rsidRPr="00000000" w14:paraId="0000029E">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29F">
            <w:pPr>
              <w:spacing w:line="240" w:lineRule="auto"/>
              <w:jc w:val="right"/>
              <w:rPr>
                <w:color w:val="000000"/>
              </w:rPr>
            </w:pPr>
            <w:r w:rsidDel="00000000" w:rsidR="00000000" w:rsidRPr="00000000">
              <w:rPr>
                <w:color w:val="000000"/>
                <w:rtl w:val="0"/>
              </w:rPr>
              <w:t xml:space="preserve">2</w:t>
            </w:r>
          </w:p>
        </w:tc>
        <w:tc>
          <w:tcPr>
            <w:vAlign w:val="center"/>
          </w:tcPr>
          <w:p w:rsidR="00000000" w:rsidDel="00000000" w:rsidP="00000000" w:rsidRDefault="00000000" w:rsidRPr="00000000" w14:paraId="000002A0">
            <w:pPr>
              <w:spacing w:line="240" w:lineRule="auto"/>
              <w:jc w:val="right"/>
              <w:rPr>
                <w:color w:val="000000"/>
              </w:rPr>
            </w:pPr>
            <w:r w:rsidDel="00000000" w:rsidR="00000000" w:rsidRPr="00000000">
              <w:rPr>
                <w:color w:val="000000"/>
                <w:rtl w:val="0"/>
              </w:rPr>
              <w:t xml:space="preserve">10</w:t>
            </w:r>
          </w:p>
        </w:tc>
        <w:tc>
          <w:tcPr>
            <w:vAlign w:val="center"/>
          </w:tcPr>
          <w:p w:rsidR="00000000" w:rsidDel="00000000" w:rsidP="00000000" w:rsidRDefault="00000000" w:rsidRPr="00000000" w14:paraId="000002A1">
            <w:pPr>
              <w:spacing w:line="240" w:lineRule="auto"/>
              <w:jc w:val="right"/>
              <w:rPr>
                <w:color w:val="000000"/>
              </w:rPr>
            </w:pPr>
            <w:r w:rsidDel="00000000" w:rsidR="00000000" w:rsidRPr="00000000">
              <w:rPr>
                <w:color w:val="000000"/>
                <w:rtl w:val="0"/>
              </w:rPr>
              <w:t xml:space="preserve">8.573</w:t>
            </w:r>
          </w:p>
        </w:tc>
      </w:tr>
      <w:tr>
        <w:trPr>
          <w:cantSplit w:val="0"/>
          <w:trHeight w:val="288" w:hRule="atLeast"/>
          <w:tblHeader w:val="0"/>
        </w:trPr>
        <w:tc>
          <w:tcPr>
            <w:vAlign w:val="center"/>
          </w:tcPr>
          <w:p w:rsidR="00000000" w:rsidDel="00000000" w:rsidP="00000000" w:rsidRDefault="00000000" w:rsidRPr="00000000" w14:paraId="000002A2">
            <w:pPr>
              <w:spacing w:line="240" w:lineRule="auto"/>
              <w:jc w:val="right"/>
              <w:rPr>
                <w:color w:val="000000"/>
              </w:rPr>
            </w:pPr>
            <w:r w:rsidDel="00000000" w:rsidR="00000000" w:rsidRPr="00000000">
              <w:rPr>
                <w:color w:val="000000"/>
                <w:rtl w:val="0"/>
              </w:rPr>
              <w:t xml:space="preserve">3</w:t>
            </w:r>
          </w:p>
        </w:tc>
        <w:tc>
          <w:tcPr>
            <w:vAlign w:val="center"/>
          </w:tcPr>
          <w:p w:rsidR="00000000" w:rsidDel="00000000" w:rsidP="00000000" w:rsidRDefault="00000000" w:rsidRPr="00000000" w14:paraId="000002A3">
            <w:pPr>
              <w:spacing w:line="240" w:lineRule="auto"/>
              <w:jc w:val="right"/>
              <w:rPr>
                <w:color w:val="000000"/>
              </w:rPr>
            </w:pPr>
            <w:r w:rsidDel="00000000" w:rsidR="00000000" w:rsidRPr="00000000">
              <w:rPr>
                <w:color w:val="000000"/>
                <w:rtl w:val="0"/>
              </w:rPr>
              <w:t xml:space="preserve">14</w:t>
            </w:r>
          </w:p>
        </w:tc>
        <w:tc>
          <w:tcPr>
            <w:vAlign w:val="bottom"/>
          </w:tcPr>
          <w:p w:rsidR="00000000" w:rsidDel="00000000" w:rsidP="00000000" w:rsidRDefault="00000000" w:rsidRPr="00000000" w14:paraId="000002A4">
            <w:pPr>
              <w:spacing w:line="240" w:lineRule="auto"/>
              <w:jc w:val="right"/>
              <w:rPr>
                <w:color w:val="000000"/>
              </w:rPr>
            </w:pPr>
            <w:r w:rsidDel="00000000" w:rsidR="00000000" w:rsidRPr="00000000">
              <w:rPr>
                <w:color w:val="000000"/>
                <w:rtl w:val="0"/>
              </w:rPr>
              <w:t xml:space="preserve">11.114</w:t>
            </w:r>
          </w:p>
        </w:tc>
        <w:tc>
          <w:tcPr>
            <w:vAlign w:val="bottom"/>
          </w:tcPr>
          <w:p w:rsidR="00000000" w:rsidDel="00000000" w:rsidP="00000000" w:rsidRDefault="00000000" w:rsidRPr="00000000" w14:paraId="000002A5">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2A6">
            <w:pPr>
              <w:spacing w:line="240" w:lineRule="auto"/>
              <w:jc w:val="right"/>
              <w:rPr>
                <w:color w:val="000000"/>
              </w:rPr>
            </w:pPr>
            <w:r w:rsidDel="00000000" w:rsidR="00000000" w:rsidRPr="00000000">
              <w:rPr>
                <w:color w:val="000000"/>
                <w:rtl w:val="0"/>
              </w:rPr>
              <w:t xml:space="preserve">3</w:t>
            </w:r>
          </w:p>
        </w:tc>
        <w:tc>
          <w:tcPr>
            <w:vAlign w:val="center"/>
          </w:tcPr>
          <w:p w:rsidR="00000000" w:rsidDel="00000000" w:rsidP="00000000" w:rsidRDefault="00000000" w:rsidRPr="00000000" w14:paraId="000002A7">
            <w:pPr>
              <w:spacing w:line="240" w:lineRule="auto"/>
              <w:jc w:val="right"/>
              <w:rPr>
                <w:color w:val="000000"/>
              </w:rPr>
            </w:pPr>
            <w:r w:rsidDel="00000000" w:rsidR="00000000" w:rsidRPr="00000000">
              <w:rPr>
                <w:color w:val="000000"/>
                <w:rtl w:val="0"/>
              </w:rPr>
              <w:t xml:space="preserve">11</w:t>
            </w:r>
          </w:p>
        </w:tc>
        <w:tc>
          <w:tcPr>
            <w:vAlign w:val="center"/>
          </w:tcPr>
          <w:p w:rsidR="00000000" w:rsidDel="00000000" w:rsidP="00000000" w:rsidRDefault="00000000" w:rsidRPr="00000000" w14:paraId="000002A8">
            <w:pPr>
              <w:spacing w:line="240" w:lineRule="auto"/>
              <w:jc w:val="right"/>
              <w:rPr>
                <w:color w:val="000000"/>
              </w:rPr>
            </w:pPr>
            <w:r w:rsidDel="00000000" w:rsidR="00000000" w:rsidRPr="00000000">
              <w:rPr>
                <w:color w:val="000000"/>
                <w:rtl w:val="0"/>
              </w:rPr>
              <w:t xml:space="preserve">8.732</w:t>
            </w:r>
          </w:p>
        </w:tc>
        <w:tc>
          <w:tcPr>
            <w:vAlign w:val="bottom"/>
          </w:tcPr>
          <w:p w:rsidR="00000000" w:rsidDel="00000000" w:rsidP="00000000" w:rsidRDefault="00000000" w:rsidRPr="00000000" w14:paraId="000002A9">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2AA">
            <w:pPr>
              <w:spacing w:line="240" w:lineRule="auto"/>
              <w:jc w:val="right"/>
              <w:rPr>
                <w:color w:val="000000"/>
              </w:rPr>
            </w:pPr>
            <w:r w:rsidDel="00000000" w:rsidR="00000000" w:rsidRPr="00000000">
              <w:rPr>
                <w:color w:val="000000"/>
                <w:rtl w:val="0"/>
              </w:rPr>
              <w:t xml:space="preserve">3</w:t>
            </w:r>
          </w:p>
        </w:tc>
        <w:tc>
          <w:tcPr>
            <w:vAlign w:val="center"/>
          </w:tcPr>
          <w:p w:rsidR="00000000" w:rsidDel="00000000" w:rsidP="00000000" w:rsidRDefault="00000000" w:rsidRPr="00000000" w14:paraId="000002AB">
            <w:pPr>
              <w:spacing w:line="240" w:lineRule="auto"/>
              <w:jc w:val="right"/>
              <w:rPr>
                <w:color w:val="000000"/>
              </w:rPr>
            </w:pPr>
            <w:r w:rsidDel="00000000" w:rsidR="00000000" w:rsidRPr="00000000">
              <w:rPr>
                <w:color w:val="000000"/>
                <w:rtl w:val="0"/>
              </w:rPr>
              <w:t xml:space="preserve">20</w:t>
            </w:r>
          </w:p>
        </w:tc>
        <w:tc>
          <w:tcPr>
            <w:vAlign w:val="center"/>
          </w:tcPr>
          <w:p w:rsidR="00000000" w:rsidDel="00000000" w:rsidP="00000000" w:rsidRDefault="00000000" w:rsidRPr="00000000" w14:paraId="000002AC">
            <w:pPr>
              <w:spacing w:line="240" w:lineRule="auto"/>
              <w:jc w:val="right"/>
              <w:rPr>
                <w:color w:val="000000"/>
              </w:rPr>
            </w:pPr>
            <w:r w:rsidDel="00000000" w:rsidR="00000000" w:rsidRPr="00000000">
              <w:rPr>
                <w:color w:val="000000"/>
                <w:rtl w:val="0"/>
              </w:rPr>
              <w:t xml:space="preserve">15.877</w:t>
            </w:r>
          </w:p>
        </w:tc>
      </w:tr>
      <w:tr>
        <w:trPr>
          <w:cantSplit w:val="0"/>
          <w:trHeight w:val="288" w:hRule="atLeast"/>
          <w:tblHeader w:val="0"/>
        </w:trPr>
        <w:tc>
          <w:tcPr>
            <w:vAlign w:val="center"/>
          </w:tcPr>
          <w:p w:rsidR="00000000" w:rsidDel="00000000" w:rsidP="00000000" w:rsidRDefault="00000000" w:rsidRPr="00000000" w14:paraId="000002AD">
            <w:pPr>
              <w:spacing w:line="240" w:lineRule="auto"/>
              <w:jc w:val="right"/>
              <w:rPr>
                <w:color w:val="000000"/>
              </w:rPr>
            </w:pPr>
            <w:r w:rsidDel="00000000" w:rsidR="00000000" w:rsidRPr="00000000">
              <w:rPr>
                <w:color w:val="000000"/>
                <w:rtl w:val="0"/>
              </w:rPr>
              <w:t xml:space="preserve">4</w:t>
            </w:r>
          </w:p>
        </w:tc>
        <w:tc>
          <w:tcPr>
            <w:vAlign w:val="center"/>
          </w:tcPr>
          <w:p w:rsidR="00000000" w:rsidDel="00000000" w:rsidP="00000000" w:rsidRDefault="00000000" w:rsidRPr="00000000" w14:paraId="000002AE">
            <w:pPr>
              <w:spacing w:line="240" w:lineRule="auto"/>
              <w:jc w:val="right"/>
              <w:rPr>
                <w:color w:val="000000"/>
              </w:rPr>
            </w:pPr>
            <w:r w:rsidDel="00000000" w:rsidR="00000000" w:rsidRPr="00000000">
              <w:rPr>
                <w:color w:val="000000"/>
                <w:rtl w:val="0"/>
              </w:rPr>
              <w:t xml:space="preserve">10</w:t>
            </w:r>
          </w:p>
        </w:tc>
        <w:tc>
          <w:tcPr>
            <w:vAlign w:val="bottom"/>
          </w:tcPr>
          <w:p w:rsidR="00000000" w:rsidDel="00000000" w:rsidP="00000000" w:rsidRDefault="00000000" w:rsidRPr="00000000" w14:paraId="000002AF">
            <w:pPr>
              <w:spacing w:line="240" w:lineRule="auto"/>
              <w:jc w:val="right"/>
              <w:rPr>
                <w:color w:val="000000"/>
              </w:rPr>
            </w:pPr>
            <w:r w:rsidDel="00000000" w:rsidR="00000000" w:rsidRPr="00000000">
              <w:rPr>
                <w:color w:val="000000"/>
                <w:rtl w:val="0"/>
              </w:rPr>
              <w:t xml:space="preserve">7.350</w:t>
            </w:r>
          </w:p>
        </w:tc>
        <w:tc>
          <w:tcPr>
            <w:vAlign w:val="bottom"/>
          </w:tcPr>
          <w:p w:rsidR="00000000" w:rsidDel="00000000" w:rsidP="00000000" w:rsidRDefault="00000000" w:rsidRPr="00000000" w14:paraId="000002B0">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2B1">
            <w:pPr>
              <w:spacing w:line="240" w:lineRule="auto"/>
              <w:jc w:val="right"/>
              <w:rPr>
                <w:color w:val="000000"/>
              </w:rPr>
            </w:pPr>
            <w:r w:rsidDel="00000000" w:rsidR="00000000" w:rsidRPr="00000000">
              <w:rPr>
                <w:color w:val="000000"/>
                <w:rtl w:val="0"/>
              </w:rPr>
              <w:t xml:space="preserve">4</w:t>
            </w:r>
          </w:p>
        </w:tc>
        <w:tc>
          <w:tcPr>
            <w:vAlign w:val="center"/>
          </w:tcPr>
          <w:p w:rsidR="00000000" w:rsidDel="00000000" w:rsidP="00000000" w:rsidRDefault="00000000" w:rsidRPr="00000000" w14:paraId="000002B2">
            <w:pPr>
              <w:spacing w:line="240" w:lineRule="auto"/>
              <w:jc w:val="right"/>
              <w:rPr>
                <w:color w:val="000000"/>
              </w:rPr>
            </w:pPr>
            <w:r w:rsidDel="00000000" w:rsidR="00000000" w:rsidRPr="00000000">
              <w:rPr>
                <w:color w:val="000000"/>
                <w:rtl w:val="0"/>
              </w:rPr>
              <w:t xml:space="preserve">11</w:t>
            </w:r>
          </w:p>
        </w:tc>
        <w:tc>
          <w:tcPr>
            <w:vAlign w:val="center"/>
          </w:tcPr>
          <w:p w:rsidR="00000000" w:rsidDel="00000000" w:rsidP="00000000" w:rsidRDefault="00000000" w:rsidRPr="00000000" w14:paraId="000002B3">
            <w:pPr>
              <w:spacing w:line="240" w:lineRule="auto"/>
              <w:jc w:val="right"/>
              <w:rPr>
                <w:color w:val="000000"/>
              </w:rPr>
            </w:pPr>
            <w:r w:rsidDel="00000000" w:rsidR="00000000" w:rsidRPr="00000000">
              <w:rPr>
                <w:color w:val="000000"/>
                <w:rtl w:val="0"/>
              </w:rPr>
              <w:t xml:space="preserve">8.085</w:t>
            </w:r>
          </w:p>
        </w:tc>
        <w:tc>
          <w:tcPr>
            <w:vAlign w:val="bottom"/>
          </w:tcPr>
          <w:p w:rsidR="00000000" w:rsidDel="00000000" w:rsidP="00000000" w:rsidRDefault="00000000" w:rsidRPr="00000000" w14:paraId="000002B4">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2B5">
            <w:pPr>
              <w:spacing w:line="240" w:lineRule="auto"/>
              <w:jc w:val="right"/>
              <w:rPr>
                <w:color w:val="000000"/>
              </w:rPr>
            </w:pPr>
            <w:r w:rsidDel="00000000" w:rsidR="00000000" w:rsidRPr="00000000">
              <w:rPr>
                <w:color w:val="000000"/>
                <w:rtl w:val="0"/>
              </w:rPr>
              <w:t xml:space="preserve">4</w:t>
            </w:r>
          </w:p>
        </w:tc>
        <w:tc>
          <w:tcPr>
            <w:vAlign w:val="center"/>
          </w:tcPr>
          <w:p w:rsidR="00000000" w:rsidDel="00000000" w:rsidP="00000000" w:rsidRDefault="00000000" w:rsidRPr="00000000" w14:paraId="000002B6">
            <w:pPr>
              <w:spacing w:line="240" w:lineRule="auto"/>
              <w:jc w:val="right"/>
              <w:rPr>
                <w:color w:val="000000"/>
              </w:rPr>
            </w:pPr>
            <w:r w:rsidDel="00000000" w:rsidR="00000000" w:rsidRPr="00000000">
              <w:rPr>
                <w:color w:val="000000"/>
                <w:rtl w:val="0"/>
              </w:rPr>
              <w:t xml:space="preserve">25</w:t>
            </w:r>
          </w:p>
        </w:tc>
        <w:tc>
          <w:tcPr>
            <w:vAlign w:val="center"/>
          </w:tcPr>
          <w:p w:rsidR="00000000" w:rsidDel="00000000" w:rsidP="00000000" w:rsidRDefault="00000000" w:rsidRPr="00000000" w14:paraId="000002B7">
            <w:pPr>
              <w:spacing w:line="240" w:lineRule="auto"/>
              <w:jc w:val="right"/>
              <w:rPr>
                <w:color w:val="000000"/>
              </w:rPr>
            </w:pPr>
            <w:r w:rsidDel="00000000" w:rsidR="00000000" w:rsidRPr="00000000">
              <w:rPr>
                <w:color w:val="000000"/>
                <w:rtl w:val="0"/>
              </w:rPr>
              <w:t xml:space="preserve">18.376</w:t>
            </w:r>
          </w:p>
        </w:tc>
      </w:tr>
      <w:tr>
        <w:trPr>
          <w:cantSplit w:val="0"/>
          <w:trHeight w:val="288" w:hRule="atLeast"/>
          <w:tblHeader w:val="0"/>
        </w:trPr>
        <w:tc>
          <w:tcPr>
            <w:vAlign w:val="center"/>
          </w:tcPr>
          <w:p w:rsidR="00000000" w:rsidDel="00000000" w:rsidP="00000000" w:rsidRDefault="00000000" w:rsidRPr="00000000" w14:paraId="000002B8">
            <w:pPr>
              <w:spacing w:line="240" w:lineRule="auto"/>
              <w:jc w:val="right"/>
              <w:rPr>
                <w:color w:val="000000"/>
              </w:rPr>
            </w:pPr>
            <w:r w:rsidDel="00000000" w:rsidR="00000000" w:rsidRPr="00000000">
              <w:rPr>
                <w:color w:val="000000"/>
                <w:rtl w:val="0"/>
              </w:rPr>
              <w:t xml:space="preserve">5</w:t>
            </w:r>
          </w:p>
        </w:tc>
        <w:tc>
          <w:tcPr>
            <w:vAlign w:val="center"/>
          </w:tcPr>
          <w:p w:rsidR="00000000" w:rsidDel="00000000" w:rsidP="00000000" w:rsidRDefault="00000000" w:rsidRPr="00000000" w14:paraId="000002B9">
            <w:pPr>
              <w:spacing w:line="240" w:lineRule="auto"/>
              <w:jc w:val="right"/>
              <w:rPr>
                <w:color w:val="000000"/>
              </w:rPr>
            </w:pPr>
            <w:r w:rsidDel="00000000" w:rsidR="00000000" w:rsidRPr="00000000">
              <w:rPr>
                <w:color w:val="000000"/>
                <w:rtl w:val="0"/>
              </w:rPr>
              <w:t xml:space="preserve">8</w:t>
            </w:r>
          </w:p>
        </w:tc>
        <w:tc>
          <w:tcPr>
            <w:vAlign w:val="bottom"/>
          </w:tcPr>
          <w:p w:rsidR="00000000" w:rsidDel="00000000" w:rsidP="00000000" w:rsidRDefault="00000000" w:rsidRPr="00000000" w14:paraId="000002BA">
            <w:pPr>
              <w:spacing w:line="240" w:lineRule="auto"/>
              <w:jc w:val="right"/>
              <w:rPr>
                <w:color w:val="000000"/>
              </w:rPr>
            </w:pPr>
            <w:r w:rsidDel="00000000" w:rsidR="00000000" w:rsidRPr="00000000">
              <w:rPr>
                <w:color w:val="000000"/>
                <w:rtl w:val="0"/>
              </w:rPr>
              <w:t xml:space="preserve">5.445</w:t>
            </w:r>
          </w:p>
        </w:tc>
        <w:tc>
          <w:tcPr>
            <w:vAlign w:val="bottom"/>
          </w:tcPr>
          <w:p w:rsidR="00000000" w:rsidDel="00000000" w:rsidP="00000000" w:rsidRDefault="00000000" w:rsidRPr="00000000" w14:paraId="000002BB">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2BC">
            <w:pPr>
              <w:spacing w:line="240" w:lineRule="auto"/>
              <w:jc w:val="right"/>
              <w:rPr>
                <w:color w:val="000000"/>
              </w:rPr>
            </w:pPr>
            <w:r w:rsidDel="00000000" w:rsidR="00000000" w:rsidRPr="00000000">
              <w:rPr>
                <w:color w:val="000000"/>
                <w:rtl w:val="0"/>
              </w:rPr>
              <w:t xml:space="preserve">5</w:t>
            </w:r>
          </w:p>
        </w:tc>
        <w:tc>
          <w:tcPr>
            <w:vAlign w:val="center"/>
          </w:tcPr>
          <w:p w:rsidR="00000000" w:rsidDel="00000000" w:rsidP="00000000" w:rsidRDefault="00000000" w:rsidRPr="00000000" w14:paraId="000002BD">
            <w:pPr>
              <w:spacing w:line="240" w:lineRule="auto"/>
              <w:jc w:val="right"/>
              <w:rPr>
                <w:color w:val="000000"/>
              </w:rPr>
            </w:pPr>
            <w:r w:rsidDel="00000000" w:rsidR="00000000" w:rsidRPr="00000000">
              <w:rPr>
                <w:color w:val="000000"/>
                <w:rtl w:val="0"/>
              </w:rPr>
              <w:t xml:space="preserve">11</w:t>
            </w:r>
          </w:p>
        </w:tc>
        <w:tc>
          <w:tcPr>
            <w:vAlign w:val="center"/>
          </w:tcPr>
          <w:p w:rsidR="00000000" w:rsidDel="00000000" w:rsidP="00000000" w:rsidRDefault="00000000" w:rsidRPr="00000000" w14:paraId="000002BE">
            <w:pPr>
              <w:spacing w:line="240" w:lineRule="auto"/>
              <w:jc w:val="right"/>
              <w:rPr>
                <w:color w:val="000000"/>
              </w:rPr>
            </w:pPr>
            <w:r w:rsidDel="00000000" w:rsidR="00000000" w:rsidRPr="00000000">
              <w:rPr>
                <w:color w:val="000000"/>
                <w:rtl w:val="0"/>
              </w:rPr>
              <w:t xml:space="preserve">7.486</w:t>
            </w:r>
          </w:p>
        </w:tc>
        <w:tc>
          <w:tcPr>
            <w:vAlign w:val="bottom"/>
          </w:tcPr>
          <w:p w:rsidR="00000000" w:rsidDel="00000000" w:rsidP="00000000" w:rsidRDefault="00000000" w:rsidRPr="00000000" w14:paraId="000002BF">
            <w:pPr>
              <w:spacing w:line="240" w:lineRule="auto"/>
              <w:jc w:val="right"/>
              <w:rPr>
                <w:color w:val="000000"/>
              </w:rPr>
            </w:pPr>
            <w:r w:rsidDel="00000000" w:rsidR="00000000" w:rsidRPr="00000000">
              <w:rPr>
                <w:rtl w:val="0"/>
              </w:rPr>
            </w:r>
          </w:p>
        </w:tc>
        <w:tc>
          <w:tcPr>
            <w:vAlign w:val="center"/>
          </w:tcPr>
          <w:p w:rsidR="00000000" w:rsidDel="00000000" w:rsidP="00000000" w:rsidRDefault="00000000" w:rsidRPr="00000000" w14:paraId="000002C0">
            <w:pPr>
              <w:spacing w:line="240" w:lineRule="auto"/>
              <w:jc w:val="right"/>
              <w:rPr>
                <w:color w:val="000000"/>
              </w:rPr>
            </w:pPr>
            <w:r w:rsidDel="00000000" w:rsidR="00000000" w:rsidRPr="00000000">
              <w:rPr>
                <w:color w:val="000000"/>
                <w:rtl w:val="0"/>
              </w:rPr>
              <w:t xml:space="preserve">5</w:t>
            </w:r>
          </w:p>
        </w:tc>
        <w:tc>
          <w:tcPr>
            <w:vAlign w:val="center"/>
          </w:tcPr>
          <w:p w:rsidR="00000000" w:rsidDel="00000000" w:rsidP="00000000" w:rsidRDefault="00000000" w:rsidRPr="00000000" w14:paraId="000002C1">
            <w:pPr>
              <w:spacing w:line="240" w:lineRule="auto"/>
              <w:jc w:val="right"/>
              <w:rPr>
                <w:color w:val="000000"/>
              </w:rPr>
            </w:pPr>
            <w:r w:rsidDel="00000000" w:rsidR="00000000" w:rsidRPr="00000000">
              <w:rPr>
                <w:color w:val="000000"/>
                <w:rtl w:val="0"/>
              </w:rPr>
              <w:t xml:space="preserve">5</w:t>
            </w:r>
          </w:p>
        </w:tc>
        <w:tc>
          <w:tcPr>
            <w:vAlign w:val="center"/>
          </w:tcPr>
          <w:p w:rsidR="00000000" w:rsidDel="00000000" w:rsidP="00000000" w:rsidRDefault="00000000" w:rsidRPr="00000000" w14:paraId="000002C2">
            <w:pPr>
              <w:spacing w:line="240" w:lineRule="auto"/>
              <w:jc w:val="right"/>
              <w:rPr>
                <w:color w:val="000000"/>
              </w:rPr>
            </w:pPr>
            <w:r w:rsidDel="00000000" w:rsidR="00000000" w:rsidRPr="00000000">
              <w:rPr>
                <w:color w:val="000000"/>
                <w:rtl w:val="0"/>
              </w:rPr>
              <w:t xml:space="preserve">3.403</w:t>
            </w:r>
          </w:p>
        </w:tc>
      </w:tr>
      <w:tr>
        <w:trPr>
          <w:cantSplit w:val="0"/>
          <w:trHeight w:val="288" w:hRule="atLeast"/>
          <w:tblHeader w:val="0"/>
        </w:trPr>
        <w:tc>
          <w:tcPr>
            <w:vAlign w:val="bottom"/>
          </w:tcPr>
          <w:p w:rsidR="00000000" w:rsidDel="00000000" w:rsidP="00000000" w:rsidRDefault="00000000" w:rsidRPr="00000000" w14:paraId="000002C3">
            <w:pPr>
              <w:spacing w:line="240" w:lineRule="auto"/>
              <w:rPr>
                <w:color w:val="000000"/>
              </w:rPr>
            </w:pPr>
            <w:r w:rsidDel="00000000" w:rsidR="00000000" w:rsidRPr="00000000">
              <w:rPr>
                <w:color w:val="000000"/>
                <w:rtl w:val="0"/>
              </w:rPr>
              <w:t xml:space="preserve">IRR</w:t>
            </w:r>
          </w:p>
        </w:tc>
        <w:tc>
          <w:tcPr>
            <w:vAlign w:val="bottom"/>
          </w:tcPr>
          <w:p w:rsidR="00000000" w:rsidDel="00000000" w:rsidP="00000000" w:rsidRDefault="00000000" w:rsidRPr="00000000" w14:paraId="000002C4">
            <w:pPr>
              <w:spacing w:line="240" w:lineRule="auto"/>
              <w:rPr>
                <w:color w:val="000000"/>
              </w:rPr>
            </w:pPr>
            <w:r w:rsidDel="00000000" w:rsidR="00000000" w:rsidRPr="00000000">
              <w:rPr>
                <w:rtl w:val="0"/>
              </w:rPr>
            </w:r>
          </w:p>
        </w:tc>
        <w:tc>
          <w:tcPr>
            <w:vAlign w:val="bottom"/>
          </w:tcPr>
          <w:p w:rsidR="00000000" w:rsidDel="00000000" w:rsidP="00000000" w:rsidRDefault="00000000" w:rsidRPr="00000000" w14:paraId="000002C5">
            <w:pPr>
              <w:spacing w:line="240" w:lineRule="auto"/>
              <w:jc w:val="right"/>
              <w:rPr>
                <w:color w:val="000000"/>
              </w:rPr>
            </w:pPr>
            <w:r w:rsidDel="00000000" w:rsidR="00000000" w:rsidRPr="00000000">
              <w:rPr>
                <w:color w:val="000000"/>
                <w:rtl w:val="0"/>
              </w:rPr>
              <w:t xml:space="preserve">-5%</w:t>
            </w:r>
          </w:p>
        </w:tc>
        <w:tc>
          <w:tcPr>
            <w:vAlign w:val="bottom"/>
          </w:tcPr>
          <w:p w:rsidR="00000000" w:rsidDel="00000000" w:rsidP="00000000" w:rsidRDefault="00000000" w:rsidRPr="00000000" w14:paraId="000002C6">
            <w:pPr>
              <w:spacing w:line="240" w:lineRule="auto"/>
              <w:jc w:val="right"/>
              <w:rPr>
                <w:color w:val="000000"/>
              </w:rPr>
            </w:pPr>
            <w:r w:rsidDel="00000000" w:rsidR="00000000" w:rsidRPr="00000000">
              <w:rPr>
                <w:rtl w:val="0"/>
              </w:rPr>
            </w:r>
          </w:p>
        </w:tc>
        <w:tc>
          <w:tcPr>
            <w:vAlign w:val="bottom"/>
          </w:tcPr>
          <w:p w:rsidR="00000000" w:rsidDel="00000000" w:rsidP="00000000" w:rsidRDefault="00000000" w:rsidRPr="00000000" w14:paraId="000002C7">
            <w:pPr>
              <w:spacing w:line="240" w:lineRule="auto"/>
              <w:rPr>
                <w:color w:val="000000"/>
              </w:rPr>
            </w:pPr>
            <w:r w:rsidDel="00000000" w:rsidR="00000000" w:rsidRPr="00000000">
              <w:rPr>
                <w:color w:val="000000"/>
                <w:rtl w:val="0"/>
              </w:rPr>
              <w:t xml:space="preserve">IRR</w:t>
            </w:r>
          </w:p>
        </w:tc>
        <w:tc>
          <w:tcPr>
            <w:vAlign w:val="bottom"/>
          </w:tcPr>
          <w:p w:rsidR="00000000" w:rsidDel="00000000" w:rsidP="00000000" w:rsidRDefault="00000000" w:rsidRPr="00000000" w14:paraId="000002C8">
            <w:pPr>
              <w:spacing w:line="240" w:lineRule="auto"/>
              <w:rPr>
                <w:color w:val="000000"/>
              </w:rPr>
            </w:pPr>
            <w:r w:rsidDel="00000000" w:rsidR="00000000" w:rsidRPr="00000000">
              <w:rPr>
                <w:rtl w:val="0"/>
              </w:rPr>
            </w:r>
          </w:p>
        </w:tc>
        <w:tc>
          <w:tcPr>
            <w:vAlign w:val="bottom"/>
          </w:tcPr>
          <w:p w:rsidR="00000000" w:rsidDel="00000000" w:rsidP="00000000" w:rsidRDefault="00000000" w:rsidRPr="00000000" w14:paraId="000002C9">
            <w:pPr>
              <w:spacing w:line="240" w:lineRule="auto"/>
              <w:jc w:val="right"/>
              <w:rPr>
                <w:color w:val="000000"/>
              </w:rPr>
            </w:pPr>
            <w:r w:rsidDel="00000000" w:rsidR="00000000" w:rsidRPr="00000000">
              <w:rPr>
                <w:color w:val="000000"/>
                <w:rtl w:val="0"/>
              </w:rPr>
              <w:t xml:space="preserve">-4%</w:t>
            </w:r>
          </w:p>
        </w:tc>
        <w:tc>
          <w:tcPr>
            <w:vAlign w:val="bottom"/>
          </w:tcPr>
          <w:p w:rsidR="00000000" w:rsidDel="00000000" w:rsidP="00000000" w:rsidRDefault="00000000" w:rsidRPr="00000000" w14:paraId="000002CA">
            <w:pPr>
              <w:spacing w:line="240" w:lineRule="auto"/>
              <w:jc w:val="right"/>
              <w:rPr>
                <w:color w:val="000000"/>
              </w:rPr>
            </w:pPr>
            <w:r w:rsidDel="00000000" w:rsidR="00000000" w:rsidRPr="00000000">
              <w:rPr>
                <w:rtl w:val="0"/>
              </w:rPr>
            </w:r>
          </w:p>
        </w:tc>
        <w:tc>
          <w:tcPr>
            <w:vAlign w:val="bottom"/>
          </w:tcPr>
          <w:p w:rsidR="00000000" w:rsidDel="00000000" w:rsidP="00000000" w:rsidRDefault="00000000" w:rsidRPr="00000000" w14:paraId="000002CB">
            <w:pPr>
              <w:spacing w:line="240" w:lineRule="auto"/>
              <w:rPr>
                <w:color w:val="000000"/>
              </w:rPr>
            </w:pPr>
            <w:r w:rsidDel="00000000" w:rsidR="00000000" w:rsidRPr="00000000">
              <w:rPr>
                <w:color w:val="000000"/>
                <w:rtl w:val="0"/>
              </w:rPr>
              <w:t xml:space="preserve">IRR</w:t>
            </w:r>
          </w:p>
        </w:tc>
        <w:tc>
          <w:tcPr>
            <w:vAlign w:val="bottom"/>
          </w:tcPr>
          <w:p w:rsidR="00000000" w:rsidDel="00000000" w:rsidP="00000000" w:rsidRDefault="00000000" w:rsidRPr="00000000" w14:paraId="000002CC">
            <w:pPr>
              <w:spacing w:line="240" w:lineRule="auto"/>
              <w:rPr>
                <w:color w:val="000000"/>
              </w:rPr>
            </w:pPr>
            <w:r w:rsidDel="00000000" w:rsidR="00000000" w:rsidRPr="00000000">
              <w:rPr>
                <w:rtl w:val="0"/>
              </w:rPr>
            </w:r>
          </w:p>
        </w:tc>
        <w:tc>
          <w:tcPr>
            <w:vAlign w:val="bottom"/>
          </w:tcPr>
          <w:p w:rsidR="00000000" w:rsidDel="00000000" w:rsidP="00000000" w:rsidRDefault="00000000" w:rsidRPr="00000000" w14:paraId="000002CD">
            <w:pPr>
              <w:spacing w:line="240" w:lineRule="auto"/>
              <w:jc w:val="right"/>
              <w:rPr>
                <w:color w:val="000000"/>
              </w:rPr>
            </w:pPr>
            <w:r w:rsidDel="00000000" w:rsidR="00000000" w:rsidRPr="00000000">
              <w:rPr>
                <w:color w:val="000000"/>
                <w:rtl w:val="0"/>
              </w:rPr>
              <w:t xml:space="preserve">1%</w:t>
            </w:r>
          </w:p>
        </w:tc>
      </w:tr>
    </w:tbl>
    <w:p w:rsidR="00000000" w:rsidDel="00000000" w:rsidP="00000000" w:rsidRDefault="00000000" w:rsidRPr="00000000" w14:paraId="000002CE">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2CF">
      <w:pPr>
        <w:spacing w:line="360" w:lineRule="auto"/>
        <w:jc w:val="both"/>
        <w:rPr>
          <w:sz w:val="24"/>
          <w:szCs w:val="24"/>
        </w:rPr>
      </w:pPr>
      <w:r w:rsidDel="00000000" w:rsidR="00000000" w:rsidRPr="00000000">
        <w:rPr>
          <w:sz w:val="24"/>
          <w:szCs w:val="24"/>
          <w:rtl w:val="0"/>
        </w:rPr>
        <w:t xml:space="preserve">Project C has the highest IRR and exceeds the company’s required rate of return of 8%. Project A and B fail to achieve the minimum acceptable return. </w:t>
      </w:r>
    </w:p>
    <w:p w:rsidR="00000000" w:rsidDel="00000000" w:rsidP="00000000" w:rsidRDefault="00000000" w:rsidRPr="00000000" w14:paraId="000002D0">
      <w:pPr>
        <w:pStyle w:val="Heading2"/>
        <w:rPr/>
      </w:pPr>
      <w:bookmarkStart w:colFirst="0" w:colLast="0" w:name="_heading=h.8mnq5slr1evn" w:id="19"/>
      <w:bookmarkEnd w:id="19"/>
      <w:r w:rsidDel="00000000" w:rsidR="00000000" w:rsidRPr="00000000">
        <w:rPr>
          <w:rtl w:val="0"/>
        </w:rPr>
        <w:t xml:space="preserve">d. Recommendation</w:t>
      </w:r>
    </w:p>
    <w:p w:rsidR="00000000" w:rsidDel="00000000" w:rsidP="00000000" w:rsidRDefault="00000000" w:rsidRPr="00000000" w14:paraId="000002D1">
      <w:pPr>
        <w:spacing w:line="360" w:lineRule="auto"/>
        <w:jc w:val="both"/>
        <w:rPr>
          <w:sz w:val="24"/>
          <w:szCs w:val="24"/>
        </w:rPr>
      </w:pPr>
      <w:r w:rsidDel="00000000" w:rsidR="00000000" w:rsidRPr="00000000">
        <w:rPr>
          <w:sz w:val="24"/>
          <w:szCs w:val="24"/>
          <w:rtl w:val="0"/>
        </w:rPr>
        <w:t xml:space="preserve">On the basis of the investment appraisal analysis, Project C must be recommended for IHG as it aims to deliver the strongest overall financial performance. Project C achieves the shortest payback period of 3.6 years, the highest ARR of 6%, the highest PI of 1.02 and the only positive NPV of £0.87 million. Moreover, the IRR exceeds the required discount rate of 8% which states that the project is expected to create shareholder value and generate returns above the cost of capital of the company. The recommendation is at par with the IHG financial position. The company has depicted strong profitability growth in the recent years with improved operating profit margins and increasing EPS (IHG, 2022). However, the liquidity ratios have remained lower than 1 which suggests the importance of selecting investment projects which can generate strong cash inflows and recover investment quickly (Khoza, 2025). The shorter payback period of Project C supports this objective. The non-financial risks must also be considered. Economic uncertainty, geopolitical instability, inflation, interest and changing customer preferences may affect tourism demand and hotel occupancy levels (Kazakova and Kim, 2021). Despite these risks, Project C offers higher long-term profitability potential and stronger growth opportunities makes it the most suitable investment for the company’s future strategic expansion and financial stability. </w:t>
      </w:r>
    </w:p>
    <w:p w:rsidR="00000000" w:rsidDel="00000000" w:rsidP="00000000" w:rsidRDefault="00000000" w:rsidRPr="00000000" w14:paraId="000002D2">
      <w:pPr>
        <w:pStyle w:val="Heading2"/>
        <w:rPr/>
      </w:pPr>
      <w:bookmarkStart w:colFirst="0" w:colLast="0" w:name="_heading=h.z1ne86jow02m" w:id="20"/>
      <w:bookmarkEnd w:id="20"/>
      <w:r w:rsidDel="00000000" w:rsidR="00000000" w:rsidRPr="00000000">
        <w:rPr>
          <w:rtl w:val="0"/>
        </w:rPr>
        <w:t xml:space="preserve">e. Capital rationing</w:t>
      </w:r>
    </w:p>
    <w:p w:rsidR="00000000" w:rsidDel="00000000" w:rsidP="00000000" w:rsidRDefault="00000000" w:rsidRPr="00000000" w14:paraId="000002D3">
      <w:pPr>
        <w:spacing w:line="360" w:lineRule="auto"/>
        <w:jc w:val="both"/>
        <w:rPr>
          <w:sz w:val="24"/>
          <w:szCs w:val="24"/>
        </w:rPr>
      </w:pPr>
      <w:r w:rsidDel="00000000" w:rsidR="00000000" w:rsidRPr="00000000">
        <w:rPr>
          <w:sz w:val="24"/>
          <w:szCs w:val="24"/>
          <w:rtl w:val="0"/>
        </w:rPr>
        <w:t xml:space="preserve">Capital rationing happens when the company has limited investment funds and should select the combination of projects in order to maximise returns (Bell, 2025). IHG has the maximum investment budget of £100 million. As each project requires £50 million, the business can invest in only two projects. </w:t>
      </w:r>
    </w:p>
    <w:p w:rsidR="00000000" w:rsidDel="00000000" w:rsidP="00000000" w:rsidRDefault="00000000" w:rsidRPr="00000000" w14:paraId="000002D4">
      <w:pPr>
        <w:spacing w:line="360" w:lineRule="auto"/>
        <w:jc w:val="both"/>
        <w:rPr>
          <w:b w:val="1"/>
          <w:bCs w:val="1"/>
          <w:sz w:val="24"/>
          <w:szCs w:val="24"/>
        </w:rPr>
      </w:pPr>
      <w:r w:rsidDel="00000000" w:rsidR="00000000" w:rsidRPr="00000000">
        <w:rPr>
          <w:b w:val="1"/>
          <w:bCs w:val="1"/>
          <w:sz w:val="24"/>
          <w:szCs w:val="24"/>
          <w:rtl w:val="0"/>
        </w:rPr>
        <w:t xml:space="preserve">Possible combinations</w:t>
      </w:r>
    </w:p>
    <w:tbl>
      <w:tblPr>
        <w:tblStyle w:val="Table7"/>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16"/>
        <w:gridCol w:w="3117"/>
        <w:gridCol w:w="3117"/>
        <w:tblGridChange w:id="0">
          <w:tblGrid>
            <w:gridCol w:w="3116"/>
            <w:gridCol w:w="3117"/>
            <w:gridCol w:w="3117"/>
          </w:tblGrid>
        </w:tblGridChange>
      </w:tblGrid>
      <w:tr>
        <w:trPr>
          <w:cantSplit w:val="0"/>
          <w:tblHeader w:val="0"/>
        </w:trPr>
        <w:tc>
          <w:tcPr/>
          <w:p w:rsidR="00000000" w:rsidDel="00000000" w:rsidP="00000000" w:rsidRDefault="00000000" w:rsidRPr="00000000" w14:paraId="000002D5">
            <w:pPr>
              <w:spacing w:line="360" w:lineRule="auto"/>
              <w:jc w:val="both"/>
              <w:rPr>
                <w:b w:val="1"/>
                <w:bCs w:val="1"/>
              </w:rPr>
            </w:pPr>
            <w:r w:rsidDel="00000000" w:rsidR="00000000" w:rsidRPr="00000000">
              <w:rPr>
                <w:b w:val="1"/>
                <w:bCs w:val="1"/>
                <w:rtl w:val="0"/>
              </w:rPr>
              <w:t xml:space="preserve">Combination</w:t>
            </w:r>
          </w:p>
        </w:tc>
        <w:tc>
          <w:tcPr/>
          <w:p w:rsidR="00000000" w:rsidDel="00000000" w:rsidP="00000000" w:rsidRDefault="00000000" w:rsidRPr="00000000" w14:paraId="000002D6">
            <w:pPr>
              <w:spacing w:line="360" w:lineRule="auto"/>
              <w:jc w:val="both"/>
              <w:rPr>
                <w:b w:val="1"/>
                <w:bCs w:val="1"/>
              </w:rPr>
            </w:pPr>
            <w:r w:rsidDel="00000000" w:rsidR="00000000" w:rsidRPr="00000000">
              <w:rPr>
                <w:b w:val="1"/>
                <w:bCs w:val="1"/>
                <w:rtl w:val="0"/>
              </w:rPr>
              <w:t xml:space="preserve">Total investment £million</w:t>
            </w:r>
          </w:p>
        </w:tc>
        <w:tc>
          <w:tcPr/>
          <w:p w:rsidR="00000000" w:rsidDel="00000000" w:rsidP="00000000" w:rsidRDefault="00000000" w:rsidRPr="00000000" w14:paraId="000002D7">
            <w:pPr>
              <w:spacing w:line="360" w:lineRule="auto"/>
              <w:jc w:val="both"/>
              <w:rPr>
                <w:b w:val="1"/>
                <w:bCs w:val="1"/>
              </w:rPr>
            </w:pPr>
            <w:r w:rsidDel="00000000" w:rsidR="00000000" w:rsidRPr="00000000">
              <w:rPr>
                <w:b w:val="1"/>
                <w:bCs w:val="1"/>
                <w:rtl w:val="0"/>
              </w:rPr>
              <w:t xml:space="preserve">Combined NPV (£m)</w:t>
            </w:r>
          </w:p>
        </w:tc>
      </w:tr>
      <w:tr>
        <w:trPr>
          <w:cantSplit w:val="0"/>
          <w:tblHeader w:val="0"/>
        </w:trPr>
        <w:tc>
          <w:tcPr/>
          <w:p w:rsidR="00000000" w:rsidDel="00000000" w:rsidP="00000000" w:rsidRDefault="00000000" w:rsidRPr="00000000" w14:paraId="000002D8">
            <w:pPr>
              <w:spacing w:line="360" w:lineRule="auto"/>
              <w:jc w:val="both"/>
              <w:rPr/>
            </w:pPr>
            <w:r w:rsidDel="00000000" w:rsidR="00000000" w:rsidRPr="00000000">
              <w:rPr>
                <w:rtl w:val="0"/>
              </w:rPr>
              <w:t xml:space="preserve">A+B</w:t>
            </w:r>
          </w:p>
        </w:tc>
        <w:tc>
          <w:tcPr/>
          <w:p w:rsidR="00000000" w:rsidDel="00000000" w:rsidP="00000000" w:rsidRDefault="00000000" w:rsidRPr="00000000" w14:paraId="000002D9">
            <w:pPr>
              <w:spacing w:line="360" w:lineRule="auto"/>
              <w:jc w:val="both"/>
              <w:rPr/>
            </w:pPr>
            <w:r w:rsidDel="00000000" w:rsidR="00000000" w:rsidRPr="00000000">
              <w:rPr>
                <w:rtl w:val="0"/>
              </w:rPr>
              <w:t xml:space="preserve">100</w:t>
            </w:r>
          </w:p>
        </w:tc>
        <w:tc>
          <w:tcPr/>
          <w:p w:rsidR="00000000" w:rsidDel="00000000" w:rsidP="00000000" w:rsidRDefault="00000000" w:rsidRPr="00000000" w14:paraId="000002DA">
            <w:pPr>
              <w:spacing w:line="360" w:lineRule="auto"/>
              <w:jc w:val="both"/>
              <w:rPr/>
            </w:pPr>
            <w:r w:rsidDel="00000000" w:rsidR="00000000" w:rsidRPr="00000000">
              <w:rPr>
                <w:rtl w:val="0"/>
              </w:rPr>
              <w:t xml:space="preserve">-12.61</w:t>
            </w:r>
          </w:p>
        </w:tc>
      </w:tr>
      <w:tr>
        <w:trPr>
          <w:cantSplit w:val="0"/>
          <w:tblHeader w:val="0"/>
        </w:trPr>
        <w:tc>
          <w:tcPr/>
          <w:p w:rsidR="00000000" w:rsidDel="00000000" w:rsidP="00000000" w:rsidRDefault="00000000" w:rsidRPr="00000000" w14:paraId="000002DB">
            <w:pPr>
              <w:spacing w:line="360" w:lineRule="auto"/>
              <w:jc w:val="both"/>
              <w:rPr/>
            </w:pPr>
            <w:r w:rsidDel="00000000" w:rsidR="00000000" w:rsidRPr="00000000">
              <w:rPr>
                <w:rtl w:val="0"/>
              </w:rPr>
              <w:t xml:space="preserve">A+C</w:t>
            </w:r>
          </w:p>
        </w:tc>
        <w:tc>
          <w:tcPr/>
          <w:p w:rsidR="00000000" w:rsidDel="00000000" w:rsidP="00000000" w:rsidRDefault="00000000" w:rsidRPr="00000000" w14:paraId="000002DC">
            <w:pPr>
              <w:spacing w:line="360" w:lineRule="auto"/>
              <w:jc w:val="both"/>
              <w:rPr/>
            </w:pPr>
            <w:r w:rsidDel="00000000" w:rsidR="00000000" w:rsidRPr="00000000">
              <w:rPr>
                <w:rtl w:val="0"/>
              </w:rPr>
              <w:t xml:space="preserve">100</w:t>
            </w:r>
          </w:p>
        </w:tc>
        <w:tc>
          <w:tcPr/>
          <w:p w:rsidR="00000000" w:rsidDel="00000000" w:rsidP="00000000" w:rsidRDefault="00000000" w:rsidRPr="00000000" w14:paraId="000002DD">
            <w:pPr>
              <w:spacing w:line="360" w:lineRule="auto"/>
              <w:jc w:val="both"/>
              <w:rPr/>
            </w:pPr>
            <w:r w:rsidDel="00000000" w:rsidR="00000000" w:rsidRPr="00000000">
              <w:rPr>
                <w:rtl w:val="0"/>
              </w:rPr>
              <w:t xml:space="preserve">-5.67</w:t>
            </w:r>
          </w:p>
        </w:tc>
      </w:tr>
      <w:tr>
        <w:trPr>
          <w:cantSplit w:val="0"/>
          <w:tblHeader w:val="0"/>
        </w:trPr>
        <w:tc>
          <w:tcPr/>
          <w:p w:rsidR="00000000" w:rsidDel="00000000" w:rsidP="00000000" w:rsidRDefault="00000000" w:rsidRPr="00000000" w14:paraId="000002DE">
            <w:pPr>
              <w:spacing w:line="360" w:lineRule="auto"/>
              <w:jc w:val="both"/>
              <w:rPr/>
            </w:pPr>
            <w:r w:rsidDel="00000000" w:rsidR="00000000" w:rsidRPr="00000000">
              <w:rPr>
                <w:rtl w:val="0"/>
              </w:rPr>
              <w:t xml:space="preserve">B+C</w:t>
            </w:r>
          </w:p>
        </w:tc>
        <w:tc>
          <w:tcPr/>
          <w:p w:rsidR="00000000" w:rsidDel="00000000" w:rsidP="00000000" w:rsidRDefault="00000000" w:rsidRPr="00000000" w14:paraId="000002DF">
            <w:pPr>
              <w:spacing w:line="360" w:lineRule="auto"/>
              <w:jc w:val="both"/>
              <w:rPr/>
            </w:pPr>
            <w:r w:rsidDel="00000000" w:rsidR="00000000" w:rsidRPr="00000000">
              <w:rPr>
                <w:rtl w:val="0"/>
              </w:rPr>
              <w:t xml:space="preserve">100</w:t>
            </w:r>
          </w:p>
        </w:tc>
        <w:tc>
          <w:tcPr/>
          <w:p w:rsidR="00000000" w:rsidDel="00000000" w:rsidP="00000000" w:rsidRDefault="00000000" w:rsidRPr="00000000" w14:paraId="000002E0">
            <w:pPr>
              <w:spacing w:line="360" w:lineRule="auto"/>
              <w:jc w:val="both"/>
              <w:rPr/>
            </w:pPr>
            <w:r w:rsidDel="00000000" w:rsidR="00000000" w:rsidRPr="00000000">
              <w:rPr>
                <w:rtl w:val="0"/>
              </w:rPr>
              <w:t xml:space="preserve">-5.20</w:t>
            </w:r>
          </w:p>
        </w:tc>
      </w:tr>
    </w:tbl>
    <w:p w:rsidR="00000000" w:rsidDel="00000000" w:rsidP="00000000" w:rsidRDefault="00000000" w:rsidRPr="00000000" w14:paraId="000002E1">
      <w:pPr>
        <w:spacing w:line="360" w:lineRule="auto"/>
        <w:jc w:val="both"/>
        <w:rPr>
          <w:sz w:val="24"/>
          <w:szCs w:val="24"/>
        </w:rPr>
      </w:pPr>
      <w:r w:rsidDel="00000000" w:rsidR="00000000" w:rsidRPr="00000000">
        <w:rPr>
          <w:rtl w:val="0"/>
        </w:rPr>
      </w:r>
    </w:p>
    <w:p w:rsidR="00000000" w:rsidDel="00000000" w:rsidP="00000000" w:rsidRDefault="00000000" w:rsidRPr="00000000" w14:paraId="000002E2">
      <w:pPr>
        <w:spacing w:line="360" w:lineRule="auto"/>
        <w:jc w:val="both"/>
        <w:rPr>
          <w:sz w:val="24"/>
          <w:szCs w:val="24"/>
        </w:rPr>
      </w:pPr>
      <w:r w:rsidDel="00000000" w:rsidR="00000000" w:rsidRPr="00000000">
        <w:rPr>
          <w:sz w:val="24"/>
          <w:szCs w:val="24"/>
          <w:rtl w:val="0"/>
        </w:rPr>
        <w:t xml:space="preserve">The combination of Project B and C offers the highest combination of NPV among the available options despite remaining partly negative overall. Project B offers stable and predictable yearly cash inflows which reduce risk and support liquidity management. Despite the NPV being negative, its cash flows are less fluctuating than Project A and offer greater certainty. The combination of Project B and C balances risk and return as Project C offers high profit margin and value creation potential. Project A is the weakest option as it produces the lowest PI and has a large negative NPV. Thus, it should not be prioritised under capital rationing limits. From a strategic perspective, selecting Project B and C may also assist IHG maintaining stable operational cash flows while undertaking growth opportunities. This combination assists the company’s long-run profitability margins while reducing the exposure to uncertainty in relation to relying completely on one high-risk project. </w:t>
      </w:r>
    </w:p>
    <w:p w:rsidR="00000000" w:rsidDel="00000000" w:rsidP="00000000" w:rsidRDefault="00000000" w:rsidRPr="00000000" w14:paraId="000002E3">
      <w:pPr>
        <w:pStyle w:val="Heading1"/>
        <w:rPr/>
      </w:pPr>
      <w:bookmarkStart w:colFirst="0" w:colLast="0" w:name="_heading=h.a8b8xm8m57mj" w:id="21"/>
      <w:bookmarkEnd w:id="21"/>
      <w:r w:rsidDel="00000000" w:rsidR="00000000" w:rsidRPr="00000000">
        <w:rPr>
          <w:rtl w:val="0"/>
        </w:rPr>
        <w:t xml:space="preserve">5. Critical Reflection on AI Usage</w:t>
      </w:r>
    </w:p>
    <w:p w:rsidR="00000000" w:rsidDel="00000000" w:rsidP="00000000" w:rsidRDefault="00000000" w:rsidRPr="00000000" w14:paraId="000002E4">
      <w:pPr>
        <w:pStyle w:val="Heading2"/>
        <w:rPr/>
      </w:pPr>
      <w:bookmarkStart w:colFirst="0" w:colLast="0" w:name="_heading=h.m2p6kcdshase" w:id="22"/>
      <w:bookmarkEnd w:id="22"/>
      <w:r w:rsidDel="00000000" w:rsidR="00000000" w:rsidRPr="00000000">
        <w:rPr>
          <w:rtl w:val="0"/>
        </w:rPr>
        <w:t xml:space="preserve">a. Disclosure of tools</w:t>
      </w:r>
    </w:p>
    <w:p w:rsidR="00000000" w:rsidDel="00000000" w:rsidP="00000000" w:rsidRDefault="00000000" w:rsidRPr="00000000" w14:paraId="000002E5">
      <w:pPr>
        <w:spacing w:line="360" w:lineRule="auto"/>
        <w:jc w:val="both"/>
        <w:rPr>
          <w:sz w:val="24"/>
          <w:szCs w:val="24"/>
        </w:rPr>
      </w:pPr>
      <w:r w:rsidDel="00000000" w:rsidR="00000000" w:rsidRPr="00000000">
        <w:rPr>
          <w:sz w:val="24"/>
          <w:szCs w:val="24"/>
          <w:rtl w:val="0"/>
        </w:rPr>
        <w:t xml:space="preserve">AI tools were throughout the report for the purpose of developing and supporting the research, collection of financial data, financial analysis and academic writing. The main AI tool used was ChatGPT by OpenAI which has assisted me in generating description and explanation of accounting ratios, summarising the annual report data between 2021 and 2025, improving the sentence construction and organising content into an academic and professional report. AI was used to simplify the complicated financial concepts and offer guidance on interpreting financial statements and industry trends. Financial data and company performance information was obtained from credible sources and the company website includes IHG annual reports and Macrotrends. AI supported the interpretation of the financial data by identifying trends in profitability, efficiency, liquidity and shareholder performance between 2021 and 202. Moreover, AI assisted in refining the grammar, improving academic tone and ensuring clarity and coherence within the report. However, the use of AI was limited in this report to act as a supportive function instead of replacing the human content and independent academic judgement. All the financial calculations (ratios), interpretation and conclusion were critically analysed, reviewed and verified against the financial figures from the annual reports to ensure accuracy and reliability. The final report indicated independent analysis and understanding while AI served as a means of productivity and research-supporting tool. </w:t>
      </w:r>
    </w:p>
    <w:p w:rsidR="00000000" w:rsidDel="00000000" w:rsidP="00000000" w:rsidRDefault="00000000" w:rsidRPr="00000000" w14:paraId="000002E6">
      <w:pPr>
        <w:pStyle w:val="Heading2"/>
        <w:rPr/>
      </w:pPr>
      <w:bookmarkStart w:colFirst="0" w:colLast="0" w:name="_heading=h.vrgoxso1k30c" w:id="23"/>
      <w:bookmarkEnd w:id="23"/>
      <w:r w:rsidDel="00000000" w:rsidR="00000000" w:rsidRPr="00000000">
        <w:rPr>
          <w:rtl w:val="0"/>
        </w:rPr>
        <w:t xml:space="preserve">b. Critical evaluation of AI output </w:t>
      </w:r>
    </w:p>
    <w:p w:rsidR="00000000" w:rsidDel="00000000" w:rsidP="00000000" w:rsidRDefault="00000000" w:rsidRPr="00000000" w14:paraId="000002E7">
      <w:pPr>
        <w:spacing w:line="360" w:lineRule="auto"/>
        <w:jc w:val="both"/>
        <w:rPr>
          <w:sz w:val="24"/>
          <w:szCs w:val="24"/>
        </w:rPr>
      </w:pPr>
      <w:r w:rsidDel="00000000" w:rsidR="00000000" w:rsidRPr="00000000">
        <w:rPr>
          <w:sz w:val="24"/>
          <w:szCs w:val="24"/>
          <w:rtl w:val="0"/>
        </w:rPr>
        <w:t xml:space="preserve">I have critically evaluated AI-generated outputs before incorporating them into this report. For instance, I have verified all financial interpretations which were produced by ChatGpt against primary sources of data. For this purpose, I had considered the published annual reports of the IHG Group. Additionally, I have completed ratio calculations in Microsoft Excel and compared those results with AI-driven contents to confirm consistency. REMOLINA LEON (2024), has mentioned that ‘financial hallucination’ is a major concern for firms while using AI-driven systems as misleading outputs can affect the overall analysis. I had observed that the responses of AI contained several generic statements that did not reflect the existing business model of IHG. For instance, a few statements have over-emphasised on the importance of ‘inventory management’ and ignored the significance of franchise fee income. So, I either revised or removed those outputs. I had identified those inaccuracies through cross-checking financial statements of the company and implementing my own understanding about the hospitality industry. </w:t>
      </w:r>
    </w:p>
    <w:p w:rsidR="00000000" w:rsidDel="00000000" w:rsidP="00000000" w:rsidRDefault="00000000" w:rsidRPr="00000000" w14:paraId="000002E8">
      <w:pPr>
        <w:pStyle w:val="Heading2"/>
        <w:rPr/>
      </w:pPr>
      <w:bookmarkStart w:colFirst="0" w:colLast="0" w:name="_heading=h.v253q33q3hgg" w:id="24"/>
      <w:bookmarkEnd w:id="24"/>
      <w:r w:rsidDel="00000000" w:rsidR="00000000" w:rsidRPr="00000000">
        <w:rPr>
          <w:rtl w:val="0"/>
        </w:rPr>
        <w:t xml:space="preserve">c. Contribution analysis</w:t>
      </w:r>
    </w:p>
    <w:p w:rsidR="00000000" w:rsidDel="00000000" w:rsidP="00000000" w:rsidRDefault="00000000" w:rsidRPr="00000000" w14:paraId="000002E9">
      <w:pPr>
        <w:spacing w:line="360" w:lineRule="auto"/>
        <w:jc w:val="both"/>
        <w:rPr>
          <w:sz w:val="24"/>
          <w:szCs w:val="24"/>
        </w:rPr>
      </w:pPr>
      <w:r w:rsidDel="00000000" w:rsidR="00000000" w:rsidRPr="00000000">
        <w:rPr>
          <w:sz w:val="24"/>
          <w:szCs w:val="24"/>
          <w:rtl w:val="0"/>
        </w:rPr>
        <w:t xml:space="preserve">AI had mainly contributed to the research and drafting process of this report through suggesting relevant financial concepts. Here, ChatGPT has helped me to organise the headings of different sections along with improving my academic tone. I also referred to the tool for providing explanations of various financial techniques such as ‘NPV’, ‘IRR’ and ‘Working Capital ratios’. However, I had extracted financial data and interpreted trends independently. Moreover, I had provided strategic recommendations to the company to make appropriate investments in the most suitable project. My ability to think critically and synthesise evidence has allowed me to assess the financial performance of IHG. </w:t>
      </w:r>
    </w:p>
    <w:p w:rsidR="00000000" w:rsidDel="00000000" w:rsidP="00000000" w:rsidRDefault="00000000" w:rsidRPr="00000000" w14:paraId="000002EA">
      <w:pPr>
        <w:pStyle w:val="Heading2"/>
        <w:rPr/>
      </w:pPr>
      <w:bookmarkStart w:colFirst="0" w:colLast="0" w:name="_heading=h.on28tsjk4ait" w:id="25"/>
      <w:bookmarkEnd w:id="25"/>
      <w:r w:rsidDel="00000000" w:rsidR="00000000" w:rsidRPr="00000000">
        <w:rPr>
          <w:rtl w:val="0"/>
        </w:rPr>
        <w:t xml:space="preserve">d. Ethical and professional reflection </w:t>
      </w:r>
    </w:p>
    <w:p w:rsidR="00000000" w:rsidDel="00000000" w:rsidP="00000000" w:rsidRDefault="00000000" w:rsidRPr="00000000" w14:paraId="000002EB">
      <w:pPr>
        <w:spacing w:line="360" w:lineRule="auto"/>
        <w:jc w:val="both"/>
        <w:rPr>
          <w:sz w:val="24"/>
          <w:szCs w:val="24"/>
        </w:rPr>
      </w:pPr>
      <w:r w:rsidDel="00000000" w:rsidR="00000000" w:rsidRPr="00000000">
        <w:rPr>
          <w:sz w:val="24"/>
          <w:szCs w:val="24"/>
          <w:rtl w:val="0"/>
        </w:rPr>
        <w:t xml:space="preserve">According to Rane et al. (2023), AI systems should demonstrate higher transparency and accountability to improve financial decisions. Otherwise, it might raise significant ethical and professional issues. So, the vendors of AI should inform their stakeholders about how the system is performing the analysis. Moreover, AI relies on a vast amount of personal and sensitive information that raises privacy-oriented concerns (Mbah, 2024). Therefore, firms should adopt suitable strategies to protect the privacy of stakeholders and manage confidential corporate information. Moreover, people can over-rely on AI-generated outputs that might contain errors and less-verified assumptions. So, organisations should treat AI as a support tool rather than using it for making professional judgements.  </w:t>
      </w:r>
    </w:p>
    <w:p w:rsidR="00000000" w:rsidDel="00000000" w:rsidP="00000000" w:rsidRDefault="00000000" w:rsidRPr="00000000" w14:paraId="000002EC">
      <w:pPr>
        <w:pStyle w:val="Heading1"/>
        <w:rPr/>
      </w:pPr>
      <w:bookmarkStart w:colFirst="0" w:colLast="0" w:name="_heading=h.agcr3nntdhs4" w:id="26"/>
      <w:bookmarkEnd w:id="26"/>
      <w:r w:rsidDel="00000000" w:rsidR="00000000" w:rsidRPr="00000000">
        <w:rPr>
          <w:rtl w:val="0"/>
        </w:rPr>
        <w:t xml:space="preserve">Conclusion </w:t>
      </w:r>
    </w:p>
    <w:p w:rsidR="00000000" w:rsidDel="00000000" w:rsidP="00000000" w:rsidRDefault="00000000" w:rsidRPr="00000000" w14:paraId="000002ED">
      <w:pPr>
        <w:spacing w:line="360" w:lineRule="auto"/>
        <w:jc w:val="both"/>
        <w:rPr>
          <w:sz w:val="24"/>
          <w:szCs w:val="24"/>
        </w:rPr>
      </w:pPr>
      <w:r w:rsidDel="00000000" w:rsidR="00000000" w:rsidRPr="00000000">
        <w:rPr>
          <w:sz w:val="24"/>
          <w:szCs w:val="24"/>
          <w:rtl w:val="0"/>
        </w:rPr>
        <w:t xml:space="preserve">It can be concluded that the overall financial performance reflects that IHG has depicted a strong financial recovery, operational resilience and sustainable growth in the past 5 years. The company has improved its profit margins, efficiency, shareholder returns and cash flow performance following the Covid-19 pandemic, supported by the successful asset-light business model and worldwide recognised hotel brands. Despite the liquidity ratios of the company has declined and debt levels have remained relatively high, IHG continues to maintain a stable cash generation and effective working capital. The investment appraisal has further recommended Project C as the most preferred investment option as it is positive NPV, highest ARR and shortest payback periods followed by profitability potential. The strategic financial restructure and balanced financial decisions will help the business to maintain a long-run competitive edge.</w:t>
      </w:r>
      <w:r w:rsidDel="00000000" w:rsidR="00000000" w:rsidRPr="00000000">
        <w:br w:type="page"/>
      </w:r>
      <w:r w:rsidDel="00000000" w:rsidR="00000000" w:rsidRPr="00000000">
        <w:rPr>
          <w:rtl w:val="0"/>
        </w:rPr>
      </w:r>
    </w:p>
    <w:p w:rsidR="00000000" w:rsidDel="00000000" w:rsidP="00000000" w:rsidRDefault="00000000" w:rsidRPr="00000000" w14:paraId="000002EE">
      <w:pPr>
        <w:pStyle w:val="Heading1"/>
        <w:rPr/>
      </w:pPr>
      <w:bookmarkStart w:colFirst="0" w:colLast="0" w:name="_heading=h.pjbcebrdk8rp" w:id="27"/>
      <w:bookmarkEnd w:id="27"/>
      <w:r w:rsidDel="00000000" w:rsidR="00000000" w:rsidRPr="00000000">
        <w:rPr>
          <w:rtl w:val="0"/>
        </w:rPr>
        <w:t xml:space="preserve">Reference list</w:t>
      </w:r>
    </w:p>
    <w:p w:rsidR="00000000" w:rsidDel="00000000" w:rsidP="00000000" w:rsidRDefault="00000000" w:rsidRPr="00000000" w14:paraId="000002EF">
      <w:pPr>
        <w:spacing w:before="240" w:line="360" w:lineRule="auto"/>
        <w:jc w:val="both"/>
        <w:rPr>
          <w:sz w:val="24"/>
          <w:szCs w:val="24"/>
          <w:highlight w:val="white"/>
        </w:rPr>
      </w:pPr>
      <w:r w:rsidDel="00000000" w:rsidR="00000000" w:rsidRPr="00000000">
        <w:rPr>
          <w:sz w:val="24"/>
          <w:szCs w:val="24"/>
          <w:highlight w:val="white"/>
          <w:rtl w:val="0"/>
        </w:rPr>
        <w:t xml:space="preserve">ACCA (2022) </w:t>
      </w:r>
      <w:r w:rsidDel="00000000" w:rsidR="00000000" w:rsidRPr="00000000">
        <w:rPr>
          <w:i w:val="1"/>
          <w:iCs w:val="1"/>
          <w:sz w:val="24"/>
          <w:szCs w:val="24"/>
          <w:highlight w:val="white"/>
          <w:rtl w:val="0"/>
        </w:rPr>
        <w:t xml:space="preserve">Working Capital Management | ACCA Global</w:t>
      </w:r>
      <w:r w:rsidDel="00000000" w:rsidR="00000000" w:rsidRPr="00000000">
        <w:rPr>
          <w:sz w:val="24"/>
          <w:szCs w:val="24"/>
          <w:highlight w:val="white"/>
          <w:rtl w:val="0"/>
        </w:rPr>
        <w:t xml:space="preserve">. [online] www.accaglobal.com. Available at: </w:t>
      </w:r>
      <w:hyperlink r:id="rId8">
        <w:r w:rsidDel="00000000" w:rsidR="00000000" w:rsidRPr="00000000">
          <w:rPr>
            <w:color w:val="1155cc"/>
            <w:sz w:val="24"/>
            <w:szCs w:val="24"/>
            <w:highlight w:val="white"/>
            <w:u w:val="single"/>
            <w:rtl w:val="0"/>
          </w:rPr>
          <w:t xml:space="preserve">https://www.accaglobal.com/gb/en/student/exam-support-resources/fundamentals-exams-study-resources/f9/technical-articles/wcm.html</w:t>
        </w:r>
      </w:hyperlink>
      <w:r w:rsidDel="00000000" w:rsidR="00000000" w:rsidRPr="00000000">
        <w:rPr>
          <w:sz w:val="24"/>
          <w:szCs w:val="24"/>
          <w:highlight w:val="white"/>
          <w:rtl w:val="0"/>
        </w:rPr>
        <w:t xml:space="preserve">. [Accessed 10 May 2026]</w:t>
      </w:r>
    </w:p>
    <w:p w:rsidR="00000000" w:rsidDel="00000000" w:rsidP="00000000" w:rsidRDefault="00000000" w:rsidRPr="00000000" w14:paraId="000002F0">
      <w:pPr>
        <w:spacing w:after="240" w:before="240" w:line="360" w:lineRule="auto"/>
        <w:jc w:val="both"/>
        <w:rPr>
          <w:sz w:val="24"/>
          <w:szCs w:val="24"/>
          <w:highlight w:val="white"/>
        </w:rPr>
      </w:pPr>
      <w:r w:rsidDel="00000000" w:rsidR="00000000" w:rsidRPr="00000000">
        <w:rPr>
          <w:sz w:val="24"/>
          <w:szCs w:val="24"/>
          <w:highlight w:val="white"/>
          <w:rtl w:val="0"/>
        </w:rPr>
        <w:t xml:space="preserve">ACCA Global (2026). </w:t>
      </w:r>
      <w:r w:rsidDel="00000000" w:rsidR="00000000" w:rsidRPr="00000000">
        <w:rPr>
          <w:i w:val="1"/>
          <w:iCs w:val="1"/>
          <w:sz w:val="24"/>
          <w:szCs w:val="24"/>
          <w:highlight w:val="white"/>
          <w:rtl w:val="0"/>
        </w:rPr>
        <w:t xml:space="preserve">Accounting rate of return | FFM Foundations in Financial Management | Foundations in Accountancy | Students | ACCA | ACCA Global</w:t>
      </w:r>
      <w:r w:rsidDel="00000000" w:rsidR="00000000" w:rsidRPr="00000000">
        <w:rPr>
          <w:sz w:val="24"/>
          <w:szCs w:val="24"/>
          <w:highlight w:val="white"/>
          <w:rtl w:val="0"/>
        </w:rPr>
        <w:t xml:space="preserve">. [online] Accaglobal.com. Available at: </w:t>
      </w:r>
      <w:hyperlink r:id="rId9">
        <w:r w:rsidDel="00000000" w:rsidR="00000000" w:rsidRPr="00000000">
          <w:rPr>
            <w:color w:val="0000ff"/>
            <w:sz w:val="24"/>
            <w:szCs w:val="24"/>
            <w:highlight w:val="white"/>
            <w:u w:val="single"/>
            <w:rtl w:val="0"/>
          </w:rPr>
          <w:t xml:space="preserve">https://www.accaglobal.com/gb/en/student/exam-support-resources/foundation-level-study-resources/ffm/ffm-technical-articles/rate-return.html</w:t>
        </w:r>
      </w:hyperlink>
      <w:r w:rsidDel="00000000" w:rsidR="00000000" w:rsidRPr="00000000">
        <w:rPr>
          <w:sz w:val="24"/>
          <w:szCs w:val="24"/>
          <w:highlight w:val="white"/>
          <w:rtl w:val="0"/>
        </w:rPr>
        <w:t xml:space="preserve">  [Accessed 14 May 2026].</w:t>
      </w:r>
    </w:p>
    <w:p w:rsidR="00000000" w:rsidDel="00000000" w:rsidP="00000000" w:rsidRDefault="00000000" w:rsidRPr="00000000" w14:paraId="000002F1">
      <w:pPr>
        <w:spacing w:after="240" w:before="240" w:line="360" w:lineRule="auto"/>
        <w:jc w:val="both"/>
        <w:rPr>
          <w:sz w:val="24"/>
          <w:szCs w:val="24"/>
          <w:highlight w:val="white"/>
        </w:rPr>
      </w:pPr>
      <w:r w:rsidDel="00000000" w:rsidR="00000000" w:rsidRPr="00000000">
        <w:rPr>
          <w:sz w:val="24"/>
          <w:szCs w:val="24"/>
          <w:highlight w:val="white"/>
          <w:rtl w:val="0"/>
        </w:rPr>
        <w:t xml:space="preserve">‌Ali, F., Ahmad, H. and Ali, I. (2024) ‘Unlocking the power of cash reserves: how managerial ability shapes firm performance’. </w:t>
      </w:r>
      <w:r w:rsidDel="00000000" w:rsidR="00000000" w:rsidRPr="00000000">
        <w:rPr>
          <w:i w:val="1"/>
          <w:iCs w:val="1"/>
          <w:sz w:val="24"/>
          <w:szCs w:val="24"/>
          <w:highlight w:val="white"/>
          <w:rtl w:val="0"/>
        </w:rPr>
        <w:t xml:space="preserve">SAGE Open</w:t>
      </w:r>
      <w:r w:rsidDel="00000000" w:rsidR="00000000" w:rsidRPr="00000000">
        <w:rPr>
          <w:sz w:val="24"/>
          <w:szCs w:val="24"/>
          <w:highlight w:val="white"/>
          <w:rtl w:val="0"/>
        </w:rPr>
        <w:t xml:space="preserve">, </w:t>
      </w:r>
      <w:r w:rsidDel="00000000" w:rsidR="00000000" w:rsidRPr="00000000">
        <w:rPr>
          <w:i w:val="1"/>
          <w:iCs w:val="1"/>
          <w:sz w:val="24"/>
          <w:szCs w:val="24"/>
          <w:highlight w:val="white"/>
          <w:rtl w:val="0"/>
        </w:rPr>
        <w:t xml:space="preserve">14</w:t>
      </w:r>
      <w:r w:rsidDel="00000000" w:rsidR="00000000" w:rsidRPr="00000000">
        <w:rPr>
          <w:sz w:val="24"/>
          <w:szCs w:val="24"/>
          <w:highlight w:val="white"/>
          <w:rtl w:val="0"/>
        </w:rPr>
        <w:t xml:space="preserve">(4), p.21582440241300524. </w:t>
      </w:r>
    </w:p>
    <w:p w:rsidR="00000000" w:rsidDel="00000000" w:rsidP="00000000" w:rsidRDefault="00000000" w:rsidRPr="00000000" w14:paraId="000002F2">
      <w:pPr>
        <w:spacing w:after="240" w:before="240" w:line="360" w:lineRule="auto"/>
        <w:jc w:val="both"/>
        <w:rPr>
          <w:sz w:val="24"/>
          <w:szCs w:val="24"/>
          <w:highlight w:val="white"/>
        </w:rPr>
      </w:pPr>
      <w:r w:rsidDel="00000000" w:rsidR="00000000" w:rsidRPr="00000000">
        <w:rPr>
          <w:sz w:val="24"/>
          <w:szCs w:val="24"/>
          <w:highlight w:val="white"/>
          <w:rtl w:val="0"/>
        </w:rPr>
        <w:t xml:space="preserve">Allianz Trade Corporate. (2026). </w:t>
      </w:r>
      <w:r w:rsidDel="00000000" w:rsidR="00000000" w:rsidRPr="00000000">
        <w:rPr>
          <w:i w:val="1"/>
          <w:iCs w:val="1"/>
          <w:sz w:val="24"/>
          <w:szCs w:val="24"/>
          <w:highlight w:val="white"/>
          <w:rtl w:val="0"/>
        </w:rPr>
        <w:t xml:space="preserve">Current Ratio: Assess Your Ability to Pay Short-Term Liabilities</w:t>
      </w:r>
      <w:r w:rsidDel="00000000" w:rsidR="00000000" w:rsidRPr="00000000">
        <w:rPr>
          <w:sz w:val="24"/>
          <w:szCs w:val="24"/>
          <w:highlight w:val="white"/>
          <w:rtl w:val="0"/>
        </w:rPr>
        <w:t xml:space="preserve">. [online] Available at: </w:t>
      </w:r>
      <w:hyperlink r:id="rId10">
        <w:r w:rsidDel="00000000" w:rsidR="00000000" w:rsidRPr="00000000">
          <w:rPr>
            <w:color w:val="0000ff"/>
            <w:sz w:val="24"/>
            <w:szCs w:val="24"/>
            <w:highlight w:val="white"/>
            <w:u w:val="single"/>
            <w:rtl w:val="0"/>
          </w:rPr>
          <w:t xml:space="preserve">https://www.allianz-trade.com/en_US/insights/current-ratio.html</w:t>
        </w:r>
      </w:hyperlink>
      <w:r w:rsidDel="00000000" w:rsidR="00000000" w:rsidRPr="00000000">
        <w:rPr>
          <w:sz w:val="24"/>
          <w:szCs w:val="24"/>
          <w:highlight w:val="white"/>
          <w:rtl w:val="0"/>
        </w:rPr>
        <w:t xml:space="preserve">  [Accessed 13 May 2026].</w:t>
      </w:r>
    </w:p>
    <w:p w:rsidR="00000000" w:rsidDel="00000000" w:rsidP="00000000" w:rsidRDefault="00000000" w:rsidRPr="00000000" w14:paraId="000002F3">
      <w:pPr>
        <w:spacing w:after="240" w:before="240" w:line="360" w:lineRule="auto"/>
        <w:jc w:val="both"/>
        <w:rPr>
          <w:sz w:val="24"/>
          <w:szCs w:val="24"/>
          <w:highlight w:val="white"/>
        </w:rPr>
      </w:pPr>
      <w:r w:rsidDel="00000000" w:rsidR="00000000" w:rsidRPr="00000000">
        <w:rPr>
          <w:sz w:val="24"/>
          <w:szCs w:val="24"/>
          <w:highlight w:val="white"/>
          <w:rtl w:val="0"/>
        </w:rPr>
        <w:t xml:space="preserve">Association for Financial Professionals (2026). </w:t>
      </w:r>
      <w:r w:rsidDel="00000000" w:rsidR="00000000" w:rsidRPr="00000000">
        <w:rPr>
          <w:i w:val="1"/>
          <w:iCs w:val="1"/>
          <w:sz w:val="24"/>
          <w:szCs w:val="24"/>
          <w:highlight w:val="white"/>
          <w:rtl w:val="0"/>
        </w:rPr>
        <w:t xml:space="preserve">Trending Articles and Topics in Treasury and Finance</w:t>
      </w:r>
      <w:r w:rsidDel="00000000" w:rsidR="00000000" w:rsidRPr="00000000">
        <w:rPr>
          <w:sz w:val="24"/>
          <w:szCs w:val="24"/>
          <w:highlight w:val="white"/>
          <w:rtl w:val="0"/>
        </w:rPr>
        <w:t xml:space="preserve">. [online] AFP. Available at: </w:t>
      </w:r>
      <w:hyperlink r:id="rId11">
        <w:r w:rsidDel="00000000" w:rsidR="00000000" w:rsidRPr="00000000">
          <w:rPr>
            <w:color w:val="0000ff"/>
            <w:sz w:val="24"/>
            <w:szCs w:val="24"/>
            <w:highlight w:val="white"/>
            <w:u w:val="single"/>
            <w:rtl w:val="0"/>
          </w:rPr>
          <w:t xml:space="preserve">https://www.financialprofessionals.org/training-resources/resources/articles/details/net-present-value-vs.-internal-rate-of-return</w:t>
        </w:r>
      </w:hyperlink>
      <w:r w:rsidDel="00000000" w:rsidR="00000000" w:rsidRPr="00000000">
        <w:rPr>
          <w:sz w:val="24"/>
          <w:szCs w:val="24"/>
          <w:highlight w:val="white"/>
          <w:rtl w:val="0"/>
        </w:rPr>
        <w:t xml:space="preserve">   [Accessed 12 May 2026].</w:t>
      </w:r>
    </w:p>
    <w:p w:rsidR="00000000" w:rsidDel="00000000" w:rsidP="00000000" w:rsidRDefault="00000000" w:rsidRPr="00000000" w14:paraId="000002F4">
      <w:pPr>
        <w:spacing w:before="240" w:line="360" w:lineRule="auto"/>
        <w:jc w:val="both"/>
        <w:rPr>
          <w:sz w:val="24"/>
          <w:szCs w:val="24"/>
          <w:highlight w:val="white"/>
        </w:rPr>
      </w:pPr>
      <w:r w:rsidDel="00000000" w:rsidR="00000000" w:rsidRPr="00000000">
        <w:rPr>
          <w:sz w:val="24"/>
          <w:szCs w:val="24"/>
          <w:highlight w:val="white"/>
          <w:rtl w:val="0"/>
        </w:rPr>
        <w:t xml:space="preserve">Barnabas, B. and Oloyede, J. (2024) ‘Cash flow optimization: Strategies for enhancing short-term liquidity’. </w:t>
      </w:r>
      <w:r w:rsidDel="00000000" w:rsidR="00000000" w:rsidRPr="00000000">
        <w:rPr>
          <w:i w:val="1"/>
          <w:iCs w:val="1"/>
          <w:sz w:val="24"/>
          <w:szCs w:val="24"/>
          <w:highlight w:val="white"/>
          <w:rtl w:val="0"/>
        </w:rPr>
        <w:t xml:space="preserve">Available at SSRN 5004465</w:t>
      </w:r>
      <w:r w:rsidDel="00000000" w:rsidR="00000000" w:rsidRPr="00000000">
        <w:rPr>
          <w:sz w:val="24"/>
          <w:szCs w:val="24"/>
          <w:highlight w:val="white"/>
          <w:rtl w:val="0"/>
        </w:rPr>
        <w:t xml:space="preserve">. </w:t>
      </w:r>
    </w:p>
    <w:p w:rsidR="00000000" w:rsidDel="00000000" w:rsidP="00000000" w:rsidRDefault="00000000" w:rsidRPr="00000000" w14:paraId="000002F5">
      <w:pPr>
        <w:spacing w:after="240" w:before="240" w:line="360" w:lineRule="auto"/>
        <w:jc w:val="both"/>
        <w:rPr>
          <w:sz w:val="24"/>
          <w:szCs w:val="24"/>
          <w:highlight w:val="white"/>
        </w:rPr>
      </w:pPr>
      <w:r w:rsidDel="00000000" w:rsidR="00000000" w:rsidRPr="00000000">
        <w:rPr>
          <w:sz w:val="24"/>
          <w:szCs w:val="24"/>
          <w:highlight w:val="white"/>
          <w:rtl w:val="0"/>
        </w:rPr>
        <w:t xml:space="preserve">Bell, R. (2025). </w:t>
      </w:r>
      <w:r w:rsidDel="00000000" w:rsidR="00000000" w:rsidRPr="00000000">
        <w:rPr>
          <w:i w:val="1"/>
          <w:iCs w:val="1"/>
          <w:sz w:val="24"/>
          <w:szCs w:val="24"/>
          <w:highlight w:val="white"/>
          <w:rtl w:val="0"/>
        </w:rPr>
        <w:t xml:space="preserve">Capital Budgeting: What It Is and How It Works</w:t>
      </w:r>
      <w:r w:rsidDel="00000000" w:rsidR="00000000" w:rsidRPr="00000000">
        <w:rPr>
          <w:sz w:val="24"/>
          <w:szCs w:val="24"/>
          <w:highlight w:val="white"/>
          <w:rtl w:val="0"/>
        </w:rPr>
        <w:t xml:space="preserve">. [online] Oracle.com. Available at: </w:t>
      </w:r>
      <w:hyperlink r:id="rId12">
        <w:r w:rsidDel="00000000" w:rsidR="00000000" w:rsidRPr="00000000">
          <w:rPr>
            <w:color w:val="0000ff"/>
            <w:sz w:val="24"/>
            <w:szCs w:val="24"/>
            <w:highlight w:val="white"/>
            <w:u w:val="single"/>
            <w:rtl w:val="0"/>
          </w:rPr>
          <w:t xml:space="preserve">https://www.oracle.com/in/construction-engineering/capital-budgeting/</w:t>
        </w:r>
      </w:hyperlink>
      <w:r w:rsidDel="00000000" w:rsidR="00000000" w:rsidRPr="00000000">
        <w:rPr>
          <w:sz w:val="24"/>
          <w:szCs w:val="24"/>
          <w:highlight w:val="white"/>
          <w:rtl w:val="0"/>
        </w:rPr>
        <w:t xml:space="preserve">  [Accessed 11 May 2026].</w:t>
      </w:r>
    </w:p>
    <w:p w:rsidR="00000000" w:rsidDel="00000000" w:rsidP="00000000" w:rsidRDefault="00000000" w:rsidRPr="00000000" w14:paraId="000002F6">
      <w:pPr>
        <w:spacing w:before="240" w:line="360" w:lineRule="auto"/>
        <w:jc w:val="both"/>
        <w:rPr>
          <w:sz w:val="24"/>
          <w:szCs w:val="24"/>
          <w:highlight w:val="white"/>
        </w:rPr>
      </w:pPr>
      <w:bookmarkStart w:colFirst="0" w:colLast="0" w:name="_heading=h.yybc0ix1dl9o" w:id="28"/>
      <w:bookmarkEnd w:id="28"/>
      <w:r w:rsidDel="00000000" w:rsidR="00000000" w:rsidRPr="00000000">
        <w:rPr>
          <w:sz w:val="24"/>
          <w:szCs w:val="24"/>
          <w:highlight w:val="white"/>
          <w:rtl w:val="0"/>
        </w:rPr>
        <w:t xml:space="preserve">Camberato, J. (2024) Council Post: Long-Term Vs. Short-Term Loans: Which Is Better For Your Business? </w:t>
      </w:r>
      <w:r w:rsidDel="00000000" w:rsidR="00000000" w:rsidRPr="00000000">
        <w:rPr>
          <w:i w:val="1"/>
          <w:iCs w:val="1"/>
          <w:sz w:val="24"/>
          <w:szCs w:val="24"/>
          <w:highlight w:val="white"/>
          <w:rtl w:val="0"/>
        </w:rPr>
        <w:t xml:space="preserve">Forbes</w:t>
      </w:r>
      <w:r w:rsidDel="00000000" w:rsidR="00000000" w:rsidRPr="00000000">
        <w:rPr>
          <w:sz w:val="24"/>
          <w:szCs w:val="24"/>
          <w:highlight w:val="white"/>
          <w:rtl w:val="0"/>
        </w:rPr>
        <w:t xml:space="preserve">. [online] 12 Aug. Available at: </w:t>
      </w:r>
      <w:hyperlink r:id="rId13">
        <w:r w:rsidDel="00000000" w:rsidR="00000000" w:rsidRPr="00000000">
          <w:rPr>
            <w:color w:val="1155cc"/>
            <w:sz w:val="24"/>
            <w:szCs w:val="24"/>
            <w:highlight w:val="white"/>
            <w:u w:val="single"/>
            <w:rtl w:val="0"/>
          </w:rPr>
          <w:t xml:space="preserve">https://www.forbes.com/councils/forbesfinancecouncil/2023/07/10/long-term-vs-short-term-loans-which-is-better-for-your-business/</w:t>
        </w:r>
      </w:hyperlink>
      <w:r w:rsidDel="00000000" w:rsidR="00000000" w:rsidRPr="00000000">
        <w:rPr>
          <w:sz w:val="24"/>
          <w:szCs w:val="24"/>
          <w:highlight w:val="white"/>
          <w:rtl w:val="0"/>
        </w:rPr>
        <w:t xml:space="preserve">. [Accessed 12 May 2026]</w:t>
      </w:r>
    </w:p>
    <w:p w:rsidR="00000000" w:rsidDel="00000000" w:rsidP="00000000" w:rsidRDefault="00000000" w:rsidRPr="00000000" w14:paraId="000002F7">
      <w:pPr>
        <w:spacing w:after="240" w:before="240" w:line="360" w:lineRule="auto"/>
        <w:jc w:val="both"/>
        <w:rPr>
          <w:sz w:val="24"/>
          <w:szCs w:val="24"/>
          <w:highlight w:val="white"/>
        </w:rPr>
      </w:pPr>
      <w:r w:rsidDel="00000000" w:rsidR="00000000" w:rsidRPr="00000000">
        <w:rPr>
          <w:sz w:val="24"/>
          <w:szCs w:val="24"/>
          <w:highlight w:val="white"/>
          <w:rtl w:val="0"/>
        </w:rPr>
        <w:t xml:space="preserve">‌CFI (2025) </w:t>
      </w:r>
      <w:r w:rsidDel="00000000" w:rsidR="00000000" w:rsidRPr="00000000">
        <w:rPr>
          <w:i w:val="1"/>
          <w:iCs w:val="1"/>
          <w:sz w:val="24"/>
          <w:szCs w:val="24"/>
          <w:highlight w:val="white"/>
          <w:rtl w:val="0"/>
        </w:rPr>
        <w:t xml:space="preserve">Equity financing</w:t>
      </w:r>
      <w:r w:rsidDel="00000000" w:rsidR="00000000" w:rsidRPr="00000000">
        <w:rPr>
          <w:sz w:val="24"/>
          <w:szCs w:val="24"/>
          <w:highlight w:val="white"/>
          <w:rtl w:val="0"/>
        </w:rPr>
        <w:t xml:space="preserve">. [online] Corporate Finance Institute. Available at: </w:t>
      </w:r>
      <w:hyperlink r:id="rId14">
        <w:r w:rsidDel="00000000" w:rsidR="00000000" w:rsidRPr="00000000">
          <w:rPr>
            <w:color w:val="1155cc"/>
            <w:sz w:val="24"/>
            <w:szCs w:val="24"/>
            <w:highlight w:val="white"/>
            <w:u w:val="single"/>
            <w:rtl w:val="0"/>
          </w:rPr>
          <w:t xml:space="preserve">https://corporatefinanceinstitute.com/resources/valuation/equity-financing/</w:t>
        </w:r>
      </w:hyperlink>
      <w:r w:rsidDel="00000000" w:rsidR="00000000" w:rsidRPr="00000000">
        <w:rPr>
          <w:sz w:val="24"/>
          <w:szCs w:val="24"/>
          <w:highlight w:val="white"/>
          <w:rtl w:val="0"/>
        </w:rPr>
        <w:t xml:space="preserve">. [Accessed 12 May 2026]</w:t>
      </w:r>
    </w:p>
    <w:p w:rsidR="00000000" w:rsidDel="00000000" w:rsidP="00000000" w:rsidRDefault="00000000" w:rsidRPr="00000000" w14:paraId="000002F8">
      <w:pPr>
        <w:spacing w:after="240" w:before="240" w:line="360" w:lineRule="auto"/>
        <w:jc w:val="both"/>
        <w:rPr>
          <w:sz w:val="24"/>
          <w:szCs w:val="24"/>
          <w:highlight w:val="white"/>
        </w:rPr>
      </w:pPr>
      <w:r w:rsidDel="00000000" w:rsidR="00000000" w:rsidRPr="00000000">
        <w:rPr>
          <w:sz w:val="24"/>
          <w:szCs w:val="24"/>
          <w:highlight w:val="white"/>
          <w:rtl w:val="0"/>
        </w:rPr>
        <w:t xml:space="preserve">Corporate Finance Institute (2020). </w:t>
      </w:r>
      <w:r w:rsidDel="00000000" w:rsidR="00000000" w:rsidRPr="00000000">
        <w:rPr>
          <w:i w:val="1"/>
          <w:iCs w:val="1"/>
          <w:sz w:val="24"/>
          <w:szCs w:val="24"/>
          <w:highlight w:val="white"/>
          <w:rtl w:val="0"/>
        </w:rPr>
        <w:t xml:space="preserve">Payback Period</w:t>
      </w:r>
      <w:r w:rsidDel="00000000" w:rsidR="00000000" w:rsidRPr="00000000">
        <w:rPr>
          <w:sz w:val="24"/>
          <w:szCs w:val="24"/>
          <w:highlight w:val="white"/>
          <w:rtl w:val="0"/>
        </w:rPr>
        <w:t xml:space="preserve">. [online] Corporate Finance Institute. Available at: </w:t>
      </w:r>
      <w:hyperlink r:id="rId15">
        <w:r w:rsidDel="00000000" w:rsidR="00000000" w:rsidRPr="00000000">
          <w:rPr>
            <w:color w:val="0000ff"/>
            <w:sz w:val="24"/>
            <w:szCs w:val="24"/>
            <w:highlight w:val="white"/>
            <w:u w:val="single"/>
            <w:rtl w:val="0"/>
          </w:rPr>
          <w:t xml:space="preserve">https://corporatefinanceinstitute.com/resources/financial-modeling/payback-period/</w:t>
        </w:r>
      </w:hyperlink>
      <w:r w:rsidDel="00000000" w:rsidR="00000000" w:rsidRPr="00000000">
        <w:rPr>
          <w:sz w:val="24"/>
          <w:szCs w:val="24"/>
          <w:highlight w:val="white"/>
          <w:rtl w:val="0"/>
        </w:rPr>
        <w:t xml:space="preserve">  [Accessed 10 May 2026].</w:t>
      </w:r>
    </w:p>
    <w:p w:rsidR="00000000" w:rsidDel="00000000" w:rsidP="00000000" w:rsidRDefault="00000000" w:rsidRPr="00000000" w14:paraId="000002F9">
      <w:pPr>
        <w:spacing w:after="240" w:before="240" w:line="360" w:lineRule="auto"/>
        <w:jc w:val="both"/>
        <w:rPr>
          <w:sz w:val="24"/>
          <w:szCs w:val="24"/>
          <w:highlight w:val="white"/>
        </w:rPr>
      </w:pPr>
      <w:r w:rsidDel="00000000" w:rsidR="00000000" w:rsidRPr="00000000">
        <w:rPr>
          <w:sz w:val="24"/>
          <w:szCs w:val="24"/>
          <w:highlight w:val="white"/>
          <w:rtl w:val="0"/>
        </w:rPr>
        <w:t xml:space="preserve">‌Corporate Finance Institute. (2020) </w:t>
      </w:r>
      <w:r w:rsidDel="00000000" w:rsidR="00000000" w:rsidRPr="00000000">
        <w:rPr>
          <w:i w:val="1"/>
          <w:iCs w:val="1"/>
          <w:sz w:val="24"/>
          <w:szCs w:val="24"/>
          <w:highlight w:val="white"/>
          <w:rtl w:val="0"/>
        </w:rPr>
        <w:t xml:space="preserve">Debt Refinancing</w:t>
      </w:r>
      <w:r w:rsidDel="00000000" w:rsidR="00000000" w:rsidRPr="00000000">
        <w:rPr>
          <w:sz w:val="24"/>
          <w:szCs w:val="24"/>
          <w:highlight w:val="white"/>
          <w:rtl w:val="0"/>
        </w:rPr>
        <w:t xml:space="preserve">. [online] Available at: </w:t>
      </w:r>
      <w:hyperlink r:id="rId16">
        <w:r w:rsidDel="00000000" w:rsidR="00000000" w:rsidRPr="00000000">
          <w:rPr>
            <w:color w:val="1155cc"/>
            <w:sz w:val="24"/>
            <w:szCs w:val="24"/>
            <w:highlight w:val="white"/>
            <w:u w:val="single"/>
            <w:rtl w:val="0"/>
          </w:rPr>
          <w:t xml:space="preserve">https://corporatefinanceinstitute.com/resources/commercial-lending/debt-refinancing/</w:t>
        </w:r>
      </w:hyperlink>
      <w:r w:rsidDel="00000000" w:rsidR="00000000" w:rsidRPr="00000000">
        <w:rPr>
          <w:sz w:val="24"/>
          <w:szCs w:val="24"/>
          <w:highlight w:val="white"/>
          <w:rtl w:val="0"/>
        </w:rPr>
        <w:t xml:space="preserve">. [Accessed 11 May 2026]</w:t>
      </w:r>
    </w:p>
    <w:p w:rsidR="00000000" w:rsidDel="00000000" w:rsidP="00000000" w:rsidRDefault="00000000" w:rsidRPr="00000000" w14:paraId="000002FA">
      <w:pPr>
        <w:spacing w:after="240" w:before="240" w:line="360" w:lineRule="auto"/>
        <w:jc w:val="both"/>
        <w:rPr>
          <w:sz w:val="24"/>
          <w:szCs w:val="24"/>
          <w:highlight w:val="white"/>
        </w:rPr>
      </w:pPr>
      <w:r w:rsidDel="00000000" w:rsidR="00000000" w:rsidRPr="00000000">
        <w:rPr>
          <w:sz w:val="24"/>
          <w:szCs w:val="24"/>
          <w:highlight w:val="white"/>
          <w:rtl w:val="0"/>
        </w:rPr>
        <w:t xml:space="preserve">Das, P.K. (2022). ‘Liquidity Management: An Empirical Study’. </w:t>
      </w:r>
      <w:r w:rsidDel="00000000" w:rsidR="00000000" w:rsidRPr="00000000">
        <w:rPr>
          <w:i w:val="1"/>
          <w:iCs w:val="1"/>
          <w:sz w:val="24"/>
          <w:szCs w:val="24"/>
          <w:highlight w:val="white"/>
          <w:rtl w:val="0"/>
        </w:rPr>
        <w:t xml:space="preserve">International Business &amp; Economics Studies</w:t>
      </w:r>
      <w:r w:rsidDel="00000000" w:rsidR="00000000" w:rsidRPr="00000000">
        <w:rPr>
          <w:sz w:val="24"/>
          <w:szCs w:val="24"/>
          <w:highlight w:val="white"/>
          <w:rtl w:val="0"/>
        </w:rPr>
        <w:t xml:space="preserve">, 4(3), p.p74. </w:t>
      </w:r>
    </w:p>
    <w:p w:rsidR="00000000" w:rsidDel="00000000" w:rsidP="00000000" w:rsidRDefault="00000000" w:rsidRPr="00000000" w14:paraId="000002FB">
      <w:pPr>
        <w:spacing w:after="240" w:before="240" w:line="360" w:lineRule="auto"/>
        <w:jc w:val="both"/>
        <w:rPr>
          <w:sz w:val="24"/>
          <w:szCs w:val="24"/>
          <w:highlight w:val="white"/>
        </w:rPr>
      </w:pPr>
      <w:r w:rsidDel="00000000" w:rsidR="00000000" w:rsidRPr="00000000">
        <w:rPr>
          <w:sz w:val="24"/>
          <w:szCs w:val="24"/>
          <w:highlight w:val="white"/>
          <w:rtl w:val="0"/>
        </w:rPr>
        <w:t xml:space="preserve">Deng, X., De Groote, S. and Kevin Li, C. (2024). ‘Dividend signalling and investor protection: An international comparison’. </w:t>
      </w:r>
      <w:r w:rsidDel="00000000" w:rsidR="00000000" w:rsidRPr="00000000">
        <w:rPr>
          <w:i w:val="1"/>
          <w:iCs w:val="1"/>
          <w:sz w:val="24"/>
          <w:szCs w:val="24"/>
          <w:highlight w:val="white"/>
          <w:rtl w:val="0"/>
        </w:rPr>
        <w:t xml:space="preserve">Journal of Contemporary Accounting &amp; Economics</w:t>
      </w:r>
      <w:r w:rsidDel="00000000" w:rsidR="00000000" w:rsidRPr="00000000">
        <w:rPr>
          <w:sz w:val="24"/>
          <w:szCs w:val="24"/>
          <w:highlight w:val="white"/>
          <w:rtl w:val="0"/>
        </w:rPr>
        <w:t xml:space="preserve">, 20(3), p.100441.</w:t>
      </w:r>
    </w:p>
    <w:p w:rsidR="00000000" w:rsidDel="00000000" w:rsidP="00000000" w:rsidRDefault="00000000" w:rsidRPr="00000000" w14:paraId="000002FC">
      <w:pPr>
        <w:spacing w:after="240" w:before="240" w:line="360" w:lineRule="auto"/>
        <w:jc w:val="both"/>
        <w:rPr>
          <w:sz w:val="24"/>
          <w:szCs w:val="24"/>
          <w:highlight w:val="white"/>
        </w:rPr>
      </w:pPr>
      <w:r w:rsidDel="00000000" w:rsidR="00000000" w:rsidRPr="00000000">
        <w:rPr>
          <w:sz w:val="24"/>
          <w:szCs w:val="24"/>
          <w:highlight w:val="white"/>
          <w:rtl w:val="0"/>
        </w:rPr>
        <w:t xml:space="preserve">Eton, M., Mwosi, F., Ogwel, B.P. and Olupot, S.P. (2025). ‘Working capital management, accounts receivable, and performance of Small and Medium Enterprises (SMEs)’. </w:t>
      </w:r>
      <w:r w:rsidDel="00000000" w:rsidR="00000000" w:rsidRPr="00000000">
        <w:rPr>
          <w:i w:val="1"/>
          <w:iCs w:val="1"/>
          <w:sz w:val="24"/>
          <w:szCs w:val="24"/>
          <w:highlight w:val="white"/>
          <w:rtl w:val="0"/>
        </w:rPr>
        <w:t xml:space="preserve">International Journal of Financial Accounting and Management</w:t>
      </w:r>
      <w:r w:rsidDel="00000000" w:rsidR="00000000" w:rsidRPr="00000000">
        <w:rPr>
          <w:sz w:val="24"/>
          <w:szCs w:val="24"/>
          <w:highlight w:val="white"/>
          <w:rtl w:val="0"/>
        </w:rPr>
        <w:t xml:space="preserve">, 7(3), pp.453–471. </w:t>
      </w:r>
    </w:p>
    <w:p w:rsidR="00000000" w:rsidDel="00000000" w:rsidP="00000000" w:rsidRDefault="00000000" w:rsidRPr="00000000" w14:paraId="000002FD">
      <w:pPr>
        <w:spacing w:before="240" w:line="360" w:lineRule="auto"/>
        <w:jc w:val="both"/>
        <w:rPr>
          <w:sz w:val="24"/>
          <w:szCs w:val="24"/>
          <w:highlight w:val="white"/>
        </w:rPr>
      </w:pPr>
      <w:r w:rsidDel="00000000" w:rsidR="00000000" w:rsidRPr="00000000">
        <w:rPr>
          <w:sz w:val="24"/>
          <w:szCs w:val="24"/>
          <w:highlight w:val="white"/>
          <w:rtl w:val="0"/>
        </w:rPr>
        <w:t xml:space="preserve">FasterCapital (2026) </w:t>
      </w:r>
      <w:r w:rsidDel="00000000" w:rsidR="00000000" w:rsidRPr="00000000">
        <w:rPr>
          <w:i w:val="1"/>
          <w:iCs w:val="1"/>
          <w:sz w:val="24"/>
          <w:szCs w:val="24"/>
          <w:highlight w:val="white"/>
          <w:rtl w:val="0"/>
        </w:rPr>
        <w:t xml:space="preserve">Cash Flow: Cash Flow Conundrums: How Prepayments Impact Liquidity</w:t>
      </w:r>
      <w:r w:rsidDel="00000000" w:rsidR="00000000" w:rsidRPr="00000000">
        <w:rPr>
          <w:sz w:val="24"/>
          <w:szCs w:val="24"/>
          <w:highlight w:val="white"/>
          <w:rtl w:val="0"/>
        </w:rPr>
        <w:t xml:space="preserve">. [online] Available at: </w:t>
      </w:r>
      <w:hyperlink r:id="rId17">
        <w:r w:rsidDel="00000000" w:rsidR="00000000" w:rsidRPr="00000000">
          <w:rPr>
            <w:color w:val="1155cc"/>
            <w:sz w:val="24"/>
            <w:szCs w:val="24"/>
            <w:highlight w:val="white"/>
            <w:u w:val="single"/>
            <w:rtl w:val="0"/>
          </w:rPr>
          <w:t xml:space="preserve">https://fastercapital.com/content/Cash-Flow--Cash-Flow-Conundrums--How-Prepayments-Impact-Liquidity.html</w:t>
        </w:r>
      </w:hyperlink>
      <w:r w:rsidDel="00000000" w:rsidR="00000000" w:rsidRPr="00000000">
        <w:rPr>
          <w:sz w:val="24"/>
          <w:szCs w:val="24"/>
          <w:highlight w:val="white"/>
          <w:rtl w:val="0"/>
        </w:rPr>
        <w:t xml:space="preserve">. [Accessed 12 May 2026]</w:t>
      </w:r>
    </w:p>
    <w:p w:rsidR="00000000" w:rsidDel="00000000" w:rsidP="00000000" w:rsidRDefault="00000000" w:rsidRPr="00000000" w14:paraId="000002FE">
      <w:pPr>
        <w:spacing w:after="240" w:before="240" w:line="360" w:lineRule="auto"/>
        <w:jc w:val="both"/>
        <w:rPr>
          <w:sz w:val="24"/>
          <w:szCs w:val="24"/>
          <w:highlight w:val="white"/>
        </w:rPr>
      </w:pPr>
      <w:r w:rsidDel="00000000" w:rsidR="00000000" w:rsidRPr="00000000">
        <w:rPr>
          <w:sz w:val="24"/>
          <w:szCs w:val="24"/>
          <w:highlight w:val="white"/>
          <w:rtl w:val="0"/>
        </w:rPr>
        <w:t xml:space="preserve">Fidelity (2026). </w:t>
      </w:r>
      <w:r w:rsidDel="00000000" w:rsidR="00000000" w:rsidRPr="00000000">
        <w:rPr>
          <w:i w:val="1"/>
          <w:iCs w:val="1"/>
          <w:sz w:val="24"/>
          <w:szCs w:val="24"/>
          <w:highlight w:val="white"/>
          <w:rtl w:val="0"/>
        </w:rPr>
        <w:t xml:space="preserve">InterContinental Hotels Group PLC Share Dividends | IHG | GB00BHJYC057 | Fidelity</w:t>
      </w:r>
      <w:r w:rsidDel="00000000" w:rsidR="00000000" w:rsidRPr="00000000">
        <w:rPr>
          <w:sz w:val="24"/>
          <w:szCs w:val="24"/>
          <w:highlight w:val="white"/>
          <w:rtl w:val="0"/>
        </w:rPr>
        <w:t xml:space="preserve">. [online] Fidelity.co.uk. Available at: </w:t>
      </w:r>
      <w:hyperlink r:id="rId18">
        <w:r w:rsidDel="00000000" w:rsidR="00000000" w:rsidRPr="00000000">
          <w:rPr>
            <w:color w:val="0000ff"/>
            <w:sz w:val="24"/>
            <w:szCs w:val="24"/>
            <w:highlight w:val="white"/>
            <w:u w:val="single"/>
            <w:rtl w:val="0"/>
          </w:rPr>
          <w:t xml:space="preserve">https://www.fidelity.co.uk/factsheet-data/factsheet/GB00BHJYC057-intercontinental-hotels-group/dividends</w:t>
        </w:r>
      </w:hyperlink>
      <w:r w:rsidDel="00000000" w:rsidR="00000000" w:rsidRPr="00000000">
        <w:rPr>
          <w:sz w:val="24"/>
          <w:szCs w:val="24"/>
          <w:highlight w:val="white"/>
          <w:rtl w:val="0"/>
        </w:rPr>
        <w:t xml:space="preserve">  [Accessed 9 May 2026].</w:t>
      </w:r>
    </w:p>
    <w:p w:rsidR="00000000" w:rsidDel="00000000" w:rsidP="00000000" w:rsidRDefault="00000000" w:rsidRPr="00000000" w14:paraId="000002FF">
      <w:pPr>
        <w:spacing w:after="240" w:before="240" w:line="360" w:lineRule="auto"/>
        <w:jc w:val="both"/>
        <w:rPr>
          <w:sz w:val="24"/>
          <w:szCs w:val="24"/>
          <w:highlight w:val="white"/>
        </w:rPr>
      </w:pPr>
      <w:r w:rsidDel="00000000" w:rsidR="00000000" w:rsidRPr="00000000">
        <w:rPr>
          <w:sz w:val="24"/>
          <w:szCs w:val="24"/>
          <w:highlight w:val="white"/>
          <w:rtl w:val="0"/>
        </w:rPr>
        <w:t xml:space="preserve">Fowosere, O. and Mohammed, S.A. (2024). </w:t>
      </w:r>
      <w:r w:rsidDel="00000000" w:rsidR="00000000" w:rsidRPr="00000000">
        <w:rPr>
          <w:i w:val="1"/>
          <w:iCs w:val="1"/>
          <w:sz w:val="24"/>
          <w:szCs w:val="24"/>
          <w:highlight w:val="white"/>
          <w:rtl w:val="0"/>
        </w:rPr>
        <w:t xml:space="preserve">Comparative Financial Performance and Social Impact in the Global Hospitality Industry: Evidence from...</w:t>
      </w:r>
      <w:r w:rsidDel="00000000" w:rsidR="00000000" w:rsidRPr="00000000">
        <w:rPr>
          <w:sz w:val="24"/>
          <w:szCs w:val="24"/>
          <w:highlight w:val="white"/>
          <w:rtl w:val="0"/>
        </w:rPr>
        <w:t xml:space="preserve"> [online] ResearchGate. Available at: </w:t>
      </w:r>
      <w:hyperlink r:id="rId19">
        <w:r w:rsidDel="00000000" w:rsidR="00000000" w:rsidRPr="00000000">
          <w:rPr>
            <w:color w:val="0000ff"/>
            <w:sz w:val="24"/>
            <w:szCs w:val="24"/>
            <w:highlight w:val="white"/>
            <w:u w:val="single"/>
            <w:rtl w:val="0"/>
          </w:rPr>
          <w:t xml:space="preserve">https://www.researchgate.net/publication/399899124_Comparative_Financial_Performance_and_Social_Impact_in_the_Global_Hospitality_Industry_Evidence_from_Marriott_International_and_Hilton_Worldwide</w:t>
        </w:r>
      </w:hyperlink>
      <w:r w:rsidDel="00000000" w:rsidR="00000000" w:rsidRPr="00000000">
        <w:rPr>
          <w:sz w:val="24"/>
          <w:szCs w:val="24"/>
          <w:highlight w:val="white"/>
          <w:rtl w:val="0"/>
        </w:rPr>
        <w:t xml:space="preserve">  [Accessed 7 May 2026].</w:t>
      </w:r>
    </w:p>
    <w:p w:rsidR="00000000" w:rsidDel="00000000" w:rsidP="00000000" w:rsidRDefault="00000000" w:rsidRPr="00000000" w14:paraId="00000300">
      <w:pPr>
        <w:spacing w:after="240" w:before="240" w:line="360" w:lineRule="auto"/>
        <w:jc w:val="both"/>
        <w:rPr>
          <w:sz w:val="24"/>
          <w:szCs w:val="24"/>
          <w:highlight w:val="white"/>
        </w:rPr>
      </w:pPr>
      <w:r w:rsidDel="00000000" w:rsidR="00000000" w:rsidRPr="00000000">
        <w:rPr>
          <w:sz w:val="24"/>
          <w:szCs w:val="24"/>
          <w:highlight w:val="white"/>
          <w:rtl w:val="0"/>
        </w:rPr>
        <w:t xml:space="preserve">Fu, R.J.C. (2026). ‘Innovating hospitality: Ten-year comparative analysis of Marriott, Hilton, Hyatt, IHG, and Accor’s U.S. market strategies’. </w:t>
      </w:r>
      <w:r w:rsidDel="00000000" w:rsidR="00000000" w:rsidRPr="00000000">
        <w:rPr>
          <w:i w:val="1"/>
          <w:iCs w:val="1"/>
          <w:sz w:val="24"/>
          <w:szCs w:val="24"/>
          <w:highlight w:val="white"/>
          <w:rtl w:val="0"/>
        </w:rPr>
        <w:t xml:space="preserve">Artificial Intelligence, Machine Learning, &amp; Robotics in Business</w:t>
      </w:r>
      <w:r w:rsidDel="00000000" w:rsidR="00000000" w:rsidRPr="00000000">
        <w:rPr>
          <w:sz w:val="24"/>
          <w:szCs w:val="24"/>
          <w:highlight w:val="white"/>
          <w:rtl w:val="0"/>
        </w:rPr>
        <w:t xml:space="preserve">, 2(1), pp.40–63. </w:t>
      </w:r>
    </w:p>
    <w:p w:rsidR="00000000" w:rsidDel="00000000" w:rsidP="00000000" w:rsidRDefault="00000000" w:rsidRPr="00000000" w14:paraId="00000301">
      <w:pPr>
        <w:spacing w:after="240" w:before="240" w:line="360" w:lineRule="auto"/>
        <w:jc w:val="both"/>
        <w:rPr>
          <w:sz w:val="24"/>
          <w:szCs w:val="24"/>
          <w:highlight w:val="white"/>
        </w:rPr>
      </w:pPr>
      <w:r w:rsidDel="00000000" w:rsidR="00000000" w:rsidRPr="00000000">
        <w:rPr>
          <w:sz w:val="24"/>
          <w:szCs w:val="24"/>
          <w:highlight w:val="white"/>
          <w:rtl w:val="0"/>
        </w:rPr>
        <w:t xml:space="preserve">Ghose, B., Borgohain, J. and Laskar, N. (2025). ‘The influence of financial leverage on accrual-based earnings management: insights from listed Indian firms’. </w:t>
      </w:r>
      <w:r w:rsidDel="00000000" w:rsidR="00000000" w:rsidRPr="00000000">
        <w:rPr>
          <w:i w:val="1"/>
          <w:iCs w:val="1"/>
          <w:sz w:val="24"/>
          <w:szCs w:val="24"/>
          <w:highlight w:val="white"/>
          <w:rtl w:val="0"/>
        </w:rPr>
        <w:t xml:space="preserve">Managerial Finance</w:t>
      </w:r>
      <w:r w:rsidDel="00000000" w:rsidR="00000000" w:rsidRPr="00000000">
        <w:rPr>
          <w:sz w:val="24"/>
          <w:szCs w:val="24"/>
          <w:highlight w:val="white"/>
          <w:rtl w:val="0"/>
        </w:rPr>
        <w:t xml:space="preserve">, pp.1–17.</w:t>
      </w:r>
    </w:p>
    <w:p w:rsidR="00000000" w:rsidDel="00000000" w:rsidP="00000000" w:rsidRDefault="00000000" w:rsidRPr="00000000" w14:paraId="00000302">
      <w:pPr>
        <w:spacing w:after="240" w:before="240" w:line="360" w:lineRule="auto"/>
        <w:jc w:val="both"/>
        <w:rPr>
          <w:sz w:val="24"/>
          <w:szCs w:val="24"/>
          <w:highlight w:val="white"/>
        </w:rPr>
      </w:pPr>
      <w:r w:rsidDel="00000000" w:rsidR="00000000" w:rsidRPr="00000000">
        <w:rPr>
          <w:sz w:val="24"/>
          <w:szCs w:val="24"/>
          <w:highlight w:val="white"/>
          <w:rtl w:val="0"/>
        </w:rPr>
        <w:t xml:space="preserve">Global Data (2021). </w:t>
      </w:r>
      <w:r w:rsidDel="00000000" w:rsidR="00000000" w:rsidRPr="00000000">
        <w:rPr>
          <w:i w:val="1"/>
          <w:iCs w:val="1"/>
          <w:sz w:val="24"/>
          <w:szCs w:val="24"/>
          <w:highlight w:val="white"/>
          <w:rtl w:val="0"/>
        </w:rPr>
        <w:t xml:space="preserve">InterContinental Hotels Group Plc Peers &amp; Key Competitors - GlobalData</w:t>
      </w:r>
      <w:r w:rsidDel="00000000" w:rsidR="00000000" w:rsidRPr="00000000">
        <w:rPr>
          <w:sz w:val="24"/>
          <w:szCs w:val="24"/>
          <w:highlight w:val="white"/>
          <w:rtl w:val="0"/>
        </w:rPr>
        <w:t xml:space="preserve">. [online] Globaldata.com. Available at: </w:t>
      </w:r>
      <w:hyperlink r:id="rId20">
        <w:r w:rsidDel="00000000" w:rsidR="00000000" w:rsidRPr="00000000">
          <w:rPr>
            <w:color w:val="0000ff"/>
            <w:sz w:val="24"/>
            <w:szCs w:val="24"/>
            <w:highlight w:val="white"/>
            <w:u w:val="single"/>
            <w:rtl w:val="0"/>
          </w:rPr>
          <w:t xml:space="preserve">https://www.globaldata.com/company-profile/intercontinental-hotels-group-plc/competitors/</w:t>
        </w:r>
      </w:hyperlink>
      <w:r w:rsidDel="00000000" w:rsidR="00000000" w:rsidRPr="00000000">
        <w:rPr>
          <w:sz w:val="24"/>
          <w:szCs w:val="24"/>
          <w:highlight w:val="white"/>
          <w:rtl w:val="0"/>
        </w:rPr>
        <w:t xml:space="preserve">  [Accessed 4 May 2026].</w:t>
      </w:r>
    </w:p>
    <w:p w:rsidR="00000000" w:rsidDel="00000000" w:rsidP="00000000" w:rsidRDefault="00000000" w:rsidRPr="00000000" w14:paraId="00000303">
      <w:pPr>
        <w:spacing w:after="240" w:before="240" w:line="360" w:lineRule="auto"/>
        <w:jc w:val="both"/>
        <w:rPr>
          <w:sz w:val="24"/>
          <w:szCs w:val="24"/>
          <w:highlight w:val="white"/>
        </w:rPr>
      </w:pPr>
      <w:r w:rsidDel="00000000" w:rsidR="00000000" w:rsidRPr="00000000">
        <w:rPr>
          <w:sz w:val="24"/>
          <w:szCs w:val="24"/>
          <w:highlight w:val="white"/>
          <w:rtl w:val="0"/>
        </w:rPr>
        <w:t xml:space="preserve">Huang, J., Tong, J., Wang, P. and Zheng, X. (2022). ‘Application and Comparison of NPV and IRR Methods in the Company Investment Decision’. </w:t>
      </w:r>
      <w:r w:rsidDel="00000000" w:rsidR="00000000" w:rsidRPr="00000000">
        <w:rPr>
          <w:i w:val="1"/>
          <w:iCs w:val="1"/>
          <w:sz w:val="24"/>
          <w:szCs w:val="24"/>
          <w:highlight w:val="white"/>
          <w:rtl w:val="0"/>
        </w:rPr>
        <w:t xml:space="preserve">Advances in Economics, Business and Management Research</w:t>
      </w:r>
      <w:r w:rsidDel="00000000" w:rsidR="00000000" w:rsidRPr="00000000">
        <w:rPr>
          <w:sz w:val="24"/>
          <w:szCs w:val="24"/>
          <w:highlight w:val="white"/>
          <w:rtl w:val="0"/>
        </w:rPr>
        <w:t xml:space="preserve">, 211. </w:t>
      </w:r>
    </w:p>
    <w:p w:rsidR="00000000" w:rsidDel="00000000" w:rsidP="00000000" w:rsidRDefault="00000000" w:rsidRPr="00000000" w14:paraId="00000304">
      <w:pPr>
        <w:spacing w:after="240" w:before="240" w:line="360" w:lineRule="auto"/>
        <w:jc w:val="both"/>
        <w:rPr>
          <w:sz w:val="24"/>
          <w:szCs w:val="24"/>
          <w:highlight w:val="white"/>
        </w:rPr>
      </w:pPr>
      <w:r w:rsidDel="00000000" w:rsidR="00000000" w:rsidRPr="00000000">
        <w:rPr>
          <w:sz w:val="24"/>
          <w:szCs w:val="24"/>
          <w:highlight w:val="white"/>
          <w:rtl w:val="0"/>
        </w:rPr>
        <w:t xml:space="preserve">IHG (2021). </w:t>
      </w:r>
      <w:r w:rsidDel="00000000" w:rsidR="00000000" w:rsidRPr="00000000">
        <w:rPr>
          <w:i w:val="1"/>
          <w:iCs w:val="1"/>
          <w:sz w:val="24"/>
          <w:szCs w:val="24"/>
          <w:highlight w:val="white"/>
          <w:rtl w:val="0"/>
        </w:rPr>
        <w:t xml:space="preserve">IHJ Hotels and Resorts Annual Report and Form 20-F 2021</w:t>
      </w:r>
      <w:r w:rsidDel="00000000" w:rsidR="00000000" w:rsidRPr="00000000">
        <w:rPr>
          <w:sz w:val="24"/>
          <w:szCs w:val="24"/>
          <w:highlight w:val="white"/>
          <w:rtl w:val="0"/>
        </w:rPr>
        <w:t xml:space="preserve">. [online] </w:t>
      </w:r>
      <w:r w:rsidDel="00000000" w:rsidR="00000000" w:rsidRPr="00000000">
        <w:rPr>
          <w:i w:val="1"/>
          <w:iCs w:val="1"/>
          <w:sz w:val="24"/>
          <w:szCs w:val="24"/>
          <w:highlight w:val="white"/>
          <w:rtl w:val="0"/>
        </w:rPr>
        <w:t xml:space="preserve">Ihgplc</w:t>
      </w:r>
      <w:r w:rsidDel="00000000" w:rsidR="00000000" w:rsidRPr="00000000">
        <w:rPr>
          <w:sz w:val="24"/>
          <w:szCs w:val="24"/>
          <w:highlight w:val="white"/>
          <w:rtl w:val="0"/>
        </w:rPr>
        <w:t xml:space="preserve">, pp.1–264. Available at: </w:t>
      </w:r>
      <w:hyperlink r:id="rId21">
        <w:r w:rsidDel="00000000" w:rsidR="00000000" w:rsidRPr="00000000">
          <w:rPr>
            <w:color w:val="0000ff"/>
            <w:sz w:val="24"/>
            <w:szCs w:val="24"/>
            <w:highlight w:val="white"/>
            <w:u w:val="single"/>
            <w:rtl w:val="0"/>
          </w:rPr>
          <w:t xml:space="preserve">https://www.ihgplc.com/~/media/Files/I/Ihg-Plc/investors/shareholder-center/annual-reports-and-responsible-business-reports/annual-reports/2021/ihg-2021-annual-report.pdf</w:t>
        </w:r>
      </w:hyperlink>
      <w:r w:rsidDel="00000000" w:rsidR="00000000" w:rsidRPr="00000000">
        <w:rPr>
          <w:sz w:val="24"/>
          <w:szCs w:val="24"/>
          <w:highlight w:val="white"/>
          <w:rtl w:val="0"/>
        </w:rPr>
        <w:t xml:space="preserve">  [Accessed 8 May 2026].</w:t>
      </w:r>
    </w:p>
    <w:p w:rsidR="00000000" w:rsidDel="00000000" w:rsidP="00000000" w:rsidRDefault="00000000" w:rsidRPr="00000000" w14:paraId="00000305">
      <w:pPr>
        <w:spacing w:after="240" w:before="240" w:line="360" w:lineRule="auto"/>
        <w:jc w:val="both"/>
        <w:rPr>
          <w:sz w:val="24"/>
          <w:szCs w:val="24"/>
          <w:highlight w:val="white"/>
        </w:rPr>
      </w:pPr>
      <w:r w:rsidDel="00000000" w:rsidR="00000000" w:rsidRPr="00000000">
        <w:rPr>
          <w:sz w:val="24"/>
          <w:szCs w:val="24"/>
          <w:highlight w:val="white"/>
          <w:rtl w:val="0"/>
        </w:rPr>
        <w:t xml:space="preserve">IHG (2022). </w:t>
      </w:r>
      <w:r w:rsidDel="00000000" w:rsidR="00000000" w:rsidRPr="00000000">
        <w:rPr>
          <w:i w:val="1"/>
          <w:iCs w:val="1"/>
          <w:sz w:val="24"/>
          <w:szCs w:val="24"/>
          <w:highlight w:val="white"/>
          <w:rtl w:val="0"/>
        </w:rPr>
        <w:t xml:space="preserve">IHJ Hotels and Resorts Annual Report and Form 20-F 2022</w:t>
      </w:r>
      <w:r w:rsidDel="00000000" w:rsidR="00000000" w:rsidRPr="00000000">
        <w:rPr>
          <w:sz w:val="24"/>
          <w:szCs w:val="24"/>
          <w:highlight w:val="white"/>
          <w:rtl w:val="0"/>
        </w:rPr>
        <w:t xml:space="preserve">. [online] </w:t>
      </w:r>
      <w:r w:rsidDel="00000000" w:rsidR="00000000" w:rsidRPr="00000000">
        <w:rPr>
          <w:i w:val="1"/>
          <w:iCs w:val="1"/>
          <w:sz w:val="24"/>
          <w:szCs w:val="24"/>
          <w:highlight w:val="white"/>
          <w:rtl w:val="0"/>
        </w:rPr>
        <w:t xml:space="preserve">Ihgplc</w:t>
      </w:r>
      <w:r w:rsidDel="00000000" w:rsidR="00000000" w:rsidRPr="00000000">
        <w:rPr>
          <w:sz w:val="24"/>
          <w:szCs w:val="24"/>
          <w:highlight w:val="white"/>
          <w:rtl w:val="0"/>
        </w:rPr>
        <w:t xml:space="preserve">, pp.1–272. Available at: </w:t>
      </w:r>
      <w:hyperlink r:id="rId22">
        <w:r w:rsidDel="00000000" w:rsidR="00000000" w:rsidRPr="00000000">
          <w:rPr>
            <w:color w:val="0000ff"/>
            <w:sz w:val="24"/>
            <w:szCs w:val="24"/>
            <w:highlight w:val="white"/>
            <w:u w:val="single"/>
            <w:rtl w:val="0"/>
          </w:rPr>
          <w:t xml:space="preserve">https://www.ihgplc.com/~/media/Files/I/Ihg-Plc/investors/shareholder-center/annual-reports-and-responsible-business-reports/annual-reports/2022/annual-report-2022.pdf</w:t>
        </w:r>
      </w:hyperlink>
      <w:r w:rsidDel="00000000" w:rsidR="00000000" w:rsidRPr="00000000">
        <w:rPr>
          <w:sz w:val="24"/>
          <w:szCs w:val="24"/>
          <w:highlight w:val="white"/>
          <w:rtl w:val="0"/>
        </w:rPr>
        <w:t xml:space="preserve">  [Accessed 7 May 2026].</w:t>
      </w:r>
    </w:p>
    <w:p w:rsidR="00000000" w:rsidDel="00000000" w:rsidP="00000000" w:rsidRDefault="00000000" w:rsidRPr="00000000" w14:paraId="00000306">
      <w:pPr>
        <w:spacing w:before="240" w:line="360" w:lineRule="auto"/>
        <w:jc w:val="both"/>
        <w:rPr>
          <w:sz w:val="24"/>
          <w:szCs w:val="24"/>
          <w:highlight w:val="white"/>
        </w:rPr>
      </w:pPr>
      <w:r w:rsidDel="00000000" w:rsidR="00000000" w:rsidRPr="00000000">
        <w:rPr>
          <w:sz w:val="24"/>
          <w:szCs w:val="24"/>
          <w:highlight w:val="white"/>
          <w:rtl w:val="0"/>
        </w:rPr>
        <w:t xml:space="preserve">IHG (2023) </w:t>
      </w:r>
      <w:r w:rsidDel="00000000" w:rsidR="00000000" w:rsidRPr="00000000">
        <w:rPr>
          <w:i w:val="1"/>
          <w:iCs w:val="1"/>
          <w:sz w:val="24"/>
          <w:szCs w:val="24"/>
          <w:highlight w:val="white"/>
          <w:rtl w:val="0"/>
        </w:rPr>
        <w:t xml:space="preserve">Carbon and Energy</w:t>
      </w:r>
      <w:r w:rsidDel="00000000" w:rsidR="00000000" w:rsidRPr="00000000">
        <w:rPr>
          <w:sz w:val="24"/>
          <w:szCs w:val="24"/>
          <w:highlight w:val="white"/>
          <w:rtl w:val="0"/>
        </w:rPr>
        <w:t xml:space="preserve">. [online] InterContinental Hotels Group PLC. Available at: </w:t>
      </w:r>
      <w:hyperlink r:id="rId23">
        <w:r w:rsidDel="00000000" w:rsidR="00000000" w:rsidRPr="00000000">
          <w:rPr>
            <w:color w:val="1155cc"/>
            <w:sz w:val="24"/>
            <w:szCs w:val="24"/>
            <w:highlight w:val="white"/>
            <w:u w:val="single"/>
            <w:rtl w:val="0"/>
          </w:rPr>
          <w:t xml:space="preserve">https://www.ihgplc.com/en/responsible-business/carbon-and-energy</w:t>
        </w:r>
      </w:hyperlink>
      <w:r w:rsidDel="00000000" w:rsidR="00000000" w:rsidRPr="00000000">
        <w:rPr>
          <w:sz w:val="24"/>
          <w:szCs w:val="24"/>
          <w:highlight w:val="white"/>
          <w:rtl w:val="0"/>
        </w:rPr>
        <w:t xml:space="preserve">. [Accessed 12 May 2026]</w:t>
      </w:r>
    </w:p>
    <w:p w:rsidR="00000000" w:rsidDel="00000000" w:rsidP="00000000" w:rsidRDefault="00000000" w:rsidRPr="00000000" w14:paraId="00000307">
      <w:pPr>
        <w:spacing w:after="240" w:before="240" w:line="360" w:lineRule="auto"/>
        <w:jc w:val="both"/>
        <w:rPr>
          <w:sz w:val="24"/>
          <w:szCs w:val="24"/>
          <w:highlight w:val="white"/>
        </w:rPr>
      </w:pPr>
      <w:r w:rsidDel="00000000" w:rsidR="00000000" w:rsidRPr="00000000">
        <w:rPr>
          <w:sz w:val="24"/>
          <w:szCs w:val="24"/>
          <w:highlight w:val="white"/>
          <w:rtl w:val="0"/>
        </w:rPr>
        <w:t xml:space="preserve">IHG (2023). </w:t>
      </w:r>
      <w:r w:rsidDel="00000000" w:rsidR="00000000" w:rsidRPr="00000000">
        <w:rPr>
          <w:i w:val="1"/>
          <w:iCs w:val="1"/>
          <w:sz w:val="24"/>
          <w:szCs w:val="24"/>
          <w:highlight w:val="white"/>
          <w:rtl w:val="0"/>
        </w:rPr>
        <w:t xml:space="preserve">IHJ Hotels and Resorts Annual Report and Form 20-F 2023</w:t>
      </w:r>
      <w:r w:rsidDel="00000000" w:rsidR="00000000" w:rsidRPr="00000000">
        <w:rPr>
          <w:sz w:val="24"/>
          <w:szCs w:val="24"/>
          <w:highlight w:val="white"/>
          <w:rtl w:val="0"/>
        </w:rPr>
        <w:t xml:space="preserve">. [online] </w:t>
      </w:r>
      <w:r w:rsidDel="00000000" w:rsidR="00000000" w:rsidRPr="00000000">
        <w:rPr>
          <w:i w:val="1"/>
          <w:iCs w:val="1"/>
          <w:sz w:val="24"/>
          <w:szCs w:val="24"/>
          <w:highlight w:val="white"/>
          <w:rtl w:val="0"/>
        </w:rPr>
        <w:t xml:space="preserve">Ihgplc</w:t>
      </w:r>
      <w:r w:rsidDel="00000000" w:rsidR="00000000" w:rsidRPr="00000000">
        <w:rPr>
          <w:sz w:val="24"/>
          <w:szCs w:val="24"/>
          <w:highlight w:val="white"/>
          <w:rtl w:val="0"/>
        </w:rPr>
        <w:t xml:space="preserve">, pp.1–276. Available at: </w:t>
      </w:r>
      <w:hyperlink r:id="rId24">
        <w:r w:rsidDel="00000000" w:rsidR="00000000" w:rsidRPr="00000000">
          <w:rPr>
            <w:color w:val="0000ff"/>
            <w:sz w:val="24"/>
            <w:szCs w:val="24"/>
            <w:highlight w:val="white"/>
            <w:u w:val="single"/>
            <w:rtl w:val="0"/>
          </w:rPr>
          <w:t xml:space="preserve">https://www.ihgplc.com/~/media/Files/I/Ihg-Plc/investors/annual-report/2023/annual-report-2023.pdf</w:t>
        </w:r>
      </w:hyperlink>
      <w:r w:rsidDel="00000000" w:rsidR="00000000" w:rsidRPr="00000000">
        <w:rPr>
          <w:sz w:val="24"/>
          <w:szCs w:val="24"/>
          <w:highlight w:val="white"/>
          <w:rtl w:val="0"/>
        </w:rPr>
        <w:t xml:space="preserve">  [Accessed 3 May 2026].</w:t>
      </w:r>
    </w:p>
    <w:p w:rsidR="00000000" w:rsidDel="00000000" w:rsidP="00000000" w:rsidRDefault="00000000" w:rsidRPr="00000000" w14:paraId="00000308">
      <w:pPr>
        <w:spacing w:before="240" w:line="360" w:lineRule="auto"/>
        <w:jc w:val="both"/>
        <w:rPr>
          <w:sz w:val="24"/>
          <w:szCs w:val="24"/>
          <w:highlight w:val="white"/>
        </w:rPr>
      </w:pPr>
      <w:r w:rsidDel="00000000" w:rsidR="00000000" w:rsidRPr="00000000">
        <w:rPr>
          <w:sz w:val="24"/>
          <w:szCs w:val="24"/>
          <w:highlight w:val="white"/>
          <w:rtl w:val="0"/>
        </w:rPr>
        <w:t xml:space="preserve">IHG (2024) </w:t>
      </w:r>
      <w:r w:rsidDel="00000000" w:rsidR="00000000" w:rsidRPr="00000000">
        <w:rPr>
          <w:i w:val="1"/>
          <w:iCs w:val="1"/>
          <w:sz w:val="24"/>
          <w:szCs w:val="24"/>
          <w:highlight w:val="white"/>
          <w:rtl w:val="0"/>
        </w:rPr>
        <w:t xml:space="preserve">Annual Report and Form 20-F 2024</w:t>
      </w:r>
      <w:r w:rsidDel="00000000" w:rsidR="00000000" w:rsidRPr="00000000">
        <w:rPr>
          <w:sz w:val="24"/>
          <w:szCs w:val="24"/>
          <w:highlight w:val="white"/>
          <w:rtl w:val="0"/>
        </w:rPr>
        <w:t xml:space="preserve">. [online] Available at: </w:t>
      </w:r>
      <w:hyperlink r:id="rId25">
        <w:r w:rsidDel="00000000" w:rsidR="00000000" w:rsidRPr="00000000">
          <w:rPr>
            <w:color w:val="1155cc"/>
            <w:sz w:val="24"/>
            <w:szCs w:val="24"/>
            <w:highlight w:val="white"/>
            <w:u w:val="single"/>
            <w:rtl w:val="0"/>
          </w:rPr>
          <w:t xml:space="preserve">https://www.ihgplc.com/~/media/Files/I/Ihg-Plc/investors/annual-report/2024/ihg-ar-2024.pdf</w:t>
        </w:r>
      </w:hyperlink>
      <w:r w:rsidDel="00000000" w:rsidR="00000000" w:rsidRPr="00000000">
        <w:rPr>
          <w:sz w:val="24"/>
          <w:szCs w:val="24"/>
          <w:highlight w:val="white"/>
          <w:rtl w:val="0"/>
        </w:rPr>
        <w:t xml:space="preserve">. [Accessed 12 May 2026]</w:t>
      </w:r>
    </w:p>
    <w:p w:rsidR="00000000" w:rsidDel="00000000" w:rsidP="00000000" w:rsidRDefault="00000000" w:rsidRPr="00000000" w14:paraId="00000309">
      <w:pPr>
        <w:spacing w:after="240" w:before="240" w:line="360" w:lineRule="auto"/>
        <w:jc w:val="both"/>
        <w:rPr>
          <w:sz w:val="24"/>
          <w:szCs w:val="24"/>
          <w:highlight w:val="white"/>
        </w:rPr>
      </w:pPr>
      <w:r w:rsidDel="00000000" w:rsidR="00000000" w:rsidRPr="00000000">
        <w:rPr>
          <w:sz w:val="24"/>
          <w:szCs w:val="24"/>
          <w:highlight w:val="white"/>
          <w:rtl w:val="0"/>
        </w:rPr>
        <w:t xml:space="preserve">IHG (2025). </w:t>
      </w:r>
      <w:r w:rsidDel="00000000" w:rsidR="00000000" w:rsidRPr="00000000">
        <w:rPr>
          <w:i w:val="1"/>
          <w:iCs w:val="1"/>
          <w:sz w:val="24"/>
          <w:szCs w:val="24"/>
          <w:highlight w:val="white"/>
          <w:rtl w:val="0"/>
        </w:rPr>
        <w:t xml:space="preserve">IHJ Hotels and Resorts Annual Report and Form 20-F 2025</w:t>
      </w:r>
      <w:r w:rsidDel="00000000" w:rsidR="00000000" w:rsidRPr="00000000">
        <w:rPr>
          <w:sz w:val="24"/>
          <w:szCs w:val="24"/>
          <w:highlight w:val="white"/>
          <w:rtl w:val="0"/>
        </w:rPr>
        <w:t xml:space="preserve">. [online] </w:t>
      </w:r>
      <w:r w:rsidDel="00000000" w:rsidR="00000000" w:rsidRPr="00000000">
        <w:rPr>
          <w:i w:val="1"/>
          <w:iCs w:val="1"/>
          <w:sz w:val="24"/>
          <w:szCs w:val="24"/>
          <w:highlight w:val="white"/>
          <w:rtl w:val="0"/>
        </w:rPr>
        <w:t xml:space="preserve">Ihgplc</w:t>
      </w:r>
      <w:r w:rsidDel="00000000" w:rsidR="00000000" w:rsidRPr="00000000">
        <w:rPr>
          <w:sz w:val="24"/>
          <w:szCs w:val="24"/>
          <w:highlight w:val="white"/>
          <w:rtl w:val="0"/>
        </w:rPr>
        <w:t xml:space="preserve">, pp.1–304. Available at: </w:t>
      </w:r>
      <w:hyperlink r:id="rId26">
        <w:r w:rsidDel="00000000" w:rsidR="00000000" w:rsidRPr="00000000">
          <w:rPr>
            <w:color w:val="0000ff"/>
            <w:sz w:val="24"/>
            <w:szCs w:val="24"/>
            <w:highlight w:val="white"/>
            <w:u w:val="single"/>
            <w:rtl w:val="0"/>
          </w:rPr>
          <w:t xml:space="preserve">https://www.ihgplc.com/~/media/Files/I/Ihg-Plc/investors/annual-report/2025/ihg-ar25-interactive.pdf</w:t>
        </w:r>
      </w:hyperlink>
      <w:r w:rsidDel="00000000" w:rsidR="00000000" w:rsidRPr="00000000">
        <w:rPr>
          <w:sz w:val="24"/>
          <w:szCs w:val="24"/>
          <w:highlight w:val="white"/>
          <w:rtl w:val="0"/>
        </w:rPr>
        <w:t xml:space="preserve">  [Accessed 2 May 2026].</w:t>
      </w:r>
    </w:p>
    <w:p w:rsidR="00000000" w:rsidDel="00000000" w:rsidP="00000000" w:rsidRDefault="00000000" w:rsidRPr="00000000" w14:paraId="0000030A">
      <w:pPr>
        <w:spacing w:before="240" w:line="360" w:lineRule="auto"/>
        <w:jc w:val="both"/>
        <w:rPr>
          <w:sz w:val="24"/>
          <w:szCs w:val="24"/>
          <w:highlight w:val="white"/>
        </w:rPr>
      </w:pPr>
      <w:r w:rsidDel="00000000" w:rsidR="00000000" w:rsidRPr="00000000">
        <w:rPr>
          <w:sz w:val="24"/>
          <w:szCs w:val="24"/>
          <w:highlight w:val="white"/>
          <w:rtl w:val="0"/>
        </w:rPr>
        <w:t xml:space="preserve">IHG (2026). </w:t>
      </w:r>
      <w:r w:rsidDel="00000000" w:rsidR="00000000" w:rsidRPr="00000000">
        <w:rPr>
          <w:i w:val="1"/>
          <w:iCs w:val="1"/>
          <w:sz w:val="24"/>
          <w:szCs w:val="24"/>
          <w:highlight w:val="white"/>
          <w:rtl w:val="0"/>
        </w:rPr>
        <w:t xml:space="preserve">InterContinental Hotels Group PLC</w:t>
      </w:r>
      <w:r w:rsidDel="00000000" w:rsidR="00000000" w:rsidRPr="00000000">
        <w:rPr>
          <w:sz w:val="24"/>
          <w:szCs w:val="24"/>
          <w:highlight w:val="white"/>
          <w:rtl w:val="0"/>
        </w:rPr>
        <w:t xml:space="preserve">. [online] InterContinental Hotels Group PLC. Available at: </w:t>
      </w:r>
      <w:hyperlink r:id="rId27">
        <w:r w:rsidDel="00000000" w:rsidR="00000000" w:rsidRPr="00000000">
          <w:rPr>
            <w:color w:val="1155cc"/>
            <w:sz w:val="24"/>
            <w:szCs w:val="24"/>
            <w:highlight w:val="white"/>
            <w:u w:val="single"/>
            <w:rtl w:val="0"/>
          </w:rPr>
          <w:t xml:space="preserve">https://www.ihgplc.com/en</w:t>
        </w:r>
      </w:hyperlink>
      <w:r w:rsidDel="00000000" w:rsidR="00000000" w:rsidRPr="00000000">
        <w:rPr>
          <w:sz w:val="24"/>
          <w:szCs w:val="24"/>
          <w:highlight w:val="white"/>
          <w:rtl w:val="0"/>
        </w:rPr>
        <w:t xml:space="preserve">. [Accessed 10 May 2026]</w:t>
      </w:r>
    </w:p>
    <w:p w:rsidR="00000000" w:rsidDel="00000000" w:rsidP="00000000" w:rsidRDefault="00000000" w:rsidRPr="00000000" w14:paraId="0000030B">
      <w:pPr>
        <w:spacing w:before="240" w:line="360" w:lineRule="auto"/>
        <w:jc w:val="both"/>
        <w:rPr>
          <w:sz w:val="24"/>
          <w:szCs w:val="24"/>
          <w:highlight w:val="white"/>
        </w:rPr>
      </w:pPr>
      <w:r w:rsidDel="00000000" w:rsidR="00000000" w:rsidRPr="00000000">
        <w:rPr>
          <w:sz w:val="24"/>
          <w:szCs w:val="24"/>
          <w:highlight w:val="white"/>
          <w:rtl w:val="0"/>
        </w:rPr>
        <w:t xml:space="preserve">IHG (2026a) </w:t>
      </w:r>
      <w:r w:rsidDel="00000000" w:rsidR="00000000" w:rsidRPr="00000000">
        <w:rPr>
          <w:i w:val="1"/>
          <w:iCs w:val="1"/>
          <w:sz w:val="24"/>
          <w:szCs w:val="24"/>
          <w:highlight w:val="white"/>
          <w:rtl w:val="0"/>
        </w:rPr>
        <w:t xml:space="preserve">About InterContinental Hotels Group Brands</w:t>
      </w:r>
      <w:r w:rsidDel="00000000" w:rsidR="00000000" w:rsidRPr="00000000">
        <w:rPr>
          <w:sz w:val="24"/>
          <w:szCs w:val="24"/>
          <w:highlight w:val="white"/>
          <w:rtl w:val="0"/>
        </w:rPr>
        <w:t xml:space="preserve">. [online] IHG. Available at: </w:t>
      </w:r>
      <w:hyperlink r:id="rId28">
        <w:r w:rsidDel="00000000" w:rsidR="00000000" w:rsidRPr="00000000">
          <w:rPr>
            <w:color w:val="1155cc"/>
            <w:sz w:val="24"/>
            <w:szCs w:val="24"/>
            <w:highlight w:val="white"/>
            <w:u w:val="single"/>
            <w:rtl w:val="0"/>
          </w:rPr>
          <w:t xml:space="preserve">https://www.ihg.com/content/us/en/about/brands</w:t>
        </w:r>
      </w:hyperlink>
      <w:r w:rsidDel="00000000" w:rsidR="00000000" w:rsidRPr="00000000">
        <w:rPr>
          <w:sz w:val="24"/>
          <w:szCs w:val="24"/>
          <w:highlight w:val="white"/>
          <w:rtl w:val="0"/>
        </w:rPr>
        <w:t xml:space="preserve">. [Accessed 12 May 2026]</w:t>
      </w:r>
    </w:p>
    <w:p w:rsidR="00000000" w:rsidDel="00000000" w:rsidP="00000000" w:rsidRDefault="00000000" w:rsidRPr="00000000" w14:paraId="0000030C">
      <w:pPr>
        <w:spacing w:after="240" w:before="240" w:line="360" w:lineRule="auto"/>
        <w:jc w:val="both"/>
        <w:rPr>
          <w:sz w:val="24"/>
          <w:szCs w:val="24"/>
          <w:highlight w:val="white"/>
        </w:rPr>
      </w:pPr>
      <w:r w:rsidDel="00000000" w:rsidR="00000000" w:rsidRPr="00000000">
        <w:rPr>
          <w:sz w:val="24"/>
          <w:szCs w:val="24"/>
          <w:highlight w:val="white"/>
          <w:rtl w:val="0"/>
        </w:rPr>
        <w:t xml:space="preserve">Kazakova, A. and Kim, I. (2021). ‘Geopolitical-Risk and Economic Policy—Uncertainty Impacts on Tourist Flows from Neighboring Countries: A Wavelet Analysis’. </w:t>
      </w:r>
      <w:r w:rsidDel="00000000" w:rsidR="00000000" w:rsidRPr="00000000">
        <w:rPr>
          <w:i w:val="1"/>
          <w:iCs w:val="1"/>
          <w:sz w:val="24"/>
          <w:szCs w:val="24"/>
          <w:highlight w:val="white"/>
          <w:rtl w:val="0"/>
        </w:rPr>
        <w:t xml:space="preserve">Sustainability</w:t>
      </w:r>
      <w:r w:rsidDel="00000000" w:rsidR="00000000" w:rsidRPr="00000000">
        <w:rPr>
          <w:sz w:val="24"/>
          <w:szCs w:val="24"/>
          <w:highlight w:val="white"/>
          <w:rtl w:val="0"/>
        </w:rPr>
        <w:t xml:space="preserve">, 13(24), p.13751.</w:t>
      </w:r>
    </w:p>
    <w:p w:rsidR="00000000" w:rsidDel="00000000" w:rsidP="00000000" w:rsidRDefault="00000000" w:rsidRPr="00000000" w14:paraId="0000030D">
      <w:pPr>
        <w:spacing w:after="240" w:before="240" w:line="360" w:lineRule="auto"/>
        <w:jc w:val="both"/>
        <w:rPr>
          <w:sz w:val="24"/>
          <w:szCs w:val="24"/>
          <w:highlight w:val="white"/>
        </w:rPr>
      </w:pPr>
      <w:r w:rsidDel="00000000" w:rsidR="00000000" w:rsidRPr="00000000">
        <w:rPr>
          <w:sz w:val="24"/>
          <w:szCs w:val="24"/>
          <w:highlight w:val="white"/>
          <w:rtl w:val="0"/>
        </w:rPr>
        <w:t xml:space="preserve">Khoza, F. (2025). ‘The Impact of Liquidity and Leverage on the Financial Performance of the Johannesburg Stock Exchange-Listed Consumer Goods Firms </w:t>
      </w:r>
      <w:r w:rsidDel="00000000" w:rsidR="00000000" w:rsidRPr="00000000">
        <w:rPr>
          <w:i w:val="1"/>
          <w:iCs w:val="1"/>
          <w:sz w:val="24"/>
          <w:szCs w:val="24"/>
          <w:highlight w:val="white"/>
          <w:rtl w:val="0"/>
        </w:rPr>
        <w:t xml:space="preserve">Journal of Risk and Financial Management</w:t>
      </w:r>
      <w:r w:rsidDel="00000000" w:rsidR="00000000" w:rsidRPr="00000000">
        <w:rPr>
          <w:sz w:val="24"/>
          <w:szCs w:val="24"/>
          <w:highlight w:val="white"/>
          <w:rtl w:val="0"/>
        </w:rPr>
        <w:t xml:space="preserve">, 8(9), p.510.</w:t>
      </w:r>
    </w:p>
    <w:p w:rsidR="00000000" w:rsidDel="00000000" w:rsidP="00000000" w:rsidRDefault="00000000" w:rsidRPr="00000000" w14:paraId="0000030E">
      <w:pPr>
        <w:spacing w:after="240" w:before="240" w:line="360" w:lineRule="auto"/>
        <w:jc w:val="both"/>
        <w:rPr>
          <w:sz w:val="24"/>
          <w:szCs w:val="24"/>
          <w:highlight w:val="white"/>
        </w:rPr>
      </w:pPr>
      <w:r w:rsidDel="00000000" w:rsidR="00000000" w:rsidRPr="00000000">
        <w:rPr>
          <w:sz w:val="24"/>
          <w:szCs w:val="24"/>
          <w:highlight w:val="white"/>
          <w:rtl w:val="0"/>
        </w:rPr>
        <w:t xml:space="preserve">Li, Y. and Singal, M. (2019). ‘Capital structure in the hospitality industry: The role of the asset-light and fee-oriented strategy’. </w:t>
      </w:r>
      <w:r w:rsidDel="00000000" w:rsidR="00000000" w:rsidRPr="00000000">
        <w:rPr>
          <w:i w:val="1"/>
          <w:iCs w:val="1"/>
          <w:sz w:val="24"/>
          <w:szCs w:val="24"/>
          <w:highlight w:val="white"/>
          <w:rtl w:val="0"/>
        </w:rPr>
        <w:t xml:space="preserve">Tourism Management</w:t>
      </w:r>
      <w:r w:rsidDel="00000000" w:rsidR="00000000" w:rsidRPr="00000000">
        <w:rPr>
          <w:sz w:val="24"/>
          <w:szCs w:val="24"/>
          <w:highlight w:val="white"/>
          <w:rtl w:val="0"/>
        </w:rPr>
        <w:t xml:space="preserve">, [online] 70, pp.124–133..</w:t>
      </w:r>
    </w:p>
    <w:p w:rsidR="00000000" w:rsidDel="00000000" w:rsidP="00000000" w:rsidRDefault="00000000" w:rsidRPr="00000000" w14:paraId="0000030F">
      <w:pPr>
        <w:spacing w:after="240" w:before="240" w:line="360" w:lineRule="auto"/>
        <w:jc w:val="both"/>
        <w:rPr>
          <w:sz w:val="24"/>
          <w:szCs w:val="24"/>
          <w:highlight w:val="white"/>
        </w:rPr>
      </w:pPr>
      <w:r w:rsidDel="00000000" w:rsidR="00000000" w:rsidRPr="00000000">
        <w:rPr>
          <w:sz w:val="24"/>
          <w:szCs w:val="24"/>
          <w:highlight w:val="white"/>
          <w:rtl w:val="0"/>
        </w:rPr>
        <w:t xml:space="preserve">Liang, S., Yu, R., Liu, Z., Wang, W., Wu, L. and Hu, X. (2023). ‘An empirical study on the asset-light operation and corporate performance of China’s tourism listed companies’. </w:t>
      </w:r>
      <w:r w:rsidDel="00000000" w:rsidR="00000000" w:rsidRPr="00000000">
        <w:rPr>
          <w:i w:val="1"/>
          <w:iCs w:val="1"/>
          <w:sz w:val="24"/>
          <w:szCs w:val="24"/>
          <w:highlight w:val="white"/>
          <w:rtl w:val="0"/>
        </w:rPr>
        <w:t xml:space="preserve">Heliyon</w:t>
      </w:r>
      <w:r w:rsidDel="00000000" w:rsidR="00000000" w:rsidRPr="00000000">
        <w:rPr>
          <w:sz w:val="24"/>
          <w:szCs w:val="24"/>
          <w:highlight w:val="white"/>
          <w:rtl w:val="0"/>
        </w:rPr>
        <w:t xml:space="preserve">, 9(2), p.e13391. </w:t>
      </w:r>
    </w:p>
    <w:p w:rsidR="00000000" w:rsidDel="00000000" w:rsidP="00000000" w:rsidRDefault="00000000" w:rsidRPr="00000000" w14:paraId="00000310">
      <w:pPr>
        <w:spacing w:after="240" w:before="240" w:line="360" w:lineRule="auto"/>
        <w:jc w:val="both"/>
        <w:rPr>
          <w:sz w:val="24"/>
          <w:szCs w:val="24"/>
          <w:highlight w:val="white"/>
        </w:rPr>
      </w:pPr>
      <w:r w:rsidDel="00000000" w:rsidR="00000000" w:rsidRPr="00000000">
        <w:rPr>
          <w:sz w:val="24"/>
          <w:szCs w:val="24"/>
          <w:highlight w:val="white"/>
          <w:rtl w:val="0"/>
        </w:rPr>
        <w:t xml:space="preserve">Macrotrends (2026). </w:t>
      </w:r>
      <w:r w:rsidDel="00000000" w:rsidR="00000000" w:rsidRPr="00000000">
        <w:rPr>
          <w:i w:val="1"/>
          <w:iCs w:val="1"/>
          <w:sz w:val="24"/>
          <w:szCs w:val="24"/>
          <w:highlight w:val="white"/>
          <w:rtl w:val="0"/>
        </w:rPr>
        <w:t xml:space="preserve">Intercontinental Hotels Group Financial Statements 2011-2026 | IHG</w:t>
      </w:r>
      <w:r w:rsidDel="00000000" w:rsidR="00000000" w:rsidRPr="00000000">
        <w:rPr>
          <w:sz w:val="24"/>
          <w:szCs w:val="24"/>
          <w:highlight w:val="white"/>
          <w:rtl w:val="0"/>
        </w:rPr>
        <w:t xml:space="preserve">. [online] Macrotrends.net. Available at: </w:t>
      </w:r>
      <w:hyperlink r:id="rId29">
        <w:r w:rsidDel="00000000" w:rsidR="00000000" w:rsidRPr="00000000">
          <w:rPr>
            <w:color w:val="0000ff"/>
            <w:sz w:val="24"/>
            <w:szCs w:val="24"/>
            <w:highlight w:val="white"/>
            <w:u w:val="single"/>
            <w:rtl w:val="0"/>
          </w:rPr>
          <w:t xml:space="preserve">https://www.macrotrends.net/stocks/charts/IHG/intercontinental-hotels-group/financial-statements#google_vignette</w:t>
        </w:r>
      </w:hyperlink>
      <w:r w:rsidDel="00000000" w:rsidR="00000000" w:rsidRPr="00000000">
        <w:rPr>
          <w:sz w:val="24"/>
          <w:szCs w:val="24"/>
          <w:highlight w:val="white"/>
          <w:rtl w:val="0"/>
        </w:rPr>
        <w:t xml:space="preserve">  [Accessed 5 May 2026].</w:t>
      </w:r>
    </w:p>
    <w:p w:rsidR="00000000" w:rsidDel="00000000" w:rsidP="00000000" w:rsidRDefault="00000000" w:rsidRPr="00000000" w14:paraId="00000311">
      <w:pPr>
        <w:spacing w:after="240" w:before="240" w:line="360" w:lineRule="auto"/>
        <w:jc w:val="both"/>
        <w:rPr>
          <w:sz w:val="24"/>
          <w:szCs w:val="24"/>
          <w:highlight w:val="white"/>
        </w:rPr>
      </w:pPr>
      <w:r w:rsidDel="00000000" w:rsidR="00000000" w:rsidRPr="00000000">
        <w:rPr>
          <w:sz w:val="24"/>
          <w:szCs w:val="24"/>
          <w:highlight w:val="white"/>
          <w:rtl w:val="0"/>
        </w:rPr>
        <w:t xml:space="preserve">Mbah, G.O. (2024) ‘Data privacy in the era of AI: Navigating regulatory landscapes for global businesses’. </w:t>
      </w:r>
      <w:r w:rsidDel="00000000" w:rsidR="00000000" w:rsidRPr="00000000">
        <w:rPr>
          <w:i w:val="1"/>
          <w:iCs w:val="1"/>
          <w:sz w:val="24"/>
          <w:szCs w:val="24"/>
          <w:highlight w:val="white"/>
          <w:rtl w:val="0"/>
        </w:rPr>
        <w:t xml:space="preserve">International Journal of Science and Research Archive</w:t>
      </w:r>
      <w:r w:rsidDel="00000000" w:rsidR="00000000" w:rsidRPr="00000000">
        <w:rPr>
          <w:sz w:val="24"/>
          <w:szCs w:val="24"/>
          <w:highlight w:val="white"/>
          <w:rtl w:val="0"/>
        </w:rPr>
        <w:t xml:space="preserve">, </w:t>
      </w:r>
      <w:r w:rsidDel="00000000" w:rsidR="00000000" w:rsidRPr="00000000">
        <w:rPr>
          <w:i w:val="1"/>
          <w:iCs w:val="1"/>
          <w:sz w:val="24"/>
          <w:szCs w:val="24"/>
          <w:highlight w:val="white"/>
          <w:rtl w:val="0"/>
        </w:rPr>
        <w:t xml:space="preserve">13</w:t>
      </w:r>
      <w:r w:rsidDel="00000000" w:rsidR="00000000" w:rsidRPr="00000000">
        <w:rPr>
          <w:sz w:val="24"/>
          <w:szCs w:val="24"/>
          <w:highlight w:val="white"/>
          <w:rtl w:val="0"/>
        </w:rPr>
        <w:t xml:space="preserve">(2), pp.2040-2058. </w:t>
      </w:r>
    </w:p>
    <w:p w:rsidR="00000000" w:rsidDel="00000000" w:rsidP="00000000" w:rsidRDefault="00000000" w:rsidRPr="00000000" w14:paraId="00000312">
      <w:pPr>
        <w:spacing w:after="240" w:before="240" w:line="360" w:lineRule="auto"/>
        <w:jc w:val="both"/>
        <w:rPr>
          <w:sz w:val="24"/>
          <w:szCs w:val="24"/>
          <w:highlight w:val="white"/>
        </w:rPr>
      </w:pPr>
      <w:r w:rsidDel="00000000" w:rsidR="00000000" w:rsidRPr="00000000">
        <w:rPr>
          <w:sz w:val="24"/>
          <w:szCs w:val="24"/>
          <w:highlight w:val="white"/>
          <w:rtl w:val="0"/>
        </w:rPr>
        <w:t xml:space="preserve">Noy, I. (2023). ‘Corporate financial performance in terms of liquidity and profitability’. </w:t>
      </w:r>
      <w:r w:rsidDel="00000000" w:rsidR="00000000" w:rsidRPr="00000000">
        <w:rPr>
          <w:i w:val="1"/>
          <w:iCs w:val="1"/>
          <w:sz w:val="24"/>
          <w:szCs w:val="24"/>
          <w:highlight w:val="white"/>
          <w:rtl w:val="0"/>
        </w:rPr>
        <w:t xml:space="preserve">Advances in Management &amp; Financial Reporting</w:t>
      </w:r>
      <w:r w:rsidDel="00000000" w:rsidR="00000000" w:rsidRPr="00000000">
        <w:rPr>
          <w:sz w:val="24"/>
          <w:szCs w:val="24"/>
          <w:highlight w:val="white"/>
          <w:rtl w:val="0"/>
        </w:rPr>
        <w:t xml:space="preserve">, [online] 1(2). </w:t>
      </w:r>
    </w:p>
    <w:p w:rsidR="00000000" w:rsidDel="00000000" w:rsidP="00000000" w:rsidRDefault="00000000" w:rsidRPr="00000000" w14:paraId="00000313">
      <w:pPr>
        <w:spacing w:after="240" w:before="240" w:line="360" w:lineRule="auto"/>
        <w:jc w:val="both"/>
        <w:rPr>
          <w:sz w:val="24"/>
          <w:szCs w:val="24"/>
          <w:highlight w:val="white"/>
        </w:rPr>
      </w:pPr>
      <w:r w:rsidDel="00000000" w:rsidR="00000000" w:rsidRPr="00000000">
        <w:rPr>
          <w:sz w:val="24"/>
          <w:szCs w:val="24"/>
          <w:highlight w:val="white"/>
          <w:rtl w:val="0"/>
        </w:rPr>
        <w:t xml:space="preserve">‌PwC (2025) </w:t>
      </w:r>
      <w:r w:rsidDel="00000000" w:rsidR="00000000" w:rsidRPr="00000000">
        <w:rPr>
          <w:i w:val="1"/>
          <w:iCs w:val="1"/>
          <w:sz w:val="24"/>
          <w:szCs w:val="24"/>
          <w:highlight w:val="white"/>
          <w:rtl w:val="0"/>
        </w:rPr>
        <w:t xml:space="preserve">Making the strategic case for a divestiture</w:t>
      </w:r>
      <w:r w:rsidDel="00000000" w:rsidR="00000000" w:rsidRPr="00000000">
        <w:rPr>
          <w:sz w:val="24"/>
          <w:szCs w:val="24"/>
          <w:highlight w:val="white"/>
          <w:rtl w:val="0"/>
        </w:rPr>
        <w:t xml:space="preserve">. [online] PwC. Available at: </w:t>
      </w:r>
      <w:hyperlink r:id="rId30">
        <w:r w:rsidDel="00000000" w:rsidR="00000000" w:rsidRPr="00000000">
          <w:rPr>
            <w:color w:val="1155cc"/>
            <w:sz w:val="24"/>
            <w:szCs w:val="24"/>
            <w:highlight w:val="white"/>
            <w:u w:val="single"/>
            <w:rtl w:val="0"/>
          </w:rPr>
          <w:t xml:space="preserve">https://www.pwc.com/us/en/services/consulting/deals/library/strategic-case-for-divestiture.html</w:t>
        </w:r>
      </w:hyperlink>
      <w:r w:rsidDel="00000000" w:rsidR="00000000" w:rsidRPr="00000000">
        <w:rPr>
          <w:sz w:val="24"/>
          <w:szCs w:val="24"/>
          <w:highlight w:val="white"/>
          <w:rtl w:val="0"/>
        </w:rPr>
        <w:t xml:space="preserve"> [Accessed 15 May 2026].</w:t>
      </w:r>
    </w:p>
    <w:p w:rsidR="00000000" w:rsidDel="00000000" w:rsidP="00000000" w:rsidRDefault="00000000" w:rsidRPr="00000000" w14:paraId="00000314">
      <w:pPr>
        <w:spacing w:after="240" w:before="240" w:line="360" w:lineRule="auto"/>
        <w:jc w:val="both"/>
        <w:rPr>
          <w:sz w:val="24"/>
          <w:szCs w:val="24"/>
          <w:highlight w:val="white"/>
        </w:rPr>
      </w:pPr>
      <w:r w:rsidDel="00000000" w:rsidR="00000000" w:rsidRPr="00000000">
        <w:rPr>
          <w:sz w:val="24"/>
          <w:szCs w:val="24"/>
          <w:highlight w:val="white"/>
          <w:rtl w:val="0"/>
        </w:rPr>
        <w:t xml:space="preserve">Ramadan, A. and Morshed, A. (2023). ‘Working Capital Management Roles for Multinational Retail Industry Profitability: A Qualitative Study, Worldwide Perspective’. </w:t>
      </w:r>
      <w:r w:rsidDel="00000000" w:rsidR="00000000" w:rsidRPr="00000000">
        <w:rPr>
          <w:i w:val="1"/>
          <w:iCs w:val="1"/>
          <w:sz w:val="24"/>
          <w:szCs w:val="24"/>
          <w:highlight w:val="white"/>
          <w:rtl w:val="0"/>
        </w:rPr>
        <w:t xml:space="preserve">Information Sciences Letters (Online)</w:t>
      </w:r>
      <w:r w:rsidDel="00000000" w:rsidR="00000000" w:rsidRPr="00000000">
        <w:rPr>
          <w:sz w:val="24"/>
          <w:szCs w:val="24"/>
          <w:highlight w:val="white"/>
          <w:rtl w:val="0"/>
        </w:rPr>
        <w:t xml:space="preserve">, 12(10), pp.2707–2717. </w:t>
      </w:r>
    </w:p>
    <w:p w:rsidR="00000000" w:rsidDel="00000000" w:rsidP="00000000" w:rsidRDefault="00000000" w:rsidRPr="00000000" w14:paraId="00000315">
      <w:pPr>
        <w:spacing w:after="240" w:before="240" w:line="360" w:lineRule="auto"/>
        <w:jc w:val="both"/>
        <w:rPr>
          <w:sz w:val="24"/>
          <w:szCs w:val="24"/>
          <w:highlight w:val="white"/>
        </w:rPr>
      </w:pPr>
      <w:r w:rsidDel="00000000" w:rsidR="00000000" w:rsidRPr="00000000">
        <w:rPr>
          <w:sz w:val="24"/>
          <w:szCs w:val="24"/>
          <w:highlight w:val="white"/>
          <w:rtl w:val="0"/>
        </w:rPr>
        <w:t xml:space="preserve">Rane, N., Choudhary, S. and Rane, J. (2023) ‘Explainable Artificial Intelligence (XAI) approaches for transparency and accountability in financial decision-making’. </w:t>
      </w:r>
      <w:r w:rsidDel="00000000" w:rsidR="00000000" w:rsidRPr="00000000">
        <w:rPr>
          <w:i w:val="1"/>
          <w:iCs w:val="1"/>
          <w:sz w:val="24"/>
          <w:szCs w:val="24"/>
          <w:highlight w:val="white"/>
          <w:rtl w:val="0"/>
        </w:rPr>
        <w:t xml:space="preserve">Available at SSRN 4640316</w:t>
      </w:r>
      <w:r w:rsidDel="00000000" w:rsidR="00000000" w:rsidRPr="00000000">
        <w:rPr>
          <w:sz w:val="24"/>
          <w:szCs w:val="24"/>
          <w:highlight w:val="white"/>
          <w:rtl w:val="0"/>
        </w:rPr>
        <w:t xml:space="preserve">. </w:t>
      </w:r>
    </w:p>
    <w:p w:rsidR="00000000" w:rsidDel="00000000" w:rsidP="00000000" w:rsidRDefault="00000000" w:rsidRPr="00000000" w14:paraId="00000316">
      <w:pPr>
        <w:spacing w:after="240" w:before="240" w:line="360" w:lineRule="auto"/>
        <w:jc w:val="both"/>
        <w:rPr>
          <w:sz w:val="24"/>
          <w:szCs w:val="24"/>
          <w:highlight w:val="white"/>
        </w:rPr>
      </w:pPr>
      <w:r w:rsidDel="00000000" w:rsidR="00000000" w:rsidRPr="00000000">
        <w:rPr>
          <w:sz w:val="24"/>
          <w:szCs w:val="24"/>
          <w:highlight w:val="white"/>
          <w:rtl w:val="0"/>
        </w:rPr>
        <w:t xml:space="preserve">‌Rejison, P. (2024) ‘Alternative financing options available to business’. </w:t>
      </w:r>
      <w:r w:rsidDel="00000000" w:rsidR="00000000" w:rsidRPr="00000000">
        <w:rPr>
          <w:i w:val="1"/>
          <w:iCs w:val="1"/>
          <w:sz w:val="24"/>
          <w:szCs w:val="24"/>
          <w:highlight w:val="white"/>
          <w:rtl w:val="0"/>
        </w:rPr>
        <w:t xml:space="preserve">Available at SSRN 5063815</w:t>
      </w:r>
      <w:r w:rsidDel="00000000" w:rsidR="00000000" w:rsidRPr="00000000">
        <w:rPr>
          <w:sz w:val="24"/>
          <w:szCs w:val="24"/>
          <w:highlight w:val="white"/>
          <w:rtl w:val="0"/>
        </w:rPr>
        <w:t xml:space="preserve">. </w:t>
      </w:r>
    </w:p>
    <w:p w:rsidR="00000000" w:rsidDel="00000000" w:rsidP="00000000" w:rsidRDefault="00000000" w:rsidRPr="00000000" w14:paraId="00000317">
      <w:pPr>
        <w:spacing w:after="240" w:before="240" w:line="360" w:lineRule="auto"/>
        <w:jc w:val="both"/>
        <w:rPr>
          <w:sz w:val="24"/>
          <w:szCs w:val="24"/>
          <w:highlight w:val="white"/>
        </w:rPr>
      </w:pPr>
      <w:r w:rsidDel="00000000" w:rsidR="00000000" w:rsidRPr="00000000">
        <w:rPr>
          <w:sz w:val="24"/>
          <w:szCs w:val="24"/>
          <w:highlight w:val="white"/>
          <w:rtl w:val="0"/>
        </w:rPr>
        <w:t xml:space="preserve">‌REMOLINA LEON, N. (2024) ‘Generative AI in finance: risks and potential solutions’. </w:t>
      </w:r>
      <w:r w:rsidDel="00000000" w:rsidR="00000000" w:rsidRPr="00000000">
        <w:rPr>
          <w:i w:val="1"/>
          <w:iCs w:val="1"/>
          <w:sz w:val="24"/>
          <w:szCs w:val="24"/>
          <w:highlight w:val="white"/>
          <w:rtl w:val="0"/>
        </w:rPr>
        <w:t xml:space="preserve">Law, Ethics and Technology</w:t>
      </w:r>
      <w:r w:rsidDel="00000000" w:rsidR="00000000" w:rsidRPr="00000000">
        <w:rPr>
          <w:sz w:val="24"/>
          <w:szCs w:val="24"/>
          <w:highlight w:val="white"/>
          <w:rtl w:val="0"/>
        </w:rPr>
        <w:t xml:space="preserve">, </w:t>
      </w:r>
      <w:r w:rsidDel="00000000" w:rsidR="00000000" w:rsidRPr="00000000">
        <w:rPr>
          <w:i w:val="1"/>
          <w:iCs w:val="1"/>
          <w:sz w:val="24"/>
          <w:szCs w:val="24"/>
          <w:highlight w:val="white"/>
          <w:rtl w:val="0"/>
        </w:rPr>
        <w:t xml:space="preserve">1</w:t>
      </w:r>
      <w:r w:rsidDel="00000000" w:rsidR="00000000" w:rsidRPr="00000000">
        <w:rPr>
          <w:sz w:val="24"/>
          <w:szCs w:val="24"/>
          <w:highlight w:val="white"/>
          <w:rtl w:val="0"/>
        </w:rPr>
        <w:t xml:space="preserve">(1), p.1. </w:t>
      </w:r>
    </w:p>
    <w:p w:rsidR="00000000" w:rsidDel="00000000" w:rsidP="00000000" w:rsidRDefault="00000000" w:rsidRPr="00000000" w14:paraId="00000318">
      <w:pPr>
        <w:spacing w:after="240" w:before="240" w:line="360" w:lineRule="auto"/>
        <w:jc w:val="both"/>
        <w:rPr>
          <w:sz w:val="24"/>
          <w:szCs w:val="24"/>
          <w:highlight w:val="white"/>
        </w:rPr>
      </w:pPr>
      <w:r w:rsidDel="00000000" w:rsidR="00000000" w:rsidRPr="00000000">
        <w:rPr>
          <w:sz w:val="24"/>
          <w:szCs w:val="24"/>
          <w:highlight w:val="white"/>
          <w:rtl w:val="0"/>
        </w:rPr>
        <w:t xml:space="preserve">Riju, M. (2022) ‘Corporate Restructuring: Analysis and Approach’. </w:t>
      </w:r>
      <w:r w:rsidDel="00000000" w:rsidR="00000000" w:rsidRPr="00000000">
        <w:rPr>
          <w:i w:val="1"/>
          <w:iCs w:val="1"/>
          <w:sz w:val="24"/>
          <w:szCs w:val="24"/>
          <w:highlight w:val="white"/>
          <w:rtl w:val="0"/>
        </w:rPr>
        <w:t xml:space="preserve">Part 1 Indian J. Integrated Rsch. L.</w:t>
      </w:r>
      <w:r w:rsidDel="00000000" w:rsidR="00000000" w:rsidRPr="00000000">
        <w:rPr>
          <w:sz w:val="24"/>
          <w:szCs w:val="24"/>
          <w:highlight w:val="white"/>
          <w:rtl w:val="0"/>
        </w:rPr>
        <w:t xml:space="preserve">, </w:t>
      </w:r>
      <w:r w:rsidDel="00000000" w:rsidR="00000000" w:rsidRPr="00000000">
        <w:rPr>
          <w:i w:val="1"/>
          <w:iCs w:val="1"/>
          <w:sz w:val="24"/>
          <w:szCs w:val="24"/>
          <w:highlight w:val="white"/>
          <w:rtl w:val="0"/>
        </w:rPr>
        <w:t xml:space="preserve">2</w:t>
      </w:r>
      <w:r w:rsidDel="00000000" w:rsidR="00000000" w:rsidRPr="00000000">
        <w:rPr>
          <w:sz w:val="24"/>
          <w:szCs w:val="24"/>
          <w:highlight w:val="white"/>
          <w:rtl w:val="0"/>
        </w:rPr>
        <w:t xml:space="preserve">, p.1. </w:t>
      </w:r>
    </w:p>
    <w:p w:rsidR="00000000" w:rsidDel="00000000" w:rsidP="00000000" w:rsidRDefault="00000000" w:rsidRPr="00000000" w14:paraId="00000319">
      <w:pPr>
        <w:spacing w:after="240" w:before="240" w:line="360" w:lineRule="auto"/>
        <w:jc w:val="both"/>
        <w:rPr>
          <w:sz w:val="24"/>
          <w:szCs w:val="24"/>
          <w:highlight w:val="white"/>
        </w:rPr>
      </w:pPr>
      <w:r w:rsidDel="00000000" w:rsidR="00000000" w:rsidRPr="00000000">
        <w:rPr>
          <w:sz w:val="24"/>
          <w:szCs w:val="24"/>
          <w:highlight w:val="white"/>
          <w:rtl w:val="0"/>
        </w:rPr>
        <w:t xml:space="preserve">‌Roy, P., Rossi, M., Salloum, C., Jarrar, H. and Ghose, B. (2025) ‘Working capital management efficiency in large firms during crisis: implications for community-based enterprises’. </w:t>
      </w:r>
      <w:r w:rsidDel="00000000" w:rsidR="00000000" w:rsidRPr="00000000">
        <w:rPr>
          <w:i w:val="1"/>
          <w:iCs w:val="1"/>
          <w:sz w:val="24"/>
          <w:szCs w:val="24"/>
          <w:highlight w:val="white"/>
          <w:rtl w:val="0"/>
        </w:rPr>
        <w:t xml:space="preserve">Journal of Enterprising Communities: People and Places in the Global Economy</w:t>
      </w:r>
      <w:r w:rsidDel="00000000" w:rsidR="00000000" w:rsidRPr="00000000">
        <w:rPr>
          <w:sz w:val="24"/>
          <w:szCs w:val="24"/>
          <w:highlight w:val="white"/>
          <w:rtl w:val="0"/>
        </w:rPr>
        <w:t xml:space="preserve">, </w:t>
      </w:r>
      <w:r w:rsidDel="00000000" w:rsidR="00000000" w:rsidRPr="00000000">
        <w:rPr>
          <w:i w:val="1"/>
          <w:iCs w:val="1"/>
          <w:sz w:val="24"/>
          <w:szCs w:val="24"/>
          <w:highlight w:val="white"/>
          <w:rtl w:val="0"/>
        </w:rPr>
        <w:t xml:space="preserve">19</w:t>
      </w:r>
      <w:r w:rsidDel="00000000" w:rsidR="00000000" w:rsidRPr="00000000">
        <w:rPr>
          <w:sz w:val="24"/>
          <w:szCs w:val="24"/>
          <w:highlight w:val="white"/>
          <w:rtl w:val="0"/>
        </w:rPr>
        <w:t xml:space="preserve">(3), pp.485-509. </w:t>
      </w:r>
    </w:p>
    <w:p w:rsidR="00000000" w:rsidDel="00000000" w:rsidP="00000000" w:rsidRDefault="00000000" w:rsidRPr="00000000" w14:paraId="0000031A">
      <w:pPr>
        <w:spacing w:after="240" w:before="240" w:line="360" w:lineRule="auto"/>
        <w:jc w:val="both"/>
        <w:rPr>
          <w:sz w:val="24"/>
          <w:szCs w:val="24"/>
          <w:highlight w:val="white"/>
        </w:rPr>
      </w:pPr>
      <w:r w:rsidDel="00000000" w:rsidR="00000000" w:rsidRPr="00000000">
        <w:rPr>
          <w:sz w:val="24"/>
          <w:szCs w:val="24"/>
          <w:highlight w:val="white"/>
          <w:rtl w:val="0"/>
        </w:rPr>
        <w:t xml:space="preserve">Santina, C. (2026). </w:t>
      </w:r>
      <w:r w:rsidDel="00000000" w:rsidR="00000000" w:rsidRPr="00000000">
        <w:rPr>
          <w:i w:val="1"/>
          <w:iCs w:val="1"/>
          <w:sz w:val="24"/>
          <w:szCs w:val="24"/>
          <w:highlight w:val="white"/>
          <w:rtl w:val="0"/>
        </w:rPr>
        <w:t xml:space="preserve">Return on Capital Employed</w:t>
      </w:r>
      <w:r w:rsidDel="00000000" w:rsidR="00000000" w:rsidRPr="00000000">
        <w:rPr>
          <w:sz w:val="24"/>
          <w:szCs w:val="24"/>
          <w:highlight w:val="white"/>
          <w:rtl w:val="0"/>
        </w:rPr>
        <w:t xml:space="preserve">. SamEnrico.</w:t>
      </w:r>
    </w:p>
    <w:p w:rsidR="00000000" w:rsidDel="00000000" w:rsidP="00000000" w:rsidRDefault="00000000" w:rsidRPr="00000000" w14:paraId="0000031B">
      <w:pPr>
        <w:spacing w:after="240" w:before="240" w:line="360" w:lineRule="auto"/>
        <w:jc w:val="both"/>
        <w:rPr>
          <w:sz w:val="24"/>
          <w:szCs w:val="24"/>
          <w:highlight w:val="white"/>
        </w:rPr>
      </w:pPr>
      <w:r w:rsidDel="00000000" w:rsidR="00000000" w:rsidRPr="00000000">
        <w:rPr>
          <w:sz w:val="24"/>
          <w:szCs w:val="24"/>
          <w:highlight w:val="white"/>
          <w:rtl w:val="0"/>
        </w:rPr>
        <w:t xml:space="preserve">Silva, F. and Silva, S. (2026). ‘Working capital management and corporate performance: The role of financial constraints’. </w:t>
      </w:r>
      <w:r w:rsidDel="00000000" w:rsidR="00000000" w:rsidRPr="00000000">
        <w:rPr>
          <w:i w:val="1"/>
          <w:iCs w:val="1"/>
          <w:sz w:val="24"/>
          <w:szCs w:val="24"/>
          <w:highlight w:val="white"/>
          <w:rtl w:val="0"/>
        </w:rPr>
        <w:t xml:space="preserve">International Review of Economics &amp; Finance</w:t>
      </w:r>
      <w:r w:rsidDel="00000000" w:rsidR="00000000" w:rsidRPr="00000000">
        <w:rPr>
          <w:sz w:val="24"/>
          <w:szCs w:val="24"/>
          <w:highlight w:val="white"/>
          <w:rtl w:val="0"/>
        </w:rPr>
        <w:t xml:space="preserve">, [online] 106, p.104926. </w:t>
      </w:r>
    </w:p>
    <w:p w:rsidR="00000000" w:rsidDel="00000000" w:rsidP="00000000" w:rsidRDefault="00000000" w:rsidRPr="00000000" w14:paraId="0000031C">
      <w:pPr>
        <w:spacing w:after="240" w:before="240" w:line="360" w:lineRule="auto"/>
        <w:jc w:val="both"/>
        <w:rPr>
          <w:sz w:val="24"/>
          <w:szCs w:val="24"/>
          <w:highlight w:val="white"/>
        </w:rPr>
      </w:pPr>
      <w:r w:rsidDel="00000000" w:rsidR="00000000" w:rsidRPr="00000000">
        <w:rPr>
          <w:sz w:val="24"/>
          <w:szCs w:val="24"/>
          <w:highlight w:val="white"/>
          <w:rtl w:val="0"/>
        </w:rPr>
        <w:t xml:space="preserve">Singha, S. and Kumar, S. (2025). ‘Analysis of Working Capital Management in Godfrey Phillips India’. </w:t>
      </w:r>
      <w:r w:rsidDel="00000000" w:rsidR="00000000" w:rsidRPr="00000000">
        <w:rPr>
          <w:i w:val="1"/>
          <w:iCs w:val="1"/>
          <w:sz w:val="24"/>
          <w:szCs w:val="24"/>
          <w:highlight w:val="white"/>
          <w:rtl w:val="0"/>
        </w:rPr>
        <w:t xml:space="preserve">Journal of Accounting and Finance in Emerging Economies</w:t>
      </w:r>
      <w:r w:rsidDel="00000000" w:rsidR="00000000" w:rsidRPr="00000000">
        <w:rPr>
          <w:sz w:val="24"/>
          <w:szCs w:val="24"/>
          <w:highlight w:val="white"/>
          <w:rtl w:val="0"/>
        </w:rPr>
        <w:t xml:space="preserve">, [online] 11(3). </w:t>
      </w:r>
    </w:p>
    <w:p w:rsidR="00000000" w:rsidDel="00000000" w:rsidP="00000000" w:rsidRDefault="00000000" w:rsidRPr="00000000" w14:paraId="0000031D">
      <w:pPr>
        <w:spacing w:after="240" w:before="240" w:line="360" w:lineRule="auto"/>
        <w:jc w:val="both"/>
        <w:rPr>
          <w:sz w:val="24"/>
          <w:szCs w:val="24"/>
          <w:highlight w:val="white"/>
        </w:rPr>
      </w:pPr>
      <w:r w:rsidDel="00000000" w:rsidR="00000000" w:rsidRPr="00000000">
        <w:rPr>
          <w:sz w:val="24"/>
          <w:szCs w:val="24"/>
          <w:highlight w:val="white"/>
          <w:rtl w:val="0"/>
        </w:rPr>
        <w:t xml:space="preserve">Toker, T. (2025). ‘The operating profit flow method as a profitability analysis tool for hospitality enterprises’. </w:t>
      </w:r>
      <w:r w:rsidDel="00000000" w:rsidR="00000000" w:rsidRPr="00000000">
        <w:rPr>
          <w:i w:val="1"/>
          <w:iCs w:val="1"/>
          <w:sz w:val="24"/>
          <w:szCs w:val="24"/>
          <w:highlight w:val="white"/>
          <w:rtl w:val="0"/>
        </w:rPr>
        <w:t xml:space="preserve">International Journal of Hospitality Management</w:t>
      </w:r>
      <w:r w:rsidDel="00000000" w:rsidR="00000000" w:rsidRPr="00000000">
        <w:rPr>
          <w:sz w:val="24"/>
          <w:szCs w:val="24"/>
          <w:highlight w:val="white"/>
          <w:rtl w:val="0"/>
        </w:rPr>
        <w:t xml:space="preserve">, [online] 125, p.103997. </w:t>
      </w:r>
    </w:p>
    <w:p w:rsidR="00000000" w:rsidDel="00000000" w:rsidP="00000000" w:rsidRDefault="00000000" w:rsidRPr="00000000" w14:paraId="0000031E">
      <w:pPr>
        <w:spacing w:after="240" w:before="240" w:line="360" w:lineRule="auto"/>
        <w:jc w:val="both"/>
        <w:rPr>
          <w:sz w:val="24"/>
          <w:szCs w:val="24"/>
          <w:highlight w:val="white"/>
        </w:rPr>
      </w:pPr>
      <w:r w:rsidDel="00000000" w:rsidR="00000000" w:rsidRPr="00000000">
        <w:rPr>
          <w:sz w:val="24"/>
          <w:szCs w:val="24"/>
          <w:highlight w:val="white"/>
          <w:rtl w:val="0"/>
        </w:rPr>
        <w:t xml:space="preserve">Umeaduma, C.M.G. and Dugbartey, A.N. (2023) ‘Effect of exchange rate volatility on export competitiveness and national trade balances in emerging markets’. </w:t>
      </w:r>
      <w:r w:rsidDel="00000000" w:rsidR="00000000" w:rsidRPr="00000000">
        <w:rPr>
          <w:i w:val="1"/>
          <w:iCs w:val="1"/>
          <w:sz w:val="24"/>
          <w:szCs w:val="24"/>
          <w:highlight w:val="white"/>
          <w:rtl w:val="0"/>
        </w:rPr>
        <w:t xml:space="preserve">International Journal Computation Applied Technology Research</w:t>
      </w:r>
      <w:r w:rsidDel="00000000" w:rsidR="00000000" w:rsidRPr="00000000">
        <w:rPr>
          <w:sz w:val="24"/>
          <w:szCs w:val="24"/>
          <w:highlight w:val="white"/>
          <w:rtl w:val="0"/>
        </w:rPr>
        <w:t xml:space="preserve">, </w:t>
      </w:r>
      <w:r w:rsidDel="00000000" w:rsidR="00000000" w:rsidRPr="00000000">
        <w:rPr>
          <w:i w:val="1"/>
          <w:iCs w:val="1"/>
          <w:sz w:val="24"/>
          <w:szCs w:val="24"/>
          <w:highlight w:val="white"/>
          <w:rtl w:val="0"/>
        </w:rPr>
        <w:t xml:space="preserve">12</w:t>
      </w:r>
      <w:r w:rsidDel="00000000" w:rsidR="00000000" w:rsidRPr="00000000">
        <w:rPr>
          <w:sz w:val="24"/>
          <w:szCs w:val="24"/>
          <w:highlight w:val="white"/>
          <w:rtl w:val="0"/>
        </w:rPr>
        <w:t xml:space="preserve">(11), pp.57-71. </w:t>
      </w:r>
    </w:p>
    <w:p w:rsidR="00000000" w:rsidDel="00000000" w:rsidP="00000000" w:rsidRDefault="00000000" w:rsidRPr="00000000" w14:paraId="0000031F">
      <w:pPr>
        <w:spacing w:after="240" w:before="240" w:line="360" w:lineRule="auto"/>
        <w:jc w:val="both"/>
        <w:rPr>
          <w:sz w:val="24"/>
          <w:szCs w:val="24"/>
          <w:highlight w:val="white"/>
        </w:rPr>
      </w:pPr>
      <w:r w:rsidDel="00000000" w:rsidR="00000000" w:rsidRPr="00000000">
        <w:rPr>
          <w:sz w:val="24"/>
          <w:szCs w:val="24"/>
          <w:highlight w:val="white"/>
          <w:rtl w:val="0"/>
        </w:rPr>
        <w:t xml:space="preserve">Vipond, T. (2019). </w:t>
      </w:r>
      <w:r w:rsidDel="00000000" w:rsidR="00000000" w:rsidRPr="00000000">
        <w:rPr>
          <w:i w:val="1"/>
          <w:iCs w:val="1"/>
          <w:sz w:val="24"/>
          <w:szCs w:val="24"/>
          <w:highlight w:val="white"/>
          <w:rtl w:val="0"/>
        </w:rPr>
        <w:t xml:space="preserve">Operating Cash Flow</w:t>
      </w:r>
      <w:r w:rsidDel="00000000" w:rsidR="00000000" w:rsidRPr="00000000">
        <w:rPr>
          <w:sz w:val="24"/>
          <w:szCs w:val="24"/>
          <w:highlight w:val="white"/>
          <w:rtl w:val="0"/>
        </w:rPr>
        <w:t xml:space="preserve">. [online] Corporate Finance Institute. Available at: </w:t>
      </w:r>
      <w:hyperlink r:id="rId31">
        <w:r w:rsidDel="00000000" w:rsidR="00000000" w:rsidRPr="00000000">
          <w:rPr>
            <w:color w:val="0000ff"/>
            <w:sz w:val="24"/>
            <w:szCs w:val="24"/>
            <w:highlight w:val="white"/>
            <w:u w:val="single"/>
            <w:rtl w:val="0"/>
          </w:rPr>
          <w:t xml:space="preserve">https://corporatefinanceinstitute.com/resources/accounting/operating-cash-flow/</w:t>
        </w:r>
      </w:hyperlink>
      <w:r w:rsidDel="00000000" w:rsidR="00000000" w:rsidRPr="00000000">
        <w:rPr>
          <w:sz w:val="24"/>
          <w:szCs w:val="24"/>
          <w:highlight w:val="white"/>
          <w:rtl w:val="0"/>
        </w:rPr>
        <w:t xml:space="preserve">  [Accessed 1 May 2026].</w:t>
      </w:r>
    </w:p>
    <w:p w:rsidR="00000000" w:rsidDel="00000000" w:rsidP="00000000" w:rsidRDefault="00000000" w:rsidRPr="00000000" w14:paraId="00000320">
      <w:pPr>
        <w:spacing w:after="240" w:before="240" w:line="360" w:lineRule="auto"/>
        <w:jc w:val="both"/>
        <w:rPr>
          <w:sz w:val="24"/>
          <w:szCs w:val="24"/>
          <w:highlight w:val="white"/>
        </w:rPr>
      </w:pPr>
      <w:r w:rsidDel="00000000" w:rsidR="00000000" w:rsidRPr="00000000">
        <w:rPr>
          <w:sz w:val="24"/>
          <w:szCs w:val="24"/>
          <w:highlight w:val="white"/>
          <w:rtl w:val="0"/>
        </w:rPr>
        <w:t xml:space="preserve">Wall Street Prep. (2021). </w:t>
      </w:r>
      <w:r w:rsidDel="00000000" w:rsidR="00000000" w:rsidRPr="00000000">
        <w:rPr>
          <w:i w:val="1"/>
          <w:iCs w:val="1"/>
          <w:sz w:val="24"/>
          <w:szCs w:val="24"/>
          <w:highlight w:val="white"/>
          <w:rtl w:val="0"/>
        </w:rPr>
        <w:t xml:space="preserve">Profitability Index (PI)</w:t>
      </w:r>
      <w:r w:rsidDel="00000000" w:rsidR="00000000" w:rsidRPr="00000000">
        <w:rPr>
          <w:sz w:val="24"/>
          <w:szCs w:val="24"/>
          <w:highlight w:val="white"/>
          <w:rtl w:val="0"/>
        </w:rPr>
        <w:t xml:space="preserve">. [online] Available at: </w:t>
      </w:r>
      <w:hyperlink r:id="rId32">
        <w:r w:rsidDel="00000000" w:rsidR="00000000" w:rsidRPr="00000000">
          <w:rPr>
            <w:color w:val="0000ff"/>
            <w:sz w:val="24"/>
            <w:szCs w:val="24"/>
            <w:highlight w:val="white"/>
            <w:u w:val="single"/>
            <w:rtl w:val="0"/>
          </w:rPr>
          <w:t xml:space="preserve">https://www.wallstreetprep.com/knowledge/profitability-index/</w:t>
        </w:r>
      </w:hyperlink>
      <w:r w:rsidDel="00000000" w:rsidR="00000000" w:rsidRPr="00000000">
        <w:rPr>
          <w:sz w:val="24"/>
          <w:szCs w:val="24"/>
          <w:highlight w:val="white"/>
          <w:rtl w:val="0"/>
        </w:rPr>
        <w:t xml:space="preserve">  [Accessed 15 May 2026].</w:t>
      </w:r>
    </w:p>
    <w:p w:rsidR="00000000" w:rsidDel="00000000" w:rsidP="00000000" w:rsidRDefault="00000000" w:rsidRPr="00000000" w14:paraId="00000321">
      <w:pPr>
        <w:spacing w:after="240" w:before="240" w:line="360" w:lineRule="auto"/>
        <w:jc w:val="both"/>
        <w:rPr>
          <w:sz w:val="24"/>
          <w:szCs w:val="24"/>
          <w:highlight w:val="white"/>
        </w:rPr>
      </w:pPr>
      <w:r w:rsidDel="00000000" w:rsidR="00000000" w:rsidRPr="00000000">
        <w:rPr>
          <w:sz w:val="24"/>
          <w:szCs w:val="24"/>
          <w:highlight w:val="white"/>
          <w:rtl w:val="0"/>
        </w:rPr>
        <w:t xml:space="preserve">‌Yoshida, H (2025) </w:t>
      </w:r>
      <w:r w:rsidDel="00000000" w:rsidR="00000000" w:rsidRPr="00000000">
        <w:rPr>
          <w:i w:val="1"/>
          <w:iCs w:val="1"/>
          <w:sz w:val="24"/>
          <w:szCs w:val="24"/>
          <w:highlight w:val="white"/>
          <w:rtl w:val="0"/>
        </w:rPr>
        <w:t xml:space="preserve">Strategic Divestitures: Selling Non-Core Assets to Focus on Growth and Enhance Capital Efficiency</w:t>
      </w:r>
      <w:r w:rsidDel="00000000" w:rsidR="00000000" w:rsidRPr="00000000">
        <w:rPr>
          <w:sz w:val="24"/>
          <w:szCs w:val="24"/>
          <w:highlight w:val="white"/>
          <w:rtl w:val="0"/>
        </w:rPr>
        <w:t xml:space="preserve">. [online] Diverse Daily. Available at: </w:t>
      </w:r>
      <w:hyperlink r:id="rId33">
        <w:r w:rsidDel="00000000" w:rsidR="00000000" w:rsidRPr="00000000">
          <w:rPr>
            <w:color w:val="1155cc"/>
            <w:sz w:val="24"/>
            <w:szCs w:val="24"/>
            <w:highlight w:val="white"/>
            <w:u w:val="single"/>
            <w:rtl w:val="0"/>
          </w:rPr>
          <w:t xml:space="preserve">https://diversedaily.com/strategic-divestitures-selling-non-core-assets-to-focus-on-growth-and-enhance-capital-efficiency/</w:t>
        </w:r>
      </w:hyperlink>
      <w:r w:rsidDel="00000000" w:rsidR="00000000" w:rsidRPr="00000000">
        <w:rPr>
          <w:sz w:val="24"/>
          <w:szCs w:val="24"/>
          <w:highlight w:val="white"/>
          <w:rtl w:val="0"/>
        </w:rPr>
        <w:t xml:space="preserve">. [Accessed 11 May 2026]</w:t>
      </w:r>
    </w:p>
    <w:p w:rsidR="00000000" w:rsidDel="00000000" w:rsidP="00000000" w:rsidRDefault="00000000" w:rsidRPr="00000000" w14:paraId="00000322">
      <w:pPr>
        <w:spacing w:after="240" w:before="240" w:line="360" w:lineRule="auto"/>
        <w:jc w:val="both"/>
        <w:rPr>
          <w:sz w:val="24"/>
          <w:szCs w:val="24"/>
          <w:highlight w:val="white"/>
        </w:rPr>
      </w:pPr>
      <w:r w:rsidDel="00000000" w:rsidR="00000000" w:rsidRPr="00000000">
        <w:rPr>
          <w:rtl w:val="0"/>
        </w:rPr>
      </w:r>
    </w:p>
    <w:p w:rsidR="00000000" w:rsidDel="00000000" w:rsidP="00000000" w:rsidRDefault="00000000" w:rsidRPr="00000000" w14:paraId="00000323">
      <w:pPr>
        <w:pStyle w:val="Heading1"/>
        <w:rPr>
          <w:highlight w:val="white"/>
        </w:rPr>
      </w:pPr>
      <w:bookmarkStart w:colFirst="0" w:colLast="0" w:name="_heading=h.4djt0nuo1jzh" w:id="29"/>
      <w:bookmarkEnd w:id="29"/>
      <w:r w:rsidDel="00000000" w:rsidR="00000000" w:rsidRPr="00000000">
        <w:rPr>
          <w:highlight w:val="white"/>
          <w:rtl w:val="0"/>
        </w:rPr>
        <w:t xml:space="preserve">Appendix 1: Ratio tables and graphs</w:t>
      </w:r>
    </w:p>
    <w:p w:rsidR="00000000" w:rsidDel="00000000" w:rsidP="00000000" w:rsidRDefault="00000000" w:rsidRPr="00000000" w14:paraId="00000324">
      <w:pPr>
        <w:rPr>
          <w:highlight w:val="white"/>
        </w:rPr>
      </w:pPr>
      <w:bookmarkStart w:colFirst="0" w:colLast="0" w:name="_heading=h.3xahx94i8y08" w:id="30"/>
      <w:bookmarkEnd w:id="30"/>
      <w:r w:rsidDel="00000000" w:rsidR="00000000" w:rsidRPr="00000000">
        <w:rPr>
          <w:highlight w:val="white"/>
        </w:rPr>
        <w:drawing>
          <wp:inline distB="114300" distT="114300" distL="114300" distR="114300">
            <wp:extent cx="4450807" cy="7415213"/>
            <wp:effectExtent b="0" l="0" r="0" t="0"/>
            <wp:docPr id="3" name="image4.png"/>
            <a:graphic>
              <a:graphicData uri="http://schemas.openxmlformats.org/drawingml/2006/picture">
                <pic:pic>
                  <pic:nvPicPr>
                    <pic:cNvPr id="0" name="image4.png"/>
                    <pic:cNvPicPr preferRelativeResize="0"/>
                  </pic:nvPicPr>
                  <pic:blipFill>
                    <a:blip r:embed="rId34"/>
                    <a:srcRect b="0" l="0" r="0" t="0"/>
                    <a:stretch>
                      <a:fillRect/>
                    </a:stretch>
                  </pic:blipFill>
                  <pic:spPr>
                    <a:xfrm>
                      <a:off x="0" y="0"/>
                      <a:ext cx="4450807" cy="7415213"/>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325">
      <w:pPr>
        <w:rPr>
          <w:highlight w:val="white"/>
        </w:rPr>
      </w:pPr>
      <w:bookmarkStart w:colFirst="0" w:colLast="0" w:name="_heading=h.dajswm4x3zsr" w:id="31"/>
      <w:bookmarkEnd w:id="31"/>
      <w:r w:rsidDel="00000000" w:rsidR="00000000" w:rsidRPr="00000000">
        <w:rPr>
          <w:rtl w:val="0"/>
        </w:rPr>
      </w:r>
    </w:p>
    <w:p w:rsidR="00000000" w:rsidDel="00000000" w:rsidP="00000000" w:rsidRDefault="00000000" w:rsidRPr="00000000" w14:paraId="00000326">
      <w:pPr>
        <w:rPr/>
      </w:pPr>
      <w:r w:rsidDel="00000000" w:rsidR="00000000" w:rsidRPr="00000000">
        <w:rPr>
          <w:rtl w:val="0"/>
        </w:rPr>
      </w:r>
    </w:p>
    <w:p w:rsidR="00000000" w:rsidDel="00000000" w:rsidP="00000000" w:rsidRDefault="00000000" w:rsidRPr="00000000" w14:paraId="00000327">
      <w:pPr>
        <w:jc w:val="center"/>
        <w:rPr>
          <w:highlight w:val="white"/>
        </w:rPr>
      </w:pPr>
      <w:r w:rsidDel="00000000" w:rsidR="00000000" w:rsidRPr="00000000">
        <w:rPr>
          <w:rtl w:val="0"/>
        </w:rPr>
      </w:r>
    </w:p>
    <w:p w:rsidR="00000000" w:rsidDel="00000000" w:rsidP="00000000" w:rsidRDefault="00000000" w:rsidRPr="00000000" w14:paraId="00000328">
      <w:pPr>
        <w:jc w:val="center"/>
        <w:rPr>
          <w:highlight w:val="white"/>
        </w:rPr>
      </w:pPr>
      <w:r w:rsidDel="00000000" w:rsidR="00000000" w:rsidRPr="00000000">
        <w:rPr>
          <w:highlight w:val="white"/>
        </w:rPr>
        <w:drawing>
          <wp:inline distB="114300" distT="114300" distL="114300" distR="114300">
            <wp:extent cx="5943600" cy="3568700"/>
            <wp:effectExtent b="0" l="0" r="0" t="0"/>
            <wp:docPr id="2" name="image3.png"/>
            <a:graphic>
              <a:graphicData uri="http://schemas.openxmlformats.org/drawingml/2006/picture">
                <pic:pic>
                  <pic:nvPicPr>
                    <pic:cNvPr id="0" name="image3.png"/>
                    <pic:cNvPicPr preferRelativeResize="0"/>
                  </pic:nvPicPr>
                  <pic:blipFill>
                    <a:blip r:embed="rId35"/>
                    <a:srcRect b="0" l="0" r="0" t="0"/>
                    <a:stretch>
                      <a:fillRect/>
                    </a:stretch>
                  </pic:blipFill>
                  <pic:spPr>
                    <a:xfrm>
                      <a:off x="0" y="0"/>
                      <a:ext cx="5943600" cy="3568700"/>
                    </a:xfrm>
                    <a:prstGeom prst="rect"/>
                    <a:ln/>
                  </pic:spPr>
                </pic:pic>
              </a:graphicData>
            </a:graphic>
          </wp:inline>
        </w:drawing>
      </w:r>
      <w:r w:rsidDel="00000000" w:rsidR="00000000" w:rsidRPr="00000000">
        <w:rPr>
          <w:rtl w:val="0"/>
        </w:rPr>
      </w:r>
    </w:p>
    <w:p w:rsidR="00000000" w:rsidDel="00000000" w:rsidP="00000000" w:rsidRDefault="00000000" w:rsidRPr="00000000" w14:paraId="00000329">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32A">
      <w:pPr>
        <w:spacing w:after="240" w:before="240" w:line="360" w:lineRule="auto"/>
        <w:jc w:val="center"/>
        <w:rPr>
          <w:sz w:val="24"/>
          <w:szCs w:val="24"/>
          <w:highlight w:val="white"/>
        </w:rPr>
      </w:pPr>
      <w:r w:rsidDel="00000000" w:rsidR="00000000" w:rsidRPr="00000000">
        <w:rPr>
          <w:sz w:val="24"/>
          <w:szCs w:val="24"/>
          <w:highlight w:val="white"/>
          <w:rtl w:val="0"/>
        </w:rPr>
        <w:t xml:space="preserve">‌</w:t>
      </w:r>
    </w:p>
    <w:p w:rsidR="00000000" w:rsidDel="00000000" w:rsidP="00000000" w:rsidRDefault="00000000" w:rsidRPr="00000000" w14:paraId="0000032B">
      <w:pPr>
        <w:spacing w:after="240" w:before="240" w:line="360" w:lineRule="auto"/>
        <w:jc w:val="center"/>
        <w:rPr>
          <w:sz w:val="24"/>
          <w:szCs w:val="24"/>
          <w:highlight w:val="white"/>
        </w:rPr>
      </w:pPr>
      <w:r w:rsidDel="00000000" w:rsidR="00000000" w:rsidRPr="00000000">
        <w:rPr/>
        <w:drawing>
          <wp:inline distB="0" distT="0" distL="0" distR="0">
            <wp:extent cx="4572000" cy="2743200"/>
            <wp:effectExtent b="0" l="0" r="0" t="0"/>
            <wp:docPr id="5" name="image5.png"/>
            <a:graphic>
              <a:graphicData uri="http://schemas.openxmlformats.org/drawingml/2006/picture">
                <pic:pic>
                  <pic:nvPicPr>
                    <pic:cNvPr id="0" name="image5.png"/>
                    <pic:cNvPicPr preferRelativeResize="0"/>
                  </pic:nvPicPr>
                  <pic:blipFill>
                    <a:blip r:embed="rId36"/>
                    <a:srcRect b="0" l="0" r="0" t="0"/>
                    <a:stretch>
                      <a:fillRect/>
                    </a:stretch>
                  </pic:blipFill>
                  <pic:spPr>
                    <a:xfrm>
                      <a:off x="0" y="0"/>
                      <a:ext cx="4572000" cy="2743200"/>
                    </a:xfrm>
                    <a:prstGeom prst="rect"/>
                    <a:ln/>
                  </pic:spPr>
                </pic:pic>
              </a:graphicData>
            </a:graphic>
          </wp:inline>
        </w:drawing>
      </w:r>
      <w:r w:rsidDel="00000000" w:rsidR="00000000" w:rsidRPr="00000000">
        <w:rPr>
          <w:rtl w:val="0"/>
        </w:rPr>
      </w:r>
    </w:p>
    <w:p w:rsidR="00000000" w:rsidDel="00000000" w:rsidP="00000000" w:rsidRDefault="00000000" w:rsidRPr="00000000" w14:paraId="0000032C">
      <w:pPr>
        <w:spacing w:after="240" w:before="240" w:line="360" w:lineRule="auto"/>
        <w:jc w:val="center"/>
        <w:rPr>
          <w:sz w:val="24"/>
          <w:szCs w:val="24"/>
          <w:highlight w:val="white"/>
        </w:rPr>
      </w:pPr>
      <w:r w:rsidDel="00000000" w:rsidR="00000000" w:rsidRPr="00000000">
        <w:rPr/>
        <w:drawing>
          <wp:inline distB="0" distT="0" distL="0" distR="0">
            <wp:extent cx="4572000" cy="2743200"/>
            <wp:effectExtent b="0" l="0" r="0" t="0"/>
            <wp:docPr id="4" name="image10.png"/>
            <a:graphic>
              <a:graphicData uri="http://schemas.openxmlformats.org/drawingml/2006/picture">
                <pic:pic>
                  <pic:nvPicPr>
                    <pic:cNvPr id="0" name="image10.png"/>
                    <pic:cNvPicPr preferRelativeResize="0"/>
                  </pic:nvPicPr>
                  <pic:blipFill>
                    <a:blip r:embed="rId37"/>
                    <a:srcRect b="0" l="0" r="0" t="0"/>
                    <a:stretch>
                      <a:fillRect/>
                    </a:stretch>
                  </pic:blipFill>
                  <pic:spPr>
                    <a:xfrm>
                      <a:off x="0" y="0"/>
                      <a:ext cx="4572000" cy="2743200"/>
                    </a:xfrm>
                    <a:prstGeom prst="rect"/>
                    <a:ln/>
                  </pic:spPr>
                </pic:pic>
              </a:graphicData>
            </a:graphic>
          </wp:inline>
        </w:drawing>
      </w:r>
      <w:r w:rsidDel="00000000" w:rsidR="00000000" w:rsidRPr="00000000">
        <w:rPr>
          <w:rtl w:val="0"/>
        </w:rPr>
      </w:r>
    </w:p>
    <w:p w:rsidR="00000000" w:rsidDel="00000000" w:rsidP="00000000" w:rsidRDefault="00000000" w:rsidRPr="00000000" w14:paraId="0000032D">
      <w:pPr>
        <w:spacing w:after="240" w:before="240" w:line="360" w:lineRule="auto"/>
        <w:jc w:val="center"/>
        <w:rPr>
          <w:sz w:val="24"/>
          <w:szCs w:val="24"/>
          <w:highlight w:val="white"/>
        </w:rPr>
      </w:pPr>
      <w:r w:rsidDel="00000000" w:rsidR="00000000" w:rsidRPr="00000000">
        <w:rPr/>
        <w:drawing>
          <wp:inline distB="0" distT="0" distL="0" distR="0">
            <wp:extent cx="4572000" cy="2743200"/>
            <wp:effectExtent b="0" l="0" r="0" t="0"/>
            <wp:docPr id="7" name="image6.png"/>
            <a:graphic>
              <a:graphicData uri="http://schemas.openxmlformats.org/drawingml/2006/picture">
                <pic:pic>
                  <pic:nvPicPr>
                    <pic:cNvPr id="0" name="image6.png"/>
                    <pic:cNvPicPr preferRelativeResize="0"/>
                  </pic:nvPicPr>
                  <pic:blipFill>
                    <a:blip r:embed="rId38"/>
                    <a:srcRect b="0" l="0" r="0" t="0"/>
                    <a:stretch>
                      <a:fillRect/>
                    </a:stretch>
                  </pic:blipFill>
                  <pic:spPr>
                    <a:xfrm>
                      <a:off x="0" y="0"/>
                      <a:ext cx="4572000" cy="2743200"/>
                    </a:xfrm>
                    <a:prstGeom prst="rect"/>
                    <a:ln/>
                  </pic:spPr>
                </pic:pic>
              </a:graphicData>
            </a:graphic>
          </wp:inline>
        </w:drawing>
      </w:r>
      <w:r w:rsidDel="00000000" w:rsidR="00000000" w:rsidRPr="00000000">
        <w:rPr>
          <w:rtl w:val="0"/>
        </w:rPr>
      </w:r>
    </w:p>
    <w:p w:rsidR="00000000" w:rsidDel="00000000" w:rsidP="00000000" w:rsidRDefault="00000000" w:rsidRPr="00000000" w14:paraId="0000032E">
      <w:pPr>
        <w:spacing w:after="240" w:before="240" w:line="360" w:lineRule="auto"/>
        <w:jc w:val="center"/>
        <w:rPr>
          <w:sz w:val="24"/>
          <w:szCs w:val="24"/>
          <w:highlight w:val="white"/>
        </w:rPr>
      </w:pPr>
      <w:r w:rsidDel="00000000" w:rsidR="00000000" w:rsidRPr="00000000">
        <w:rPr/>
        <w:drawing>
          <wp:inline distB="0" distT="0" distL="0" distR="0">
            <wp:extent cx="4572000" cy="2743200"/>
            <wp:effectExtent b="0" l="0" r="0" t="0"/>
            <wp:docPr id="6" name="image1.png"/>
            <a:graphic>
              <a:graphicData uri="http://schemas.openxmlformats.org/drawingml/2006/picture">
                <pic:pic>
                  <pic:nvPicPr>
                    <pic:cNvPr id="0" name="image1.png"/>
                    <pic:cNvPicPr preferRelativeResize="0"/>
                  </pic:nvPicPr>
                  <pic:blipFill>
                    <a:blip r:embed="rId39"/>
                    <a:srcRect b="0" l="0" r="0" t="0"/>
                    <a:stretch>
                      <a:fillRect/>
                    </a:stretch>
                  </pic:blipFill>
                  <pic:spPr>
                    <a:xfrm>
                      <a:off x="0" y="0"/>
                      <a:ext cx="4572000" cy="2743200"/>
                    </a:xfrm>
                    <a:prstGeom prst="rect"/>
                    <a:ln/>
                  </pic:spPr>
                </pic:pic>
              </a:graphicData>
            </a:graphic>
          </wp:inline>
        </w:drawing>
      </w:r>
      <w:r w:rsidDel="00000000" w:rsidR="00000000" w:rsidRPr="00000000">
        <w:rPr>
          <w:rtl w:val="0"/>
        </w:rPr>
      </w:r>
    </w:p>
    <w:p w:rsidR="00000000" w:rsidDel="00000000" w:rsidP="00000000" w:rsidRDefault="00000000" w:rsidRPr="00000000" w14:paraId="0000032F">
      <w:pPr>
        <w:pStyle w:val="Heading1"/>
        <w:rPr>
          <w:highlight w:val="white"/>
        </w:rPr>
      </w:pPr>
      <w:bookmarkStart w:colFirst="0" w:colLast="0" w:name="_heading=h.un31urv5rpuz" w:id="32"/>
      <w:bookmarkEnd w:id="32"/>
      <w:r w:rsidDel="00000000" w:rsidR="00000000" w:rsidRPr="00000000">
        <w:rPr>
          <w:highlight w:val="white"/>
          <w:rtl w:val="0"/>
        </w:rPr>
        <w:t xml:space="preserve">Appendix 2: Investment appraisal calculations</w:t>
      </w:r>
    </w:p>
    <w:p w:rsidR="00000000" w:rsidDel="00000000" w:rsidP="00000000" w:rsidRDefault="00000000" w:rsidRPr="00000000" w14:paraId="00000330">
      <w:pPr>
        <w:rPr>
          <w:b w:val="1"/>
          <w:bCs w:val="1"/>
          <w:sz w:val="24"/>
          <w:szCs w:val="24"/>
          <w:highlight w:val="white"/>
        </w:rPr>
      </w:pPr>
      <w:r w:rsidDel="00000000" w:rsidR="00000000" w:rsidRPr="00000000">
        <w:rPr>
          <w:b w:val="1"/>
          <w:bCs w:val="1"/>
          <w:sz w:val="24"/>
          <w:szCs w:val="24"/>
          <w:highlight w:val="white"/>
          <w:rtl w:val="0"/>
        </w:rPr>
        <w:t xml:space="preserve">Payback Period</w:t>
      </w:r>
    </w:p>
    <w:p w:rsidR="00000000" w:rsidDel="00000000" w:rsidP="00000000" w:rsidRDefault="00000000" w:rsidRPr="00000000" w14:paraId="00000331">
      <w:pPr>
        <w:spacing w:after="240" w:before="240" w:line="360" w:lineRule="auto"/>
        <w:jc w:val="both"/>
        <w:rPr>
          <w:sz w:val="24"/>
          <w:szCs w:val="24"/>
          <w:highlight w:val="white"/>
        </w:rPr>
      </w:pPr>
      <w:r w:rsidDel="00000000" w:rsidR="00000000" w:rsidRPr="00000000">
        <w:rPr>
          <w:highlight w:val="white"/>
        </w:rPr>
        <w:drawing>
          <wp:inline distB="0" distT="0" distL="0" distR="0">
            <wp:extent cx="5943600" cy="1898015"/>
            <wp:effectExtent b="0" l="0" r="0" t="0"/>
            <wp:docPr id="9" name="image11.png"/>
            <a:graphic>
              <a:graphicData uri="http://schemas.openxmlformats.org/drawingml/2006/picture">
                <pic:pic>
                  <pic:nvPicPr>
                    <pic:cNvPr id="0" name="image11.png"/>
                    <pic:cNvPicPr preferRelativeResize="0"/>
                  </pic:nvPicPr>
                  <pic:blipFill>
                    <a:blip r:embed="rId40"/>
                    <a:srcRect b="0" l="0" r="0" t="0"/>
                    <a:stretch>
                      <a:fillRect/>
                    </a:stretch>
                  </pic:blipFill>
                  <pic:spPr>
                    <a:xfrm>
                      <a:off x="0" y="0"/>
                      <a:ext cx="5943600" cy="1898015"/>
                    </a:xfrm>
                    <a:prstGeom prst="rect"/>
                    <a:ln/>
                  </pic:spPr>
                </pic:pic>
              </a:graphicData>
            </a:graphic>
          </wp:inline>
        </w:drawing>
      </w:r>
      <w:r w:rsidDel="00000000" w:rsidR="00000000" w:rsidRPr="00000000">
        <w:rPr>
          <w:rtl w:val="0"/>
        </w:rPr>
      </w:r>
    </w:p>
    <w:p w:rsidR="00000000" w:rsidDel="00000000" w:rsidP="00000000" w:rsidRDefault="00000000" w:rsidRPr="00000000" w14:paraId="00000332">
      <w:pPr>
        <w:spacing w:after="240" w:before="240" w:line="360" w:lineRule="auto"/>
        <w:jc w:val="both"/>
        <w:rPr>
          <w:b w:val="1"/>
          <w:bCs w:val="1"/>
          <w:sz w:val="24"/>
          <w:szCs w:val="24"/>
          <w:highlight w:val="white"/>
        </w:rPr>
      </w:pPr>
      <w:r w:rsidDel="00000000" w:rsidR="00000000" w:rsidRPr="00000000">
        <w:rPr>
          <w:b w:val="1"/>
          <w:bCs w:val="1"/>
          <w:sz w:val="24"/>
          <w:szCs w:val="24"/>
          <w:highlight w:val="white"/>
          <w:rtl w:val="0"/>
        </w:rPr>
        <w:t xml:space="preserve">ARR</w:t>
      </w:r>
    </w:p>
    <w:p w:rsidR="00000000" w:rsidDel="00000000" w:rsidP="00000000" w:rsidRDefault="00000000" w:rsidRPr="00000000" w14:paraId="00000333">
      <w:pPr>
        <w:spacing w:after="240" w:before="240" w:line="360" w:lineRule="auto"/>
        <w:jc w:val="both"/>
        <w:rPr>
          <w:sz w:val="24"/>
          <w:szCs w:val="24"/>
          <w:highlight w:val="white"/>
        </w:rPr>
      </w:pPr>
      <w:r w:rsidDel="00000000" w:rsidR="00000000" w:rsidRPr="00000000">
        <w:rPr>
          <w:b w:val="1"/>
          <w:bCs w:val="1"/>
          <w:sz w:val="24"/>
          <w:szCs w:val="24"/>
          <w:highlight w:val="white"/>
          <w:rtl w:val="0"/>
        </w:rPr>
        <w:t xml:space="preserve">NPV</w:t>
      </w:r>
      <w:r w:rsidDel="00000000" w:rsidR="00000000" w:rsidRPr="00000000">
        <w:rPr>
          <w:sz w:val="24"/>
          <w:szCs w:val="24"/>
          <w:highlight w:val="white"/>
          <w:rtl w:val="0"/>
        </w:rPr>
        <w:br w:type="textWrapping"/>
      </w:r>
      <w:r w:rsidDel="00000000" w:rsidR="00000000" w:rsidRPr="00000000">
        <w:rPr>
          <w:highlight w:val="white"/>
        </w:rPr>
        <w:drawing>
          <wp:inline distB="0" distT="0" distL="0" distR="0">
            <wp:extent cx="5943600" cy="1743710"/>
            <wp:effectExtent b="0" l="0" r="0" t="0"/>
            <wp:docPr id="8" name="image2.png"/>
            <a:graphic>
              <a:graphicData uri="http://schemas.openxmlformats.org/drawingml/2006/picture">
                <pic:pic>
                  <pic:nvPicPr>
                    <pic:cNvPr id="0" name="image2.png"/>
                    <pic:cNvPicPr preferRelativeResize="0"/>
                  </pic:nvPicPr>
                  <pic:blipFill>
                    <a:blip r:embed="rId41"/>
                    <a:srcRect b="0" l="0" r="0" t="0"/>
                    <a:stretch>
                      <a:fillRect/>
                    </a:stretch>
                  </pic:blipFill>
                  <pic:spPr>
                    <a:xfrm>
                      <a:off x="0" y="0"/>
                      <a:ext cx="5943600" cy="1743710"/>
                    </a:xfrm>
                    <a:prstGeom prst="rect"/>
                    <a:ln/>
                  </pic:spPr>
                </pic:pic>
              </a:graphicData>
            </a:graphic>
          </wp:inline>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wp:posOffset>
            </wp:positionH>
            <wp:positionV relativeFrom="paragraph">
              <wp:posOffset>0</wp:posOffset>
            </wp:positionV>
            <wp:extent cx="5943600" cy="1888490"/>
            <wp:effectExtent b="0" l="0" r="0" t="0"/>
            <wp:wrapSquare wrapText="bothSides" distB="0" distT="0" distL="114300" distR="114300"/>
            <wp:docPr id="12" name="image7.png"/>
            <a:graphic>
              <a:graphicData uri="http://schemas.openxmlformats.org/drawingml/2006/picture">
                <pic:pic>
                  <pic:nvPicPr>
                    <pic:cNvPr id="0" name="image7.png"/>
                    <pic:cNvPicPr preferRelativeResize="0"/>
                  </pic:nvPicPr>
                  <pic:blipFill>
                    <a:blip r:embed="rId42"/>
                    <a:srcRect b="0" l="0" r="0" t="0"/>
                    <a:stretch>
                      <a:fillRect/>
                    </a:stretch>
                  </pic:blipFill>
                  <pic:spPr>
                    <a:xfrm>
                      <a:off x="0" y="0"/>
                      <a:ext cx="5943600" cy="1888490"/>
                    </a:xfrm>
                    <a:prstGeom prst="rect"/>
                    <a:ln/>
                  </pic:spPr>
                </pic:pic>
              </a:graphicData>
            </a:graphic>
          </wp:anchor>
        </w:drawing>
      </w:r>
    </w:p>
    <w:p w:rsidR="00000000" w:rsidDel="00000000" w:rsidP="00000000" w:rsidRDefault="00000000" w:rsidRPr="00000000" w14:paraId="00000334">
      <w:pPr>
        <w:spacing w:after="240" w:before="240" w:line="360" w:lineRule="auto"/>
        <w:jc w:val="both"/>
        <w:rPr>
          <w:b w:val="1"/>
          <w:bCs w:val="1"/>
          <w:sz w:val="24"/>
          <w:szCs w:val="24"/>
          <w:highlight w:val="white"/>
        </w:rPr>
      </w:pPr>
      <w:r w:rsidDel="00000000" w:rsidR="00000000" w:rsidRPr="00000000">
        <w:rPr>
          <w:b w:val="1"/>
          <w:bCs w:val="1"/>
          <w:sz w:val="24"/>
          <w:szCs w:val="24"/>
          <w:highlight w:val="white"/>
          <w:rtl w:val="0"/>
        </w:rPr>
        <w:t xml:space="preserve">PI</w:t>
      </w:r>
    </w:p>
    <w:p w:rsidR="00000000" w:rsidDel="00000000" w:rsidP="00000000" w:rsidRDefault="00000000" w:rsidRPr="00000000" w14:paraId="00000335">
      <w:pPr>
        <w:spacing w:after="240" w:before="240" w:line="360" w:lineRule="auto"/>
        <w:jc w:val="both"/>
        <w:rPr>
          <w:sz w:val="24"/>
          <w:szCs w:val="24"/>
          <w:highlight w:val="white"/>
        </w:rPr>
      </w:pPr>
      <w:r w:rsidDel="00000000" w:rsidR="00000000" w:rsidRPr="00000000">
        <w:rPr>
          <w:highlight w:val="white"/>
        </w:rPr>
        <w:drawing>
          <wp:inline distB="0" distT="0" distL="0" distR="0">
            <wp:extent cx="5943600" cy="1898015"/>
            <wp:effectExtent b="0" l="0" r="0" t="0"/>
            <wp:docPr id="10" name="image9.png"/>
            <a:graphic>
              <a:graphicData uri="http://schemas.openxmlformats.org/drawingml/2006/picture">
                <pic:pic>
                  <pic:nvPicPr>
                    <pic:cNvPr id="0" name="image9.png"/>
                    <pic:cNvPicPr preferRelativeResize="0"/>
                  </pic:nvPicPr>
                  <pic:blipFill>
                    <a:blip r:embed="rId43"/>
                    <a:srcRect b="0" l="0" r="0" t="0"/>
                    <a:stretch>
                      <a:fillRect/>
                    </a:stretch>
                  </pic:blipFill>
                  <pic:spPr>
                    <a:xfrm>
                      <a:off x="0" y="0"/>
                      <a:ext cx="5943600" cy="1898015"/>
                    </a:xfrm>
                    <a:prstGeom prst="rect"/>
                    <a:ln/>
                  </pic:spPr>
                </pic:pic>
              </a:graphicData>
            </a:graphic>
          </wp:inline>
        </w:drawing>
      </w:r>
      <w:r w:rsidDel="00000000" w:rsidR="00000000" w:rsidRPr="00000000">
        <w:rPr>
          <w:rtl w:val="0"/>
        </w:rPr>
      </w:r>
    </w:p>
    <w:p w:rsidR="00000000" w:rsidDel="00000000" w:rsidP="00000000" w:rsidRDefault="00000000" w:rsidRPr="00000000" w14:paraId="00000336">
      <w:pPr>
        <w:spacing w:line="360" w:lineRule="auto"/>
        <w:jc w:val="both"/>
        <w:rPr>
          <w:b w:val="1"/>
          <w:bCs w:val="1"/>
          <w:sz w:val="24"/>
          <w:szCs w:val="24"/>
          <w:highlight w:val="white"/>
        </w:rPr>
      </w:pPr>
      <w:r w:rsidDel="00000000" w:rsidR="00000000" w:rsidRPr="00000000">
        <w:rPr>
          <w:b w:val="1"/>
          <w:bCs w:val="1"/>
          <w:sz w:val="24"/>
          <w:szCs w:val="24"/>
          <w:highlight w:val="white"/>
          <w:rtl w:val="0"/>
        </w:rPr>
        <w:t xml:space="preserve">IRR</w:t>
      </w:r>
    </w:p>
    <w:p w:rsidR="00000000" w:rsidDel="00000000" w:rsidP="00000000" w:rsidRDefault="00000000" w:rsidRPr="00000000" w14:paraId="00000337">
      <w:pPr>
        <w:spacing w:after="240" w:before="240" w:line="360" w:lineRule="auto"/>
        <w:jc w:val="both"/>
        <w:rPr>
          <w:sz w:val="24"/>
          <w:szCs w:val="24"/>
        </w:rPr>
      </w:pPr>
      <w:r w:rsidDel="00000000" w:rsidR="00000000" w:rsidRPr="00000000">
        <w:rPr/>
        <w:drawing>
          <wp:inline distB="0" distT="0" distL="0" distR="0">
            <wp:extent cx="5943600" cy="1740535"/>
            <wp:effectExtent b="0" l="0" r="0" t="0"/>
            <wp:docPr id="11" name="image8.png"/>
            <a:graphic>
              <a:graphicData uri="http://schemas.openxmlformats.org/drawingml/2006/picture">
                <pic:pic>
                  <pic:nvPicPr>
                    <pic:cNvPr id="0" name="image8.png"/>
                    <pic:cNvPicPr preferRelativeResize="0"/>
                  </pic:nvPicPr>
                  <pic:blipFill>
                    <a:blip r:embed="rId44"/>
                    <a:srcRect b="0" l="0" r="0" t="0"/>
                    <a:stretch>
                      <a:fillRect/>
                    </a:stretch>
                  </pic:blipFill>
                  <pic:spPr>
                    <a:xfrm>
                      <a:off x="0" y="0"/>
                      <a:ext cx="5943600" cy="1740535"/>
                    </a:xfrm>
                    <a:prstGeom prst="rect"/>
                    <a:ln/>
                  </pic:spPr>
                </pic:pic>
              </a:graphicData>
            </a:graphic>
          </wp:inline>
        </w:drawing>
      </w:r>
      <w:r w:rsidDel="00000000" w:rsidR="00000000" w:rsidRPr="00000000">
        <w:rPr>
          <w:rtl w:val="0"/>
        </w:rPr>
      </w:r>
    </w:p>
    <w:sectPr>
      <w:footerReference r:id="rId4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38">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line="360" w:lineRule="auto"/>
      <w:jc w:val="both"/>
    </w:pPr>
    <w:rPr>
      <w:b w:val="1"/>
      <w:bCs w:val="1"/>
      <w:sz w:val="24"/>
      <w:szCs w:val="24"/>
    </w:rPr>
  </w:style>
  <w:style w:type="paragraph" w:styleId="Heading2">
    <w:name w:val="heading 2"/>
    <w:basedOn w:val="Normal"/>
    <w:next w:val="Normal"/>
    <w:pPr>
      <w:keepNext w:val="1"/>
      <w:keepLines w:val="1"/>
      <w:spacing w:line="360" w:lineRule="auto"/>
      <w:jc w:val="both"/>
    </w:pPr>
    <w:rPr>
      <w:b w:val="1"/>
      <w:bCs w:val="1"/>
      <w:sz w:val="24"/>
      <w:szCs w:val="24"/>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pPr>
      <w:spacing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11.png"/><Relationship Id="rId20" Type="http://schemas.openxmlformats.org/officeDocument/2006/relationships/hyperlink" Target="https://www.globaldata.com/company-profile/intercontinental-hotels-group-plc/competitors/" TargetMode="External"/><Relationship Id="rId42" Type="http://schemas.openxmlformats.org/officeDocument/2006/relationships/image" Target="media/image7.png"/><Relationship Id="rId41" Type="http://schemas.openxmlformats.org/officeDocument/2006/relationships/image" Target="media/image2.png"/><Relationship Id="rId22" Type="http://schemas.openxmlformats.org/officeDocument/2006/relationships/hyperlink" Target="https://www.ihgplc.com/~/media/Files/I/Ihg-Plc/investors/shareholder-center/annual-reports-and-responsible-business-reports/annual-reports/2022/annual-report-2022.pdf" TargetMode="External"/><Relationship Id="rId44" Type="http://schemas.openxmlformats.org/officeDocument/2006/relationships/image" Target="media/image8.png"/><Relationship Id="rId21" Type="http://schemas.openxmlformats.org/officeDocument/2006/relationships/hyperlink" Target="https://www.ihgplc.com/~/media/Files/I/Ihg-Plc/investors/shareholder-center/annual-reports-and-responsible-business-reports/annual-reports/2021/ihg-2021-annual-report.pdf" TargetMode="External"/><Relationship Id="rId43" Type="http://schemas.openxmlformats.org/officeDocument/2006/relationships/image" Target="media/image9.png"/><Relationship Id="rId24" Type="http://schemas.openxmlformats.org/officeDocument/2006/relationships/hyperlink" Target="https://www.ihgplc.com/~/media/Files/I/Ihg-Plc/investors/annual-report/2023/annual-report-2023.pdf" TargetMode="External"/><Relationship Id="rId23" Type="http://schemas.openxmlformats.org/officeDocument/2006/relationships/hyperlink" Target="https://www.ihgplc.com/en/responsible-business/carbon-and-energy" TargetMode="External"/><Relationship Id="rId45"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ccaglobal.com/gb/en/student/exam-support-resources/foundation-level-study-resources/ffm/ffm-technical-articles/rate-return.html" TargetMode="External"/><Relationship Id="rId26" Type="http://schemas.openxmlformats.org/officeDocument/2006/relationships/hyperlink" Target="https://www.ihgplc.com/~/media/Files/I/Ihg-Plc/investors/annual-report/2025/ihg-ar25-interactive.pdf" TargetMode="External"/><Relationship Id="rId25" Type="http://schemas.openxmlformats.org/officeDocument/2006/relationships/hyperlink" Target="https://www.ihgplc.com/~/media/Files/I/Ihg-Plc/investors/annual-report/2024/ihg-ar-2024.pdf" TargetMode="External"/><Relationship Id="rId28" Type="http://schemas.openxmlformats.org/officeDocument/2006/relationships/hyperlink" Target="https://www.ihg.com/content/us/en/about/brands" TargetMode="External"/><Relationship Id="rId27" Type="http://schemas.openxmlformats.org/officeDocument/2006/relationships/hyperlink" Target="https://www.ihgplc.com/en"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macrotrends.net/stocks/charts/IHG/intercontinental-hotels-group/financial-statements#google_vignette" TargetMode="External"/><Relationship Id="rId7" Type="http://schemas.openxmlformats.org/officeDocument/2006/relationships/image" Target="media/image12.png"/><Relationship Id="rId8" Type="http://schemas.openxmlformats.org/officeDocument/2006/relationships/hyperlink" Target="https://www.accaglobal.com/gb/en/student/exam-support-resources/fundamentals-exams-study-resources/f9/technical-articles/wcm.html" TargetMode="External"/><Relationship Id="rId31" Type="http://schemas.openxmlformats.org/officeDocument/2006/relationships/hyperlink" Target="https://corporatefinanceinstitute.com/resources/accounting/operating-cash-flow/" TargetMode="External"/><Relationship Id="rId30" Type="http://schemas.openxmlformats.org/officeDocument/2006/relationships/hyperlink" Target="https://www.pwc.com/us/en/services/consulting/deals/library/strategic-case-for-divestiture.html" TargetMode="External"/><Relationship Id="rId11" Type="http://schemas.openxmlformats.org/officeDocument/2006/relationships/hyperlink" Target="https://www.financialprofessionals.org/training-resources/resources/articles/details/net-present-value-vs.-internal-rate-of-return" TargetMode="External"/><Relationship Id="rId33" Type="http://schemas.openxmlformats.org/officeDocument/2006/relationships/hyperlink" Target="https://diversedaily.com/strategic-divestitures-selling-non-core-assets-to-focus-on-growth-and-enhance-capital-efficiency/" TargetMode="External"/><Relationship Id="rId10" Type="http://schemas.openxmlformats.org/officeDocument/2006/relationships/hyperlink" Target="https://www.allianz-trade.com/en_US/insights/current-ratio.html" TargetMode="External"/><Relationship Id="rId32" Type="http://schemas.openxmlformats.org/officeDocument/2006/relationships/hyperlink" Target="https://www.wallstreetprep.com/knowledge/profitability-index/" TargetMode="External"/><Relationship Id="rId13" Type="http://schemas.openxmlformats.org/officeDocument/2006/relationships/hyperlink" Target="https://www.forbes.com/councils/forbesfinancecouncil/2023/07/10/long-term-vs-short-term-loans-which-is-better-for-your-business/" TargetMode="External"/><Relationship Id="rId35" Type="http://schemas.openxmlformats.org/officeDocument/2006/relationships/image" Target="media/image3.png"/><Relationship Id="rId12" Type="http://schemas.openxmlformats.org/officeDocument/2006/relationships/hyperlink" Target="https://www.oracle.com/in/construction-engineering/capital-budgeting/" TargetMode="External"/><Relationship Id="rId34" Type="http://schemas.openxmlformats.org/officeDocument/2006/relationships/image" Target="media/image4.png"/><Relationship Id="rId15" Type="http://schemas.openxmlformats.org/officeDocument/2006/relationships/hyperlink" Target="https://corporatefinanceinstitute.com/resources/financial-modeling/payback-period/" TargetMode="External"/><Relationship Id="rId37" Type="http://schemas.openxmlformats.org/officeDocument/2006/relationships/image" Target="media/image10.png"/><Relationship Id="rId14" Type="http://schemas.openxmlformats.org/officeDocument/2006/relationships/hyperlink" Target="https://corporatefinanceinstitute.com/resources/valuation/equity-financing/" TargetMode="External"/><Relationship Id="rId36" Type="http://schemas.openxmlformats.org/officeDocument/2006/relationships/image" Target="media/image5.png"/><Relationship Id="rId17" Type="http://schemas.openxmlformats.org/officeDocument/2006/relationships/hyperlink" Target="https://fastercapital.com/content/Cash-Flow--Cash-Flow-Conundrums--How-Prepayments-Impact-Liquidity.html" TargetMode="External"/><Relationship Id="rId39" Type="http://schemas.openxmlformats.org/officeDocument/2006/relationships/image" Target="media/image1.png"/><Relationship Id="rId16" Type="http://schemas.openxmlformats.org/officeDocument/2006/relationships/hyperlink" Target="https://corporatefinanceinstitute.com/resources/commercial-lending/debt-refinancing/" TargetMode="External"/><Relationship Id="rId38" Type="http://schemas.openxmlformats.org/officeDocument/2006/relationships/image" Target="media/image6.png"/><Relationship Id="rId19" Type="http://schemas.openxmlformats.org/officeDocument/2006/relationships/hyperlink" Target="https://www.researchgate.net/publication/399899124_Comparative_Financial_Performance_and_Social_Impact_in_the_Global_Hospitality_Industry_Evidence_from_Marriott_International_and_Hilton_Worldwide" TargetMode="External"/><Relationship Id="rId18" Type="http://schemas.openxmlformats.org/officeDocument/2006/relationships/hyperlink" Target="https://www.fidelity.co.uk/factsheet-data/factsheet/GB00BHJYC057-intercontinental-hotels-group/dividen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i7NasfKSQOTy3NwDx7eqt/MzYA==">CgMxLjAyDmgudnQ4aTQ2Nm12c3o1Mg5oLjY5dWI5eTRpbDM2czIOaC5kdTEyNGM5eHN6ZTcyDmguYXRoNXJrZHUwcm93Mg5oLnZhaTJhcXZnNmNzdTINaC5oN2lzb2JodWdoYTIOaC45dDNweWg3dm9jc2YyDmguY2Z6cmg5d29vcTQ4Mg5oLm5pMXVlNWJyMHJ2MTIOaC44cGM1MjRlMWVqb3AyDmgubmVqcXF1Njc3emtvMg1oLjNobGRoZXo0ZzNhMg5oLm1xMXFsNm5uMDdpNTIOaC51MWJ5YjZlZ3Q2ZTIyDmgucXVuNHdlYXlhZTdpMg5oLjJqcTg1cDVjOTJ6dzIOaC41bXYzMXNkcHY4dDYyDmguN2hianRhbDl5c2M2Mg5oLmx3dzkxMmU0Ym52dTIOaC44bW5xNXNscjFldm4yDmguejFuZTg2am93MDJtMg5oLmE4Yjh4bThtNTdtajIOaC5tMnA2a2Nkc2hhc2UyDmgudnJnb3hzbzFrMzBjMg5oLnYyNTNxMzNxM2hnZzIOaC5vbjI4dHNqazRhaXQyDmguYWdjcjNubnRkaHM0Mg5oLnBqYmNlYnJkazhycDIOaC55eWJjMGl4MWRsOW8yDmguNGRqdDBudW8xanpoMg5oLjN4YWh4OTRpOHkwODIOaC5kYWpzd200eDN6c3IyDmgudW4zMXVydjVycHV6OAByITFfd1pjS3JEaGYxSk8yZ1dhT3JkMVpReGFZUDVrTEZOW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67b09b05-d2de-4f6f-a980-52f3d31dcd5a</vt:lpwstr>
  </property>
</Properties>
</file>