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79ECA" w14:textId="77777777" w:rsidR="004A14C5" w:rsidRPr="004A14C5" w:rsidRDefault="004A14C5" w:rsidP="004A14C5">
      <w:pPr>
        <w:jc w:val="center"/>
        <w:rPr>
          <w:rFonts w:ascii="Arial" w:hAnsi="Arial" w:cs="Arial"/>
          <w:b/>
          <w:bCs/>
          <w:sz w:val="44"/>
          <w:szCs w:val="44"/>
        </w:rPr>
      </w:pPr>
    </w:p>
    <w:p w14:paraId="09F647D2" w14:textId="2A024364" w:rsidR="004A14C5" w:rsidRDefault="004A14C5" w:rsidP="004A14C5">
      <w:pPr>
        <w:jc w:val="center"/>
        <w:rPr>
          <w:rFonts w:ascii="Arial" w:hAnsi="Arial" w:cs="Arial"/>
          <w:b/>
          <w:bCs/>
          <w:sz w:val="44"/>
          <w:szCs w:val="44"/>
        </w:rPr>
      </w:pPr>
    </w:p>
    <w:p w14:paraId="33E012A5" w14:textId="77777777" w:rsidR="004A14C5" w:rsidRPr="004A14C5" w:rsidRDefault="004A14C5" w:rsidP="004A14C5">
      <w:pPr>
        <w:jc w:val="center"/>
        <w:rPr>
          <w:rFonts w:ascii="Arial" w:hAnsi="Arial" w:cs="Arial"/>
          <w:b/>
          <w:bCs/>
          <w:sz w:val="44"/>
          <w:szCs w:val="44"/>
        </w:rPr>
      </w:pPr>
    </w:p>
    <w:p w14:paraId="22A52A17" w14:textId="482E04ED"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Student name: Sofia Sacalus</w:t>
      </w:r>
    </w:p>
    <w:p w14:paraId="287FD66F" w14:textId="77777777" w:rsidR="004A14C5" w:rsidRPr="004A14C5" w:rsidRDefault="004A14C5" w:rsidP="004A14C5">
      <w:pPr>
        <w:jc w:val="center"/>
        <w:rPr>
          <w:rFonts w:ascii="Arial" w:hAnsi="Arial" w:cs="Arial"/>
          <w:b/>
          <w:bCs/>
          <w:sz w:val="44"/>
          <w:szCs w:val="44"/>
        </w:rPr>
      </w:pPr>
    </w:p>
    <w:p w14:paraId="354C81C2" w14:textId="77777777"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Student number: 1907696</w:t>
      </w:r>
    </w:p>
    <w:p w14:paraId="531ABB4E" w14:textId="77777777" w:rsidR="004A14C5" w:rsidRPr="004A14C5" w:rsidRDefault="004A14C5" w:rsidP="004A14C5">
      <w:pPr>
        <w:jc w:val="center"/>
        <w:rPr>
          <w:rFonts w:ascii="Arial" w:hAnsi="Arial" w:cs="Arial"/>
          <w:b/>
          <w:bCs/>
          <w:sz w:val="44"/>
          <w:szCs w:val="44"/>
        </w:rPr>
      </w:pPr>
    </w:p>
    <w:p w14:paraId="43907248" w14:textId="1DE1FD7B" w:rsidR="004A14C5" w:rsidRDefault="004A14C5" w:rsidP="004A14C5">
      <w:pPr>
        <w:jc w:val="center"/>
        <w:rPr>
          <w:rFonts w:ascii="Arial" w:hAnsi="Arial" w:cs="Arial"/>
          <w:b/>
          <w:bCs/>
          <w:sz w:val="44"/>
          <w:szCs w:val="44"/>
        </w:rPr>
      </w:pPr>
      <w:r w:rsidRPr="004A14C5">
        <w:rPr>
          <w:rFonts w:ascii="Arial" w:hAnsi="Arial" w:cs="Arial"/>
          <w:b/>
          <w:bCs/>
          <w:sz w:val="44"/>
          <w:szCs w:val="44"/>
        </w:rPr>
        <w:t>Module name: Children, Young People and Families</w:t>
      </w:r>
    </w:p>
    <w:p w14:paraId="01C6283C" w14:textId="77777777" w:rsidR="004A14C5" w:rsidRPr="004A14C5" w:rsidRDefault="004A14C5" w:rsidP="004A14C5">
      <w:pPr>
        <w:jc w:val="center"/>
        <w:rPr>
          <w:rFonts w:ascii="Arial" w:hAnsi="Arial" w:cs="Arial"/>
          <w:b/>
          <w:bCs/>
          <w:sz w:val="44"/>
          <w:szCs w:val="44"/>
        </w:rPr>
      </w:pPr>
    </w:p>
    <w:p w14:paraId="177D10EC" w14:textId="77777777"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Module code: BMHP5004_BIRM</w:t>
      </w:r>
    </w:p>
    <w:p w14:paraId="33FEDC44" w14:textId="77777777" w:rsidR="004A14C5" w:rsidRPr="004A14C5" w:rsidRDefault="004A14C5" w:rsidP="004A14C5">
      <w:pPr>
        <w:jc w:val="center"/>
        <w:rPr>
          <w:rFonts w:ascii="Arial" w:hAnsi="Arial" w:cs="Arial"/>
          <w:b/>
          <w:bCs/>
          <w:sz w:val="44"/>
          <w:szCs w:val="44"/>
        </w:rPr>
      </w:pPr>
    </w:p>
    <w:p w14:paraId="5354EED3" w14:textId="77777777"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 xml:space="preserve">Tutor name: Dr </w:t>
      </w:r>
      <w:proofErr w:type="spellStart"/>
      <w:r w:rsidRPr="004A14C5">
        <w:rPr>
          <w:rFonts w:ascii="Arial" w:hAnsi="Arial" w:cs="Arial"/>
          <w:b/>
          <w:bCs/>
          <w:sz w:val="44"/>
          <w:szCs w:val="44"/>
        </w:rPr>
        <w:t>Crisford</w:t>
      </w:r>
      <w:proofErr w:type="spellEnd"/>
      <w:r w:rsidRPr="004A14C5">
        <w:rPr>
          <w:rFonts w:ascii="Arial" w:hAnsi="Arial" w:cs="Arial"/>
          <w:b/>
          <w:bCs/>
          <w:sz w:val="44"/>
          <w:szCs w:val="44"/>
        </w:rPr>
        <w:t xml:space="preserve"> </w:t>
      </w:r>
      <w:proofErr w:type="spellStart"/>
      <w:r w:rsidRPr="004A14C5">
        <w:rPr>
          <w:rFonts w:ascii="Arial" w:hAnsi="Arial" w:cs="Arial"/>
          <w:b/>
          <w:bCs/>
          <w:sz w:val="44"/>
          <w:szCs w:val="44"/>
        </w:rPr>
        <w:t>Chogugudza</w:t>
      </w:r>
      <w:proofErr w:type="spellEnd"/>
    </w:p>
    <w:p w14:paraId="7C5AF17C" w14:textId="77777777" w:rsidR="004A14C5" w:rsidRPr="004A14C5" w:rsidRDefault="004A14C5" w:rsidP="004A14C5">
      <w:pPr>
        <w:jc w:val="center"/>
        <w:rPr>
          <w:rFonts w:ascii="Arial" w:hAnsi="Arial" w:cs="Arial"/>
          <w:b/>
          <w:bCs/>
          <w:sz w:val="44"/>
          <w:szCs w:val="44"/>
        </w:rPr>
      </w:pPr>
    </w:p>
    <w:p w14:paraId="2259CDA4" w14:textId="590B7E37" w:rsidR="004A14C5" w:rsidRDefault="004A14C5" w:rsidP="004A14C5">
      <w:pPr>
        <w:jc w:val="center"/>
        <w:rPr>
          <w:rFonts w:ascii="Arial" w:hAnsi="Arial" w:cs="Arial"/>
          <w:b/>
          <w:bCs/>
          <w:sz w:val="44"/>
          <w:szCs w:val="44"/>
        </w:rPr>
      </w:pPr>
      <w:r w:rsidRPr="004A14C5">
        <w:rPr>
          <w:rFonts w:ascii="Arial" w:hAnsi="Arial" w:cs="Arial"/>
          <w:b/>
          <w:bCs/>
          <w:sz w:val="44"/>
          <w:szCs w:val="44"/>
        </w:rPr>
        <w:t>Assignment title: Supp</w:t>
      </w:r>
      <w:r>
        <w:rPr>
          <w:rFonts w:ascii="Arial" w:hAnsi="Arial" w:cs="Arial"/>
          <w:b/>
          <w:bCs/>
          <w:sz w:val="44"/>
          <w:szCs w:val="44"/>
        </w:rPr>
        <w:t>orting paper</w:t>
      </w:r>
    </w:p>
    <w:p w14:paraId="397FD96E" w14:textId="77777777" w:rsidR="004A14C5" w:rsidRDefault="004A14C5">
      <w:pPr>
        <w:spacing w:after="0" w:line="240" w:lineRule="auto"/>
        <w:rPr>
          <w:rFonts w:ascii="Arial" w:hAnsi="Arial" w:cs="Arial"/>
          <w:b/>
          <w:bCs/>
          <w:sz w:val="44"/>
          <w:szCs w:val="44"/>
        </w:rPr>
      </w:pPr>
      <w:r>
        <w:rPr>
          <w:rFonts w:ascii="Arial" w:hAnsi="Arial" w:cs="Arial"/>
          <w:b/>
          <w:bCs/>
          <w:sz w:val="44"/>
          <w:szCs w:val="44"/>
        </w:rPr>
        <w:br w:type="page"/>
      </w:r>
    </w:p>
    <w:p w14:paraId="3CB1E70B" w14:textId="75E28F83" w:rsidR="004A14C5" w:rsidRDefault="004A14C5" w:rsidP="004A14C5">
      <w:pPr>
        <w:jc w:val="center"/>
        <w:rPr>
          <w:rFonts w:ascii="Arial" w:hAnsi="Arial" w:cs="Arial"/>
          <w:b/>
          <w:bCs/>
          <w:sz w:val="44"/>
          <w:szCs w:val="44"/>
        </w:rPr>
      </w:pPr>
      <w:r>
        <w:rPr>
          <w:rFonts w:ascii="Arial" w:hAnsi="Arial" w:cs="Arial"/>
          <w:b/>
          <w:bCs/>
          <w:sz w:val="44"/>
          <w:szCs w:val="44"/>
        </w:rPr>
        <w:lastRenderedPageBreak/>
        <w:t>Factors of vulnerability child, young person, and family</w:t>
      </w:r>
    </w:p>
    <w:p w14:paraId="1AB99C27" w14:textId="77777777" w:rsidR="004A14C5" w:rsidRDefault="004A14C5" w:rsidP="004A14C5">
      <w:pPr>
        <w:jc w:val="center"/>
        <w:rPr>
          <w:rFonts w:ascii="Arial" w:hAnsi="Arial" w:cs="Arial"/>
          <w:b/>
          <w:bCs/>
          <w:sz w:val="44"/>
          <w:szCs w:val="44"/>
        </w:rPr>
      </w:pPr>
    </w:p>
    <w:p w14:paraId="2EB3CCD6" w14:textId="77777777" w:rsidR="004A14C5" w:rsidRPr="001560FC" w:rsidRDefault="004A14C5" w:rsidP="001560FC">
      <w:pPr>
        <w:spacing w:after="0" w:line="360" w:lineRule="auto"/>
        <w:jc w:val="both"/>
        <w:rPr>
          <w:rFonts w:ascii="Arial" w:hAnsi="Arial" w:cs="Arial"/>
        </w:rPr>
      </w:pPr>
      <w:r w:rsidRPr="001560FC">
        <w:rPr>
          <w:rFonts w:ascii="Arial" w:hAnsi="Arial" w:cs="Arial"/>
        </w:rPr>
        <w:t>The concept of child vulnerability is regularly alluded to in child advancement and children rights writing; but is not one or the other well characterized nor examined. (Schweiger, 2019)</w:t>
      </w:r>
    </w:p>
    <w:p w14:paraId="3FB68C7A" w14:textId="77777777" w:rsidR="004A14C5" w:rsidRPr="001560FC" w:rsidRDefault="004A14C5" w:rsidP="001560FC">
      <w:pPr>
        <w:spacing w:after="0" w:line="360" w:lineRule="auto"/>
        <w:jc w:val="both"/>
        <w:rPr>
          <w:rFonts w:ascii="Arial" w:hAnsi="Arial" w:cs="Arial"/>
        </w:rPr>
      </w:pPr>
    </w:p>
    <w:p w14:paraId="7A9330FD" w14:textId="77777777" w:rsidR="004A14C5" w:rsidRPr="001560FC" w:rsidRDefault="004A14C5" w:rsidP="001560FC">
      <w:pPr>
        <w:spacing w:after="0" w:line="360" w:lineRule="auto"/>
        <w:jc w:val="both"/>
        <w:rPr>
          <w:rFonts w:ascii="Arial" w:hAnsi="Arial" w:cs="Arial"/>
          <w:b/>
          <w:bCs/>
        </w:rPr>
      </w:pPr>
      <w:r w:rsidRPr="001560FC">
        <w:rPr>
          <w:rFonts w:ascii="Arial" w:hAnsi="Arial" w:cs="Arial"/>
          <w:b/>
          <w:bCs/>
        </w:rPr>
        <w:t xml:space="preserve">Factors </w:t>
      </w:r>
    </w:p>
    <w:p w14:paraId="1E5AA46B" w14:textId="77777777" w:rsidR="004A14C5" w:rsidRPr="001560FC" w:rsidRDefault="004A14C5" w:rsidP="001560FC">
      <w:pPr>
        <w:spacing w:after="0" w:line="360" w:lineRule="auto"/>
        <w:jc w:val="both"/>
        <w:rPr>
          <w:rFonts w:ascii="Arial" w:hAnsi="Arial" w:cs="Arial"/>
          <w:u w:val="single"/>
        </w:rPr>
      </w:pPr>
    </w:p>
    <w:p w14:paraId="2C24D143" w14:textId="1B7CD095" w:rsidR="004A14C5" w:rsidRPr="001560FC" w:rsidRDefault="004A14C5" w:rsidP="001560FC">
      <w:pPr>
        <w:spacing w:after="0" w:line="360" w:lineRule="auto"/>
        <w:jc w:val="both"/>
        <w:rPr>
          <w:rFonts w:ascii="Arial" w:hAnsi="Arial" w:cs="Arial"/>
          <w:u w:val="single"/>
        </w:rPr>
      </w:pPr>
      <w:r w:rsidRPr="001560FC">
        <w:rPr>
          <w:rFonts w:ascii="Arial" w:hAnsi="Arial" w:cs="Arial"/>
          <w:u w:val="single"/>
        </w:rPr>
        <w:t>Disability</w:t>
      </w:r>
    </w:p>
    <w:p w14:paraId="11994D58" w14:textId="47F8718D" w:rsidR="004A14C5" w:rsidRPr="001560FC" w:rsidRDefault="004A14C5" w:rsidP="001560FC">
      <w:pPr>
        <w:spacing w:after="0" w:line="360" w:lineRule="auto"/>
        <w:jc w:val="both"/>
        <w:rPr>
          <w:rFonts w:ascii="Arial" w:hAnsi="Arial" w:cs="Arial"/>
        </w:rPr>
      </w:pPr>
      <w:r w:rsidRPr="001560FC">
        <w:rPr>
          <w:rFonts w:ascii="Arial" w:hAnsi="Arial" w:cs="Arial"/>
        </w:rPr>
        <w:t xml:space="preserve"> Children with incapacities are a wide bunch with shifting capabilities and needs whose person working is constrained by physical, mental, communication and tangible disabilities and different persistent conditions.</w:t>
      </w:r>
    </w:p>
    <w:p w14:paraId="2128FDF3" w14:textId="1A064379" w:rsidR="004A14C5" w:rsidRPr="001560FC" w:rsidRDefault="008947C8" w:rsidP="001560FC">
      <w:pPr>
        <w:spacing w:after="0" w:line="360" w:lineRule="auto"/>
        <w:jc w:val="both"/>
        <w:rPr>
          <w:rFonts w:ascii="Arial" w:hAnsi="Arial" w:cs="Arial"/>
          <w:u w:val="single"/>
        </w:rPr>
      </w:pPr>
      <w:r w:rsidRPr="001560FC">
        <w:rPr>
          <w:rFonts w:ascii="Arial" w:hAnsi="Arial" w:cs="Arial"/>
          <w:u w:val="single"/>
        </w:rPr>
        <w:t>Mental health difficulties</w:t>
      </w:r>
    </w:p>
    <w:p w14:paraId="142551F0" w14:textId="77777777" w:rsidR="008947C8" w:rsidRPr="001560FC" w:rsidRDefault="004A14C5" w:rsidP="001560FC">
      <w:pPr>
        <w:spacing w:after="0" w:line="360" w:lineRule="auto"/>
        <w:jc w:val="both"/>
        <w:rPr>
          <w:rFonts w:ascii="Arial" w:hAnsi="Arial" w:cs="Arial"/>
        </w:rPr>
      </w:pPr>
      <w:r w:rsidRPr="001560FC">
        <w:rPr>
          <w:rFonts w:ascii="Arial" w:hAnsi="Arial" w:cs="Arial"/>
        </w:rPr>
        <w:t>Disparity contributes to articulated contrasts in children’s mental wellbeing. Children from moo socio-economic foundations are two to three times more likely to create mental challenges than those from tall socio-economic foundations; fabric hardship.</w:t>
      </w:r>
    </w:p>
    <w:p w14:paraId="1091F234" w14:textId="77777777"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t>Worker background</w:t>
      </w:r>
    </w:p>
    <w:p w14:paraId="09F79258" w14:textId="46B4EDC4" w:rsidR="008947C8" w:rsidRPr="001560FC" w:rsidRDefault="008947C8" w:rsidP="001560FC">
      <w:pPr>
        <w:spacing w:after="0" w:line="360" w:lineRule="auto"/>
        <w:jc w:val="both"/>
        <w:rPr>
          <w:rFonts w:ascii="Arial" w:hAnsi="Arial" w:cs="Arial"/>
        </w:rPr>
      </w:pPr>
      <w:r w:rsidRPr="001560FC">
        <w:rPr>
          <w:rFonts w:ascii="Arial" w:hAnsi="Arial" w:cs="Arial"/>
        </w:rPr>
        <w:t xml:space="preserve"> Children with worker foundations are a huge and developing bunch. Variables such as guardians with lower instructive achievement and less financial assets within the family can influence their capacity to succeed in or total school. These children too tend to have fewer social systems set up in their have nation, talk a dialect at domestic that varies from the one talked at school, and are more portable than understudies without a foreigner foundation.</w:t>
      </w:r>
    </w:p>
    <w:p w14:paraId="4885489F" w14:textId="77777777"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t xml:space="preserve">Maltreatment </w:t>
      </w:r>
    </w:p>
    <w:p w14:paraId="28AB789E" w14:textId="77777777" w:rsidR="008947C8" w:rsidRPr="001560FC" w:rsidRDefault="008947C8" w:rsidP="001560FC">
      <w:pPr>
        <w:spacing w:after="0" w:line="360" w:lineRule="auto"/>
        <w:jc w:val="both"/>
        <w:rPr>
          <w:rFonts w:ascii="Arial" w:hAnsi="Arial" w:cs="Arial"/>
        </w:rPr>
      </w:pPr>
      <w:r w:rsidRPr="001560FC">
        <w:rPr>
          <w:rFonts w:ascii="Arial" w:hAnsi="Arial" w:cs="Arial"/>
        </w:rPr>
        <w:t>Environmental hazard variables for abuse incorporate destitution, living in a destitute neighbourhood, packed lodging, hint accomplice savagery and parental substance abuse. Child variables incorporate incapacity and destitute child-parent connection. Recognizing children at chance is troublesome, as numerous children uncovered to comparable dangers are not abused.</w:t>
      </w:r>
    </w:p>
    <w:p w14:paraId="04674C4F" w14:textId="77777777"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t>Family Stress</w:t>
      </w:r>
    </w:p>
    <w:p w14:paraId="02576D8B" w14:textId="77777777" w:rsidR="008947C8" w:rsidRPr="001560FC" w:rsidRDefault="008947C8" w:rsidP="001560FC">
      <w:pPr>
        <w:spacing w:after="0" w:line="360" w:lineRule="auto"/>
        <w:jc w:val="both"/>
        <w:rPr>
          <w:rFonts w:ascii="Arial" w:hAnsi="Arial" w:cs="Arial"/>
        </w:rPr>
      </w:pPr>
      <w:r w:rsidRPr="001560FC">
        <w:rPr>
          <w:rFonts w:ascii="Arial" w:hAnsi="Arial" w:cs="Arial"/>
        </w:rPr>
        <w:t xml:space="preserve"> Family push is caused by the co-occurring variables that contribute to child powerlessness. The way in which children learn to reply to stretch is formed by person characteristics and the dangers and defensive components in their environment.</w:t>
      </w:r>
    </w:p>
    <w:p w14:paraId="2814F3E4" w14:textId="77777777" w:rsidR="001560FC" w:rsidRDefault="001560FC" w:rsidP="001560FC">
      <w:pPr>
        <w:spacing w:after="0" w:line="360" w:lineRule="auto"/>
        <w:jc w:val="both"/>
        <w:rPr>
          <w:rFonts w:ascii="Arial" w:hAnsi="Arial" w:cs="Arial"/>
          <w:u w:val="single"/>
        </w:rPr>
      </w:pPr>
    </w:p>
    <w:p w14:paraId="3059AB91" w14:textId="77777777" w:rsidR="001560FC" w:rsidRDefault="001560FC" w:rsidP="001560FC">
      <w:pPr>
        <w:spacing w:after="0" w:line="360" w:lineRule="auto"/>
        <w:jc w:val="both"/>
        <w:rPr>
          <w:rFonts w:ascii="Arial" w:hAnsi="Arial" w:cs="Arial"/>
          <w:u w:val="single"/>
        </w:rPr>
      </w:pPr>
    </w:p>
    <w:p w14:paraId="6118EB18" w14:textId="46DD3C28"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lastRenderedPageBreak/>
        <w:t>Neighbourhoods</w:t>
      </w:r>
    </w:p>
    <w:p w14:paraId="2C229BF4" w14:textId="77777777" w:rsidR="001560FC" w:rsidRPr="001560FC" w:rsidRDefault="008947C8" w:rsidP="001560FC">
      <w:pPr>
        <w:spacing w:after="0" w:line="360" w:lineRule="auto"/>
        <w:jc w:val="both"/>
        <w:rPr>
          <w:rFonts w:ascii="Arial" w:hAnsi="Arial" w:cs="Arial"/>
        </w:rPr>
      </w:pPr>
      <w:r w:rsidRPr="001560FC">
        <w:rPr>
          <w:rFonts w:ascii="Arial" w:hAnsi="Arial" w:cs="Arial"/>
        </w:rPr>
        <w:t xml:space="preserve"> Neighbourhoods have a causal impact on child and afterward grown-up results, unmistakable from family variables. Neighbourhoods shift within the openings accessible for children to do well; a few have steady instruments in put that upgrade child advancement, whereas others have as well numerous stressors and not sufficient defensive components. Neighbourhoods can increment the challenges experienced by families through concentrated destitution, social separation, and joblessness.</w:t>
      </w:r>
      <w:r w:rsidR="001560FC" w:rsidRPr="001560FC">
        <w:rPr>
          <w:rFonts w:ascii="Arial" w:hAnsi="Arial" w:cs="Arial"/>
        </w:rPr>
        <w:t xml:space="preserve"> (oecd-ilibrary.org. (2021)</w:t>
      </w:r>
    </w:p>
    <w:p w14:paraId="1B3247A7" w14:textId="77777777" w:rsidR="001560FC" w:rsidRPr="001560FC" w:rsidRDefault="001560FC" w:rsidP="001560FC">
      <w:pPr>
        <w:spacing w:after="0" w:line="360" w:lineRule="auto"/>
        <w:jc w:val="both"/>
        <w:rPr>
          <w:rFonts w:ascii="Arial" w:hAnsi="Arial" w:cs="Arial"/>
        </w:rPr>
      </w:pPr>
    </w:p>
    <w:p w14:paraId="6F554CB9" w14:textId="5DA78935" w:rsidR="001560FC" w:rsidRDefault="001560FC" w:rsidP="001560FC">
      <w:pPr>
        <w:spacing w:after="0" w:line="360" w:lineRule="auto"/>
        <w:jc w:val="both"/>
        <w:rPr>
          <w:rFonts w:ascii="Arial" w:hAnsi="Arial" w:cs="Arial"/>
        </w:rPr>
      </w:pPr>
      <w:r w:rsidRPr="001560FC">
        <w:rPr>
          <w:rFonts w:ascii="Arial" w:hAnsi="Arial" w:cs="Arial"/>
        </w:rPr>
        <w:t xml:space="preserve">Household abuse continuously influences children. Being uncovered to household abuse in childhood is child abuse. Children may involvement residential abuse straightforwardly, but they can moreover encounter it in a roundabout way by hearing the abuse from another room seeing a parent's wounds or trouble afterwards finding confuse like broken furniture being harmed from being adjacent or attempting to halt the abuse experiencing a decreased quality in child rearing </w:t>
      </w:r>
      <w:r w:rsidR="00312E3E" w:rsidRPr="001560FC">
        <w:rPr>
          <w:rFonts w:ascii="Arial" w:hAnsi="Arial" w:cs="Arial"/>
        </w:rPr>
        <w:t>because of</w:t>
      </w:r>
      <w:r w:rsidRPr="001560FC">
        <w:rPr>
          <w:rFonts w:ascii="Arial" w:hAnsi="Arial" w:cs="Arial"/>
        </w:rPr>
        <w:t xml:space="preserve"> the abuse. (NSPCC Learning, 2021)</w:t>
      </w:r>
    </w:p>
    <w:p w14:paraId="21AF7A31" w14:textId="77777777" w:rsidR="001560FC" w:rsidRDefault="001560FC" w:rsidP="001560FC">
      <w:pPr>
        <w:spacing w:after="0" w:line="360" w:lineRule="auto"/>
        <w:jc w:val="both"/>
        <w:rPr>
          <w:rFonts w:ascii="Arial" w:hAnsi="Arial" w:cs="Arial"/>
        </w:rPr>
      </w:pPr>
      <w:r>
        <w:rPr>
          <w:rFonts w:ascii="Arial" w:hAnsi="Arial" w:cs="Arial"/>
        </w:rPr>
        <w:t xml:space="preserve"> </w:t>
      </w:r>
    </w:p>
    <w:p w14:paraId="7BAE4981" w14:textId="77777777" w:rsidR="00312E3E" w:rsidRDefault="001560FC" w:rsidP="001560FC">
      <w:pPr>
        <w:spacing w:after="0" w:line="360" w:lineRule="auto"/>
        <w:jc w:val="both"/>
        <w:rPr>
          <w:rFonts w:ascii="Arial" w:hAnsi="Arial" w:cs="Arial"/>
          <w:b/>
          <w:bCs/>
        </w:rPr>
      </w:pPr>
      <w:r w:rsidRPr="00312E3E">
        <w:rPr>
          <w:rFonts w:ascii="Arial" w:hAnsi="Arial" w:cs="Arial"/>
          <w:b/>
          <w:bCs/>
        </w:rPr>
        <w:t>Risk factors for children and family</w:t>
      </w:r>
    </w:p>
    <w:p w14:paraId="2FF1A050" w14:textId="77777777" w:rsidR="00312E3E" w:rsidRDefault="00312E3E" w:rsidP="00312E3E">
      <w:pPr>
        <w:spacing w:after="0" w:line="360" w:lineRule="auto"/>
        <w:jc w:val="both"/>
        <w:rPr>
          <w:rFonts w:ascii="Arial" w:hAnsi="Arial" w:cs="Arial"/>
          <w:b/>
          <w:bCs/>
        </w:rPr>
        <w:sectPr w:rsidR="00312E3E">
          <w:footerReference w:type="default" r:id="rId8"/>
          <w:pgSz w:w="11906" w:h="16838"/>
          <w:pgMar w:top="1440" w:right="1440" w:bottom="1440" w:left="1440" w:header="708" w:footer="708" w:gutter="0"/>
          <w:cols w:space="708"/>
          <w:docGrid w:linePitch="360"/>
        </w:sectPr>
      </w:pPr>
    </w:p>
    <w:p w14:paraId="35EE8149" w14:textId="1EB20EE1"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Female gender</w:t>
      </w:r>
    </w:p>
    <w:p w14:paraId="19E2B02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Early puberty</w:t>
      </w:r>
    </w:p>
    <w:p w14:paraId="2D0F081F"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Anxiety</w:t>
      </w:r>
    </w:p>
    <w:p w14:paraId="7A5D093A"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Insecure attachment</w:t>
      </w:r>
    </w:p>
    <w:p w14:paraId="5E37F24D"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Poor social skills: communication and problem-solving skills</w:t>
      </w:r>
    </w:p>
    <w:p w14:paraId="2357541C"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Extreme need for approval and social support</w:t>
      </w:r>
    </w:p>
    <w:p w14:paraId="332691B2"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Emotional problems in childhood</w:t>
      </w:r>
    </w:p>
    <w:p w14:paraId="69B0308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Conduct disorder</w:t>
      </w:r>
    </w:p>
    <w:p w14:paraId="5DAF1FA5" w14:textId="5FE2BDD2"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 xml:space="preserve">Antisocial </w:t>
      </w:r>
      <w:proofErr w:type="spellStart"/>
      <w:r w:rsidRPr="00312E3E">
        <w:rPr>
          <w:rFonts w:ascii="Arial" w:hAnsi="Arial" w:cs="Arial"/>
        </w:rPr>
        <w:t>behavior</w:t>
      </w:r>
      <w:proofErr w:type="spellEnd"/>
    </w:p>
    <w:p w14:paraId="225DF58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Positive physical development</w:t>
      </w:r>
    </w:p>
    <w:p w14:paraId="45BEB278"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Parent-child conflict</w:t>
      </w:r>
    </w:p>
    <w:p w14:paraId="3FD18F78"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Poor parenting</w:t>
      </w:r>
    </w:p>
    <w:p w14:paraId="6579BB52"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Negative family environment (may include substance abuse in parents)</w:t>
      </w:r>
    </w:p>
    <w:p w14:paraId="0A1412A2"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Child abuse/maltreatment</w:t>
      </w:r>
    </w:p>
    <w:p w14:paraId="3F1B7C29"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Single-parent family (for girls only)</w:t>
      </w:r>
    </w:p>
    <w:p w14:paraId="1C770A49"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Divorce</w:t>
      </w:r>
    </w:p>
    <w:p w14:paraId="1DD260BF"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Marital conflict</w:t>
      </w:r>
    </w:p>
    <w:p w14:paraId="2AD64B24"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Family conflict</w:t>
      </w:r>
    </w:p>
    <w:p w14:paraId="7A0D700D"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 with anxiety</w:t>
      </w:r>
    </w:p>
    <w:p w14:paraId="7090A9F7"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Parental/marital conflict</w:t>
      </w:r>
    </w:p>
    <w:p w14:paraId="11EF4F2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Parental unemployment</w:t>
      </w:r>
    </w:p>
    <w:p w14:paraId="24BB5BD6"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Substance use among parents</w:t>
      </w:r>
    </w:p>
    <w:p w14:paraId="42BEF915"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Lack of adult supervision</w:t>
      </w:r>
    </w:p>
    <w:p w14:paraId="667822D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Parental depression</w:t>
      </w:r>
    </w:p>
    <w:p w14:paraId="29DC8DB5"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Sexual abuse</w:t>
      </w:r>
    </w:p>
    <w:p w14:paraId="0D35342B"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Family</w:t>
      </w:r>
    </w:p>
    <w:p w14:paraId="30CC3C56"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Stressful events</w:t>
      </w:r>
    </w:p>
    <w:p w14:paraId="26336B43"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Poor academic achievement</w:t>
      </w:r>
    </w:p>
    <w:p w14:paraId="7072CF2B" w14:textId="2B4F0C52" w:rsidR="004A14C5" w:rsidRPr="00312E3E" w:rsidRDefault="00312E3E" w:rsidP="00312E3E">
      <w:pPr>
        <w:pStyle w:val="ListParagraph"/>
        <w:numPr>
          <w:ilvl w:val="0"/>
          <w:numId w:val="2"/>
        </w:numPr>
        <w:spacing w:after="0" w:line="360" w:lineRule="auto"/>
        <w:jc w:val="both"/>
        <w:rPr>
          <w:rFonts w:ascii="Arial" w:hAnsi="Arial" w:cs="Arial"/>
          <w:b/>
          <w:bCs/>
        </w:rPr>
      </w:pPr>
      <w:r w:rsidRPr="00312E3E">
        <w:rPr>
          <w:rFonts w:ascii="Arial" w:hAnsi="Arial" w:cs="Arial"/>
        </w:rPr>
        <w:t>Poverty</w:t>
      </w:r>
      <w:r w:rsidRPr="00312E3E">
        <w:t xml:space="preserve"> </w:t>
      </w:r>
      <w:r w:rsidRPr="00312E3E">
        <w:rPr>
          <w:rFonts w:ascii="Arial" w:hAnsi="Arial" w:cs="Arial"/>
        </w:rPr>
        <w:t>(Youth.gov, 2000)</w:t>
      </w:r>
      <w:r w:rsidR="004A14C5" w:rsidRPr="00312E3E">
        <w:rPr>
          <w:rFonts w:ascii="Arial" w:hAnsi="Arial" w:cs="Arial"/>
          <w:b/>
          <w:bCs/>
        </w:rPr>
        <w:br w:type="page"/>
      </w:r>
    </w:p>
    <w:p w14:paraId="060744B0" w14:textId="77777777" w:rsidR="00312E3E" w:rsidRDefault="00312E3E" w:rsidP="001560FC">
      <w:pPr>
        <w:spacing w:line="360" w:lineRule="auto"/>
        <w:jc w:val="both"/>
        <w:rPr>
          <w:rFonts w:ascii="Arial" w:hAnsi="Arial" w:cs="Arial"/>
          <w:b/>
          <w:bCs/>
        </w:rPr>
        <w:sectPr w:rsidR="00312E3E" w:rsidSect="00312E3E">
          <w:type w:val="continuous"/>
          <w:pgSz w:w="11906" w:h="16838"/>
          <w:pgMar w:top="1440" w:right="1440" w:bottom="1440" w:left="1440" w:header="708" w:footer="708" w:gutter="0"/>
          <w:cols w:num="3" w:space="708"/>
          <w:docGrid w:linePitch="360"/>
        </w:sectPr>
      </w:pPr>
    </w:p>
    <w:p w14:paraId="3551B8B4" w14:textId="17CAAB4F" w:rsidR="00A06846" w:rsidRDefault="00312E3E" w:rsidP="001560FC">
      <w:pPr>
        <w:spacing w:line="360" w:lineRule="auto"/>
        <w:jc w:val="both"/>
        <w:rPr>
          <w:rFonts w:ascii="Arial" w:hAnsi="Arial" w:cs="Arial"/>
          <w:b/>
          <w:bCs/>
        </w:rPr>
      </w:pPr>
      <w:r>
        <w:rPr>
          <w:rFonts w:ascii="Arial" w:hAnsi="Arial" w:cs="Arial"/>
          <w:b/>
          <w:bCs/>
        </w:rPr>
        <w:lastRenderedPageBreak/>
        <w:t xml:space="preserve">Policies of multidisciplinary services </w:t>
      </w:r>
    </w:p>
    <w:p w14:paraId="5377F54C" w14:textId="77777777" w:rsidR="00312E3E" w:rsidRDefault="00312E3E" w:rsidP="00312E3E">
      <w:pPr>
        <w:spacing w:line="360" w:lineRule="auto"/>
        <w:jc w:val="both"/>
        <w:rPr>
          <w:rFonts w:ascii="Arial" w:hAnsi="Arial" w:cs="Arial"/>
        </w:rPr>
      </w:pPr>
      <w:r w:rsidRPr="00312E3E">
        <w:rPr>
          <w:rFonts w:ascii="Arial" w:hAnsi="Arial" w:cs="Arial"/>
        </w:rPr>
        <w:t xml:space="preserve">Administrations should: </w:t>
      </w:r>
    </w:p>
    <w:p w14:paraId="551AC040" w14:textId="0562C325" w:rsidR="00312E3E" w:rsidRDefault="00312E3E" w:rsidP="00312E3E">
      <w:pPr>
        <w:spacing w:line="360" w:lineRule="auto"/>
        <w:jc w:val="both"/>
        <w:rPr>
          <w:rFonts w:ascii="Arial" w:hAnsi="Arial" w:cs="Arial"/>
        </w:rPr>
      </w:pPr>
      <w:r>
        <w:rPr>
          <w:rFonts w:ascii="Arial" w:hAnsi="Arial" w:cs="Arial"/>
        </w:rPr>
        <w:t>B</w:t>
      </w:r>
      <w:r w:rsidRPr="00312E3E">
        <w:rPr>
          <w:rFonts w:ascii="Arial" w:hAnsi="Arial" w:cs="Arial"/>
        </w:rPr>
        <w:t>e built by a multidisciplinary group that</w:t>
      </w:r>
      <w:r>
        <w:rPr>
          <w:rFonts w:ascii="Arial" w:hAnsi="Arial" w:cs="Arial"/>
        </w:rPr>
        <w:t xml:space="preserve"> is </w:t>
      </w:r>
      <w:r w:rsidRPr="00312E3E">
        <w:rPr>
          <w:rFonts w:ascii="Arial" w:hAnsi="Arial" w:cs="Arial"/>
        </w:rPr>
        <w:t xml:space="preserve"> fitting to what they got to accomplish amid the pertinent stage of the service improvement, and co-located as much as possible include individuals on the group with skill in how administrations are conveyed over all the significant offline channels, and the back conclusion frameworks the benefit will have to be coordinated with provide the group with get to the master ability it needs (for case lawful, approach or industry-specific investigation - from interior or exterior the organisation) if the group is working with temporary workers and exterior providers, make beyond any doubt it</w:t>
      </w:r>
      <w:r>
        <w:rPr>
          <w:rFonts w:ascii="Arial" w:hAnsi="Arial" w:cs="Arial"/>
        </w:rPr>
        <w:t xml:space="preserve"> is</w:t>
      </w:r>
      <w:r w:rsidRPr="00312E3E">
        <w:rPr>
          <w:rFonts w:ascii="Arial" w:hAnsi="Arial" w:cs="Arial"/>
        </w:rPr>
        <w:t xml:space="preserve"> on a feasible premise</w:t>
      </w:r>
      <w:r>
        <w:rPr>
          <w:rFonts w:ascii="Arial" w:hAnsi="Arial" w:cs="Arial"/>
        </w:rPr>
        <w:t>.</w:t>
      </w:r>
      <w:r w:rsidRPr="00312E3E">
        <w:rPr>
          <w:rFonts w:ascii="Arial" w:hAnsi="Arial" w:cs="Arial"/>
        </w:rPr>
        <w:t xml:space="preserve"> (GOV.UK, </w:t>
      </w:r>
      <w:r>
        <w:rPr>
          <w:rFonts w:ascii="Arial" w:hAnsi="Arial" w:cs="Arial"/>
        </w:rPr>
        <w:t>2019)</w:t>
      </w:r>
    </w:p>
    <w:p w14:paraId="38E51086" w14:textId="09FE00F3" w:rsidR="00F0261A" w:rsidRPr="00312E3E" w:rsidRDefault="00F0261A" w:rsidP="00312E3E">
      <w:pPr>
        <w:spacing w:line="360" w:lineRule="auto"/>
        <w:jc w:val="both"/>
        <w:rPr>
          <w:rFonts w:ascii="Arial" w:hAnsi="Arial" w:cs="Arial"/>
        </w:rPr>
      </w:pPr>
      <w:r w:rsidRPr="00F0261A">
        <w:rPr>
          <w:rFonts w:ascii="Arial" w:hAnsi="Arial" w:cs="Arial"/>
        </w:rPr>
        <w:t>Groups which bring together the significant experts and professionals are seen as a compelling implies to empower way better coordination of their work. Regularly these are named as ‘MDTs’ but are in truth regularly looking for to empower ‘inter’ or ‘trans’ working between diverse ‘professionals’ and ‘practitioners. MDTs are energized (and in a few cases ordered) by policymakers in connection to distinctive populaces and needs. Cases include young individuals who have offended people with mental wellbeing issues</w:t>
      </w:r>
      <w:r>
        <w:rPr>
          <w:rFonts w:ascii="Arial" w:hAnsi="Arial" w:cs="Arial"/>
        </w:rPr>
        <w:t>,</w:t>
      </w:r>
      <w:r w:rsidRPr="00F0261A">
        <w:rPr>
          <w:rFonts w:ascii="Arial" w:hAnsi="Arial" w:cs="Arial"/>
        </w:rPr>
        <w:t xml:space="preserve"> children and youthful individuals who are at chance of manhandle or neglect older individuals with numerous long-term conditions.</w:t>
      </w:r>
      <w:r w:rsidRPr="00F0261A">
        <w:t xml:space="preserve"> </w:t>
      </w:r>
      <w:r w:rsidRPr="00F0261A">
        <w:rPr>
          <w:rFonts w:ascii="Arial" w:hAnsi="Arial" w:cs="Arial"/>
        </w:rPr>
        <w:t>(Social Care Institute for Excellence, 2018)</w:t>
      </w:r>
    </w:p>
    <w:p w14:paraId="7D0F300E" w14:textId="13462744" w:rsidR="00312E3E" w:rsidRDefault="00312E3E" w:rsidP="001560FC">
      <w:pPr>
        <w:spacing w:line="360" w:lineRule="auto"/>
        <w:jc w:val="both"/>
        <w:rPr>
          <w:rFonts w:ascii="Arial" w:hAnsi="Arial" w:cs="Arial"/>
          <w:b/>
          <w:bCs/>
        </w:rPr>
      </w:pPr>
      <w:r>
        <w:rPr>
          <w:rFonts w:ascii="Arial" w:hAnsi="Arial" w:cs="Arial"/>
          <w:b/>
          <w:bCs/>
        </w:rPr>
        <w:t xml:space="preserve">Recommendation </w:t>
      </w:r>
    </w:p>
    <w:p w14:paraId="668F57A4" w14:textId="7FFFC480" w:rsidR="00312E3E" w:rsidRPr="00F0261A" w:rsidRDefault="00312E3E" w:rsidP="00F0261A">
      <w:pPr>
        <w:pStyle w:val="ListParagraph"/>
        <w:numPr>
          <w:ilvl w:val="0"/>
          <w:numId w:val="3"/>
        </w:numPr>
        <w:spacing w:line="360" w:lineRule="auto"/>
        <w:jc w:val="both"/>
        <w:rPr>
          <w:rFonts w:ascii="Arial" w:hAnsi="Arial" w:cs="Arial"/>
        </w:rPr>
      </w:pPr>
      <w:r w:rsidRPr="00F0261A">
        <w:rPr>
          <w:rFonts w:ascii="Arial" w:hAnsi="Arial" w:cs="Arial"/>
        </w:rPr>
        <w:t>Take a child-centred approach to all work with children and youthful individuals. Include them in decision-making to the fullest degree conceivable depending on their age and formative arrange.</w:t>
      </w:r>
    </w:p>
    <w:p w14:paraId="3F5F689C" w14:textId="2A25B239"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C</w:t>
      </w:r>
      <w:r w:rsidR="00312E3E" w:rsidRPr="00F0261A">
        <w:rPr>
          <w:rFonts w:ascii="Arial" w:hAnsi="Arial" w:cs="Arial"/>
        </w:rPr>
        <w:t xml:space="preserve">larify secrecy and once you might have to be share </w:t>
      </w:r>
      <w:r w:rsidRPr="00F0261A">
        <w:rPr>
          <w:rFonts w:ascii="Arial" w:hAnsi="Arial" w:cs="Arial"/>
        </w:rPr>
        <w:t>data</w:t>
      </w:r>
      <w:r w:rsidR="00312E3E" w:rsidRPr="00F0261A">
        <w:rPr>
          <w:rFonts w:ascii="Arial" w:hAnsi="Arial" w:cs="Arial"/>
        </w:rPr>
        <w:t>, and with whom</w:t>
      </w:r>
      <w:r w:rsidR="00384139">
        <w:rPr>
          <w:rFonts w:ascii="Arial" w:hAnsi="Arial" w:cs="Arial"/>
        </w:rPr>
        <w:t>,</w:t>
      </w:r>
    </w:p>
    <w:p w14:paraId="05AC93C6" w14:textId="03330436" w:rsidR="00F0261A" w:rsidRPr="00F0261A" w:rsidRDefault="00312E3E" w:rsidP="00F0261A">
      <w:pPr>
        <w:pStyle w:val="ListParagraph"/>
        <w:numPr>
          <w:ilvl w:val="0"/>
          <w:numId w:val="3"/>
        </w:numPr>
        <w:spacing w:line="360" w:lineRule="auto"/>
        <w:jc w:val="both"/>
        <w:rPr>
          <w:rFonts w:ascii="Arial" w:hAnsi="Arial" w:cs="Arial"/>
        </w:rPr>
      </w:pPr>
      <w:r w:rsidRPr="00F0261A">
        <w:rPr>
          <w:rFonts w:ascii="Arial" w:hAnsi="Arial" w:cs="Arial"/>
        </w:rPr>
        <w:t xml:space="preserve"> </w:t>
      </w:r>
      <w:r w:rsidR="00F0261A" w:rsidRPr="00F0261A">
        <w:rPr>
          <w:rFonts w:ascii="Arial" w:hAnsi="Arial" w:cs="Arial"/>
        </w:rPr>
        <w:t>B</w:t>
      </w:r>
      <w:r w:rsidRPr="00F0261A">
        <w:rPr>
          <w:rFonts w:ascii="Arial" w:hAnsi="Arial" w:cs="Arial"/>
        </w:rPr>
        <w:t>e delicate and empathetic</w:t>
      </w:r>
      <w:r w:rsidR="00384139">
        <w:rPr>
          <w:rFonts w:ascii="Arial" w:hAnsi="Arial" w:cs="Arial"/>
        </w:rPr>
        <w:t>,</w:t>
      </w:r>
      <w:r w:rsidRPr="00F0261A">
        <w:rPr>
          <w:rFonts w:ascii="Arial" w:hAnsi="Arial" w:cs="Arial"/>
        </w:rPr>
        <w:t xml:space="preserve"> </w:t>
      </w:r>
    </w:p>
    <w:p w14:paraId="2031BD4D" w14:textId="701BE25E"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L</w:t>
      </w:r>
      <w:r w:rsidR="00312E3E" w:rsidRPr="00F0261A">
        <w:rPr>
          <w:rFonts w:ascii="Arial" w:hAnsi="Arial" w:cs="Arial"/>
        </w:rPr>
        <w:t>isten effectively and utilize open questions</w:t>
      </w:r>
      <w:r w:rsidR="00384139">
        <w:rPr>
          <w:rFonts w:ascii="Arial" w:hAnsi="Arial" w:cs="Arial"/>
        </w:rPr>
        <w:t>.</w:t>
      </w:r>
    </w:p>
    <w:p w14:paraId="4E594D2D" w14:textId="6B5DEA02"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F</w:t>
      </w:r>
      <w:r w:rsidR="00312E3E" w:rsidRPr="00F0261A">
        <w:rPr>
          <w:rFonts w:ascii="Arial" w:hAnsi="Arial" w:cs="Arial"/>
        </w:rPr>
        <w:t xml:space="preserve">ind out their sees and </w:t>
      </w:r>
      <w:r w:rsidR="00384139" w:rsidRPr="00F0261A">
        <w:rPr>
          <w:rFonts w:ascii="Arial" w:hAnsi="Arial" w:cs="Arial"/>
        </w:rPr>
        <w:t>wishes.</w:t>
      </w:r>
    </w:p>
    <w:p w14:paraId="1222682D" w14:textId="784710B5" w:rsidR="00312E3E" w:rsidRPr="00F0261A" w:rsidRDefault="00384139" w:rsidP="00F0261A">
      <w:pPr>
        <w:pStyle w:val="ListParagraph"/>
        <w:numPr>
          <w:ilvl w:val="0"/>
          <w:numId w:val="3"/>
        </w:numPr>
        <w:spacing w:line="360" w:lineRule="auto"/>
        <w:jc w:val="both"/>
        <w:rPr>
          <w:rFonts w:ascii="Arial" w:hAnsi="Arial" w:cs="Arial"/>
        </w:rPr>
      </w:pPr>
      <w:r w:rsidRPr="00F0261A">
        <w:rPr>
          <w:rFonts w:ascii="Arial" w:hAnsi="Arial" w:cs="Arial"/>
        </w:rPr>
        <w:t>Check understanding</w:t>
      </w:r>
      <w:r w:rsidR="00312E3E" w:rsidRPr="00F0261A">
        <w:rPr>
          <w:rFonts w:ascii="Arial" w:hAnsi="Arial" w:cs="Arial"/>
        </w:rPr>
        <w:t xml:space="preserve"> of what the child has told you</w:t>
      </w:r>
      <w:r>
        <w:rPr>
          <w:rFonts w:ascii="Arial" w:hAnsi="Arial" w:cs="Arial"/>
        </w:rPr>
        <w:t>.</w:t>
      </w:r>
    </w:p>
    <w:p w14:paraId="07839BFF" w14:textId="1B848DD1"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Share reports and plans with the child or youthful individual in a way that</w:t>
      </w:r>
      <w:r w:rsidR="00384139">
        <w:rPr>
          <w:rFonts w:ascii="Arial" w:hAnsi="Arial" w:cs="Arial"/>
        </w:rPr>
        <w:t xml:space="preserve"> is </w:t>
      </w:r>
      <w:r w:rsidRPr="00F0261A">
        <w:rPr>
          <w:rFonts w:ascii="Arial" w:hAnsi="Arial" w:cs="Arial"/>
        </w:rPr>
        <w:t xml:space="preserve"> suitable to their age and understanding. </w:t>
      </w:r>
    </w:p>
    <w:p w14:paraId="40B97794" w14:textId="755C87ED" w:rsidR="00F0261A" w:rsidRPr="00F0261A" w:rsidRDefault="00384139" w:rsidP="00F0261A">
      <w:pPr>
        <w:pStyle w:val="ListParagraph"/>
        <w:numPr>
          <w:ilvl w:val="0"/>
          <w:numId w:val="3"/>
        </w:numPr>
        <w:spacing w:line="360" w:lineRule="auto"/>
        <w:jc w:val="both"/>
        <w:rPr>
          <w:rFonts w:ascii="Arial" w:hAnsi="Arial" w:cs="Arial"/>
        </w:rPr>
      </w:pPr>
      <w:r>
        <w:rPr>
          <w:rFonts w:ascii="Arial" w:hAnsi="Arial" w:cs="Arial"/>
        </w:rPr>
        <w:t xml:space="preserve">Should </w:t>
      </w:r>
      <w:r w:rsidR="00F0261A" w:rsidRPr="00F0261A">
        <w:rPr>
          <w:rFonts w:ascii="Arial" w:hAnsi="Arial" w:cs="Arial"/>
        </w:rPr>
        <w:t xml:space="preserve">explain how </w:t>
      </w:r>
      <w:r>
        <w:rPr>
          <w:rFonts w:ascii="Arial" w:hAnsi="Arial" w:cs="Arial"/>
        </w:rPr>
        <w:t xml:space="preserve">carers </w:t>
      </w:r>
      <w:r w:rsidR="00F0261A" w:rsidRPr="00F0261A">
        <w:rPr>
          <w:rFonts w:ascii="Arial" w:hAnsi="Arial" w:cs="Arial"/>
        </w:rPr>
        <w:t xml:space="preserve"> will work in conjunction with children and young people and do what</w:t>
      </w:r>
      <w:r>
        <w:rPr>
          <w:rFonts w:ascii="Arial" w:hAnsi="Arial" w:cs="Arial"/>
        </w:rPr>
        <w:t xml:space="preserve"> they</w:t>
      </w:r>
      <w:r w:rsidR="00F0261A" w:rsidRPr="00F0261A">
        <w:rPr>
          <w:rFonts w:ascii="Arial" w:hAnsi="Arial" w:cs="Arial"/>
        </w:rPr>
        <w:t xml:space="preserve"> have got said you may do. In case circumstances alter and this is often not conceivable, clarify why as before long as conceivable, and offer elective actions. </w:t>
      </w:r>
    </w:p>
    <w:p w14:paraId="5202CA03" w14:textId="2D445B13"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lastRenderedPageBreak/>
        <w:t xml:space="preserve">Agree with the child or youthful individual (on the off chance that age suitable) how </w:t>
      </w:r>
      <w:r w:rsidR="00384139">
        <w:rPr>
          <w:rFonts w:ascii="Arial" w:hAnsi="Arial" w:cs="Arial"/>
        </w:rPr>
        <w:t>should</w:t>
      </w:r>
      <w:r w:rsidRPr="00F0261A">
        <w:rPr>
          <w:rFonts w:ascii="Arial" w:hAnsi="Arial" w:cs="Arial"/>
        </w:rPr>
        <w:t xml:space="preserve"> communicate with each other. Deliver them contact subtle elements, counting for administrations accessible out of hours.</w:t>
      </w:r>
      <w:r w:rsidRPr="00F0261A">
        <w:t xml:space="preserve"> </w:t>
      </w:r>
      <w:r w:rsidRPr="00F0261A">
        <w:rPr>
          <w:rFonts w:ascii="Arial" w:hAnsi="Arial" w:cs="Arial"/>
        </w:rPr>
        <w:t>(Nice.org.uk, 2017)</w:t>
      </w:r>
    </w:p>
    <w:p w14:paraId="4DE26668" w14:textId="017F7F0C" w:rsidR="00312E3E" w:rsidRDefault="00312E3E" w:rsidP="001560FC">
      <w:pPr>
        <w:spacing w:line="360" w:lineRule="auto"/>
        <w:jc w:val="both"/>
        <w:rPr>
          <w:rFonts w:ascii="Arial" w:hAnsi="Arial" w:cs="Arial"/>
          <w:b/>
          <w:bCs/>
        </w:rPr>
      </w:pPr>
    </w:p>
    <w:p w14:paraId="1339ABFB" w14:textId="26876DA4" w:rsidR="00312E3E" w:rsidRDefault="00312E3E" w:rsidP="001560FC">
      <w:pPr>
        <w:spacing w:line="360" w:lineRule="auto"/>
        <w:jc w:val="both"/>
        <w:rPr>
          <w:rFonts w:ascii="Arial" w:hAnsi="Arial" w:cs="Arial"/>
          <w:b/>
          <w:bCs/>
        </w:rPr>
      </w:pPr>
    </w:p>
    <w:p w14:paraId="3485E710" w14:textId="0FFE0EAB" w:rsidR="00312E3E" w:rsidRDefault="00312E3E" w:rsidP="001560FC">
      <w:pPr>
        <w:spacing w:line="360" w:lineRule="auto"/>
        <w:jc w:val="both"/>
        <w:rPr>
          <w:rFonts w:ascii="Arial" w:hAnsi="Arial" w:cs="Arial"/>
          <w:b/>
          <w:bCs/>
        </w:rPr>
      </w:pPr>
    </w:p>
    <w:p w14:paraId="576F1406" w14:textId="1AE5B609" w:rsidR="00312E3E" w:rsidRDefault="00312E3E" w:rsidP="001560FC">
      <w:pPr>
        <w:spacing w:line="360" w:lineRule="auto"/>
        <w:jc w:val="both"/>
        <w:rPr>
          <w:rFonts w:ascii="Arial" w:hAnsi="Arial" w:cs="Arial"/>
          <w:b/>
          <w:bCs/>
        </w:rPr>
      </w:pPr>
    </w:p>
    <w:p w14:paraId="79854A5D" w14:textId="7077332E" w:rsidR="00F0261A" w:rsidRDefault="00F0261A" w:rsidP="001560FC">
      <w:pPr>
        <w:spacing w:line="360" w:lineRule="auto"/>
        <w:jc w:val="both"/>
        <w:rPr>
          <w:rFonts w:ascii="Arial" w:hAnsi="Arial" w:cs="Arial"/>
          <w:b/>
          <w:bCs/>
        </w:rPr>
      </w:pPr>
    </w:p>
    <w:p w14:paraId="27F361CD" w14:textId="3EFBB324" w:rsidR="00F0261A" w:rsidRDefault="00F0261A" w:rsidP="001560FC">
      <w:pPr>
        <w:spacing w:line="360" w:lineRule="auto"/>
        <w:jc w:val="both"/>
        <w:rPr>
          <w:rFonts w:ascii="Arial" w:hAnsi="Arial" w:cs="Arial"/>
          <w:b/>
          <w:bCs/>
        </w:rPr>
      </w:pPr>
    </w:p>
    <w:p w14:paraId="5914325C" w14:textId="76DCDBCB" w:rsidR="00F0261A" w:rsidRDefault="00F0261A" w:rsidP="001560FC">
      <w:pPr>
        <w:spacing w:line="360" w:lineRule="auto"/>
        <w:jc w:val="both"/>
        <w:rPr>
          <w:rFonts w:ascii="Arial" w:hAnsi="Arial" w:cs="Arial"/>
          <w:b/>
          <w:bCs/>
        </w:rPr>
      </w:pPr>
    </w:p>
    <w:p w14:paraId="11E8FBED" w14:textId="32156C45" w:rsidR="00F0261A" w:rsidRDefault="00F0261A" w:rsidP="001560FC">
      <w:pPr>
        <w:spacing w:line="360" w:lineRule="auto"/>
        <w:jc w:val="both"/>
        <w:rPr>
          <w:rFonts w:ascii="Arial" w:hAnsi="Arial" w:cs="Arial"/>
          <w:b/>
          <w:bCs/>
        </w:rPr>
      </w:pPr>
    </w:p>
    <w:p w14:paraId="7AE75D3E" w14:textId="18F10CFC" w:rsidR="00F0261A" w:rsidRDefault="00F0261A" w:rsidP="001560FC">
      <w:pPr>
        <w:spacing w:line="360" w:lineRule="auto"/>
        <w:jc w:val="both"/>
        <w:rPr>
          <w:rFonts w:ascii="Arial" w:hAnsi="Arial" w:cs="Arial"/>
          <w:b/>
          <w:bCs/>
        </w:rPr>
      </w:pPr>
    </w:p>
    <w:p w14:paraId="728BE3F4" w14:textId="7BB5019F" w:rsidR="00F0261A" w:rsidRDefault="00F0261A" w:rsidP="001560FC">
      <w:pPr>
        <w:spacing w:line="360" w:lineRule="auto"/>
        <w:jc w:val="both"/>
        <w:rPr>
          <w:rFonts w:ascii="Arial" w:hAnsi="Arial" w:cs="Arial"/>
          <w:b/>
          <w:bCs/>
        </w:rPr>
      </w:pPr>
    </w:p>
    <w:p w14:paraId="6A0C25DF" w14:textId="6F15D89D" w:rsidR="00F0261A" w:rsidRDefault="00F0261A" w:rsidP="001560FC">
      <w:pPr>
        <w:spacing w:line="360" w:lineRule="auto"/>
        <w:jc w:val="both"/>
        <w:rPr>
          <w:rFonts w:ascii="Arial" w:hAnsi="Arial" w:cs="Arial"/>
          <w:b/>
          <w:bCs/>
        </w:rPr>
      </w:pPr>
    </w:p>
    <w:p w14:paraId="342401DC" w14:textId="64683474" w:rsidR="00F0261A" w:rsidRDefault="00F0261A" w:rsidP="001560FC">
      <w:pPr>
        <w:spacing w:line="360" w:lineRule="auto"/>
        <w:jc w:val="both"/>
        <w:rPr>
          <w:rFonts w:ascii="Arial" w:hAnsi="Arial" w:cs="Arial"/>
          <w:b/>
          <w:bCs/>
        </w:rPr>
      </w:pPr>
    </w:p>
    <w:p w14:paraId="0CB136B0" w14:textId="058BAAAC" w:rsidR="00F0261A" w:rsidRDefault="00F0261A" w:rsidP="001560FC">
      <w:pPr>
        <w:spacing w:line="360" w:lineRule="auto"/>
        <w:jc w:val="both"/>
        <w:rPr>
          <w:rFonts w:ascii="Arial" w:hAnsi="Arial" w:cs="Arial"/>
          <w:b/>
          <w:bCs/>
        </w:rPr>
      </w:pPr>
    </w:p>
    <w:p w14:paraId="5A1F4CD1" w14:textId="7DD2E0F0" w:rsidR="00F0261A" w:rsidRDefault="00F0261A" w:rsidP="001560FC">
      <w:pPr>
        <w:spacing w:line="360" w:lineRule="auto"/>
        <w:jc w:val="both"/>
        <w:rPr>
          <w:rFonts w:ascii="Arial" w:hAnsi="Arial" w:cs="Arial"/>
          <w:b/>
          <w:bCs/>
        </w:rPr>
      </w:pPr>
    </w:p>
    <w:p w14:paraId="1E0C506D" w14:textId="5976152D" w:rsidR="00F0261A" w:rsidRDefault="00F0261A" w:rsidP="001560FC">
      <w:pPr>
        <w:spacing w:line="360" w:lineRule="auto"/>
        <w:jc w:val="both"/>
        <w:rPr>
          <w:rFonts w:ascii="Arial" w:hAnsi="Arial" w:cs="Arial"/>
          <w:b/>
          <w:bCs/>
        </w:rPr>
      </w:pPr>
    </w:p>
    <w:p w14:paraId="2217464D" w14:textId="71F0C179" w:rsidR="00F0261A" w:rsidRDefault="00F0261A" w:rsidP="001560FC">
      <w:pPr>
        <w:spacing w:line="360" w:lineRule="auto"/>
        <w:jc w:val="both"/>
        <w:rPr>
          <w:rFonts w:ascii="Arial" w:hAnsi="Arial" w:cs="Arial"/>
          <w:b/>
          <w:bCs/>
        </w:rPr>
      </w:pPr>
    </w:p>
    <w:p w14:paraId="3C3B466E" w14:textId="4909AD06" w:rsidR="00F0261A" w:rsidRDefault="00F0261A" w:rsidP="001560FC">
      <w:pPr>
        <w:spacing w:line="360" w:lineRule="auto"/>
        <w:jc w:val="both"/>
        <w:rPr>
          <w:rFonts w:ascii="Arial" w:hAnsi="Arial" w:cs="Arial"/>
          <w:b/>
          <w:bCs/>
        </w:rPr>
      </w:pPr>
    </w:p>
    <w:p w14:paraId="133F8876" w14:textId="0762E313" w:rsidR="00F0261A" w:rsidRDefault="00F0261A" w:rsidP="001560FC">
      <w:pPr>
        <w:spacing w:line="360" w:lineRule="auto"/>
        <w:jc w:val="both"/>
        <w:rPr>
          <w:rFonts w:ascii="Arial" w:hAnsi="Arial" w:cs="Arial"/>
          <w:b/>
          <w:bCs/>
        </w:rPr>
      </w:pPr>
    </w:p>
    <w:p w14:paraId="77ADF8F6" w14:textId="6834E3E2" w:rsidR="00F0261A" w:rsidRDefault="00F0261A" w:rsidP="001560FC">
      <w:pPr>
        <w:spacing w:line="360" w:lineRule="auto"/>
        <w:jc w:val="both"/>
        <w:rPr>
          <w:rFonts w:ascii="Arial" w:hAnsi="Arial" w:cs="Arial"/>
          <w:b/>
          <w:bCs/>
        </w:rPr>
      </w:pPr>
    </w:p>
    <w:p w14:paraId="5017524E" w14:textId="29BD682F" w:rsidR="00F0261A" w:rsidRDefault="00F0261A" w:rsidP="001560FC">
      <w:pPr>
        <w:spacing w:line="360" w:lineRule="auto"/>
        <w:jc w:val="both"/>
        <w:rPr>
          <w:rFonts w:ascii="Arial" w:hAnsi="Arial" w:cs="Arial"/>
          <w:b/>
          <w:bCs/>
        </w:rPr>
      </w:pPr>
    </w:p>
    <w:p w14:paraId="6252917D" w14:textId="14A44E04" w:rsidR="00F0261A" w:rsidRDefault="00F0261A" w:rsidP="001560FC">
      <w:pPr>
        <w:spacing w:line="360" w:lineRule="auto"/>
        <w:jc w:val="both"/>
        <w:rPr>
          <w:rFonts w:ascii="Arial" w:hAnsi="Arial" w:cs="Arial"/>
          <w:b/>
          <w:bCs/>
        </w:rPr>
      </w:pPr>
    </w:p>
    <w:p w14:paraId="7E51AE9D" w14:textId="1EA4C1F6" w:rsidR="00F0261A" w:rsidRDefault="00F0261A" w:rsidP="001560FC">
      <w:pPr>
        <w:spacing w:line="360" w:lineRule="auto"/>
        <w:jc w:val="both"/>
        <w:rPr>
          <w:rFonts w:ascii="Arial" w:hAnsi="Arial" w:cs="Arial"/>
          <w:b/>
          <w:bCs/>
        </w:rPr>
      </w:pPr>
    </w:p>
    <w:p w14:paraId="24D82659" w14:textId="77777777" w:rsidR="00F0261A" w:rsidRPr="001560FC" w:rsidRDefault="00F0261A" w:rsidP="001560FC">
      <w:pPr>
        <w:spacing w:line="360" w:lineRule="auto"/>
        <w:jc w:val="both"/>
        <w:rPr>
          <w:rFonts w:ascii="Arial" w:hAnsi="Arial" w:cs="Arial"/>
          <w:b/>
          <w:bCs/>
        </w:rPr>
      </w:pPr>
    </w:p>
    <w:p w14:paraId="05B6BAB0" w14:textId="64534D47" w:rsidR="004A14C5" w:rsidRPr="00F0261A" w:rsidRDefault="004A14C5" w:rsidP="001560FC">
      <w:pPr>
        <w:tabs>
          <w:tab w:val="left" w:pos="3071"/>
        </w:tabs>
        <w:spacing w:line="360" w:lineRule="auto"/>
        <w:jc w:val="both"/>
        <w:rPr>
          <w:rFonts w:ascii="Arial" w:hAnsi="Arial" w:cs="Arial"/>
          <w:b/>
          <w:bCs/>
          <w:sz w:val="28"/>
          <w:szCs w:val="28"/>
        </w:rPr>
      </w:pPr>
      <w:r w:rsidRPr="001560FC">
        <w:rPr>
          <w:rFonts w:ascii="Arial" w:hAnsi="Arial" w:cs="Arial"/>
        </w:rPr>
        <w:lastRenderedPageBreak/>
        <w:tab/>
      </w:r>
      <w:r w:rsidRPr="00F0261A">
        <w:rPr>
          <w:rFonts w:ascii="Arial" w:hAnsi="Arial" w:cs="Arial"/>
          <w:b/>
          <w:bCs/>
          <w:sz w:val="28"/>
          <w:szCs w:val="28"/>
        </w:rPr>
        <w:t>References</w:t>
      </w:r>
    </w:p>
    <w:p w14:paraId="1F37B39C" w14:textId="3E8A282E" w:rsidR="00312E3E" w:rsidRDefault="00312E3E" w:rsidP="001560FC">
      <w:pPr>
        <w:pStyle w:val="ListParagraph"/>
        <w:numPr>
          <w:ilvl w:val="0"/>
          <w:numId w:val="1"/>
        </w:numPr>
        <w:spacing w:line="360" w:lineRule="auto"/>
        <w:jc w:val="both"/>
        <w:rPr>
          <w:rFonts w:ascii="Arial" w:hAnsi="Arial" w:cs="Arial"/>
        </w:rPr>
      </w:pPr>
      <w:r w:rsidRPr="00312E3E">
        <w:rPr>
          <w:rFonts w:ascii="Arial" w:hAnsi="Arial" w:cs="Arial"/>
        </w:rPr>
        <w:t>GOV.UK. (n.d.). 6. Have a multidisciplinary team. [online] Available at: https://www.gov.uk/service-manual/service-standard/point-6-have-a-multidisciplinary-team.</w:t>
      </w:r>
    </w:p>
    <w:p w14:paraId="7785ADB2" w14:textId="284D07D1" w:rsidR="00F0261A" w:rsidRDefault="00F0261A" w:rsidP="001560FC">
      <w:pPr>
        <w:pStyle w:val="ListParagraph"/>
        <w:numPr>
          <w:ilvl w:val="0"/>
          <w:numId w:val="1"/>
        </w:numPr>
        <w:spacing w:line="360" w:lineRule="auto"/>
        <w:jc w:val="both"/>
        <w:rPr>
          <w:rFonts w:ascii="Arial" w:hAnsi="Arial" w:cs="Arial"/>
        </w:rPr>
      </w:pPr>
      <w:r w:rsidRPr="00F0261A">
        <w:rPr>
          <w:rFonts w:ascii="Arial" w:hAnsi="Arial" w:cs="Arial"/>
        </w:rPr>
        <w:t>Nice.org.uk. (2017). Recommendations | Child abuse and neglect | Guidance | NICE. [online] Available at: https://www.nice.org.uk/guidance/ng76/chapter/Recommendations.</w:t>
      </w:r>
    </w:p>
    <w:p w14:paraId="360C03F8" w14:textId="0982BC7D" w:rsidR="001560FC" w:rsidRPr="001560FC" w:rsidRDefault="001560FC" w:rsidP="001560FC">
      <w:pPr>
        <w:pStyle w:val="ListParagraph"/>
        <w:numPr>
          <w:ilvl w:val="0"/>
          <w:numId w:val="1"/>
        </w:numPr>
        <w:spacing w:line="360" w:lineRule="auto"/>
        <w:jc w:val="both"/>
        <w:rPr>
          <w:rFonts w:ascii="Arial" w:hAnsi="Arial" w:cs="Arial"/>
        </w:rPr>
      </w:pPr>
      <w:r w:rsidRPr="001560FC">
        <w:rPr>
          <w:rFonts w:ascii="Arial" w:hAnsi="Arial" w:cs="Arial"/>
        </w:rPr>
        <w:t>NSPCC Learning. (2021). Protecting children from domestic abuse. [online] Available at: https://learning.nspcc.org.uk/child-abuse-and-neglect/domestic-abuse.</w:t>
      </w:r>
    </w:p>
    <w:p w14:paraId="6AC89174" w14:textId="5441169F" w:rsidR="004A14C5" w:rsidRDefault="004A14C5" w:rsidP="001560FC">
      <w:pPr>
        <w:pStyle w:val="ListParagraph"/>
        <w:numPr>
          <w:ilvl w:val="0"/>
          <w:numId w:val="1"/>
        </w:numPr>
        <w:tabs>
          <w:tab w:val="left" w:pos="3071"/>
        </w:tabs>
        <w:spacing w:line="360" w:lineRule="auto"/>
        <w:jc w:val="both"/>
        <w:rPr>
          <w:rFonts w:ascii="Arial" w:hAnsi="Arial" w:cs="Arial"/>
        </w:rPr>
      </w:pPr>
      <w:r w:rsidRPr="001560FC">
        <w:rPr>
          <w:rFonts w:ascii="Arial" w:hAnsi="Arial" w:cs="Arial"/>
        </w:rPr>
        <w:t xml:space="preserve">Schweiger, G. (2019), “Ethics, poverty and children’s vulnerability”, Ethics and Social </w:t>
      </w:r>
      <w:proofErr w:type="spellStart"/>
      <w:r w:rsidR="00F0261A" w:rsidRPr="00F0261A">
        <w:rPr>
          <w:rFonts w:ascii="Arial" w:hAnsi="Arial" w:cs="Arial"/>
        </w:rPr>
        <w:t>Social</w:t>
      </w:r>
      <w:proofErr w:type="spellEnd"/>
      <w:r w:rsidR="00F0261A" w:rsidRPr="00F0261A">
        <w:rPr>
          <w:rFonts w:ascii="Arial" w:hAnsi="Arial" w:cs="Arial"/>
        </w:rPr>
        <w:t xml:space="preserve"> Care Institute for Excellence (2018). Delivering integrated care: the role of the multidisciplinary team. [online] Social Care Institute for Excellence (SCIE). Available at: https://www.scie.org.uk/integrated-care/workforce/role-multidisciplinary-team.</w:t>
      </w:r>
      <w:r w:rsidRPr="001560FC">
        <w:rPr>
          <w:rFonts w:ascii="Arial" w:hAnsi="Arial" w:cs="Arial"/>
        </w:rPr>
        <w:t xml:space="preserve">Welfare, pp. 1-14, </w:t>
      </w:r>
      <w:hyperlink r:id="rId9" w:history="1">
        <w:r w:rsidRPr="001560FC">
          <w:rPr>
            <w:rStyle w:val="Hyperlink"/>
            <w:rFonts w:ascii="Arial" w:hAnsi="Arial" w:cs="Arial"/>
          </w:rPr>
          <w:t>http://dx.doi.org/10.1080/17496535.2019.1593480</w:t>
        </w:r>
      </w:hyperlink>
      <w:r w:rsidRPr="001560FC">
        <w:rPr>
          <w:rFonts w:ascii="Arial" w:hAnsi="Arial" w:cs="Arial"/>
        </w:rPr>
        <w:t>.</w:t>
      </w:r>
    </w:p>
    <w:p w14:paraId="1B710AC5" w14:textId="77777777" w:rsidR="00F0261A" w:rsidRPr="001560FC" w:rsidRDefault="00F0261A" w:rsidP="001560FC">
      <w:pPr>
        <w:pStyle w:val="ListParagraph"/>
        <w:numPr>
          <w:ilvl w:val="0"/>
          <w:numId w:val="1"/>
        </w:numPr>
        <w:tabs>
          <w:tab w:val="left" w:pos="3071"/>
        </w:tabs>
        <w:spacing w:line="360" w:lineRule="auto"/>
        <w:jc w:val="both"/>
        <w:rPr>
          <w:rFonts w:ascii="Arial" w:hAnsi="Arial" w:cs="Arial"/>
        </w:rPr>
      </w:pPr>
    </w:p>
    <w:p w14:paraId="76023F44" w14:textId="77777777" w:rsidR="001560FC" w:rsidRPr="001560FC" w:rsidRDefault="001560FC" w:rsidP="001560FC">
      <w:pPr>
        <w:pStyle w:val="ListParagraph"/>
        <w:numPr>
          <w:ilvl w:val="0"/>
          <w:numId w:val="1"/>
        </w:numPr>
        <w:spacing w:line="360" w:lineRule="auto"/>
        <w:jc w:val="both"/>
        <w:rPr>
          <w:rFonts w:ascii="Arial" w:hAnsi="Arial" w:cs="Arial"/>
        </w:rPr>
      </w:pPr>
      <w:r w:rsidRPr="001560FC">
        <w:rPr>
          <w:rFonts w:ascii="Arial" w:hAnsi="Arial" w:cs="Arial"/>
        </w:rPr>
        <w:t xml:space="preserve">www.oecd-ilibrary.org. (2021). What is child vulnerability and how can it be overcome? | Changing the Odds for Vulnerable Children : Building Opportunities and Resilience | OECD </w:t>
      </w:r>
      <w:proofErr w:type="spellStart"/>
      <w:r w:rsidRPr="001560FC">
        <w:rPr>
          <w:rFonts w:ascii="Arial" w:hAnsi="Arial" w:cs="Arial"/>
        </w:rPr>
        <w:t>iLibrary</w:t>
      </w:r>
      <w:proofErr w:type="spellEnd"/>
      <w:r w:rsidRPr="001560FC">
        <w:rPr>
          <w:rFonts w:ascii="Arial" w:hAnsi="Arial" w:cs="Arial"/>
        </w:rPr>
        <w:t>. [online] Available at: https://www.oecd-ilibrary.org/sites/23101e74-en/index.html?itemId=/content/component/23101e74-en#:~:text=Environmental%20factors%20contributing%20to%20child%20vulnerability%20operate%20at.Schweiger, G. (2019), “Ethics, poverty and children’s vulnerability”, Ethics and Social Welfare, pp. 1-14, http://dx.doi.org/10.1080/17496535.2019.1593480.</w:t>
      </w:r>
    </w:p>
    <w:p w14:paraId="4C840DF0" w14:textId="10B16485" w:rsidR="004A14C5" w:rsidRPr="001560FC" w:rsidRDefault="00312E3E" w:rsidP="001560FC">
      <w:pPr>
        <w:pStyle w:val="ListParagraph"/>
        <w:numPr>
          <w:ilvl w:val="0"/>
          <w:numId w:val="1"/>
        </w:numPr>
        <w:tabs>
          <w:tab w:val="left" w:pos="3071"/>
        </w:tabs>
        <w:spacing w:line="360" w:lineRule="auto"/>
        <w:jc w:val="both"/>
        <w:rPr>
          <w:rFonts w:ascii="Arial" w:hAnsi="Arial" w:cs="Arial"/>
        </w:rPr>
      </w:pPr>
      <w:r w:rsidRPr="00312E3E">
        <w:rPr>
          <w:rFonts w:ascii="Arial" w:hAnsi="Arial" w:cs="Arial"/>
        </w:rPr>
        <w:t>Youth.gov (2000). Risk &amp; Protective Factors | Youth.gov. [online] Youth.gov. Available at: https://youth.gov/youth-topics/youth-mental-health/risk-and-protective-factors-youth.</w:t>
      </w:r>
    </w:p>
    <w:sectPr w:rsidR="004A14C5" w:rsidRPr="001560FC" w:rsidSect="00312E3E">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CB606" w14:textId="77777777" w:rsidR="004F4AAF" w:rsidRDefault="004F4AAF" w:rsidP="00384139">
      <w:pPr>
        <w:spacing w:after="0" w:line="240" w:lineRule="auto"/>
      </w:pPr>
      <w:r>
        <w:separator/>
      </w:r>
    </w:p>
  </w:endnote>
  <w:endnote w:type="continuationSeparator" w:id="0">
    <w:p w14:paraId="33D64B34" w14:textId="77777777" w:rsidR="004F4AAF" w:rsidRDefault="004F4AAF" w:rsidP="00384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528703"/>
      <w:docPartObj>
        <w:docPartGallery w:val="Page Numbers (Bottom of Page)"/>
        <w:docPartUnique/>
      </w:docPartObj>
    </w:sdtPr>
    <w:sdtEndPr>
      <w:rPr>
        <w:noProof/>
      </w:rPr>
    </w:sdtEndPr>
    <w:sdtContent>
      <w:p w14:paraId="1419D036" w14:textId="12998B18" w:rsidR="00384139" w:rsidRDefault="003841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55F359" w14:textId="77777777" w:rsidR="00384139" w:rsidRDefault="00384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3DA49" w14:textId="77777777" w:rsidR="004F4AAF" w:rsidRDefault="004F4AAF" w:rsidP="00384139">
      <w:pPr>
        <w:spacing w:after="0" w:line="240" w:lineRule="auto"/>
      </w:pPr>
      <w:r>
        <w:separator/>
      </w:r>
    </w:p>
  </w:footnote>
  <w:footnote w:type="continuationSeparator" w:id="0">
    <w:p w14:paraId="306EA06D" w14:textId="77777777" w:rsidR="004F4AAF" w:rsidRDefault="004F4AAF" w:rsidP="00384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842FC"/>
    <w:multiLevelType w:val="hybridMultilevel"/>
    <w:tmpl w:val="72688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9A2B70"/>
    <w:multiLevelType w:val="hybridMultilevel"/>
    <w:tmpl w:val="28F24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9F636A"/>
    <w:multiLevelType w:val="hybridMultilevel"/>
    <w:tmpl w:val="388E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3C"/>
    <w:rsid w:val="001560FC"/>
    <w:rsid w:val="0027583C"/>
    <w:rsid w:val="00312E3E"/>
    <w:rsid w:val="00384139"/>
    <w:rsid w:val="004A14C5"/>
    <w:rsid w:val="004F4AAF"/>
    <w:rsid w:val="006B00AA"/>
    <w:rsid w:val="008947C8"/>
    <w:rsid w:val="00A06846"/>
    <w:rsid w:val="00F02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F5F95"/>
  <w15:chartTrackingRefBased/>
  <w15:docId w15:val="{00C63017-5C94-44CE-B228-A5111E48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4C5"/>
    <w:pPr>
      <w:ind w:left="720"/>
      <w:contextualSpacing/>
    </w:pPr>
  </w:style>
  <w:style w:type="character" w:styleId="Hyperlink">
    <w:name w:val="Hyperlink"/>
    <w:basedOn w:val="DefaultParagraphFont"/>
    <w:uiPriority w:val="99"/>
    <w:unhideWhenUsed/>
    <w:rsid w:val="004A14C5"/>
    <w:rPr>
      <w:color w:val="0563C1" w:themeColor="hyperlink"/>
      <w:u w:val="single"/>
    </w:rPr>
  </w:style>
  <w:style w:type="character" w:styleId="UnresolvedMention">
    <w:name w:val="Unresolved Mention"/>
    <w:basedOn w:val="DefaultParagraphFont"/>
    <w:uiPriority w:val="99"/>
    <w:semiHidden/>
    <w:unhideWhenUsed/>
    <w:rsid w:val="004A14C5"/>
    <w:rPr>
      <w:color w:val="605E5C"/>
      <w:shd w:val="clear" w:color="auto" w:fill="E1DFDD"/>
    </w:rPr>
  </w:style>
  <w:style w:type="paragraph" w:styleId="Header">
    <w:name w:val="header"/>
    <w:basedOn w:val="Normal"/>
    <w:link w:val="HeaderChar"/>
    <w:uiPriority w:val="99"/>
    <w:unhideWhenUsed/>
    <w:rsid w:val="00384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139"/>
    <w:rPr>
      <w:sz w:val="22"/>
      <w:szCs w:val="22"/>
    </w:rPr>
  </w:style>
  <w:style w:type="paragraph" w:styleId="Footer">
    <w:name w:val="footer"/>
    <w:basedOn w:val="Normal"/>
    <w:link w:val="FooterChar"/>
    <w:uiPriority w:val="99"/>
    <w:unhideWhenUsed/>
    <w:rsid w:val="00384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13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x.doi.org/10.1080/17496535.2019.15934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1859A9-B002-427E-8F6F-9D1D3F902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3</cp:revision>
  <dcterms:created xsi:type="dcterms:W3CDTF">2021-07-21T13:35:00Z</dcterms:created>
  <dcterms:modified xsi:type="dcterms:W3CDTF">2021-07-23T09:14:00Z</dcterms:modified>
</cp:coreProperties>
</file>