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9BE8A1" w14:textId="3D094D6D" w:rsidR="009A6A88" w:rsidRPr="004C198D" w:rsidRDefault="004C198D">
      <w:pPr>
        <w:rPr>
          <w:rFonts w:ascii="Times New Roman" w:hAnsi="Times New Roman" w:cs="Times New Roman"/>
          <w:sz w:val="28"/>
          <w:szCs w:val="28"/>
        </w:rPr>
      </w:pPr>
      <w:proofErr w:type="spellStart"/>
      <w:r w:rsidRPr="004C198D">
        <w:rPr>
          <w:rFonts w:ascii="Times New Roman" w:hAnsi="Times New Roman" w:cs="Times New Roman"/>
          <w:sz w:val="28"/>
          <w:szCs w:val="28"/>
        </w:rPr>
        <w:t>Colyson</w:t>
      </w:r>
      <w:proofErr w:type="spellEnd"/>
      <w:r w:rsidRPr="004C198D">
        <w:rPr>
          <w:rFonts w:ascii="Times New Roman" w:hAnsi="Times New Roman" w:cs="Times New Roman"/>
          <w:sz w:val="28"/>
          <w:szCs w:val="28"/>
        </w:rPr>
        <w:t xml:space="preserve"> Co purchased a factory site several years</w:t>
      </w:r>
      <w:r>
        <w:rPr>
          <w:rFonts w:ascii="Times New Roman" w:hAnsi="Times New Roman" w:cs="Times New Roman"/>
          <w:sz w:val="28"/>
          <w:szCs w:val="28"/>
        </w:rPr>
        <w:t xml:space="preserve"> ago</w:t>
      </w:r>
      <w:r w:rsidRPr="004C198D">
        <w:rPr>
          <w:rFonts w:ascii="Times New Roman" w:hAnsi="Times New Roman" w:cs="Times New Roman"/>
          <w:sz w:val="28"/>
          <w:szCs w:val="28"/>
        </w:rPr>
        <w:t xml:space="preserve">. Land and property prices in the area had increased significantly in the years </w:t>
      </w:r>
      <w:proofErr w:type="gramStart"/>
      <w:r>
        <w:rPr>
          <w:rFonts w:ascii="Times New Roman" w:hAnsi="Times New Roman" w:cs="Times New Roman"/>
          <w:sz w:val="28"/>
          <w:szCs w:val="28"/>
        </w:rPr>
        <w:t>subsequent to</w:t>
      </w:r>
      <w:proofErr w:type="gramEnd"/>
      <w:r>
        <w:rPr>
          <w:rFonts w:ascii="Times New Roman" w:hAnsi="Times New Roman" w:cs="Times New Roman"/>
          <w:sz w:val="28"/>
          <w:szCs w:val="28"/>
        </w:rPr>
        <w:t xml:space="preserve"> this purchase.</w:t>
      </w:r>
      <w:r w:rsidRPr="004C198D">
        <w:rPr>
          <w:rFonts w:ascii="Times New Roman" w:hAnsi="Times New Roman" w:cs="Times New Roman"/>
          <w:sz w:val="28"/>
          <w:szCs w:val="28"/>
        </w:rPr>
        <w:t xml:space="preserve"> Nearby sites had been acquired and converted into residential use. It is felt that, should the </w:t>
      </w:r>
      <w:proofErr w:type="spellStart"/>
      <w:r w:rsidRPr="004C198D">
        <w:rPr>
          <w:rFonts w:ascii="Times New Roman" w:hAnsi="Times New Roman" w:cs="Times New Roman"/>
          <w:sz w:val="28"/>
          <w:szCs w:val="28"/>
        </w:rPr>
        <w:t>Colyson</w:t>
      </w:r>
      <w:proofErr w:type="spellEnd"/>
      <w:r w:rsidRPr="004C198D">
        <w:rPr>
          <w:rFonts w:ascii="Times New Roman" w:hAnsi="Times New Roman" w:cs="Times New Roman"/>
          <w:sz w:val="28"/>
          <w:szCs w:val="28"/>
        </w:rPr>
        <w:t xml:space="preserve"> Co site also be converted into residential use, the factory site would have a market value of $24 million. $1 million of costs are estimated to be required to demolish the factory and to obtain planning permission for the conversion. </w:t>
      </w:r>
      <w:proofErr w:type="spellStart"/>
      <w:r w:rsidRPr="004C198D">
        <w:rPr>
          <w:rFonts w:ascii="Times New Roman" w:hAnsi="Times New Roman" w:cs="Times New Roman"/>
          <w:sz w:val="28"/>
          <w:szCs w:val="28"/>
        </w:rPr>
        <w:t>Colyson</w:t>
      </w:r>
      <w:proofErr w:type="spellEnd"/>
      <w:r w:rsidRPr="004C198D">
        <w:rPr>
          <w:rFonts w:ascii="Times New Roman" w:hAnsi="Times New Roman" w:cs="Times New Roman"/>
          <w:sz w:val="28"/>
          <w:szCs w:val="28"/>
        </w:rPr>
        <w:t xml:space="preserve"> Co was not intending to convert the site at the acquisition date and had not sought planning permission at that date. The depreciated replacement cost of the factory has been correctly calculated as $17·4 million.</w:t>
      </w:r>
    </w:p>
    <w:sectPr w:rsidR="009A6A88" w:rsidRPr="004C1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8D"/>
    <w:rsid w:val="004C198D"/>
    <w:rsid w:val="009A6A88"/>
    <w:rsid w:val="00F21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CB207"/>
  <w15:chartTrackingRefBased/>
  <w15:docId w15:val="{75AD6BCF-2E93-49C3-A78F-9C4A059A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107</Words>
  <Characters>614</Characters>
  <Application>Microsoft Office Word</Application>
  <DocSecurity>0</DocSecurity>
  <Lines>5</Lines>
  <Paragraphs>1</Paragraphs>
  <ScaleCrop>false</ScaleCrop>
  <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2</cp:revision>
  <dcterms:created xsi:type="dcterms:W3CDTF">2021-03-26T13:52:00Z</dcterms:created>
  <dcterms:modified xsi:type="dcterms:W3CDTF">2021-03-26T14:00:00Z</dcterms:modified>
</cp:coreProperties>
</file>