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A9E71F" w14:textId="68CE8999" w:rsidR="00B9738F" w:rsidRPr="00B9738F" w:rsidRDefault="00B9738F">
      <w:pPr>
        <w:rPr>
          <w:rFonts w:asciiTheme="majorHAnsi" w:hAnsiTheme="majorHAnsi" w:cstheme="majorHAnsi"/>
          <w:b/>
          <w:bCs/>
          <w:u w:val="single"/>
        </w:rPr>
      </w:pPr>
      <w:r w:rsidRPr="00B9738F">
        <w:rPr>
          <w:rFonts w:asciiTheme="majorHAnsi" w:hAnsiTheme="majorHAnsi" w:cstheme="majorHAnsi"/>
          <w:b/>
          <w:bCs/>
          <w:u w:val="single"/>
        </w:rPr>
        <w:t>Abu Sufyan Case Study</w:t>
      </w:r>
    </w:p>
    <w:p w14:paraId="2EAB23CA" w14:textId="482EDB8F" w:rsidR="00794A8F" w:rsidRDefault="00D31F7C">
      <w:r w:rsidRPr="00D31F7C">
        <w:t>Sakhr ibn Harb ibn Umayya ibn Abd Shams</w:t>
      </w:r>
      <w:r>
        <w:t>, better known as Abu Sufyan</w:t>
      </w:r>
      <w:r w:rsidR="005B1E7E">
        <w:t xml:space="preserve">. </w:t>
      </w:r>
      <w:r w:rsidR="009434B5">
        <w:t>Is an interesting figure within the life of the prophet Muhammad. He was kin to Muhammad and the leader of much of the opposition he faced. Despite this, he became a Muslim and sided with Muhammad in many battles.</w:t>
      </w:r>
      <w:r w:rsidR="009F2258">
        <w:t xml:space="preserve"> </w:t>
      </w:r>
    </w:p>
    <w:p w14:paraId="0ADCD786" w14:textId="04A38A45" w:rsidR="009F2258" w:rsidRDefault="009F2258">
      <w:r>
        <w:t>Abu Sufyan was born into the Quraysh tribe</w:t>
      </w:r>
      <w:r w:rsidR="0075057A">
        <w:t xml:space="preserve">. However, very little is known about his </w:t>
      </w:r>
      <w:r w:rsidR="00F8193A">
        <w:t>birth,</w:t>
      </w:r>
      <w:r w:rsidR="0075057A">
        <w:t xml:space="preserve"> but</w:t>
      </w:r>
      <w:r w:rsidR="003139A0">
        <w:t xml:space="preserve"> he</w:t>
      </w:r>
      <w:r w:rsidR="0075057A">
        <w:t xml:space="preserve"> is supposedly </w:t>
      </w:r>
      <w:r w:rsidR="00F8193A">
        <w:t xml:space="preserve">slightly </w:t>
      </w:r>
      <w:r w:rsidR="0075057A">
        <w:t xml:space="preserve">older than Muhammad. </w:t>
      </w:r>
      <w:r w:rsidR="00F8193A">
        <w:t xml:space="preserve">They grew up as </w:t>
      </w:r>
      <w:r w:rsidR="009B6BEF">
        <w:t xml:space="preserve">close </w:t>
      </w:r>
      <w:r w:rsidR="00F8193A">
        <w:t xml:space="preserve">friends, </w:t>
      </w:r>
      <w:r w:rsidR="006105AF">
        <w:t>being both cousins and foster brothers.</w:t>
      </w:r>
      <w:r w:rsidR="007212E1">
        <w:t xml:space="preserve"> They were described as similar in appearance but with different interests, with Muhammad being an exceptional at oration and Muhammad being proficient with written poetry.</w:t>
      </w:r>
      <w:r w:rsidR="006105AF">
        <w:rPr>
          <w:rStyle w:val="FootnoteReference"/>
        </w:rPr>
        <w:footnoteReference w:id="1"/>
      </w:r>
    </w:p>
    <w:p w14:paraId="46D60D7C" w14:textId="1A907D0E" w:rsidR="000F6DD7" w:rsidRDefault="000F6DD7">
      <w:r>
        <w:t>In their later lives following Muhammad’s preaching of his revelations, Abu Sufyan rose as one of the leading members of the Quraysh opposition along with many other prominent Meccans.</w:t>
      </w:r>
      <w:r w:rsidR="0078706C">
        <w:t xml:space="preserve"> Him and the other opponents asked Muhammad’s uncle, </w:t>
      </w:r>
      <w:bookmarkStart w:id="2" w:name="match"/>
      <w:r w:rsidR="0078706C" w:rsidRPr="0078706C">
        <w:t>Ab</w:t>
      </w:r>
      <w:bookmarkEnd w:id="2"/>
      <w:r w:rsidR="00A05D14">
        <w:t>u</w:t>
      </w:r>
      <w:r w:rsidR="0078706C" w:rsidRPr="0078706C">
        <w:t> </w:t>
      </w:r>
      <w:r w:rsidR="00A05D14">
        <w:t>T</w:t>
      </w:r>
      <w:r w:rsidR="0078706C">
        <w:t>a</w:t>
      </w:r>
      <w:r w:rsidR="0078706C" w:rsidRPr="0078706C">
        <w:t>lib</w:t>
      </w:r>
      <w:r w:rsidR="00A05D14">
        <w:t>, to persuade him not to support Muhammad. He initially refused but on the second attempt he approached the Prophet and asked him to stop his preaching. Muhammad strongly denied. His nephew’s conviction and dedication inspired Abu Talib to support him even further. After this, Abu Sufyan and other personally visited Muhammad where they were met with the same answer as Abu Talib.</w:t>
      </w:r>
      <w:r w:rsidR="002931AB">
        <w:rPr>
          <w:rStyle w:val="FootnoteReference"/>
        </w:rPr>
        <w:footnoteReference w:id="2"/>
      </w:r>
      <w:r w:rsidR="0027799D">
        <w:t xml:space="preserve"> Although Abu Sufyan was a leading opponent to Islam</w:t>
      </w:r>
      <w:r w:rsidR="002931AB">
        <w:t>, he was not as violent as others (like Abu Djahl); this may perhaps have been because of their once close friendship.</w:t>
      </w:r>
      <w:r w:rsidR="00144541">
        <w:rPr>
          <w:rStyle w:val="FootnoteReference"/>
        </w:rPr>
        <w:footnoteReference w:id="3"/>
      </w:r>
    </w:p>
    <w:p w14:paraId="341A45F9" w14:textId="5E818A99" w:rsidR="005F3F40" w:rsidRDefault="005F3F40">
      <w:r>
        <w:t xml:space="preserve">Following the </w:t>
      </w:r>
      <w:r>
        <w:rPr>
          <w:i/>
          <w:iCs/>
        </w:rPr>
        <w:t>Hijrah</w:t>
      </w:r>
      <w:r>
        <w:t>, Abu Sufyan would continue to lead many caravans into the rest of Asia to and from Mecca, despite Muslim raiding to the north. In the year 624</w:t>
      </w:r>
      <w:r w:rsidR="004E6537">
        <w:t>CE</w:t>
      </w:r>
      <w:r>
        <w:t xml:space="preserve"> he was trusted to lead a huge caravan of one thousand camels back from Syria, which came under threat from Muslim forces. Abu Sufyan sent word to Mecca for aid.</w:t>
      </w:r>
      <w:r w:rsidR="000F05ED">
        <w:t xml:space="preserve"> Mecca responded with seven hundred men led by Abu Djahl. </w:t>
      </w:r>
      <w:r w:rsidR="004B612A">
        <w:t xml:space="preserve">According to </w:t>
      </w:r>
      <w:r w:rsidR="004B612A" w:rsidRPr="004B612A">
        <w:t>historian W. Montgomery Watt</w:t>
      </w:r>
      <w:r w:rsidR="004B612A">
        <w:t xml:space="preserve">, </w:t>
      </w:r>
      <w:r w:rsidR="004B612A" w:rsidRPr="004B612A">
        <w:t>"</w:t>
      </w:r>
      <w:r w:rsidR="004B612A">
        <w:t xml:space="preserve">[Abu Sufyan] </w:t>
      </w:r>
      <w:r w:rsidR="004B612A" w:rsidRPr="004B612A">
        <w:t>by skilful and vigorous leadership eluded the Muslims"</w:t>
      </w:r>
      <w:r w:rsidR="00351AB0">
        <w:rPr>
          <w:rStyle w:val="FootnoteReference"/>
        </w:rPr>
        <w:footnoteReference w:id="4"/>
      </w:r>
      <w:r w:rsidR="00C740C2">
        <w:t xml:space="preserve"> Abu Djahl, however, desired to engage in battle with the Muslims. This attack by Djahl led to the disastrous attack on the mere three hundred Muslim forces known as the Battle of Badr in which Quraysh was utterly defeated and Djahl was slain, among many other prominent men.</w:t>
      </w:r>
      <w:r w:rsidR="003B5577">
        <w:t xml:space="preserve"> In this battle, </w:t>
      </w:r>
      <w:r w:rsidR="003B5577" w:rsidRPr="003B5577">
        <w:t xml:space="preserve">Abu Sufyan's son Hanzala was killed and another son, Amr, was taken captive, but </w:t>
      </w:r>
      <w:r w:rsidR="003B5577">
        <w:t xml:space="preserve">later </w:t>
      </w:r>
      <w:r w:rsidR="003B5577" w:rsidRPr="003B5577">
        <w:t>released</w:t>
      </w:r>
      <w:r w:rsidR="005D4D12">
        <w:t xml:space="preserve"> in exchange for one of Muhammad’s followers</w:t>
      </w:r>
      <w:r w:rsidR="003B5577">
        <w:t>. Also, the father of his wife Hind was killed.</w:t>
      </w:r>
    </w:p>
    <w:p w14:paraId="6D5012A6" w14:textId="0591F474" w:rsidR="002462B5" w:rsidRDefault="007F2CBF">
      <w:r>
        <w:t>Abu Sufyan was given the position of enacting revenge on the Muslims for the embarrassing defeat at Badr. In 625</w:t>
      </w:r>
      <w:r w:rsidR="004E6537">
        <w:t>CE</w:t>
      </w:r>
      <w:r>
        <w:t xml:space="preserve"> he caused heavy losses on the Muslims at the battle of Uhud, but the battle was hard-won, leaving the Quraysh unsatisfied. He would, two years later, attempt a siege of Medina but was beaten back at the Battle of the Trench. Following these failures, command of the armies was redelegated to others for the remaining duration of the war.</w:t>
      </w:r>
      <w:r>
        <w:rPr>
          <w:rStyle w:val="FootnoteReference"/>
        </w:rPr>
        <w:footnoteReference w:id="5"/>
      </w:r>
      <w:r w:rsidR="002462B5">
        <w:t xml:space="preserve"> Following this humiliation, Abu Sufyan </w:t>
      </w:r>
      <w:r w:rsidR="002462B5">
        <w:lastRenderedPageBreak/>
        <w:t>resorted to assassination plots against Muhammad. However, the assassin that was sent was captured and converted to Islam.</w:t>
      </w:r>
      <w:r w:rsidR="00975FB7">
        <w:rPr>
          <w:rStyle w:val="FootnoteReference"/>
        </w:rPr>
        <w:footnoteReference w:id="6"/>
      </w:r>
    </w:p>
    <w:p w14:paraId="6E943FD7" w14:textId="7A2242E2" w:rsidR="00573E49" w:rsidRDefault="00313C43">
      <w:r>
        <w:t xml:space="preserve">Despite not being mentioned in the treaty of Hudaybiyyah, Abu Sufyan travelled to the Muslim’s camp to visit Muhammad after the treaty was broken by allies of the Quraysh in 630CE. Abu Sufyan was convinced into going at the behest of Abbas (the uncle of the Prophet) </w:t>
      </w:r>
      <w:r w:rsidR="00517F9A">
        <w:t xml:space="preserve">in order to defer to the side of t he Muslims. </w:t>
      </w:r>
      <w:r w:rsidR="0066512C">
        <w:t xml:space="preserve">The details of his meeting are unclear, but Muhammad agreed that he would not use force in the impeding conquest of Mecca if the Meccans did not use force in return. Muhammad asked Abu Sufyan if he believed in Allah and that Muhammad was the Messenger of God. He was initially hesitant but after seeing that he had no choice, Abu Sufyan agreed. He returned to Mecca and announced that </w:t>
      </w:r>
      <w:r w:rsidR="00D020B2">
        <w:t>‘</w:t>
      </w:r>
      <w:r w:rsidR="0066512C" w:rsidRPr="0066512C">
        <w:t xml:space="preserve">those who took refuge in </w:t>
      </w:r>
      <w:r w:rsidR="0066512C">
        <w:t>Abu Sufyan’s</w:t>
      </w:r>
      <w:r w:rsidR="0066512C" w:rsidRPr="0066512C">
        <w:t xml:space="preserve"> house would be safe, as would those who closed the doors of their homes, and those who entered the sanctuary.</w:t>
      </w:r>
      <w:r w:rsidR="00D020B2">
        <w:t>’</w:t>
      </w:r>
      <w:r w:rsidR="00D020B2">
        <w:rPr>
          <w:rStyle w:val="FootnoteReference"/>
        </w:rPr>
        <w:footnoteReference w:id="7"/>
      </w:r>
      <w:r w:rsidR="00573E49">
        <w:t xml:space="preserve"> This led to a relatively peaceful conquest of Mecca by Muhammad and saved much destruction.</w:t>
      </w:r>
    </w:p>
    <w:p w14:paraId="0F6CE01A" w14:textId="369CDDE7" w:rsidR="008B749D" w:rsidRDefault="008B749D">
      <w:r>
        <w:t xml:space="preserve">Abu Sufyan was later tasked with the destruction of the </w:t>
      </w:r>
      <w:r w:rsidRPr="008B749D">
        <w:t>al-L</w:t>
      </w:r>
      <w:r>
        <w:t>a</w:t>
      </w:r>
      <w:r w:rsidRPr="008B749D">
        <w:t>t idol</w:t>
      </w:r>
      <w:r>
        <w:t>, following the successful siege of the city (in which he participated and lost an eye). His son Muawiyah would become the first of the Umayyad caliphs.</w:t>
      </w:r>
      <w:r>
        <w:rPr>
          <w:rStyle w:val="FootnoteReference"/>
        </w:rPr>
        <w:footnoteReference w:id="8"/>
      </w:r>
    </w:p>
    <w:p w14:paraId="3AF9B777" w14:textId="1FB742CE" w:rsidR="002466EF" w:rsidRDefault="002466EF">
      <w:r>
        <w:t xml:space="preserve">Despite </w:t>
      </w:r>
      <w:r w:rsidR="002352F0">
        <w:t>Abu Sufyan’s actions in opposition to Muhammad, he was held in high regard by the Prophet. He is an excellent example for Muslims of forgiveness in Islam and the importance of judging others by their piety and desire to do good. He said this of his actions in a poem he wrote concerning the matter:</w:t>
      </w:r>
    </w:p>
    <w:p w14:paraId="548AA736" w14:textId="391DA9D5" w:rsidR="002352F0" w:rsidRPr="002352F0" w:rsidRDefault="002352F0" w:rsidP="002352F0">
      <w:pPr>
        <w:ind w:left="720"/>
        <w:rPr>
          <w:i/>
          <w:iCs/>
        </w:rPr>
      </w:pPr>
      <w:r>
        <w:rPr>
          <w:i/>
          <w:iCs/>
        </w:rPr>
        <w:t>“</w:t>
      </w:r>
      <w:r w:rsidRPr="002352F0">
        <w:rPr>
          <w:i/>
          <w:iCs/>
        </w:rPr>
        <w:t xml:space="preserve">I was like one going astray in the darkness of the </w:t>
      </w:r>
      <w:r>
        <w:rPr>
          <w:i/>
          <w:iCs/>
        </w:rPr>
        <w:t>nig</w:t>
      </w:r>
      <w:r w:rsidRPr="002352F0">
        <w:rPr>
          <w:i/>
          <w:iCs/>
        </w:rPr>
        <w:t>ht, but now I am led on the right track</w:t>
      </w:r>
      <w:r>
        <w:rPr>
          <w:rStyle w:val="FootnoteReference"/>
          <w:i/>
          <w:iCs/>
        </w:rPr>
        <w:footnoteReference w:id="9"/>
      </w:r>
    </w:p>
    <w:p w14:paraId="0B0B2302" w14:textId="5D0BA1FD" w:rsidR="00B9738F" w:rsidRDefault="002777BA">
      <w:r>
        <w:t xml:space="preserve">It has been said that </w:t>
      </w:r>
      <w:r w:rsidRPr="002777BA">
        <w:t>“the best of Muslims” and “nothing bad was said about him</w:t>
      </w:r>
      <w:r>
        <w:t>.</w:t>
      </w:r>
      <w:r w:rsidRPr="002777BA">
        <w:t>”</w:t>
      </w:r>
      <w:r>
        <w:rPr>
          <w:rStyle w:val="FootnoteReference"/>
        </w:rPr>
        <w:footnoteReference w:id="10"/>
      </w:r>
    </w:p>
    <w:p w14:paraId="22523E5B" w14:textId="77777777" w:rsidR="00B9738F" w:rsidRDefault="00B9738F">
      <w:r>
        <w:br w:type="page"/>
      </w:r>
    </w:p>
    <w:sdt>
      <w:sdtPr>
        <w:rPr>
          <w:rFonts w:asciiTheme="minorHAnsi" w:eastAsiaTheme="minorHAnsi" w:hAnsiTheme="minorHAnsi" w:cstheme="minorBidi"/>
          <w:color w:val="auto"/>
          <w:sz w:val="22"/>
          <w:szCs w:val="22"/>
          <w:lang w:val="en-GB"/>
        </w:rPr>
        <w:id w:val="657276821"/>
        <w:docPartObj>
          <w:docPartGallery w:val="Bibliographies"/>
          <w:docPartUnique/>
        </w:docPartObj>
      </w:sdtPr>
      <w:sdtEndPr/>
      <w:sdtContent>
        <w:p w14:paraId="636D0CB6" w14:textId="12BD5D0D" w:rsidR="00B9738F" w:rsidRDefault="0014583A">
          <w:pPr>
            <w:pStyle w:val="Heading1"/>
          </w:pPr>
          <w:r>
            <w:t>Bibliography</w:t>
          </w:r>
        </w:p>
        <w:p w14:paraId="19954F71" w14:textId="77777777" w:rsidR="00B9738F" w:rsidRDefault="007A4AC3" w:rsidP="00B9738F">
          <w:pPr>
            <w:pStyle w:val="ListParagraph"/>
            <w:numPr>
              <w:ilvl w:val="0"/>
              <w:numId w:val="1"/>
            </w:numPr>
          </w:pPr>
          <w:sdt>
            <w:sdtPr>
              <w:id w:val="-573587230"/>
              <w:showingPlcHdr/>
              <w:bibliography/>
            </w:sdtPr>
            <w:sdtEndPr/>
            <w:sdtContent>
              <w:r w:rsidR="00B9738F">
                <w:t xml:space="preserve">     </w:t>
              </w:r>
            </w:sdtContent>
          </w:sdt>
          <w:r w:rsidR="00B9738F" w:rsidRPr="005E35A1">
            <w:t xml:space="preserve">Lings, M., &amp; Islamic Texts Society. (1991). </w:t>
          </w:r>
          <w:r w:rsidR="00B9738F" w:rsidRPr="004C7B9D">
            <w:rPr>
              <w:i/>
              <w:iCs/>
            </w:rPr>
            <w:t>Muhammad: his life based on the earliest sources.</w:t>
          </w:r>
          <w:r w:rsidR="00B9738F" w:rsidRPr="005E35A1">
            <w:t xml:space="preserve"> (Rev. ed.). Islamic Texts Society</w:t>
          </w:r>
          <w:r w:rsidR="00B9738F">
            <w:t>.</w:t>
          </w:r>
        </w:p>
        <w:p w14:paraId="75BC6BEB" w14:textId="77777777" w:rsidR="00B9738F" w:rsidRDefault="00B9738F" w:rsidP="00B9738F">
          <w:pPr>
            <w:pStyle w:val="ListParagraph"/>
            <w:numPr>
              <w:ilvl w:val="0"/>
              <w:numId w:val="1"/>
            </w:numPr>
          </w:pPr>
          <w:r w:rsidRPr="002931AB">
            <w:t>Angeles, Vivienne SM. "Abū Sufyān." In </w:t>
          </w:r>
          <w:r w:rsidRPr="002931AB">
            <w:rPr>
              <w:i/>
              <w:iCs/>
            </w:rPr>
            <w:t>The Oxford Encyclopedia of the Islamic World</w:t>
          </w:r>
          <w:r w:rsidRPr="002931AB">
            <w:t>. </w:t>
          </w:r>
          <w:r w:rsidRPr="002931AB">
            <w:rPr>
              <w:i/>
              <w:iCs/>
            </w:rPr>
            <w:t>Oxford Islamic Studies Online</w:t>
          </w:r>
          <w:r w:rsidRPr="002931AB">
            <w:t xml:space="preserve">. 13-Nov-2020. </w:t>
          </w:r>
          <w:hyperlink r:id="rId8" w:history="1">
            <w:r w:rsidRPr="000933EE">
              <w:rPr>
                <w:rStyle w:val="Hyperlink"/>
              </w:rPr>
              <w:t>http://www.oxfordislamicstudies.com/article/opr/t236/e1120</w:t>
            </w:r>
          </w:hyperlink>
        </w:p>
        <w:p w14:paraId="335BE177" w14:textId="77777777" w:rsidR="00B9738F" w:rsidRDefault="00B9738F" w:rsidP="00B9738F">
          <w:pPr>
            <w:pStyle w:val="ListParagraph"/>
            <w:numPr>
              <w:ilvl w:val="0"/>
              <w:numId w:val="1"/>
            </w:numPr>
          </w:pPr>
          <w:r>
            <w:t xml:space="preserve">Watt, W. Montgomery, </w:t>
          </w:r>
          <w:r w:rsidRPr="00144541">
            <w:t xml:space="preserve">“Abū Sufyān”, in: </w:t>
          </w:r>
          <w:r w:rsidRPr="00144541">
            <w:rPr>
              <w:i/>
              <w:iCs/>
            </w:rPr>
            <w:t>Encyclopaedia of Islam</w:t>
          </w:r>
          <w:r w:rsidRPr="00144541">
            <w:t>, Second Edition</w:t>
          </w:r>
          <w:r>
            <w:t xml:space="preserve"> </w:t>
          </w:r>
          <w:hyperlink r:id="rId9" w:history="1">
            <w:r w:rsidRPr="000933EE">
              <w:rPr>
                <w:rStyle w:val="Hyperlink"/>
              </w:rPr>
              <w:t>http://dx.doi.org/10.1163/1573-3912_islam_SIM_0254</w:t>
            </w:r>
          </w:hyperlink>
        </w:p>
        <w:p w14:paraId="370FCAA0" w14:textId="09478E00" w:rsidR="00B9738F" w:rsidRPr="00FD7895" w:rsidRDefault="00B9738F" w:rsidP="00B9738F">
          <w:pPr>
            <w:pStyle w:val="ListParagraph"/>
            <w:numPr>
              <w:ilvl w:val="0"/>
              <w:numId w:val="1"/>
            </w:numPr>
          </w:pPr>
          <w:r>
            <w:t xml:space="preserve">Ishaq, Ibn. </w:t>
          </w:r>
          <w:r>
            <w:rPr>
              <w:i/>
              <w:iCs/>
            </w:rPr>
            <w:t xml:space="preserve">The Life of Muhammad, </w:t>
          </w:r>
          <w:r>
            <w:t>trans. By A. Guillaume (Oxford: Oxford University Press, 1955.</w:t>
          </w:r>
        </w:p>
      </w:sdtContent>
    </w:sdt>
    <w:p w14:paraId="75D9AE5A" w14:textId="4D8C3FEB" w:rsidR="0014583A" w:rsidRDefault="00B9738F" w:rsidP="0014583A">
      <w:pPr>
        <w:pStyle w:val="ListParagraph"/>
        <w:numPr>
          <w:ilvl w:val="0"/>
          <w:numId w:val="1"/>
        </w:numPr>
      </w:pPr>
      <w:r>
        <w:t xml:space="preserve">Muhammad ibn Umar al-Waqidi, </w:t>
      </w:r>
      <w:r>
        <w:rPr>
          <w:i/>
          <w:iCs/>
        </w:rPr>
        <w:t xml:space="preserve">The Life of Muhammad, </w:t>
      </w:r>
      <w:r>
        <w:t>trans. By R. Faizer (London and New York: Routledge, 2011).</w:t>
      </w:r>
    </w:p>
    <w:p w14:paraId="6AA1D23F" w14:textId="77777777" w:rsidR="002352F0" w:rsidRPr="005F3F40" w:rsidRDefault="002352F0"/>
    <w:sectPr w:rsidR="002352F0" w:rsidRPr="005F3F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79370E" w14:textId="77777777" w:rsidR="007A4AC3" w:rsidRDefault="007A4AC3" w:rsidP="006105AF">
      <w:pPr>
        <w:spacing w:after="0" w:line="240" w:lineRule="auto"/>
      </w:pPr>
      <w:r>
        <w:separator/>
      </w:r>
    </w:p>
  </w:endnote>
  <w:endnote w:type="continuationSeparator" w:id="0">
    <w:p w14:paraId="7F8FFDF5" w14:textId="77777777" w:rsidR="007A4AC3" w:rsidRDefault="007A4AC3" w:rsidP="00610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436A32" w14:textId="77777777" w:rsidR="007A4AC3" w:rsidRDefault="007A4AC3" w:rsidP="006105AF">
      <w:pPr>
        <w:spacing w:after="0" w:line="240" w:lineRule="auto"/>
      </w:pPr>
      <w:r>
        <w:separator/>
      </w:r>
    </w:p>
  </w:footnote>
  <w:footnote w:type="continuationSeparator" w:id="0">
    <w:p w14:paraId="54A85EEA" w14:textId="77777777" w:rsidR="007A4AC3" w:rsidRDefault="007A4AC3" w:rsidP="006105AF">
      <w:pPr>
        <w:spacing w:after="0" w:line="240" w:lineRule="auto"/>
      </w:pPr>
      <w:r>
        <w:continuationSeparator/>
      </w:r>
    </w:p>
  </w:footnote>
  <w:footnote w:id="1">
    <w:p w14:paraId="52CA48B1" w14:textId="09710433" w:rsidR="006105AF" w:rsidRDefault="006105AF">
      <w:pPr>
        <w:pStyle w:val="FootnoteText"/>
      </w:pPr>
      <w:r>
        <w:rPr>
          <w:rStyle w:val="FootnoteReference"/>
        </w:rPr>
        <w:footnoteRef/>
      </w:r>
      <w:r>
        <w:t xml:space="preserve"> </w:t>
      </w:r>
      <w:bookmarkStart w:id="0" w:name="_Hlk56202473"/>
      <w:bookmarkStart w:id="1" w:name="_Hlk56114967"/>
      <w:r w:rsidRPr="005E35A1">
        <w:rPr>
          <w:sz w:val="22"/>
          <w:szCs w:val="22"/>
        </w:rPr>
        <w:t xml:space="preserve">Lings, M., &amp; Islamic Texts Society. (1991). </w:t>
      </w:r>
      <w:r w:rsidRPr="004C7B9D">
        <w:rPr>
          <w:i/>
          <w:iCs/>
          <w:sz w:val="22"/>
          <w:szCs w:val="22"/>
        </w:rPr>
        <w:t>Muhammad: his life based on the earliest sources.</w:t>
      </w:r>
      <w:r w:rsidRPr="005E35A1">
        <w:rPr>
          <w:sz w:val="22"/>
          <w:szCs w:val="22"/>
        </w:rPr>
        <w:t xml:space="preserve"> (Rev. ed.). Islamic Texts Society</w:t>
      </w:r>
      <w:bookmarkEnd w:id="0"/>
      <w:r>
        <w:rPr>
          <w:sz w:val="22"/>
          <w:szCs w:val="22"/>
        </w:rPr>
        <w:t xml:space="preserve">, Pg. </w:t>
      </w:r>
      <w:bookmarkEnd w:id="1"/>
      <w:r>
        <w:rPr>
          <w:sz w:val="22"/>
          <w:szCs w:val="22"/>
        </w:rPr>
        <w:t>39</w:t>
      </w:r>
    </w:p>
  </w:footnote>
  <w:footnote w:id="2">
    <w:p w14:paraId="752AA5F5" w14:textId="55E97A81" w:rsidR="002931AB" w:rsidRDefault="002931AB">
      <w:pPr>
        <w:pStyle w:val="FootnoteText"/>
      </w:pPr>
      <w:r>
        <w:rPr>
          <w:rStyle w:val="FootnoteReference"/>
        </w:rPr>
        <w:footnoteRef/>
      </w:r>
      <w:r>
        <w:t xml:space="preserve"> </w:t>
      </w:r>
      <w:bookmarkStart w:id="3" w:name="_Hlk56200005"/>
      <w:r w:rsidRPr="002931AB">
        <w:t>Angeles, Vivienne SM. "Abū Sufyān." In </w:t>
      </w:r>
      <w:r w:rsidRPr="002931AB">
        <w:rPr>
          <w:i/>
          <w:iCs/>
        </w:rPr>
        <w:t>The Oxford Encyclopedia of the Islamic World</w:t>
      </w:r>
      <w:r w:rsidRPr="002931AB">
        <w:t>. </w:t>
      </w:r>
      <w:r w:rsidRPr="002931AB">
        <w:rPr>
          <w:i/>
          <w:iCs/>
        </w:rPr>
        <w:t>Oxford Islamic Studies Online</w:t>
      </w:r>
      <w:r w:rsidRPr="002931AB">
        <w:t xml:space="preserve">. 13-Nov-2020. </w:t>
      </w:r>
      <w:hyperlink r:id="rId1" w:history="1">
        <w:r w:rsidRPr="000933EE">
          <w:rPr>
            <w:rStyle w:val="Hyperlink"/>
          </w:rPr>
          <w:t>http://www.oxfordislamicstudies.com/article/opr/t236/e1120</w:t>
        </w:r>
      </w:hyperlink>
      <w:r>
        <w:t xml:space="preserve"> </w:t>
      </w:r>
      <w:bookmarkEnd w:id="3"/>
    </w:p>
  </w:footnote>
  <w:footnote w:id="3">
    <w:p w14:paraId="37EAA083" w14:textId="2F2994B7" w:rsidR="00144541" w:rsidRDefault="00144541">
      <w:pPr>
        <w:pStyle w:val="FootnoteText"/>
      </w:pPr>
      <w:r>
        <w:rPr>
          <w:rStyle w:val="FootnoteReference"/>
        </w:rPr>
        <w:footnoteRef/>
      </w:r>
      <w:r>
        <w:t xml:space="preserve"> </w:t>
      </w:r>
      <w:bookmarkStart w:id="4" w:name="_Hlk56195205"/>
      <w:r>
        <w:t xml:space="preserve">Watt, W. Montgomery, </w:t>
      </w:r>
      <w:r w:rsidRPr="00144541">
        <w:t xml:space="preserve">“Abū Sufyān”, in: </w:t>
      </w:r>
      <w:r w:rsidRPr="00144541">
        <w:rPr>
          <w:i/>
          <w:iCs/>
        </w:rPr>
        <w:t>Encyclopaedia of Islam</w:t>
      </w:r>
      <w:r w:rsidRPr="00144541">
        <w:t>, Second Edition</w:t>
      </w:r>
      <w:r>
        <w:t xml:space="preserve"> </w:t>
      </w:r>
      <w:hyperlink r:id="rId2" w:history="1">
        <w:r w:rsidRPr="000933EE">
          <w:rPr>
            <w:rStyle w:val="Hyperlink"/>
          </w:rPr>
          <w:t>http://dx.doi.org/10.1163/1573-3912_islam_SIM_0254</w:t>
        </w:r>
      </w:hyperlink>
      <w:r>
        <w:t xml:space="preserve"> </w:t>
      </w:r>
      <w:bookmarkEnd w:id="4"/>
    </w:p>
  </w:footnote>
  <w:footnote w:id="4">
    <w:p w14:paraId="138DC001" w14:textId="04627817" w:rsidR="00351AB0" w:rsidRDefault="00351AB0">
      <w:pPr>
        <w:pStyle w:val="FootnoteText"/>
      </w:pPr>
      <w:r>
        <w:rPr>
          <w:rStyle w:val="FootnoteReference"/>
        </w:rPr>
        <w:footnoteRef/>
      </w:r>
      <w:r>
        <w:t xml:space="preserve"> Watt, W. Montgomery, </w:t>
      </w:r>
      <w:r w:rsidRPr="00144541">
        <w:t xml:space="preserve">“Abū Sufyān”, in: </w:t>
      </w:r>
      <w:r w:rsidRPr="00144541">
        <w:rPr>
          <w:i/>
          <w:iCs/>
        </w:rPr>
        <w:t>Encyclopaedia of Islam</w:t>
      </w:r>
      <w:r w:rsidRPr="00144541">
        <w:t>, Second Edition</w:t>
      </w:r>
      <w:r>
        <w:t xml:space="preserve"> </w:t>
      </w:r>
      <w:hyperlink r:id="rId3" w:history="1">
        <w:r w:rsidRPr="000933EE">
          <w:rPr>
            <w:rStyle w:val="Hyperlink"/>
          </w:rPr>
          <w:t>http://dx.doi.org/10.1163/1573-3912_islam_SIM_0254</w:t>
        </w:r>
      </w:hyperlink>
    </w:p>
  </w:footnote>
  <w:footnote w:id="5">
    <w:p w14:paraId="2F55FEBB" w14:textId="465861CD" w:rsidR="007F2CBF" w:rsidRDefault="007F2CBF">
      <w:pPr>
        <w:pStyle w:val="FootnoteText"/>
      </w:pPr>
      <w:r>
        <w:rPr>
          <w:rStyle w:val="FootnoteReference"/>
        </w:rPr>
        <w:footnoteRef/>
      </w:r>
      <w:r>
        <w:t xml:space="preserve"> </w:t>
      </w:r>
      <w:bookmarkStart w:id="5" w:name="_Hlk56200695"/>
      <w:r>
        <w:t xml:space="preserve">Watt, W. Montgomery, </w:t>
      </w:r>
      <w:r w:rsidRPr="00144541">
        <w:t xml:space="preserve">“Abū Sufyān”, in: </w:t>
      </w:r>
      <w:r w:rsidRPr="00144541">
        <w:rPr>
          <w:i/>
          <w:iCs/>
        </w:rPr>
        <w:t>Encyclopaedia of Islam</w:t>
      </w:r>
      <w:r w:rsidRPr="00144541">
        <w:t>, Second Edition</w:t>
      </w:r>
      <w:r>
        <w:t xml:space="preserve"> </w:t>
      </w:r>
      <w:hyperlink r:id="rId4" w:history="1">
        <w:r w:rsidRPr="000933EE">
          <w:rPr>
            <w:rStyle w:val="Hyperlink"/>
          </w:rPr>
          <w:t>http://dx.doi.org/10.1163/1573-3912_islam_SIM_0254</w:t>
        </w:r>
      </w:hyperlink>
      <w:bookmarkEnd w:id="5"/>
    </w:p>
  </w:footnote>
  <w:footnote w:id="6">
    <w:p w14:paraId="27945AF3" w14:textId="5A37AA0E" w:rsidR="00975FB7" w:rsidRDefault="00975FB7">
      <w:pPr>
        <w:pStyle w:val="FootnoteText"/>
      </w:pPr>
      <w:r>
        <w:rPr>
          <w:rStyle w:val="FootnoteReference"/>
        </w:rPr>
        <w:footnoteRef/>
      </w:r>
      <w:r>
        <w:t xml:space="preserve"> </w:t>
      </w:r>
      <w:r w:rsidRPr="002931AB">
        <w:t>Angeles, Vivienne SM. "Abū Sufyān." In </w:t>
      </w:r>
      <w:r w:rsidRPr="002931AB">
        <w:rPr>
          <w:i/>
          <w:iCs/>
        </w:rPr>
        <w:t>The Oxford Encyclopedia of the Islamic World</w:t>
      </w:r>
      <w:r w:rsidRPr="002931AB">
        <w:t>. </w:t>
      </w:r>
      <w:r w:rsidRPr="002931AB">
        <w:rPr>
          <w:i/>
          <w:iCs/>
        </w:rPr>
        <w:t>Oxford Islamic Studies Online</w:t>
      </w:r>
      <w:r w:rsidRPr="002931AB">
        <w:t xml:space="preserve">. 13-Nov-2020. </w:t>
      </w:r>
      <w:hyperlink r:id="rId5" w:history="1">
        <w:r w:rsidRPr="000933EE">
          <w:rPr>
            <w:rStyle w:val="Hyperlink"/>
          </w:rPr>
          <w:t>http://www.oxfordislamicstudies.com/article/opr/t236/e1120</w:t>
        </w:r>
      </w:hyperlink>
    </w:p>
  </w:footnote>
  <w:footnote w:id="7">
    <w:p w14:paraId="7C2C133B" w14:textId="5771E6B9" w:rsidR="00D020B2" w:rsidRDefault="00D020B2">
      <w:pPr>
        <w:pStyle w:val="FootnoteText"/>
      </w:pPr>
      <w:r>
        <w:rPr>
          <w:rStyle w:val="FootnoteReference"/>
        </w:rPr>
        <w:footnoteRef/>
      </w:r>
      <w:r>
        <w:t xml:space="preserve"> </w:t>
      </w:r>
      <w:r w:rsidRPr="002931AB">
        <w:t>Angeles, Vivienne SM. "Abū Sufyān." In </w:t>
      </w:r>
      <w:r w:rsidRPr="002931AB">
        <w:rPr>
          <w:i/>
          <w:iCs/>
        </w:rPr>
        <w:t>The Oxford Encyclopedia of the Islamic World</w:t>
      </w:r>
      <w:r w:rsidRPr="002931AB">
        <w:t>. </w:t>
      </w:r>
      <w:r w:rsidRPr="002931AB">
        <w:rPr>
          <w:i/>
          <w:iCs/>
        </w:rPr>
        <w:t>Oxford Islamic Studies Online</w:t>
      </w:r>
      <w:r w:rsidRPr="002931AB">
        <w:t xml:space="preserve">. 13-Nov-2020. </w:t>
      </w:r>
      <w:hyperlink r:id="rId6" w:history="1">
        <w:r w:rsidRPr="000933EE">
          <w:rPr>
            <w:rStyle w:val="Hyperlink"/>
          </w:rPr>
          <w:t>http://www.oxfordislamicstudies.com/article/opr/t236/e1120</w:t>
        </w:r>
      </w:hyperlink>
    </w:p>
  </w:footnote>
  <w:footnote w:id="8">
    <w:p w14:paraId="37EB3A31" w14:textId="316E01AF" w:rsidR="008B749D" w:rsidRDefault="008B749D">
      <w:pPr>
        <w:pStyle w:val="FootnoteText"/>
      </w:pPr>
      <w:r>
        <w:rPr>
          <w:rStyle w:val="FootnoteReference"/>
        </w:rPr>
        <w:footnoteRef/>
      </w:r>
      <w:r>
        <w:t xml:space="preserve"> Watt, W. Montgomery, </w:t>
      </w:r>
      <w:r w:rsidRPr="00144541">
        <w:t xml:space="preserve">“Abū Sufyān”, in: </w:t>
      </w:r>
      <w:r w:rsidRPr="00144541">
        <w:rPr>
          <w:i/>
          <w:iCs/>
        </w:rPr>
        <w:t>Encyclopaedia of Islam</w:t>
      </w:r>
      <w:r w:rsidRPr="00144541">
        <w:t>, Second Edition</w:t>
      </w:r>
      <w:r>
        <w:t xml:space="preserve"> </w:t>
      </w:r>
      <w:hyperlink r:id="rId7" w:history="1">
        <w:r w:rsidRPr="000933EE">
          <w:rPr>
            <w:rStyle w:val="Hyperlink"/>
          </w:rPr>
          <w:t>http://dx.doi.org/10.1163/1573-3912_islam_SIM_0254</w:t>
        </w:r>
      </w:hyperlink>
    </w:p>
  </w:footnote>
  <w:footnote w:id="9">
    <w:p w14:paraId="42092798" w14:textId="4032730D" w:rsidR="002352F0" w:rsidRPr="002352F0" w:rsidRDefault="002352F0">
      <w:pPr>
        <w:pStyle w:val="FootnoteText"/>
      </w:pPr>
      <w:r>
        <w:rPr>
          <w:rStyle w:val="FootnoteReference"/>
        </w:rPr>
        <w:footnoteRef/>
      </w:r>
      <w:r>
        <w:t xml:space="preserve"> Ishaq, Ibn. </w:t>
      </w:r>
      <w:r>
        <w:rPr>
          <w:i/>
          <w:iCs/>
        </w:rPr>
        <w:t xml:space="preserve">The Life of Muhammad, </w:t>
      </w:r>
      <w:r>
        <w:t>trans. By A. Guillaume (Oxford: Oxford University Press, 1955), pg. 547</w:t>
      </w:r>
    </w:p>
  </w:footnote>
  <w:footnote w:id="10">
    <w:p w14:paraId="6D000E15" w14:textId="793D4746" w:rsidR="002777BA" w:rsidRPr="00FD7895" w:rsidRDefault="002777BA">
      <w:pPr>
        <w:pStyle w:val="FootnoteText"/>
      </w:pPr>
      <w:r>
        <w:rPr>
          <w:rStyle w:val="FootnoteReference"/>
        </w:rPr>
        <w:footnoteRef/>
      </w:r>
      <w:r>
        <w:t xml:space="preserve"> </w:t>
      </w:r>
      <w:bookmarkStart w:id="6" w:name="_Hlk56202544"/>
      <w:bookmarkStart w:id="7" w:name="_Hlk56202545"/>
      <w:bookmarkStart w:id="8" w:name="_Hlk56202546"/>
      <w:bookmarkStart w:id="9" w:name="_Hlk56202547"/>
      <w:bookmarkStart w:id="10" w:name="_Hlk56202548"/>
      <w:bookmarkStart w:id="11" w:name="_Hlk56202549"/>
      <w:bookmarkStart w:id="12" w:name="_Hlk56202550"/>
      <w:bookmarkStart w:id="13" w:name="_Hlk56202551"/>
      <w:bookmarkStart w:id="14" w:name="_Hlk56202552"/>
      <w:bookmarkStart w:id="15" w:name="_Hlk56202553"/>
      <w:bookmarkStart w:id="16" w:name="_Hlk56202554"/>
      <w:bookmarkStart w:id="17" w:name="_Hlk56202555"/>
      <w:bookmarkStart w:id="18" w:name="_Hlk56202556"/>
      <w:bookmarkStart w:id="19" w:name="_Hlk56202557"/>
      <w:r w:rsidR="00FD7895">
        <w:t xml:space="preserve">Muhammad ibn Umar al-Waqidi, </w:t>
      </w:r>
      <w:r w:rsidR="00FD7895">
        <w:rPr>
          <w:i/>
          <w:iCs/>
        </w:rPr>
        <w:t xml:space="preserve">The Life of Muhammad, </w:t>
      </w:r>
      <w:r w:rsidR="00FD7895">
        <w:t>trans. By R. Faizer (London and New York: Routledge, 2011).</w:t>
      </w:r>
      <w:bookmarkEnd w:id="6"/>
      <w:bookmarkEnd w:id="7"/>
      <w:bookmarkEnd w:id="8"/>
      <w:bookmarkEnd w:id="9"/>
      <w:bookmarkEnd w:id="10"/>
      <w:bookmarkEnd w:id="11"/>
      <w:bookmarkEnd w:id="12"/>
      <w:bookmarkEnd w:id="13"/>
      <w:bookmarkEnd w:id="14"/>
      <w:bookmarkEnd w:id="15"/>
      <w:bookmarkEnd w:id="16"/>
      <w:bookmarkEnd w:id="17"/>
      <w:bookmarkEnd w:id="18"/>
      <w:bookmarkEnd w:id="19"/>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8E18D1"/>
    <w:multiLevelType w:val="hybridMultilevel"/>
    <w:tmpl w:val="82EC1C26"/>
    <w:lvl w:ilvl="0" w:tplc="A4F6F6CC">
      <w:start w:val="1"/>
      <w:numFmt w:val="decimal"/>
      <w:lvlText w:val="%1.)"/>
      <w:lvlJc w:val="left"/>
      <w:pPr>
        <w:ind w:left="612"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F7C"/>
    <w:rsid w:val="00081CC5"/>
    <w:rsid w:val="000F05ED"/>
    <w:rsid w:val="000F6DD7"/>
    <w:rsid w:val="00144541"/>
    <w:rsid w:val="0014583A"/>
    <w:rsid w:val="002352F0"/>
    <w:rsid w:val="002462B5"/>
    <w:rsid w:val="002466EF"/>
    <w:rsid w:val="002777BA"/>
    <w:rsid w:val="0027799D"/>
    <w:rsid w:val="002931AB"/>
    <w:rsid w:val="00313462"/>
    <w:rsid w:val="003139A0"/>
    <w:rsid w:val="00313C43"/>
    <w:rsid w:val="00351AB0"/>
    <w:rsid w:val="003B5577"/>
    <w:rsid w:val="004167D8"/>
    <w:rsid w:val="004A1893"/>
    <w:rsid w:val="004B57FC"/>
    <w:rsid w:val="004B612A"/>
    <w:rsid w:val="004E6537"/>
    <w:rsid w:val="005031E0"/>
    <w:rsid w:val="00517F9A"/>
    <w:rsid w:val="00573E49"/>
    <w:rsid w:val="005B1E7E"/>
    <w:rsid w:val="005D4D12"/>
    <w:rsid w:val="005F3F40"/>
    <w:rsid w:val="005F64F6"/>
    <w:rsid w:val="006105AF"/>
    <w:rsid w:val="0066512C"/>
    <w:rsid w:val="006A58ED"/>
    <w:rsid w:val="007212E1"/>
    <w:rsid w:val="0075057A"/>
    <w:rsid w:val="0078706C"/>
    <w:rsid w:val="00790629"/>
    <w:rsid w:val="007A4AC3"/>
    <w:rsid w:val="007F2CBF"/>
    <w:rsid w:val="008B749D"/>
    <w:rsid w:val="008F6BED"/>
    <w:rsid w:val="009434B5"/>
    <w:rsid w:val="00975FB7"/>
    <w:rsid w:val="009B6BEF"/>
    <w:rsid w:val="009F2258"/>
    <w:rsid w:val="00A05D14"/>
    <w:rsid w:val="00B9738F"/>
    <w:rsid w:val="00BD0C1F"/>
    <w:rsid w:val="00C457D6"/>
    <w:rsid w:val="00C70A18"/>
    <w:rsid w:val="00C740C2"/>
    <w:rsid w:val="00D020B2"/>
    <w:rsid w:val="00D04C09"/>
    <w:rsid w:val="00D31F7C"/>
    <w:rsid w:val="00D752DF"/>
    <w:rsid w:val="00F8193A"/>
    <w:rsid w:val="00FD7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80E688"/>
  <w15:chartTrackingRefBased/>
  <w15:docId w15:val="{407EFC93-EF6E-4F20-B9B4-B5D32D0AE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3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05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05AF"/>
    <w:rPr>
      <w:sz w:val="20"/>
      <w:szCs w:val="20"/>
    </w:rPr>
  </w:style>
  <w:style w:type="character" w:styleId="FootnoteReference">
    <w:name w:val="footnote reference"/>
    <w:basedOn w:val="DefaultParagraphFont"/>
    <w:uiPriority w:val="99"/>
    <w:semiHidden/>
    <w:unhideWhenUsed/>
    <w:rsid w:val="006105AF"/>
    <w:rPr>
      <w:vertAlign w:val="superscript"/>
    </w:rPr>
  </w:style>
  <w:style w:type="character" w:styleId="Hyperlink">
    <w:name w:val="Hyperlink"/>
    <w:basedOn w:val="DefaultParagraphFont"/>
    <w:uiPriority w:val="99"/>
    <w:unhideWhenUsed/>
    <w:rsid w:val="002931AB"/>
    <w:rPr>
      <w:color w:val="0563C1" w:themeColor="hyperlink"/>
      <w:u w:val="single"/>
    </w:rPr>
  </w:style>
  <w:style w:type="character" w:styleId="UnresolvedMention">
    <w:name w:val="Unresolved Mention"/>
    <w:basedOn w:val="DefaultParagraphFont"/>
    <w:uiPriority w:val="99"/>
    <w:semiHidden/>
    <w:unhideWhenUsed/>
    <w:rsid w:val="002931AB"/>
    <w:rPr>
      <w:color w:val="605E5C"/>
      <w:shd w:val="clear" w:color="auto" w:fill="E1DFDD"/>
    </w:rPr>
  </w:style>
  <w:style w:type="character" w:styleId="FollowedHyperlink">
    <w:name w:val="FollowedHyperlink"/>
    <w:basedOn w:val="DefaultParagraphFont"/>
    <w:uiPriority w:val="99"/>
    <w:semiHidden/>
    <w:unhideWhenUsed/>
    <w:rsid w:val="00351AB0"/>
    <w:rPr>
      <w:color w:val="954F72" w:themeColor="followedHyperlink"/>
      <w:u w:val="single"/>
    </w:rPr>
  </w:style>
  <w:style w:type="character" w:customStyle="1" w:styleId="Heading1Char">
    <w:name w:val="Heading 1 Char"/>
    <w:basedOn w:val="DefaultParagraphFont"/>
    <w:link w:val="Heading1"/>
    <w:uiPriority w:val="9"/>
    <w:rsid w:val="00B9738F"/>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B973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article/opr/t236/e11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org/10.1163/1573-3912_islam_SIM_025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x.doi.org/10.1163/1573-3912_islam_SIM_0254" TargetMode="External"/><Relationship Id="rId7" Type="http://schemas.openxmlformats.org/officeDocument/2006/relationships/hyperlink" Target="http://dx.doi.org/10.1163/1573-3912_islam_SIM_0254" TargetMode="External"/><Relationship Id="rId2" Type="http://schemas.openxmlformats.org/officeDocument/2006/relationships/hyperlink" Target="http://dx.doi.org/10.1163/1573-3912_islam_SIM_0254" TargetMode="External"/><Relationship Id="rId1" Type="http://schemas.openxmlformats.org/officeDocument/2006/relationships/hyperlink" Target="http://www.oxfordislamicstudies.com/article/opr/t236/e1120" TargetMode="External"/><Relationship Id="rId6" Type="http://schemas.openxmlformats.org/officeDocument/2006/relationships/hyperlink" Target="http://www.oxfordislamicstudies.com/article/opr/t236/e1120" TargetMode="External"/><Relationship Id="rId5" Type="http://schemas.openxmlformats.org/officeDocument/2006/relationships/hyperlink" Target="http://www.oxfordislamicstudies.com/article/opr/t236/e1120" TargetMode="External"/><Relationship Id="rId4" Type="http://schemas.openxmlformats.org/officeDocument/2006/relationships/hyperlink" Target="http://dx.doi.org/10.1163/1573-3912_islam_SIM_0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1313D75-D5B8-491E-A03C-66BC38E20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3</Pages>
  <Words>828</Words>
  <Characters>4726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64</cp:revision>
  <dcterms:created xsi:type="dcterms:W3CDTF">2020-11-13T13:10:00Z</dcterms:created>
  <dcterms:modified xsi:type="dcterms:W3CDTF">2020-11-13T23:31:00Z</dcterms:modified>
</cp:coreProperties>
</file>