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0"/>
        <w:jc w:val="center"/>
        <w:rPr>
          <w:b w:val="1"/>
          <w:bCs w:val="1"/>
        </w:rPr>
      </w:pPr>
      <w:r w:rsidDel="00000000" w:rsidR="00000000" w:rsidRPr="00000000">
        <w:rPr>
          <w:b w:val="1"/>
          <w:bCs w:val="1"/>
          <w:rtl w:val="0"/>
        </w:rPr>
        <w:t xml:space="preserve">Name: Shila Begum Laskar</w:t>
      </w:r>
    </w:p>
    <w:p w:rsidR="00000000" w:rsidDel="00000000" w:rsidP="00000000" w:rsidRDefault="00000000" w:rsidRPr="00000000" w14:paraId="00000002">
      <w:pPr>
        <w:ind w:firstLine="0"/>
        <w:jc w:val="center"/>
        <w:rPr>
          <w:b w:val="1"/>
          <w:bCs w:val="1"/>
        </w:rPr>
      </w:pPr>
      <w:r w:rsidDel="00000000" w:rsidR="00000000" w:rsidRPr="00000000">
        <w:rPr>
          <w:b w:val="1"/>
          <w:bCs w:val="1"/>
          <w:rtl w:val="0"/>
        </w:rPr>
        <w:t xml:space="preserve">Student ID Number: 2245345</w:t>
      </w:r>
    </w:p>
    <w:p w:rsidR="00000000" w:rsidDel="00000000" w:rsidP="00000000" w:rsidRDefault="00000000" w:rsidRPr="00000000" w14:paraId="00000003">
      <w:pPr>
        <w:ind w:firstLine="0"/>
        <w:jc w:val="center"/>
        <w:rPr>
          <w:b w:val="1"/>
          <w:bCs w:val="1"/>
        </w:rPr>
      </w:pPr>
      <w:bookmarkStart w:colFirst="0" w:colLast="0" w:name="_3rq7joq07hzk" w:id="0"/>
      <w:bookmarkEnd w:id="0"/>
      <w:r w:rsidDel="00000000" w:rsidR="00000000" w:rsidRPr="00000000">
        <w:rPr>
          <w:b w:val="1"/>
          <w:bCs w:val="1"/>
          <w:rtl w:val="0"/>
        </w:rPr>
        <w:t xml:space="preserve">Managing Food and Beverage Operations Autumn Term 2025</w:t>
      </w:r>
    </w:p>
    <w:p w:rsidR="00000000" w:rsidDel="00000000" w:rsidP="00000000" w:rsidRDefault="00000000" w:rsidRPr="00000000" w14:paraId="00000004">
      <w:pPr>
        <w:ind w:firstLine="0"/>
        <w:jc w:val="center"/>
        <w:rPr>
          <w:b w:val="1"/>
          <w:bCs w:val="1"/>
        </w:rPr>
      </w:pPr>
      <w:r w:rsidDel="00000000" w:rsidR="00000000" w:rsidRPr="00000000">
        <w:rPr>
          <w:b w:val="1"/>
          <w:bCs w:val="1"/>
          <w:rtl w:val="0"/>
        </w:rPr>
        <w:t xml:space="preserve">Hotel Placement – Managing Food and Beverage Operations</w:t>
      </w:r>
    </w:p>
    <w:p w:rsidR="00000000" w:rsidDel="00000000" w:rsidP="00000000" w:rsidRDefault="00000000" w:rsidRPr="00000000" w14:paraId="00000005">
      <w:pPr>
        <w:ind w:firstLine="0"/>
        <w:jc w:val="center"/>
        <w:rPr>
          <w:b w:val="1"/>
          <w:bCs w:val="1"/>
        </w:rPr>
      </w:pPr>
      <w:r w:rsidDel="00000000" w:rsidR="00000000" w:rsidRPr="00000000">
        <w:rPr>
          <w:b w:val="1"/>
          <w:bCs w:val="1"/>
          <w:rtl w:val="0"/>
        </w:rPr>
        <w:t xml:space="preserve">BMIH6002</w:t>
      </w:r>
    </w:p>
    <w:p w:rsidR="00000000" w:rsidDel="00000000" w:rsidP="00000000" w:rsidRDefault="00000000" w:rsidRPr="00000000" w14:paraId="00000006">
      <w:pPr>
        <w:ind w:firstLine="0"/>
        <w:jc w:val="center"/>
        <w:rPr>
          <w:b w:val="1"/>
          <w:bCs w:val="1"/>
        </w:rPr>
      </w:pPr>
      <w:r w:rsidDel="00000000" w:rsidR="00000000" w:rsidRPr="00000000">
        <w:rPr>
          <w:b w:val="1"/>
          <w:bCs w:val="1"/>
          <w:rtl w:val="0"/>
        </w:rPr>
        <w:t xml:space="preserve">Bridging Theory and Practice: A Reflective Learning Log on Food and Beverage Sustainability during Placement at Holiday Inn Sunderland</w:t>
      </w:r>
    </w:p>
    <w:p w:rsidR="00000000" w:rsidDel="00000000" w:rsidP="00000000" w:rsidRDefault="00000000" w:rsidRPr="00000000" w14:paraId="00000007">
      <w:pPr>
        <w:spacing w:after="200" w:before="0" w:line="276" w:lineRule="auto"/>
        <w:ind w:firstLine="0"/>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8">
      <w:pPr>
        <w:ind w:firstLine="0"/>
        <w:rPr>
          <w:b w:val="1"/>
          <w:bCs w:val="1"/>
        </w:rPr>
      </w:pPr>
      <w:r w:rsidDel="00000000" w:rsidR="00000000" w:rsidRPr="00000000">
        <w:rPr>
          <w:b w:val="1"/>
          <w:bCs w:val="1"/>
          <w:rtl w:val="0"/>
        </w:rPr>
        <w:t xml:space="preserve">AI Declaration:</w:t>
      </w:r>
    </w:p>
    <w:p w:rsidR="00000000" w:rsidDel="00000000" w:rsidP="00000000" w:rsidRDefault="00000000" w:rsidRPr="00000000" w14:paraId="00000009">
      <w:pPr>
        <w:ind w:firstLine="0"/>
        <w:rPr>
          <w:b w:val="1"/>
          <w:bCs w:val="1"/>
        </w:rPr>
      </w:pPr>
      <w:r w:rsidDel="00000000" w:rsidR="00000000" w:rsidRPr="00000000">
        <w:rPr>
          <w:b w:val="1"/>
          <w:bCs w:val="1"/>
        </w:rPr>
        <w:drawing>
          <wp:inline distB="0" distT="0" distL="0" distR="0">
            <wp:extent cx="5943600" cy="790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790575"/>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b w:val="1"/>
          <w:bCs w:val="1"/>
        </w:rPr>
      </w:pPr>
      <w:r w:rsidDel="00000000" w:rsidR="00000000" w:rsidRPr="00000000">
        <w:rPr>
          <w:rtl w:val="0"/>
        </w:rPr>
      </w:r>
    </w:p>
    <w:p w:rsidR="00000000" w:rsidDel="00000000" w:rsidP="00000000" w:rsidRDefault="00000000" w:rsidRPr="00000000" w14:paraId="0000000B">
      <w:pPr>
        <w:ind w:firstLine="0"/>
        <w:rPr>
          <w:b w:val="1"/>
          <w:bCs w:val="1"/>
        </w:rPr>
      </w:pPr>
      <w:r w:rsidDel="00000000" w:rsidR="00000000" w:rsidRPr="00000000">
        <w:rPr>
          <w:rtl w:val="0"/>
        </w:rPr>
      </w:r>
    </w:p>
    <w:p w:rsidR="00000000" w:rsidDel="00000000" w:rsidP="00000000" w:rsidRDefault="00000000" w:rsidRPr="00000000" w14:paraId="0000000C">
      <w:pPr>
        <w:rPr>
          <w:b w:val="1"/>
          <w:bCs w:val="1"/>
        </w:rPr>
      </w:pP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ind w:firstLine="0"/>
        <w:rPr>
          <w:b w:val="1"/>
          <w:bCs w:val="1"/>
        </w:rPr>
      </w:pPr>
      <w:r w:rsidDel="00000000" w:rsidR="00000000" w:rsidRPr="00000000">
        <w:rPr>
          <w:rtl w:val="0"/>
        </w:rPr>
      </w:r>
    </w:p>
    <w:p w:rsidR="00000000" w:rsidDel="00000000" w:rsidP="00000000" w:rsidRDefault="00000000" w:rsidRPr="00000000" w14:paraId="00000010">
      <w:pPr>
        <w:ind w:firstLine="0"/>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432" w:right="0" w:hanging="432"/>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2">
      <w:pPr>
        <w:spacing w:after="200" w:before="0" w:line="276"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432" w:right="0" w:hanging="432"/>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Contents</w:t>
      </w:r>
    </w:p>
    <w:sdt>
      <w:sdtPr>
        <w:id w:val="448118036"/>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200"/>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lhmg1dbsme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tab/>
              <w:t xml:space="preserve">Introduction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200"/>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cutugfyecs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w:t>
              <w:tab/>
              <w:t xml:space="preserve">Theoretical Foundation and Selected Module</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200"/>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o1unyy9vfj8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w:t>
              <w:tab/>
              <w:t xml:space="preserve">Workplace Setting and Interviewed Team Member</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200"/>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wzxgym0xvv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w:t>
              <w:tab/>
              <w:t xml:space="preserve">Observations and Theory–Practice Links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cnxznbz96i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w:t>
              <w:tab/>
              <w:t xml:space="preserve">Food Waste and Portion Control</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y6qjt5txoxp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w:t>
              <w:tab/>
              <w:t xml:space="preserve">Sustainable Sourcing and Inventory Use</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ee5w9mgv2hd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w:t>
              <w:tab/>
              <w:t xml:space="preserve">Energy and Water Efficiency in Operations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m7zcfioenn7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w:t>
              <w:tab/>
              <w:t xml:space="preserve">Guest Communication and Service Culture</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5j13iq9l798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w:t>
              <w:tab/>
              <w:t xml:space="preserve">Comparative Analysis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29e5s3w6kwa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w:t>
              <w:tab/>
              <w:t xml:space="preserve">Reflection: Change in Perspective Since Level 4</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680"/>
              <w:tab w:val="right" w:leader="dot" w:pos="9350"/>
            </w:tabs>
            <w:spacing w:after="100" w:before="16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v5x14rfj3m6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w:t>
              <w:tab/>
              <w:t xml:space="preserve">Practical Improvements and Recommendations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left" w:leader="none" w:pos="1200"/>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5l1hya35fo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w:t>
              <w:tab/>
              <w:t xml:space="preserve">Conclusion</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0k619s9w5c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84"/>
              <w:tab w:val="left" w:leader="none" w:pos="851"/>
              <w:tab w:val="left" w:leader="none" w:pos="993"/>
              <w:tab w:val="right" w:leader="dot" w:pos="9350"/>
            </w:tabs>
            <w:spacing w:after="100" w:before="16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x36sbfo54f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w:t>
              <w:tab/>
              <w:t xml:space="preserve">11</w:t>
            </w:r>
          </w:hyperlink>
          <w:r w:rsidDel="00000000" w:rsidR="00000000" w:rsidRPr="00000000">
            <w:rPr>
              <w:rtl w:val="0"/>
            </w:rPr>
          </w:r>
        </w:p>
        <w:p w:rsidR="00000000" w:rsidDel="00000000" w:rsidP="00000000" w:rsidRDefault="00000000" w:rsidRPr="00000000" w14:paraId="00000022">
          <w:pPr>
            <w:tabs>
              <w:tab w:val="left" w:leader="none" w:pos="284"/>
              <w:tab w:val="left" w:leader="none" w:pos="851"/>
              <w:tab w:val="left" w:leader="none" w:pos="993"/>
            </w:tabs>
            <w:ind w:firstLine="0"/>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bookmarkStart w:colFirst="0" w:colLast="0" w:name="_ipjo9u2aogld" w:id="1"/>
      <w:bookmarkEnd w:id="1"/>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numPr>
          <w:ilvl w:val="0"/>
          <w:numId w:val="1"/>
        </w:numPr>
        <w:ind w:left="432" w:hanging="432"/>
        <w:rPr/>
      </w:pPr>
      <w:bookmarkStart w:colFirst="0" w:colLast="0" w:name="_tlhmg1dbsme1" w:id="2"/>
      <w:bookmarkEnd w:id="2"/>
      <w:r w:rsidDel="00000000" w:rsidR="00000000" w:rsidRPr="00000000">
        <w:rPr>
          <w:rtl w:val="0"/>
        </w:rPr>
        <w:t xml:space="preserve">Introduction </w:t>
      </w:r>
    </w:p>
    <w:p w:rsidR="00000000" w:rsidDel="00000000" w:rsidP="00000000" w:rsidRDefault="00000000" w:rsidRPr="00000000" w14:paraId="00000025">
      <w:pPr>
        <w:rPr/>
      </w:pPr>
      <w:r w:rsidDel="00000000" w:rsidR="00000000" w:rsidRPr="00000000">
        <w:rPr>
          <w:rtl w:val="0"/>
        </w:rPr>
        <w:t xml:space="preserve">The hotel Holiday Inn Sunderland which is a franchise of InterContinental Hotels Group (IHG) is a modern 4-star city hotel, which is mainly used by corporate clients, sporting visitors, and recreational travellers (IHG, 2025). The property will feature a vibrant Food and Beverage (F&amp;B) incorporation which includes restaurant breakfast, all day dining, evening bar and lounge, room-service operation, and conference catering. Currently, I am working in the F&amp;B department and hence have the benefit of getting some hands-on experience at a very young phase of my placement. My co-workers, i.e. Moriom Begum Qureshi, Front Desk Operations, Syed Zabid, Food and Beverage and Syed Ahsan Ali, who is doing cross-training, promote cross-departmental learning environments. This reflective log is a critical analysis of how the main concepts of sustainability discussed throughout the course of Sustainability for the Hospitality Industry can be applied to the F&amp;B activities of the Holiday Inn Sunderland with the aim of achieving the balance between service quality, operational efficiency, and environmental responsibility.</w:t>
      </w:r>
    </w:p>
    <w:p w:rsidR="00000000" w:rsidDel="00000000" w:rsidP="00000000" w:rsidRDefault="00000000" w:rsidRPr="00000000" w14:paraId="00000026">
      <w:pPr>
        <w:pStyle w:val="Heading1"/>
        <w:numPr>
          <w:ilvl w:val="0"/>
          <w:numId w:val="1"/>
        </w:numPr>
        <w:ind w:left="432" w:hanging="432"/>
        <w:rPr/>
      </w:pPr>
      <w:bookmarkStart w:colFirst="0" w:colLast="0" w:name="_ccutugfyecsg" w:id="3"/>
      <w:bookmarkEnd w:id="3"/>
      <w:r w:rsidDel="00000000" w:rsidR="00000000" w:rsidRPr="00000000">
        <w:rPr>
          <w:rtl w:val="0"/>
        </w:rPr>
        <w:t xml:space="preserve">Theoretical Foundation and Selected Module</w:t>
      </w:r>
    </w:p>
    <w:p w:rsidR="00000000" w:rsidDel="00000000" w:rsidP="00000000" w:rsidRDefault="00000000" w:rsidRPr="00000000" w14:paraId="00000027">
      <w:pPr>
        <w:rPr/>
      </w:pPr>
      <w:r w:rsidDel="00000000" w:rsidR="00000000" w:rsidRPr="00000000">
        <w:rPr>
          <w:rtl w:val="0"/>
        </w:rPr>
        <w:t xml:space="preserve">The conceptual framework in Sustainability for the Hospitality Industry can be used as an analytical tool to assess the work of F&amp;B at the Holiday Inn Sunderland (Walker, 2021). The core of this model is the Triple Bottom Line (TBL), which focuses on simultaneous attention to People, Planet, and Profit, thus reminding the managers that operational success should find a compromise between economic, social, and environmental goals (Elkhwesky et al., 2024). Waste Hierarchy does support reduction, reuse, and recycling and asks hotels to produce less and reuse what they do not consume. The amount of food waste produced annually in the hospitality industry of the United Kingdom reaches about 920,000 tonnes per year, which highlights the need to adopt effective waste management practices (Ally et al., 2024). The principles of sustainable sourcing and ethical supply-chain encourage the procurement of local products and reduction of carbon-emissions, whereas the principles of energy and water efficiency are closely interconnected with the principles of environmental stewardship. In addition to this, service-quality theory like SERVQUAL proves that sustainability may improve the perception of the guest, increasing the level of empathy and trust. All these paradigms, in turn, justify a critical examination of the operational practices and make it easier to find the points where the efficiency and environmental responsibility can coexist.</w:t>
      </w:r>
    </w:p>
    <w:p w:rsidR="00000000" w:rsidDel="00000000" w:rsidP="00000000" w:rsidRDefault="00000000" w:rsidRPr="00000000" w14:paraId="00000028">
      <w:pPr>
        <w:pStyle w:val="Heading1"/>
        <w:numPr>
          <w:ilvl w:val="0"/>
          <w:numId w:val="1"/>
        </w:numPr>
        <w:ind w:left="432" w:hanging="432"/>
        <w:rPr/>
      </w:pPr>
      <w:bookmarkStart w:colFirst="0" w:colLast="0" w:name="_o1unyy9vfj8u" w:id="4"/>
      <w:bookmarkEnd w:id="4"/>
      <w:r w:rsidDel="00000000" w:rsidR="00000000" w:rsidRPr="00000000">
        <w:rPr>
          <w:rtl w:val="0"/>
        </w:rPr>
        <w:t xml:space="preserve">Workplace Setting and Interviewed Team Member</w:t>
      </w:r>
    </w:p>
    <w:p w:rsidR="00000000" w:rsidDel="00000000" w:rsidP="00000000" w:rsidRDefault="00000000" w:rsidRPr="00000000" w14:paraId="00000029">
      <w:pPr>
        <w:rPr/>
      </w:pPr>
      <w:r w:rsidDel="00000000" w:rsidR="00000000" w:rsidRPr="00000000">
        <w:rPr>
          <w:rtl w:val="0"/>
        </w:rPr>
        <w:t xml:space="preserve">My placement in Holiday Inn Sunderland is in the F&amp;B department, and my co-workers, Moriom Begum Qureshi and Syed Zabid work in the Front Office and in F&amp;B, respectively. In order to learn about sustainable practice I interviewed Emma Taylor as the Restaurant Supervisor dealing with the breakfast operations, shift arrangements, and daily briefings. Emma explained that sustainability is incorporated into daily activities, including the use of limited batches in cooking, tracking the energy use, and sorting out recyclable resources. She reported a 15 per cent decreased amount of waste of breakfast in the previous year due to improved monitoring. She also spoke about the IHG Green Engage programme, the energy and water usage programme. The practical insights of Emma explain that sustainability frameworks should be implemented in everyday processes through small steps, as opposed to big plans, which are not easily followed.</w:t>
      </w:r>
    </w:p>
    <w:p w:rsidR="00000000" w:rsidDel="00000000" w:rsidP="00000000" w:rsidRDefault="00000000" w:rsidRPr="00000000" w14:paraId="0000002A">
      <w:pPr>
        <w:pStyle w:val="Heading1"/>
        <w:numPr>
          <w:ilvl w:val="0"/>
          <w:numId w:val="1"/>
        </w:numPr>
        <w:ind w:left="432" w:hanging="432"/>
        <w:rPr/>
      </w:pPr>
      <w:bookmarkStart w:colFirst="0" w:colLast="0" w:name="_xwzxgym0xvv0" w:id="5"/>
      <w:bookmarkEnd w:id="5"/>
      <w:r w:rsidDel="00000000" w:rsidR="00000000" w:rsidRPr="00000000">
        <w:rPr>
          <w:rtl w:val="0"/>
        </w:rPr>
        <w:t xml:space="preserve">Observations and Theory–Practice Links</w:t>
      </w:r>
    </w:p>
    <w:p w:rsidR="00000000" w:rsidDel="00000000" w:rsidP="00000000" w:rsidRDefault="00000000" w:rsidRPr="00000000" w14:paraId="0000002B">
      <w:pPr>
        <w:pStyle w:val="Heading2"/>
        <w:numPr>
          <w:ilvl w:val="1"/>
          <w:numId w:val="1"/>
        </w:numPr>
        <w:ind w:left="576" w:hanging="576"/>
        <w:rPr/>
      </w:pPr>
      <w:bookmarkStart w:colFirst="0" w:colLast="0" w:name="_1cnxznbz96i9" w:id="6"/>
      <w:bookmarkEnd w:id="6"/>
      <w:r w:rsidDel="00000000" w:rsidR="00000000" w:rsidRPr="00000000">
        <w:rPr>
          <w:rtl w:val="0"/>
        </w:rPr>
        <w:t xml:space="preserve">Food Waste and Portion Control</w:t>
      </w:r>
    </w:p>
    <w:p w:rsidR="00000000" w:rsidDel="00000000" w:rsidP="00000000" w:rsidRDefault="00000000" w:rsidRPr="00000000" w14:paraId="0000002C">
      <w:pPr>
        <w:rPr/>
      </w:pPr>
      <w:r w:rsidDel="00000000" w:rsidR="00000000" w:rsidRPr="00000000">
        <w:rPr>
          <w:rtl w:val="0"/>
        </w:rPr>
        <w:t xml:space="preserve">The breakfast service utilises a practice known as a small-batch service to ensure that the food is of high quality, and there are minimal leftovers. I helped in keeping track of portions and refilling the buffet in partnership with Syed Zabid. The strategy follows the Waste Hierarchy, which is suitable to minimise unnecessary disposal (Ally et al., 2024). Nevertheless, I noticed that predictability is not perfect, and sometimes the production will be overproduced in case of peak weekends. Improved education on portion control will also help reduce waste further and could save the hotel as much as 30 per cent. on its breakfast food expenses every year (Kattiyapornpong et al., 2023). </w:t>
      </w:r>
    </w:p>
    <w:p w:rsidR="00000000" w:rsidDel="00000000" w:rsidP="00000000" w:rsidRDefault="00000000" w:rsidRPr="00000000" w14:paraId="0000002D">
      <w:pPr>
        <w:pStyle w:val="Heading2"/>
        <w:numPr>
          <w:ilvl w:val="1"/>
          <w:numId w:val="1"/>
        </w:numPr>
        <w:ind w:left="576" w:hanging="576"/>
        <w:rPr/>
      </w:pPr>
      <w:bookmarkStart w:colFirst="0" w:colLast="0" w:name="_y6qjt5txoxp1" w:id="7"/>
      <w:bookmarkEnd w:id="7"/>
      <w:r w:rsidDel="00000000" w:rsidR="00000000" w:rsidRPr="00000000">
        <w:rPr>
          <w:rtl w:val="0"/>
        </w:rPr>
        <w:t xml:space="preserve">Sustainable Sourcing and Inventory Use</w:t>
      </w:r>
    </w:p>
    <w:p w:rsidR="00000000" w:rsidDel="00000000" w:rsidP="00000000" w:rsidRDefault="00000000" w:rsidRPr="00000000" w14:paraId="0000002E">
      <w:pPr>
        <w:rPr/>
      </w:pPr>
      <w:r w:rsidDel="00000000" w:rsidR="00000000" w:rsidRPr="00000000">
        <w:rPr>
          <w:rtl w:val="0"/>
        </w:rPr>
        <w:t xml:space="preserve">The hotel sources locally available dairy and bakery products and at the same time imports some products to maintain brand standards. The practise shows the way the TBL principle strikes a balance between environmental goals and profitability and expectations of the guests (Al-Husain et al., 2024). Local suppliers reduce transportation emissions, but haphazard supplies lead to a shortage of products occasionally, which represents that sustainability initiatives have to change according to supply-chain realities (Johnston et al., 2012).</w:t>
      </w:r>
    </w:p>
    <w:p w:rsidR="00000000" w:rsidDel="00000000" w:rsidP="00000000" w:rsidRDefault="00000000" w:rsidRPr="00000000" w14:paraId="0000002F">
      <w:pPr>
        <w:pStyle w:val="Heading2"/>
        <w:numPr>
          <w:ilvl w:val="1"/>
          <w:numId w:val="1"/>
        </w:numPr>
        <w:ind w:left="576" w:hanging="576"/>
        <w:rPr/>
      </w:pPr>
      <w:bookmarkStart w:colFirst="0" w:colLast="0" w:name="_ee5w9mgv2hdk" w:id="8"/>
      <w:bookmarkEnd w:id="8"/>
      <w:r w:rsidDel="00000000" w:rsidR="00000000" w:rsidRPr="00000000">
        <w:rPr>
          <w:rtl w:val="0"/>
        </w:rPr>
        <w:t xml:space="preserve">Energy and Water Efficiency in Operations</w:t>
      </w:r>
    </w:p>
    <w:p w:rsidR="00000000" w:rsidDel="00000000" w:rsidP="00000000" w:rsidRDefault="00000000" w:rsidRPr="00000000" w14:paraId="00000030">
      <w:pPr>
        <w:rPr/>
      </w:pPr>
      <w:r w:rsidDel="00000000" w:rsidR="00000000" w:rsidRPr="00000000">
        <w:rPr>
          <w:rtl w:val="0"/>
        </w:rPr>
        <w:t xml:space="preserve">The kitchen is fitted with effective dishwashers, LED lights, and induction hobs. Workers conform to closed down checklists to save on power. In spite of these, I have observed that light and ventilation systems are usually left on longer than required especially during the shift between breakfast and lunch. Even a decrease in such usage by 10% will help lower energy expenditures significantly as well as help achieve the Green Engage goals of the hotel (Al-Husain et al., 2024).</w:t>
      </w:r>
    </w:p>
    <w:p w:rsidR="00000000" w:rsidDel="00000000" w:rsidP="00000000" w:rsidRDefault="00000000" w:rsidRPr="00000000" w14:paraId="00000031">
      <w:pPr>
        <w:pStyle w:val="Heading2"/>
        <w:numPr>
          <w:ilvl w:val="1"/>
          <w:numId w:val="1"/>
        </w:numPr>
        <w:ind w:left="576" w:hanging="576"/>
        <w:rPr/>
      </w:pPr>
      <w:bookmarkStart w:colFirst="0" w:colLast="0" w:name="_m7zcfioenn7t" w:id="9"/>
      <w:bookmarkEnd w:id="9"/>
      <w:r w:rsidDel="00000000" w:rsidR="00000000" w:rsidRPr="00000000">
        <w:rPr>
          <w:rtl w:val="0"/>
        </w:rPr>
        <w:t xml:space="preserve">Guest Communication and Service Culture</w:t>
      </w:r>
    </w:p>
    <w:p w:rsidR="00000000" w:rsidDel="00000000" w:rsidP="00000000" w:rsidRDefault="00000000" w:rsidRPr="00000000" w14:paraId="00000032">
      <w:pPr>
        <w:rPr/>
      </w:pPr>
      <w:r w:rsidDel="00000000" w:rsidR="00000000" w:rsidRPr="00000000">
        <w:rPr>
          <w:rtl w:val="0"/>
        </w:rPr>
        <w:t xml:space="preserve">Vegetarianism and veganism are obvious in menus, and paper straws have substituted plastic wickets. Moriom, who works at the front desk, also tells guests about local sourcing during the check-in and thus connects sustainability and hospitality. These efforts are greatly valued by many guests, and an example of one such positive comment is that of the refillable water stations. This trend presents the concepts of empathy and responsiveness of SERVQUAL, meaning that sustainable activities can lead to a better perception of service (Rutherford and O’Fallon, 2007).</w:t>
      </w:r>
    </w:p>
    <w:p w:rsidR="00000000" w:rsidDel="00000000" w:rsidP="00000000" w:rsidRDefault="00000000" w:rsidRPr="00000000" w14:paraId="00000033">
      <w:pPr>
        <w:pStyle w:val="Heading2"/>
        <w:numPr>
          <w:ilvl w:val="1"/>
          <w:numId w:val="1"/>
        </w:numPr>
        <w:ind w:left="576" w:hanging="576"/>
        <w:rPr/>
      </w:pPr>
      <w:bookmarkStart w:colFirst="0" w:colLast="0" w:name="_5j13iq9l798s" w:id="10"/>
      <w:bookmarkEnd w:id="10"/>
      <w:r w:rsidDel="00000000" w:rsidR="00000000" w:rsidRPr="00000000">
        <w:rPr>
          <w:rtl w:val="0"/>
        </w:rPr>
        <w:t xml:space="preserve">Comparative Analysis</w:t>
      </w:r>
    </w:p>
    <w:p w:rsidR="00000000" w:rsidDel="00000000" w:rsidP="00000000" w:rsidRDefault="00000000" w:rsidRPr="00000000" w14:paraId="00000034">
      <w:pPr>
        <w:rPr/>
      </w:pPr>
      <w:r w:rsidDel="00000000" w:rsidR="00000000" w:rsidRPr="00000000">
        <w:rPr>
          <w:rtl w:val="0"/>
        </w:rPr>
        <w:t xml:space="preserve">Holiday Inn Sunderland is also in line with suggested sustainability measures like energy and waste management. Briefing on a daily basis enhances responsibility and consistency of operation (Anon., 2010). However, it still has some gaps when it comes to communicating with guests and evaluating data. There is a lack of sustainability information that is placed in the open spaces and waste statistics are measured but not analysed through long-term planning (Hagg, 2013). Such failures are due to time limitations and brand process evidence. Nevertheless, regardless of these shortcomings, the hotel presents a reasonable and equitable implementation of sustainability theory in a highly challenging business landscape. </w:t>
      </w:r>
    </w:p>
    <w:p w:rsidR="00000000" w:rsidDel="00000000" w:rsidP="00000000" w:rsidRDefault="00000000" w:rsidRPr="00000000" w14:paraId="00000035">
      <w:pPr>
        <w:pStyle w:val="Heading2"/>
        <w:numPr>
          <w:ilvl w:val="1"/>
          <w:numId w:val="1"/>
        </w:numPr>
        <w:ind w:left="576" w:hanging="576"/>
        <w:rPr/>
      </w:pPr>
      <w:bookmarkStart w:colFirst="0" w:colLast="0" w:name="_29e5s3w6kwac" w:id="11"/>
      <w:bookmarkEnd w:id="11"/>
      <w:r w:rsidDel="00000000" w:rsidR="00000000" w:rsidRPr="00000000">
        <w:rPr>
          <w:rtl w:val="0"/>
        </w:rPr>
        <w:t xml:space="preserve">Reflection: Change in Perspective Since Level 4</w:t>
      </w:r>
    </w:p>
    <w:p w:rsidR="00000000" w:rsidDel="00000000" w:rsidP="00000000" w:rsidRDefault="00000000" w:rsidRPr="00000000" w14:paraId="00000036">
      <w:pPr>
        <w:rPr/>
      </w:pPr>
      <w:r w:rsidDel="00000000" w:rsidR="00000000" w:rsidRPr="00000000">
        <w:rPr>
          <w:rtl w:val="0"/>
        </w:rPr>
        <w:t xml:space="preserve">In Level 4, the meaning of sustainability as an abstract academic term seemed to me. At this point, my experience allows me to consider it as a daily working commitment that requires collaboration and careful focus towards minor details. Working with Syed Zabid helped me gain a better viewpoint on coordinating tasks in the restaurant, and the conversation with Moriom helped me realise the value of constant contact with the guests. I have also realised that sustainability can achieve maximum effectiveness when it is integrated into the organisational culture, promoted by leadership, and exercised in a concerted manner. </w:t>
      </w:r>
    </w:p>
    <w:p w:rsidR="00000000" w:rsidDel="00000000" w:rsidP="00000000" w:rsidRDefault="00000000" w:rsidRPr="00000000" w14:paraId="00000037">
      <w:pPr>
        <w:pStyle w:val="Heading2"/>
        <w:numPr>
          <w:ilvl w:val="1"/>
          <w:numId w:val="1"/>
        </w:numPr>
        <w:ind w:left="576" w:hanging="576"/>
        <w:rPr/>
      </w:pPr>
      <w:bookmarkStart w:colFirst="0" w:colLast="0" w:name="_v5x14rfj3m6e" w:id="12"/>
      <w:bookmarkEnd w:id="12"/>
      <w:r w:rsidDel="00000000" w:rsidR="00000000" w:rsidRPr="00000000">
        <w:rPr>
          <w:rtl w:val="0"/>
        </w:rPr>
        <w:t xml:space="preserve">Practical Improvements and Recommendations</w:t>
      </w:r>
    </w:p>
    <w:p w:rsidR="00000000" w:rsidDel="00000000" w:rsidP="00000000" w:rsidRDefault="00000000" w:rsidRPr="00000000" w14:paraId="00000038">
      <w:pPr>
        <w:rPr/>
      </w:pPr>
      <w:r w:rsidDel="00000000" w:rsidR="00000000" w:rsidRPr="00000000">
        <w:rPr>
          <w:rtl w:val="0"/>
        </w:rPr>
        <w:t xml:space="preserve">It is imperative that to enhance F&amp;B sustainability, I would suggest the implementation of a breakfast waste log, which would be used to record waste per 100 covers to make the necessary changes to the menu. Sustainability performance targets should also be integrated in staff training to maintain the increased awareness. The involvement of the guests should be extended by adding menu labels that helps to encourage the use of locally sourced produce (Ally et al., 2024). Lastly, it would help to organise short sustainability talks between Front Office and F&amp;B teams to harmonise the messages. These would help increase efficiency and minimise the cost of waste, as well as solidify the reputation of Holiday Inn Sunderland as a responsible hospitality provider. </w:t>
      </w:r>
    </w:p>
    <w:p w:rsidR="00000000" w:rsidDel="00000000" w:rsidP="00000000" w:rsidRDefault="00000000" w:rsidRPr="00000000" w14:paraId="00000039">
      <w:pPr>
        <w:pStyle w:val="Heading1"/>
        <w:numPr>
          <w:ilvl w:val="0"/>
          <w:numId w:val="1"/>
        </w:numPr>
        <w:ind w:left="432" w:hanging="432"/>
        <w:rPr/>
      </w:pPr>
      <w:bookmarkStart w:colFirst="0" w:colLast="0" w:name="_k5l1hya35foa" w:id="13"/>
      <w:bookmarkEnd w:id="13"/>
      <w:r w:rsidDel="00000000" w:rsidR="00000000" w:rsidRPr="00000000">
        <w:rPr>
          <w:rtl w:val="0"/>
        </w:rPr>
        <w:t xml:space="preserve">Conclusion </w:t>
      </w:r>
    </w:p>
    <w:p w:rsidR="00000000" w:rsidDel="00000000" w:rsidP="00000000" w:rsidRDefault="00000000" w:rsidRPr="00000000" w14:paraId="0000003A">
      <w:pPr>
        <w:rPr/>
      </w:pPr>
      <w:r w:rsidDel="00000000" w:rsidR="00000000" w:rsidRPr="00000000">
        <w:rPr>
          <w:rtl w:val="0"/>
        </w:rPr>
        <w:t xml:space="preserve">It is concluded that the sustainability theories like the Triple Bottom Line and Waste Hierarchy can be effectively operationalised in the F&amp;B sector of Holiday Inn Sunderland. Through the observations, it is evident that small, but regular behaviours, such as portion control, waste management, and energy management, can put theoretical concepts into practical findings. The cooperation between the F&amp;B and the Front Desk in collaboration with other colleagues, including Syed Zabid and Moriom Begum Qureshi was crucial to provide coherent communication with the guests and provide sustainability in the service. On a personal level, this experience enhanced my analytical skills, flexibility in the face of operational pressure, and new leadership skills as a team member and problem-solver. Now I understand that cooperative management and constant improvement are the basis of responsible management. As part of my future, I am planning to lead a small sustainability initiative in my placement to improve the waste minimisation and cross-department awareness.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spacing w:after="200" w:before="0"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ind w:left="432" w:firstLine="0"/>
        <w:jc w:val="center"/>
        <w:rPr>
          <w:i w:val="0"/>
          <w:iCs w:val="0"/>
        </w:rPr>
      </w:pPr>
      <w:bookmarkStart w:colFirst="0" w:colLast="0" w:name="_g0k619s9w5c8" w:id="14"/>
      <w:bookmarkEnd w:id="14"/>
      <w:r w:rsidDel="00000000" w:rsidR="00000000" w:rsidRPr="00000000">
        <w:rPr>
          <w:i w:val="0"/>
          <w:iCs w:val="0"/>
          <w:rtl w:val="0"/>
        </w:rPr>
        <w:t xml:space="preserve">References</w:t>
      </w:r>
    </w:p>
    <w:p w:rsidR="00000000" w:rsidDel="00000000" w:rsidP="00000000" w:rsidRDefault="00000000" w:rsidRPr="00000000" w14:paraId="0000003E">
      <w:pPr>
        <w:ind w:left="720" w:hanging="720"/>
        <w:rPr>
          <w:highlight w:val="white"/>
        </w:rPr>
      </w:pPr>
      <w:r w:rsidDel="00000000" w:rsidR="00000000" w:rsidRPr="00000000">
        <w:rPr>
          <w:highlight w:val="white"/>
          <w:rtl w:val="0"/>
        </w:rPr>
        <w:t xml:space="preserve">Al-Husain, R.A., Elshaer, A.M., Alzuman, A., Albadry, O.M., Sheikhelsouk, S., Al-Monawer, N.S. and Alsetoohy, O. (2024) </w:t>
      </w:r>
      <w:r w:rsidDel="00000000" w:rsidR="00000000" w:rsidRPr="00000000">
        <w:rPr>
          <w:i w:val="1"/>
          <w:iCs w:val="1"/>
          <w:highlight w:val="white"/>
          <w:rtl w:val="0"/>
        </w:rPr>
        <w:t xml:space="preserve">Toward Sustainable Performance in the Hotel Food Supply Chain: Influences of Quality Management Practices and Digital Integration</w:t>
      </w:r>
      <w:r w:rsidDel="00000000" w:rsidR="00000000" w:rsidRPr="00000000">
        <w:rPr>
          <w:highlight w:val="white"/>
          <w:rtl w:val="0"/>
        </w:rPr>
        <w:t xml:space="preserve">. Administrative Sciences, 14(12), article 314. Available at: </w:t>
      </w:r>
      <w:hyperlink r:id="rId7">
        <w:r w:rsidDel="00000000" w:rsidR="00000000" w:rsidRPr="00000000">
          <w:rPr>
            <w:color w:val="0000ff"/>
            <w:highlight w:val="white"/>
            <w:u w:val="single"/>
            <w:rtl w:val="0"/>
          </w:rPr>
          <w:t xml:space="preserve">https://doi.org/10.3390/admsci14120314</w:t>
        </w:r>
      </w:hyperlink>
      <w:r w:rsidDel="00000000" w:rsidR="00000000" w:rsidRPr="00000000">
        <w:rPr>
          <w:highlight w:val="white"/>
          <w:rtl w:val="0"/>
        </w:rPr>
        <w:t xml:space="preserve">  </w:t>
      </w:r>
    </w:p>
    <w:p w:rsidR="00000000" w:rsidDel="00000000" w:rsidP="00000000" w:rsidRDefault="00000000" w:rsidRPr="00000000" w14:paraId="0000003F">
      <w:pPr>
        <w:ind w:left="720" w:hanging="720"/>
        <w:rPr>
          <w:highlight w:val="white"/>
        </w:rPr>
      </w:pPr>
      <w:r w:rsidDel="00000000" w:rsidR="00000000" w:rsidRPr="00000000">
        <w:rPr>
          <w:highlight w:val="white"/>
          <w:rtl w:val="0"/>
        </w:rPr>
        <w:t xml:space="preserve">Ally, B., Abdulkadir, A., Remmen, A., Hirsbak, S., Mwevura, H., Furu, P. and Salukele, F. (2024) </w:t>
      </w:r>
      <w:r w:rsidDel="00000000" w:rsidR="00000000" w:rsidRPr="00000000">
        <w:rPr>
          <w:i w:val="1"/>
          <w:iCs w:val="1"/>
          <w:highlight w:val="white"/>
          <w:rtl w:val="0"/>
        </w:rPr>
        <w:t xml:space="preserve">Food Waste Management at Selected Tourist Hotels in Zanzibar: Current Practices and Challenges in Creating a Circular Economy in the Hospitality Sector</w:t>
      </w:r>
      <w:r w:rsidDel="00000000" w:rsidR="00000000" w:rsidRPr="00000000">
        <w:rPr>
          <w:highlight w:val="white"/>
          <w:rtl w:val="0"/>
        </w:rPr>
        <w:t xml:space="preserve">. Sustainability, 16(24), article 10850. Available at: </w:t>
      </w:r>
      <w:hyperlink r:id="rId8">
        <w:r w:rsidDel="00000000" w:rsidR="00000000" w:rsidRPr="00000000">
          <w:rPr>
            <w:color w:val="0000ff"/>
            <w:highlight w:val="white"/>
            <w:u w:val="single"/>
            <w:rtl w:val="0"/>
          </w:rPr>
          <w:t xml:space="preserve">https://doi.org/10.3390/su162410850</w:t>
        </w:r>
      </w:hyperlink>
      <w:r w:rsidDel="00000000" w:rsidR="00000000" w:rsidRPr="00000000">
        <w:rPr>
          <w:highlight w:val="white"/>
          <w:rtl w:val="0"/>
        </w:rPr>
        <w:t xml:space="preserve"> </w:t>
      </w:r>
    </w:p>
    <w:p w:rsidR="00000000" w:rsidDel="00000000" w:rsidP="00000000" w:rsidRDefault="00000000" w:rsidRPr="00000000" w14:paraId="00000040">
      <w:pPr>
        <w:ind w:left="720" w:hanging="720"/>
        <w:rPr>
          <w:highlight w:val="white"/>
        </w:rPr>
      </w:pPr>
      <w:r w:rsidDel="00000000" w:rsidR="00000000" w:rsidRPr="00000000">
        <w:rPr>
          <w:highlight w:val="white"/>
          <w:rtl w:val="0"/>
        </w:rPr>
        <w:t xml:space="preserve">Anon. (2010) </w:t>
      </w:r>
      <w:r w:rsidDel="00000000" w:rsidR="00000000" w:rsidRPr="00000000">
        <w:rPr>
          <w:i w:val="1"/>
          <w:iCs w:val="1"/>
          <w:highlight w:val="white"/>
          <w:rtl w:val="0"/>
        </w:rPr>
        <w:t xml:space="preserve">A good practice guide for placement and other work-based learning opportunities in higher education – Good practice for placements guides – Volume 2.</w:t>
      </w:r>
      <w:r w:rsidDel="00000000" w:rsidR="00000000" w:rsidRPr="00000000">
        <w:rPr>
          <w:highlight w:val="white"/>
          <w:rtl w:val="0"/>
        </w:rPr>
        <w:t xml:space="preserve"> </w:t>
      </w:r>
      <w:r w:rsidDel="00000000" w:rsidR="00000000" w:rsidRPr="00000000">
        <w:rPr>
          <w:i w:val="1"/>
          <w:iCs w:val="1"/>
          <w:highlight w:val="white"/>
          <w:rtl w:val="0"/>
        </w:rPr>
        <w:t xml:space="preserve">Education + Training,</w:t>
      </w:r>
      <w:r w:rsidDel="00000000" w:rsidR="00000000" w:rsidRPr="00000000">
        <w:rPr>
          <w:highlight w:val="white"/>
          <w:rtl w:val="0"/>
        </w:rPr>
        <w:t xml:space="preserve"> 52(4), pp. 308–320. doi:10.1108/et.2010.00452dab.013.  </w:t>
      </w:r>
    </w:p>
    <w:p w:rsidR="00000000" w:rsidDel="00000000" w:rsidP="00000000" w:rsidRDefault="00000000" w:rsidRPr="00000000" w14:paraId="00000041">
      <w:pPr>
        <w:ind w:left="720" w:hanging="720"/>
        <w:rPr>
          <w:highlight w:val="white"/>
        </w:rPr>
      </w:pPr>
      <w:r w:rsidDel="00000000" w:rsidR="00000000" w:rsidRPr="00000000">
        <w:rPr>
          <w:highlight w:val="white"/>
          <w:rtl w:val="0"/>
        </w:rPr>
        <w:t xml:space="preserve">Elkhwesky, Z., … (2024) </w:t>
      </w:r>
      <w:r w:rsidDel="00000000" w:rsidR="00000000" w:rsidRPr="00000000">
        <w:rPr>
          <w:i w:val="1"/>
          <w:iCs w:val="1"/>
          <w:highlight w:val="white"/>
          <w:rtl w:val="0"/>
        </w:rPr>
        <w:t xml:space="preserve">Hotel employees’ intention not to waste food: The role of environmental concern</w:t>
      </w:r>
      <w:r w:rsidDel="00000000" w:rsidR="00000000" w:rsidRPr="00000000">
        <w:rPr>
          <w:highlight w:val="white"/>
          <w:rtl w:val="0"/>
        </w:rPr>
        <w:t xml:space="preserve">. Current Psychology, 43, pp. 22593-22610. (Open access) Available at: </w:t>
      </w:r>
      <w:hyperlink r:id="rId9">
        <w:r w:rsidDel="00000000" w:rsidR="00000000" w:rsidRPr="00000000">
          <w:rPr>
            <w:color w:val="0000ff"/>
            <w:highlight w:val="white"/>
            <w:u w:val="single"/>
            <w:rtl w:val="0"/>
          </w:rPr>
          <w:t xml:space="preserve">https://www.sciencedirect.com/science/article/pii/S0959652624029019</w:t>
        </w:r>
      </w:hyperlink>
      <w:r w:rsidDel="00000000" w:rsidR="00000000" w:rsidRPr="00000000">
        <w:rPr>
          <w:highlight w:val="white"/>
          <w:rtl w:val="0"/>
        </w:rPr>
        <w:t xml:space="preserve"> </w:t>
      </w:r>
    </w:p>
    <w:p w:rsidR="00000000" w:rsidDel="00000000" w:rsidP="00000000" w:rsidRDefault="00000000" w:rsidRPr="00000000" w14:paraId="00000042">
      <w:pPr>
        <w:ind w:left="720" w:hanging="720"/>
        <w:rPr>
          <w:highlight w:val="white"/>
        </w:rPr>
      </w:pPr>
      <w:r w:rsidDel="00000000" w:rsidR="00000000" w:rsidRPr="00000000">
        <w:rPr>
          <w:highlight w:val="white"/>
          <w:rtl w:val="0"/>
        </w:rPr>
        <w:t xml:space="preserve">Hagg, E. (2013) </w:t>
      </w:r>
      <w:r w:rsidDel="00000000" w:rsidR="00000000" w:rsidRPr="00000000">
        <w:rPr>
          <w:i w:val="1"/>
          <w:iCs w:val="1"/>
          <w:highlight w:val="white"/>
          <w:rtl w:val="0"/>
        </w:rPr>
        <w:t xml:space="preserve">Internship guide: Work placements step by step.</w:t>
      </w:r>
      <w:r w:rsidDel="00000000" w:rsidR="00000000" w:rsidRPr="00000000">
        <w:rPr>
          <w:highlight w:val="white"/>
          <w:rtl w:val="0"/>
        </w:rPr>
        <w:t xml:space="preserve"> 5th edn. The Hague: Eleven International Publishing.</w:t>
      </w:r>
    </w:p>
    <w:p w:rsidR="00000000" w:rsidDel="00000000" w:rsidP="00000000" w:rsidRDefault="00000000" w:rsidRPr="00000000" w14:paraId="00000043">
      <w:pPr>
        <w:ind w:left="720" w:hanging="720"/>
        <w:rPr>
          <w:highlight w:val="white"/>
        </w:rPr>
      </w:pPr>
      <w:r w:rsidDel="00000000" w:rsidR="00000000" w:rsidRPr="00000000">
        <w:rPr>
          <w:highlight w:val="white"/>
          <w:rtl w:val="0"/>
        </w:rPr>
        <w:t xml:space="preserve">InterContinental Hotels Group (IHG) (2025) </w:t>
      </w:r>
      <w:r w:rsidDel="00000000" w:rsidR="00000000" w:rsidRPr="00000000">
        <w:rPr>
          <w:i w:val="1"/>
          <w:iCs w:val="1"/>
          <w:highlight w:val="white"/>
          <w:rtl w:val="0"/>
        </w:rPr>
        <w:t xml:space="preserve">Holiday Inn Sunderland – City Centre</w:t>
      </w:r>
      <w:r w:rsidDel="00000000" w:rsidR="00000000" w:rsidRPr="00000000">
        <w:rPr>
          <w:highlight w:val="white"/>
          <w:rtl w:val="0"/>
        </w:rPr>
        <w:t xml:space="preserve">. Available at: </w:t>
      </w:r>
      <w:hyperlink r:id="rId10">
        <w:r w:rsidDel="00000000" w:rsidR="00000000" w:rsidRPr="00000000">
          <w:rPr>
            <w:color w:val="0000ff"/>
            <w:highlight w:val="white"/>
            <w:u w:val="single"/>
            <w:rtl w:val="0"/>
          </w:rPr>
          <w:t xml:space="preserve">https://www.ihg.com/holidayinn/hotels/gb/en/sunderland/snduk/hoteldetail?cm_mmc=GoogleMaps-_-HI-_-GB-_-SNDUK</w:t>
        </w:r>
      </w:hyperlink>
      <w:r w:rsidDel="00000000" w:rsidR="00000000" w:rsidRPr="00000000">
        <w:rPr>
          <w:highlight w:val="white"/>
          <w:rtl w:val="0"/>
        </w:rPr>
        <w:t xml:space="preserve"> (Accessed: 23 October 2025).</w:t>
      </w:r>
    </w:p>
    <w:p w:rsidR="00000000" w:rsidDel="00000000" w:rsidP="00000000" w:rsidRDefault="00000000" w:rsidRPr="00000000" w14:paraId="00000044">
      <w:pPr>
        <w:ind w:left="720" w:hanging="720"/>
        <w:rPr>
          <w:highlight w:val="white"/>
        </w:rPr>
      </w:pPr>
      <w:r w:rsidDel="00000000" w:rsidR="00000000" w:rsidRPr="00000000">
        <w:rPr>
          <w:highlight w:val="white"/>
          <w:rtl w:val="0"/>
        </w:rPr>
        <w:t xml:space="preserve">Johnston, R., Clark, G. and Shulver, M. (2012) </w:t>
      </w:r>
      <w:r w:rsidDel="00000000" w:rsidR="00000000" w:rsidRPr="00000000">
        <w:rPr>
          <w:i w:val="1"/>
          <w:iCs w:val="1"/>
          <w:highlight w:val="white"/>
          <w:rtl w:val="0"/>
        </w:rPr>
        <w:t xml:space="preserve">Service operations management: Improving service delivery.</w:t>
      </w:r>
      <w:r w:rsidDel="00000000" w:rsidR="00000000" w:rsidRPr="00000000">
        <w:rPr>
          <w:highlight w:val="white"/>
          <w:rtl w:val="0"/>
        </w:rPr>
        <w:t xml:space="preserve"> 5th edn. London: Pearson.</w:t>
      </w:r>
    </w:p>
    <w:p w:rsidR="00000000" w:rsidDel="00000000" w:rsidP="00000000" w:rsidRDefault="00000000" w:rsidRPr="00000000" w14:paraId="00000045">
      <w:pPr>
        <w:ind w:left="720" w:hanging="720"/>
        <w:rPr>
          <w:highlight w:val="white"/>
        </w:rPr>
      </w:pPr>
      <w:r w:rsidDel="00000000" w:rsidR="00000000" w:rsidRPr="00000000">
        <w:rPr>
          <w:highlight w:val="white"/>
          <w:rtl w:val="0"/>
        </w:rPr>
        <w:t xml:space="preserve">Kattiyapornpong, U., Ditta-Apichai, M. and Chuntamara, C. (2023) </w:t>
      </w:r>
      <w:r w:rsidDel="00000000" w:rsidR="00000000" w:rsidRPr="00000000">
        <w:rPr>
          <w:i w:val="1"/>
          <w:iCs w:val="1"/>
          <w:highlight w:val="white"/>
          <w:rtl w:val="0"/>
        </w:rPr>
        <w:t xml:space="preserve">Sustainable Food Waste Management Practices: Perspectives from Five-Star Hotels in Thailand</w:t>
      </w:r>
      <w:r w:rsidDel="00000000" w:rsidR="00000000" w:rsidRPr="00000000">
        <w:rPr>
          <w:highlight w:val="white"/>
          <w:rtl w:val="0"/>
        </w:rPr>
        <w:t xml:space="preserve">. Sustainability, 15(13), article 10213. Available at: </w:t>
      </w:r>
      <w:hyperlink r:id="rId11">
        <w:r w:rsidDel="00000000" w:rsidR="00000000" w:rsidRPr="00000000">
          <w:rPr>
            <w:color w:val="0000ff"/>
            <w:highlight w:val="white"/>
            <w:u w:val="single"/>
            <w:rtl w:val="0"/>
          </w:rPr>
          <w:t xml:space="preserve">https://doi.org/10.3390/su151310213</w:t>
        </w:r>
      </w:hyperlink>
      <w:r w:rsidDel="00000000" w:rsidR="00000000" w:rsidRPr="00000000">
        <w:rPr>
          <w:highlight w:val="white"/>
          <w:rtl w:val="0"/>
        </w:rPr>
        <w:t xml:space="preserve"> </w:t>
      </w:r>
    </w:p>
    <w:p w:rsidR="00000000" w:rsidDel="00000000" w:rsidP="00000000" w:rsidRDefault="00000000" w:rsidRPr="00000000" w14:paraId="00000046">
      <w:pPr>
        <w:ind w:left="720" w:hanging="720"/>
        <w:rPr>
          <w:highlight w:val="white"/>
        </w:rPr>
      </w:pPr>
      <w:r w:rsidDel="00000000" w:rsidR="00000000" w:rsidRPr="00000000">
        <w:rPr>
          <w:highlight w:val="white"/>
          <w:rtl w:val="0"/>
        </w:rPr>
        <w:t xml:space="preserve">Rutherford, D.G. and O’Fallon, M.J. (eds.) (2007) </w:t>
      </w:r>
      <w:r w:rsidDel="00000000" w:rsidR="00000000" w:rsidRPr="00000000">
        <w:rPr>
          <w:i w:val="1"/>
          <w:iCs w:val="1"/>
          <w:highlight w:val="white"/>
          <w:rtl w:val="0"/>
        </w:rPr>
        <w:t xml:space="preserve">Hotel management and operations.</w:t>
      </w:r>
      <w:r w:rsidDel="00000000" w:rsidR="00000000" w:rsidRPr="00000000">
        <w:rPr>
          <w:highlight w:val="white"/>
          <w:rtl w:val="0"/>
        </w:rPr>
        <w:t xml:space="preserve"> 4th edn. Hoboken, N.J.: John Wiley &amp; Sons.</w:t>
      </w:r>
    </w:p>
    <w:p w:rsidR="00000000" w:rsidDel="00000000" w:rsidP="00000000" w:rsidRDefault="00000000" w:rsidRPr="00000000" w14:paraId="00000047">
      <w:pPr>
        <w:ind w:left="720" w:hanging="720"/>
        <w:rPr>
          <w:highlight w:val="white"/>
        </w:rPr>
      </w:pPr>
      <w:r w:rsidDel="00000000" w:rsidR="00000000" w:rsidRPr="00000000">
        <w:rPr>
          <w:highlight w:val="white"/>
          <w:rtl w:val="0"/>
        </w:rPr>
        <w:t xml:space="preserve">Walker, J.C. (2021) </w:t>
      </w:r>
      <w:r w:rsidDel="00000000" w:rsidR="00000000" w:rsidRPr="00000000">
        <w:rPr>
          <w:i w:val="1"/>
          <w:iCs w:val="1"/>
          <w:highlight w:val="white"/>
          <w:rtl w:val="0"/>
        </w:rPr>
        <w:t xml:space="preserve">Introduction to hospitality.</w:t>
      </w:r>
      <w:r w:rsidDel="00000000" w:rsidR="00000000" w:rsidRPr="00000000">
        <w:rPr>
          <w:highlight w:val="white"/>
          <w:rtl w:val="0"/>
        </w:rPr>
        <w:t xml:space="preserve"> 8th edn. Harlow: Pearson Education Limited.</w:t>
      </w:r>
    </w:p>
    <w:p w:rsidR="00000000" w:rsidDel="00000000" w:rsidP="00000000" w:rsidRDefault="00000000" w:rsidRPr="00000000" w14:paraId="00000048">
      <w:pPr>
        <w:ind w:left="720" w:hanging="720"/>
        <w:rPr>
          <w:highlight w:val="white"/>
        </w:rPr>
      </w:pPr>
      <w:r w:rsidDel="00000000" w:rsidR="00000000" w:rsidRPr="00000000">
        <w:rPr>
          <w:rtl w:val="0"/>
        </w:rPr>
      </w:r>
    </w:p>
    <w:p w:rsidR="00000000" w:rsidDel="00000000" w:rsidP="00000000" w:rsidRDefault="00000000" w:rsidRPr="00000000" w14:paraId="00000049">
      <w:pPr>
        <w:ind w:firstLine="0"/>
        <w:rPr>
          <w:highlight w:val="white"/>
        </w:rPr>
      </w:pPr>
      <w:r w:rsidDel="00000000" w:rsidR="00000000" w:rsidRPr="00000000">
        <w:rPr>
          <w:rtl w:val="0"/>
        </w:rPr>
      </w:r>
    </w:p>
    <w:p w:rsidR="00000000" w:rsidDel="00000000" w:rsidP="00000000" w:rsidRDefault="00000000" w:rsidRPr="00000000" w14:paraId="0000004A">
      <w:pPr>
        <w:ind w:firstLine="0"/>
        <w:rPr>
          <w:highlight w:val="white"/>
        </w:rPr>
      </w:pPr>
      <w:r w:rsidDel="00000000" w:rsidR="00000000" w:rsidRPr="00000000">
        <w:rPr>
          <w:rtl w:val="0"/>
        </w:rPr>
      </w:r>
    </w:p>
    <w:p w:rsidR="00000000" w:rsidDel="00000000" w:rsidP="00000000" w:rsidRDefault="00000000" w:rsidRPr="00000000" w14:paraId="0000004B">
      <w:pPr>
        <w:ind w:firstLine="0"/>
        <w:rPr>
          <w:highlight w:val="white"/>
        </w:rPr>
      </w:pPr>
      <w:r w:rsidDel="00000000" w:rsidR="00000000" w:rsidRPr="00000000">
        <w:rPr>
          <w:rtl w:val="0"/>
        </w:rPr>
      </w:r>
    </w:p>
    <w:p w:rsidR="00000000" w:rsidDel="00000000" w:rsidP="00000000" w:rsidRDefault="00000000" w:rsidRPr="00000000" w14:paraId="0000004C">
      <w:pPr>
        <w:ind w:firstLine="0"/>
        <w:rPr>
          <w:highlight w:val="white"/>
        </w:rPr>
      </w:pPr>
      <w:r w:rsidDel="00000000" w:rsidR="00000000" w:rsidRPr="00000000">
        <w:rPr>
          <w:rtl w:val="0"/>
        </w:rPr>
      </w:r>
    </w:p>
    <w:p w:rsidR="00000000" w:rsidDel="00000000" w:rsidP="00000000" w:rsidRDefault="00000000" w:rsidRPr="00000000" w14:paraId="0000004D">
      <w:pPr>
        <w:ind w:firstLine="0"/>
        <w:rPr>
          <w:highlight w:val="white"/>
        </w:rPr>
      </w:pPr>
      <w:r w:rsidDel="00000000" w:rsidR="00000000" w:rsidRPr="00000000">
        <w:rPr>
          <w:rtl w:val="0"/>
        </w:rPr>
      </w:r>
    </w:p>
    <w:p w:rsidR="00000000" w:rsidDel="00000000" w:rsidP="00000000" w:rsidRDefault="00000000" w:rsidRPr="00000000" w14:paraId="0000004E">
      <w:pPr>
        <w:ind w:firstLine="0"/>
        <w:rPr>
          <w:highlight w:val="white"/>
        </w:rPr>
      </w:pPr>
      <w:r w:rsidDel="00000000" w:rsidR="00000000" w:rsidRPr="00000000">
        <w:rPr>
          <w:rtl w:val="0"/>
        </w:rPr>
      </w:r>
    </w:p>
    <w:p w:rsidR="00000000" w:rsidDel="00000000" w:rsidP="00000000" w:rsidRDefault="00000000" w:rsidRPr="00000000" w14:paraId="0000004F">
      <w:pPr>
        <w:spacing w:after="200" w:before="0" w:lineRule="auto"/>
        <w:ind w:firstLine="0"/>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jc w:val="center"/>
        <w:rPr>
          <w:i w:val="0"/>
          <w:iCs w:val="0"/>
        </w:rPr>
      </w:pPr>
      <w:bookmarkStart w:colFirst="0" w:colLast="0" w:name="_hx36sbfo54f4" w:id="15"/>
      <w:bookmarkEnd w:id="15"/>
      <w:r w:rsidDel="00000000" w:rsidR="00000000" w:rsidRPr="00000000">
        <w:rPr>
          <w:i w:val="0"/>
          <w:iCs w:val="0"/>
          <w:rtl w:val="0"/>
        </w:rPr>
        <w:t xml:space="preserve">Appendix </w:t>
      </w:r>
    </w:p>
    <w:tbl>
      <w:tblPr>
        <w:tblStyle w:val="Table1"/>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3382"/>
        <w:gridCol w:w="2091"/>
        <w:gridCol w:w="1430"/>
        <w:gridCol w:w="2673"/>
        <w:tblGridChange w:id="0">
          <w:tblGrid>
            <w:gridCol w:w="3382"/>
            <w:gridCol w:w="2091"/>
            <w:gridCol w:w="1430"/>
            <w:gridCol w:w="2673"/>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1">
            <w:pPr>
              <w:spacing w:after="40" w:lineRule="auto"/>
              <w:ind w:firstLine="0"/>
              <w:rPr>
                <w:color w:val="000000"/>
                <w:sz w:val="24"/>
                <w:szCs w:val="24"/>
              </w:rPr>
            </w:pPr>
            <w:r w:rsidDel="00000000" w:rsidR="00000000" w:rsidRPr="00000000">
              <w:rPr>
                <w:color w:val="000000"/>
                <w:sz w:val="24"/>
                <w:szCs w:val="24"/>
                <w:rtl w:val="0"/>
              </w:rPr>
              <w:t xml:space="preserve">Objective</w:t>
            </w:r>
            <w:r w:rsidDel="00000000" w:rsidR="00000000" w:rsidRPr="00000000">
              <w:rPr>
                <w:b w:val="0"/>
                <w:bCs w:val="0"/>
                <w:color w:val="000000"/>
                <w:sz w:val="24"/>
                <w:szCs w:val="24"/>
                <w:rtl w:val="0"/>
              </w:rPr>
              <w:t xml:space="preserve">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2">
            <w:pPr>
              <w:spacing w:after="40" w:lineRule="auto"/>
              <w:ind w:firstLine="0"/>
              <w:rPr>
                <w:color w:val="000000"/>
                <w:sz w:val="24"/>
                <w:szCs w:val="24"/>
              </w:rPr>
            </w:pPr>
            <w:r w:rsidDel="00000000" w:rsidR="00000000" w:rsidRPr="00000000">
              <w:rPr>
                <w:color w:val="000000"/>
                <w:sz w:val="24"/>
                <w:szCs w:val="24"/>
                <w:rtl w:val="0"/>
              </w:rPr>
              <w:t xml:space="preserve">Indicator of Success</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3">
            <w:pPr>
              <w:spacing w:after="40" w:lineRule="auto"/>
              <w:ind w:firstLine="0"/>
              <w:rPr>
                <w:color w:val="000000"/>
                <w:sz w:val="24"/>
                <w:szCs w:val="24"/>
              </w:rPr>
            </w:pPr>
            <w:r w:rsidDel="00000000" w:rsidR="00000000" w:rsidRPr="00000000">
              <w:rPr>
                <w:color w:val="000000"/>
                <w:sz w:val="24"/>
                <w:szCs w:val="24"/>
                <w:rtl w:val="0"/>
              </w:rPr>
              <w:t xml:space="preserve">Achieved?</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4">
            <w:pPr>
              <w:spacing w:after="40" w:lineRule="auto"/>
              <w:ind w:firstLine="0"/>
              <w:rPr>
                <w:color w:val="000000"/>
                <w:sz w:val="24"/>
                <w:szCs w:val="24"/>
              </w:rPr>
            </w:pPr>
            <w:r w:rsidDel="00000000" w:rsidR="00000000" w:rsidRPr="00000000">
              <w:rPr>
                <w:color w:val="000000"/>
                <w:sz w:val="24"/>
                <w:szCs w:val="24"/>
                <w:rtl w:val="0"/>
              </w:rPr>
              <w:t xml:space="preserve">Reflection</w:t>
            </w:r>
          </w:p>
        </w:tc>
      </w:tr>
      <w:tr>
        <w:trPr>
          <w:cantSplit w:val="0"/>
          <w:tblHeader w:val="0"/>
        </w:trPr>
        <w:tc>
          <w:tcPr/>
          <w:p w:rsidR="00000000" w:rsidDel="00000000" w:rsidP="00000000" w:rsidRDefault="00000000" w:rsidRPr="00000000" w14:paraId="00000055">
            <w:pPr>
              <w:spacing w:after="40" w:lineRule="auto"/>
              <w:ind w:firstLine="0"/>
              <w:rPr>
                <w:b w:val="0"/>
                <w:bCs w:val="0"/>
                <w:sz w:val="24"/>
                <w:szCs w:val="24"/>
              </w:rPr>
            </w:pPr>
            <w:r w:rsidDel="00000000" w:rsidR="00000000" w:rsidRPr="00000000">
              <w:rPr>
                <w:b w:val="0"/>
                <w:bCs w:val="0"/>
                <w:sz w:val="24"/>
                <w:szCs w:val="24"/>
                <w:rtl w:val="0"/>
              </w:rPr>
              <w:t xml:space="preserve">1. Contribute to reducing breakfast food waste by 10% through portion monitoring.</w:t>
            </w:r>
          </w:p>
        </w:tc>
        <w:tc>
          <w:tcPr/>
          <w:p w:rsidR="00000000" w:rsidDel="00000000" w:rsidP="00000000" w:rsidRDefault="00000000" w:rsidRPr="00000000" w14:paraId="00000056">
            <w:pPr>
              <w:spacing w:after="40" w:lineRule="auto"/>
              <w:ind w:firstLine="0"/>
              <w:rPr>
                <w:sz w:val="24"/>
                <w:szCs w:val="24"/>
              </w:rPr>
            </w:pPr>
            <w:r w:rsidDel="00000000" w:rsidR="00000000" w:rsidRPr="00000000">
              <w:rPr>
                <w:sz w:val="24"/>
                <w:szCs w:val="24"/>
                <w:rtl w:val="0"/>
              </w:rPr>
              <w:t xml:space="preserve">Waste log comparison over 2 weeks.</w:t>
            </w:r>
          </w:p>
        </w:tc>
        <w:tc>
          <w:tcPr/>
          <w:p w:rsidR="00000000" w:rsidDel="00000000" w:rsidP="00000000" w:rsidRDefault="00000000" w:rsidRPr="00000000" w14:paraId="00000057">
            <w:pPr>
              <w:spacing w:after="40" w:lineRule="auto"/>
              <w:ind w:firstLine="0"/>
              <w:rPr>
                <w:sz w:val="24"/>
                <w:szCs w:val="24"/>
              </w:rPr>
            </w:pPr>
            <w:r w:rsidDel="00000000" w:rsidR="00000000" w:rsidRPr="00000000">
              <w:rPr>
                <w:sz w:val="24"/>
                <w:szCs w:val="24"/>
                <w:rtl w:val="0"/>
              </w:rPr>
              <w:t xml:space="preserve">In progress</w:t>
            </w:r>
          </w:p>
        </w:tc>
        <w:tc>
          <w:tcPr/>
          <w:p w:rsidR="00000000" w:rsidDel="00000000" w:rsidP="00000000" w:rsidRDefault="00000000" w:rsidRPr="00000000" w14:paraId="00000058">
            <w:pPr>
              <w:spacing w:after="40" w:lineRule="auto"/>
              <w:ind w:firstLine="0"/>
              <w:rPr>
                <w:sz w:val="24"/>
                <w:szCs w:val="24"/>
              </w:rPr>
            </w:pPr>
            <w:r w:rsidDel="00000000" w:rsidR="00000000" w:rsidRPr="00000000">
              <w:rPr>
                <w:sz w:val="24"/>
                <w:szCs w:val="24"/>
                <w:rtl w:val="0"/>
              </w:rPr>
              <w:t xml:space="preserve">Improved awareness of prep quantities.</w:t>
            </w:r>
          </w:p>
        </w:tc>
      </w:tr>
      <w:tr>
        <w:trPr>
          <w:cantSplit w:val="0"/>
          <w:tblHeader w:val="0"/>
        </w:trPr>
        <w:tc>
          <w:tcPr/>
          <w:p w:rsidR="00000000" w:rsidDel="00000000" w:rsidP="00000000" w:rsidRDefault="00000000" w:rsidRPr="00000000" w14:paraId="00000059">
            <w:pPr>
              <w:spacing w:after="40" w:lineRule="auto"/>
              <w:ind w:firstLine="0"/>
              <w:rPr>
                <w:b w:val="0"/>
                <w:bCs w:val="0"/>
                <w:sz w:val="24"/>
                <w:szCs w:val="24"/>
              </w:rPr>
            </w:pPr>
            <w:r w:rsidDel="00000000" w:rsidR="00000000" w:rsidRPr="00000000">
              <w:rPr>
                <w:b w:val="0"/>
                <w:bCs w:val="0"/>
                <w:sz w:val="24"/>
                <w:szCs w:val="24"/>
                <w:rtl w:val="0"/>
              </w:rPr>
              <w:t xml:space="preserve">2. Apply sustainability briefing points in daily F&amp;B team meetings.</w:t>
            </w:r>
          </w:p>
        </w:tc>
        <w:tc>
          <w:tcPr/>
          <w:p w:rsidR="00000000" w:rsidDel="00000000" w:rsidP="00000000" w:rsidRDefault="00000000" w:rsidRPr="00000000" w14:paraId="0000005A">
            <w:pPr>
              <w:spacing w:after="40" w:lineRule="auto"/>
              <w:ind w:firstLine="0"/>
              <w:rPr>
                <w:sz w:val="24"/>
                <w:szCs w:val="24"/>
              </w:rPr>
            </w:pPr>
            <w:r w:rsidDel="00000000" w:rsidR="00000000" w:rsidRPr="00000000">
              <w:rPr>
                <w:sz w:val="24"/>
                <w:szCs w:val="24"/>
                <w:rtl w:val="0"/>
              </w:rPr>
              <w:t xml:space="preserve">Feedback from supervisor.</w:t>
            </w:r>
          </w:p>
        </w:tc>
        <w:tc>
          <w:tcPr/>
          <w:p w:rsidR="00000000" w:rsidDel="00000000" w:rsidP="00000000" w:rsidRDefault="00000000" w:rsidRPr="00000000" w14:paraId="0000005B">
            <w:pPr>
              <w:spacing w:after="40" w:lineRule="auto"/>
              <w:ind w:firstLine="0"/>
              <w:rPr>
                <w:sz w:val="24"/>
                <w:szCs w:val="24"/>
              </w:rPr>
            </w:pPr>
            <w:r w:rsidDel="00000000" w:rsidR="00000000" w:rsidRPr="00000000">
              <w:rPr>
                <w:sz w:val="24"/>
                <w:szCs w:val="24"/>
                <w:rtl w:val="0"/>
              </w:rPr>
              <w:t xml:space="preserve">Achieved</w:t>
            </w:r>
          </w:p>
        </w:tc>
        <w:tc>
          <w:tcPr/>
          <w:p w:rsidR="00000000" w:rsidDel="00000000" w:rsidP="00000000" w:rsidRDefault="00000000" w:rsidRPr="00000000" w14:paraId="0000005C">
            <w:pPr>
              <w:spacing w:after="40" w:lineRule="auto"/>
              <w:ind w:firstLine="0"/>
              <w:rPr>
                <w:sz w:val="24"/>
                <w:szCs w:val="24"/>
              </w:rPr>
            </w:pPr>
            <w:r w:rsidDel="00000000" w:rsidR="00000000" w:rsidRPr="00000000">
              <w:rPr>
                <w:sz w:val="24"/>
                <w:szCs w:val="24"/>
                <w:rtl w:val="0"/>
              </w:rPr>
              <w:t xml:space="preserve">Helped build team accountability.</w:t>
            </w:r>
          </w:p>
        </w:tc>
      </w:tr>
      <w:tr>
        <w:trPr>
          <w:cantSplit w:val="0"/>
          <w:tblHeader w:val="0"/>
        </w:trPr>
        <w:tc>
          <w:tcPr/>
          <w:p w:rsidR="00000000" w:rsidDel="00000000" w:rsidP="00000000" w:rsidRDefault="00000000" w:rsidRPr="00000000" w14:paraId="0000005D">
            <w:pPr>
              <w:spacing w:after="40" w:lineRule="auto"/>
              <w:ind w:firstLine="0"/>
              <w:rPr>
                <w:b w:val="0"/>
                <w:bCs w:val="0"/>
                <w:sz w:val="24"/>
                <w:szCs w:val="24"/>
              </w:rPr>
            </w:pPr>
            <w:r w:rsidDel="00000000" w:rsidR="00000000" w:rsidRPr="00000000">
              <w:rPr>
                <w:b w:val="0"/>
                <w:bCs w:val="0"/>
                <w:sz w:val="24"/>
                <w:szCs w:val="24"/>
                <w:rtl w:val="0"/>
              </w:rPr>
              <w:t xml:space="preserve">3. Share insights with Front Desk (Moriom) to promote guest awareness of local produce.</w:t>
            </w:r>
          </w:p>
        </w:tc>
        <w:tc>
          <w:tcPr/>
          <w:p w:rsidR="00000000" w:rsidDel="00000000" w:rsidP="00000000" w:rsidRDefault="00000000" w:rsidRPr="00000000" w14:paraId="0000005E">
            <w:pPr>
              <w:spacing w:after="40" w:lineRule="auto"/>
              <w:ind w:firstLine="0"/>
              <w:rPr>
                <w:sz w:val="24"/>
                <w:szCs w:val="24"/>
              </w:rPr>
            </w:pPr>
            <w:r w:rsidDel="00000000" w:rsidR="00000000" w:rsidRPr="00000000">
              <w:rPr>
                <w:sz w:val="24"/>
                <w:szCs w:val="24"/>
                <w:rtl w:val="0"/>
              </w:rPr>
              <w:t xml:space="preserve">Guest mention count / feedback cards.</w:t>
            </w:r>
          </w:p>
        </w:tc>
        <w:tc>
          <w:tcPr/>
          <w:p w:rsidR="00000000" w:rsidDel="00000000" w:rsidP="00000000" w:rsidRDefault="00000000" w:rsidRPr="00000000" w14:paraId="0000005F">
            <w:pPr>
              <w:spacing w:after="40" w:lineRule="auto"/>
              <w:ind w:firstLine="0"/>
              <w:rPr>
                <w:sz w:val="24"/>
                <w:szCs w:val="24"/>
              </w:rPr>
            </w:pPr>
            <w:r w:rsidDel="00000000" w:rsidR="00000000" w:rsidRPr="00000000">
              <w:rPr>
                <w:sz w:val="24"/>
                <w:szCs w:val="24"/>
                <w:rtl w:val="0"/>
              </w:rPr>
              <w:t xml:space="preserve">Ongoing</w:t>
            </w:r>
          </w:p>
        </w:tc>
        <w:tc>
          <w:tcPr/>
          <w:p w:rsidR="00000000" w:rsidDel="00000000" w:rsidP="00000000" w:rsidRDefault="00000000" w:rsidRPr="00000000" w14:paraId="00000060">
            <w:pPr>
              <w:spacing w:after="40" w:lineRule="auto"/>
              <w:ind w:firstLine="0"/>
              <w:rPr>
                <w:sz w:val="24"/>
                <w:szCs w:val="24"/>
              </w:rPr>
            </w:pPr>
            <w:r w:rsidDel="00000000" w:rsidR="00000000" w:rsidRPr="00000000">
              <w:rPr>
                <w:sz w:val="24"/>
                <w:szCs w:val="24"/>
                <w:rtl w:val="0"/>
              </w:rPr>
              <w:t xml:space="preserve">Demonstrated cross-department communication.</w:t>
            </w:r>
          </w:p>
        </w:tc>
      </w:tr>
    </w:tbl>
    <w:p w:rsidR="00000000" w:rsidDel="00000000" w:rsidP="00000000" w:rsidRDefault="00000000" w:rsidRPr="00000000" w14:paraId="00000061">
      <w:pPr>
        <w:spacing w:after="40" w:lineRule="auto"/>
        <w:rPr>
          <w:b w:val="1"/>
          <w:bCs w:val="1"/>
        </w:rPr>
      </w:pPr>
      <w:r w:rsidDel="00000000" w:rsidR="00000000" w:rsidRPr="00000000">
        <w:rPr>
          <w:rtl w:val="0"/>
        </w:rPr>
      </w:r>
    </w:p>
    <w:p w:rsidR="00000000" w:rsidDel="00000000" w:rsidP="00000000" w:rsidRDefault="00000000" w:rsidRPr="00000000" w14:paraId="00000062">
      <w:pPr>
        <w:ind w:firstLine="0"/>
        <w:rPr>
          <w:highlight w:val="white"/>
        </w:rPr>
      </w:pPr>
      <w:r w:rsidDel="00000000" w:rsidR="00000000" w:rsidRPr="00000000">
        <w:rPr>
          <w:rtl w:val="0"/>
        </w:rPr>
      </w:r>
    </w:p>
    <w:sectPr>
      <w:headerReference r:id="rId1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68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before="160" w:line="360" w:lineRule="auto"/>
        <w:ind w:firstLine="68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0" w:lineRule="auto"/>
      <w:ind w:left="432" w:hanging="432"/>
    </w:pPr>
    <w:rPr>
      <w:b w:val="1"/>
      <w:bCs w:val="1"/>
      <w:i w:val="1"/>
      <w:iCs w:val="1"/>
    </w:rPr>
  </w:style>
  <w:style w:type="paragraph" w:styleId="Heading2">
    <w:name w:val="heading 2"/>
    <w:basedOn w:val="Normal"/>
    <w:next w:val="Normal"/>
    <w:pPr>
      <w:keepNext w:val="1"/>
      <w:keepLines w:val="1"/>
      <w:ind w:left="578" w:hanging="578"/>
    </w:pPr>
    <w:rPr>
      <w:i w:val="1"/>
      <w:iCs w:val="1"/>
      <w:color w:val="000000"/>
    </w:rPr>
  </w:style>
  <w:style w:type="paragraph" w:styleId="Heading3">
    <w:name w:val="heading 3"/>
    <w:basedOn w:val="Normal"/>
    <w:next w:val="Normal"/>
    <w:pPr>
      <w:keepNext w:val="1"/>
      <w:keepLines w:val="1"/>
      <w:spacing w:after="0" w:before="40" w:lineRule="auto"/>
      <w:ind w:left="720" w:hanging="720"/>
      <w:jc w:val="center"/>
    </w:pPr>
    <w:rPr/>
  </w:style>
  <w:style w:type="paragraph" w:styleId="Heading4">
    <w:name w:val="heading 4"/>
    <w:basedOn w:val="Normal"/>
    <w:next w:val="Normal"/>
    <w:pPr>
      <w:keepNext w:val="1"/>
      <w:keepLines w:val="1"/>
      <w:spacing w:after="0" w:before="40" w:lineRule="auto"/>
      <w:ind w:left="864" w:hanging="864"/>
    </w:pPr>
    <w:rPr>
      <w:rFonts w:ascii="Cambria" w:cs="Cambria" w:eastAsia="Cambria" w:hAnsi="Cambria"/>
      <w:i w:val="1"/>
      <w:iCs w:val="1"/>
      <w:color w:val="366091"/>
    </w:rPr>
  </w:style>
  <w:style w:type="paragraph" w:styleId="Heading5">
    <w:name w:val="heading 5"/>
    <w:basedOn w:val="Normal"/>
    <w:next w:val="Normal"/>
    <w:pPr>
      <w:keepNext w:val="1"/>
      <w:keepLines w:val="1"/>
      <w:spacing w:after="0" w:before="40" w:lineRule="auto"/>
      <w:ind w:left="1008" w:hanging="1008"/>
    </w:pPr>
    <w:rPr>
      <w:rFonts w:ascii="Cambria" w:cs="Cambria" w:eastAsia="Cambria" w:hAnsi="Cambria"/>
      <w:color w:val="366091"/>
    </w:rPr>
  </w:style>
  <w:style w:type="paragraph" w:styleId="Heading6">
    <w:name w:val="heading 6"/>
    <w:basedOn w:val="Normal"/>
    <w:next w:val="Normal"/>
    <w:pPr>
      <w:keepNext w:val="1"/>
      <w:keepLines w:val="1"/>
      <w:spacing w:after="0" w:before="40" w:lineRule="auto"/>
      <w:ind w:left="1152" w:hanging="1152"/>
    </w:pPr>
    <w:rPr>
      <w:rFonts w:ascii="Cambria" w:cs="Cambria" w:eastAsia="Cambria" w:hAnsi="Cambria"/>
      <w:color w:val="243f61"/>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rPr>
        <w:b w:val="1"/>
        <w:bCs w:val="1"/>
      </w:rPr>
    </w:tblStylePr>
    <w:tblStylePr w:type="firstRow">
      <w:rPr>
        <w:b w:val="1"/>
        <w:bCs w:val="1"/>
        <w:color w:val="ffffff"/>
      </w:rPr>
      <w:tcPr>
        <w:tcBorders>
          <w:top w:color="4f81bd" w:space="0" w:sz="4" w:val="single"/>
          <w:left w:color="4f81bd" w:space="0" w:sz="4" w:val="single"/>
          <w:bottom w:color="4f81bd" w:space="0" w:sz="4" w:val="single"/>
          <w:right w:color="4f81bd" w:space="0" w:sz="4" w:val="single"/>
          <w:insideH w:color="000000" w:space="0" w:sz="0" w:val="nil"/>
          <w:insideV w:color="000000" w:space="0" w:sz="0" w:val="nil"/>
        </w:tcBorders>
        <w:shd w:fill="4f81bd" w:val="clear"/>
      </w:tcPr>
    </w:tblStylePr>
    <w:tblStylePr w:type="lastCol">
      <w:rPr>
        <w:b w:val="1"/>
        <w:bCs w:val="1"/>
      </w:rPr>
    </w:tblStylePr>
    <w:tblStylePr w:type="lastRow">
      <w:rPr>
        <w:b w:val="1"/>
        <w:bCs w:val="1"/>
      </w:rPr>
      <w:tcPr>
        <w:tcBorders>
          <w:top w:color="4f81bd"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3390/su151310213" TargetMode="External"/><Relationship Id="rId10" Type="http://schemas.openxmlformats.org/officeDocument/2006/relationships/hyperlink" Target="https://www.ihg.com/holidayinn/hotels/gb/en/sunderland/snduk/hoteldetail?cm_mmc=GoogleMaps-_-HI-_-GB-_-SNDUK" TargetMode="External"/><Relationship Id="rId12" Type="http://schemas.openxmlformats.org/officeDocument/2006/relationships/header" Target="header1.xml"/><Relationship Id="rId9" Type="http://schemas.openxmlformats.org/officeDocument/2006/relationships/hyperlink" Target="https://www.sciencedirect.com/science/article/pii/S0959652624029019?utm_source=chatgpt.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3390/admsci14120314" TargetMode="External"/><Relationship Id="rId8" Type="http://schemas.openxmlformats.org/officeDocument/2006/relationships/hyperlink" Target="https://doi.org/10.3390/su162410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