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378" w:rsidRDefault="006E5378" w:rsidP="006E5378">
      <w:pPr>
        <w:pStyle w:val="NormalWeb"/>
        <w:spacing w:before="0" w:beforeAutospacing="0" w:after="0" w:afterAutospacing="0"/>
        <w:ind w:left="-180" w:right="-334"/>
      </w:pPr>
      <w:r>
        <w:rPr>
          <w:noProof/>
          <w:lang w:eastAsia="en-GB"/>
        </w:rPr>
        <w:drawing>
          <wp:inline distT="0" distB="0" distL="0" distR="0">
            <wp:extent cx="1905000" cy="635000"/>
            <wp:effectExtent l="19050" t="19050" r="19050" b="1270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rsidR="006E5378" w:rsidRDefault="006E5378" w:rsidP="006E5378">
      <w:pPr>
        <w:pStyle w:val="NormalWeb"/>
        <w:spacing w:before="0" w:beforeAutospacing="0" w:after="0" w:afterAutospacing="0"/>
        <w:ind w:left="-180" w:right="-334"/>
      </w:pPr>
    </w:p>
    <w:p w:rsidR="006E5378" w:rsidRDefault="006E5378" w:rsidP="006E5378">
      <w:pPr>
        <w:pStyle w:val="NormalWeb"/>
        <w:spacing w:before="0" w:beforeAutospacing="0" w:after="0" w:afterAutospacing="0"/>
        <w:ind w:left="-180" w:right="-334"/>
      </w:pPr>
    </w:p>
    <w:p w:rsidR="006E5378" w:rsidRDefault="006E5378" w:rsidP="006E537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6E5378" w:rsidRPr="00230F35" w:rsidRDefault="006E5378" w:rsidP="006E537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6E5378" w:rsidRPr="00230F35" w:rsidRDefault="006E5378" w:rsidP="006E5378">
      <w:pPr>
        <w:rPr>
          <w:rFonts w:ascii="Arial" w:hAnsi="Arial" w:cs="Arial"/>
          <w:sz w:val="28"/>
          <w:szCs w:val="28"/>
          <w:lang w:val="cy-GB"/>
        </w:rPr>
      </w:pPr>
    </w:p>
    <w:p w:rsidR="006E5378" w:rsidRDefault="006E5378" w:rsidP="006E5378">
      <w:pPr>
        <w:pStyle w:val="Heading3"/>
        <w:jc w:val="center"/>
        <w:rPr>
          <w:lang w:val="cy-GB"/>
        </w:rPr>
      </w:pPr>
      <w:r>
        <w:rPr>
          <w:lang w:val="cy-GB"/>
        </w:rPr>
        <w:t>THIS SHEET MUST BE THE FIRST PAGE OF THE ASSIGNMENT YOU ARE SUBMITTING  (DO NOT SEND AS A SEPARATE FILE)</w:t>
      </w:r>
    </w:p>
    <w:p w:rsidR="006E5378" w:rsidRDefault="006E5378" w:rsidP="006E537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E5378" w:rsidRPr="00230F35" w:rsidTr="00323E2A">
        <w:trPr>
          <w:trHeight w:val="614"/>
        </w:trPr>
        <w:tc>
          <w:tcPr>
            <w:tcW w:w="8856" w:type="dxa"/>
            <w:gridSpan w:val="5"/>
          </w:tcPr>
          <w:p w:rsidR="006E5378" w:rsidRPr="00230F35" w:rsidRDefault="006E5378" w:rsidP="00323E2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E5378" w:rsidRPr="00230F35" w:rsidTr="00323E2A">
        <w:trPr>
          <w:trHeight w:val="718"/>
        </w:trPr>
        <w:tc>
          <w:tcPr>
            <w:tcW w:w="8856" w:type="dxa"/>
            <w:gridSpan w:val="5"/>
          </w:tcPr>
          <w:p w:rsidR="006E5378" w:rsidRDefault="006E5378" w:rsidP="00323E2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Pr="000A13BB">
              <w:rPr>
                <w:rFonts w:ascii="Arial" w:hAnsi="Arial" w:cs="Arial"/>
                <w:b/>
                <w:sz w:val="22"/>
                <w:szCs w:val="22"/>
              </w:rPr>
              <w:t>Diane Stankaitis</w:t>
            </w:r>
          </w:p>
          <w:p w:rsidR="006E5378" w:rsidRPr="00230F35" w:rsidRDefault="006E5378" w:rsidP="00323E2A">
            <w:pPr>
              <w:pStyle w:val="NormalWeb"/>
              <w:spacing w:before="0" w:beforeAutospacing="0" w:after="0" w:afterAutospacing="0"/>
              <w:ind w:right="34"/>
              <w:rPr>
                <w:rFonts w:ascii="Arial" w:hAnsi="Arial" w:cs="Arial"/>
                <w:sz w:val="22"/>
                <w:szCs w:val="22"/>
              </w:rPr>
            </w:pPr>
          </w:p>
          <w:p w:rsidR="006E5378" w:rsidRPr="00230F35" w:rsidRDefault="006E5378" w:rsidP="00323E2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0A13BB">
              <w:rPr>
                <w:rFonts w:ascii="Arial" w:hAnsi="Arial" w:cs="Arial"/>
                <w:b/>
                <w:sz w:val="22"/>
                <w:szCs w:val="22"/>
              </w:rPr>
              <w:t>1402208@student.uwtsd.ac.uk</w:t>
            </w:r>
          </w:p>
        </w:tc>
      </w:tr>
      <w:tr w:rsidR="006E5378" w:rsidRPr="00230F35" w:rsidTr="00323E2A">
        <w:trPr>
          <w:trHeight w:val="849"/>
        </w:trPr>
        <w:tc>
          <w:tcPr>
            <w:tcW w:w="4788" w:type="dxa"/>
          </w:tcPr>
          <w:p w:rsidR="006E5378" w:rsidRDefault="006E5378" w:rsidP="00323E2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rsidR="006E5378" w:rsidRPr="00230F35" w:rsidRDefault="006E5378" w:rsidP="00323E2A">
            <w:pPr>
              <w:pStyle w:val="NormalWeb"/>
              <w:spacing w:before="0" w:beforeAutospacing="0" w:after="0" w:afterAutospacing="0"/>
              <w:ind w:right="34"/>
              <w:rPr>
                <w:rFonts w:ascii="Arial" w:hAnsi="Arial" w:cs="Arial"/>
                <w:sz w:val="22"/>
                <w:szCs w:val="22"/>
              </w:rPr>
            </w:pPr>
            <w:r>
              <w:rPr>
                <w:rFonts w:ascii="Arial" w:hAnsi="Arial" w:cs="Arial"/>
                <w:b/>
                <w:sz w:val="22"/>
                <w:szCs w:val="22"/>
              </w:rPr>
              <w:t>HPRS7015</w:t>
            </w:r>
            <w:r>
              <w:rPr>
                <w:rFonts w:ascii="Arial" w:hAnsi="Arial" w:cs="Arial"/>
                <w:sz w:val="22"/>
                <w:szCs w:val="22"/>
              </w:rPr>
              <w:t xml:space="preserve"> </w:t>
            </w:r>
          </w:p>
          <w:p w:rsidR="006E5378" w:rsidRDefault="006E5378" w:rsidP="00323E2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p>
          <w:p w:rsidR="006E5378" w:rsidRPr="000A13BB" w:rsidRDefault="006E5378" w:rsidP="00323E2A">
            <w:pPr>
              <w:pStyle w:val="NormalWeb"/>
              <w:spacing w:before="0" w:beforeAutospacing="0" w:after="0" w:afterAutospacing="0"/>
              <w:ind w:right="34"/>
              <w:rPr>
                <w:rFonts w:ascii="Arial" w:hAnsi="Arial" w:cs="Arial"/>
                <w:b/>
                <w:sz w:val="22"/>
                <w:szCs w:val="22"/>
              </w:rPr>
            </w:pPr>
            <w:r>
              <w:rPr>
                <w:rFonts w:ascii="Arial" w:hAnsi="Arial" w:cs="Arial"/>
                <w:b/>
                <w:sz w:val="22"/>
                <w:szCs w:val="22"/>
              </w:rPr>
              <w:t>From Patriarchs to Prophets: Reading and Reception</w:t>
            </w:r>
          </w:p>
          <w:p w:rsidR="006E5378" w:rsidRPr="00230F35" w:rsidRDefault="006E5378" w:rsidP="00323E2A">
            <w:pPr>
              <w:pStyle w:val="NormalWeb"/>
              <w:spacing w:before="0" w:beforeAutospacing="0" w:after="0" w:afterAutospacing="0"/>
              <w:ind w:right="34"/>
              <w:rPr>
                <w:rFonts w:ascii="Arial" w:hAnsi="Arial" w:cs="Arial"/>
                <w:sz w:val="22"/>
                <w:szCs w:val="22"/>
              </w:rPr>
            </w:pPr>
          </w:p>
        </w:tc>
        <w:tc>
          <w:tcPr>
            <w:tcW w:w="2266" w:type="dxa"/>
            <w:gridSpan w:val="3"/>
          </w:tcPr>
          <w:p w:rsidR="006E5378" w:rsidRDefault="006E5378" w:rsidP="00323E2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6E5378" w:rsidRPr="000A13BB" w:rsidRDefault="006E5378" w:rsidP="00323E2A">
            <w:pPr>
              <w:pStyle w:val="NormalWeb"/>
              <w:spacing w:before="0" w:beforeAutospacing="0" w:after="0" w:afterAutospacing="0"/>
              <w:ind w:right="34"/>
              <w:rPr>
                <w:rFonts w:ascii="Arial" w:hAnsi="Arial" w:cs="Arial"/>
                <w:b/>
                <w:sz w:val="22"/>
                <w:szCs w:val="22"/>
              </w:rPr>
            </w:pPr>
            <w:r w:rsidRPr="000A13BB">
              <w:rPr>
                <w:rFonts w:ascii="Arial" w:hAnsi="Arial" w:cs="Arial"/>
                <w:b/>
                <w:sz w:val="22"/>
                <w:szCs w:val="22"/>
              </w:rPr>
              <w:t>1402208</w:t>
            </w:r>
          </w:p>
        </w:tc>
        <w:tc>
          <w:tcPr>
            <w:tcW w:w="1802" w:type="dxa"/>
          </w:tcPr>
          <w:p w:rsidR="006E5378" w:rsidRPr="00230F35" w:rsidRDefault="006E5378" w:rsidP="00323E2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6E5378" w:rsidRPr="000A13BB" w:rsidRDefault="006E5378" w:rsidP="00323E2A">
            <w:pPr>
              <w:pStyle w:val="NormalWeb"/>
              <w:spacing w:before="0" w:beforeAutospacing="0" w:after="0" w:afterAutospacing="0"/>
              <w:ind w:right="34"/>
              <w:rPr>
                <w:rFonts w:ascii="Arial" w:hAnsi="Arial" w:cs="Arial"/>
                <w:b/>
                <w:sz w:val="22"/>
                <w:szCs w:val="22"/>
              </w:rPr>
            </w:pPr>
            <w:r w:rsidRPr="000A13BB">
              <w:rPr>
                <w:rFonts w:ascii="Arial" w:hAnsi="Arial" w:cs="Arial"/>
                <w:b/>
                <w:sz w:val="22"/>
                <w:szCs w:val="22"/>
              </w:rPr>
              <w:t>NO</w:t>
            </w:r>
          </w:p>
        </w:tc>
      </w:tr>
      <w:tr w:rsidR="006E5378" w:rsidRPr="00230F35" w:rsidTr="00323E2A">
        <w:trPr>
          <w:trHeight w:val="1139"/>
        </w:trPr>
        <w:tc>
          <w:tcPr>
            <w:tcW w:w="8856" w:type="dxa"/>
            <w:gridSpan w:val="5"/>
          </w:tcPr>
          <w:p w:rsidR="006E5378" w:rsidRPr="00230F35" w:rsidRDefault="006E5378" w:rsidP="00323E2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rsidR="006E5378" w:rsidRDefault="006E5378" w:rsidP="00323E2A">
            <w:pPr>
              <w:spacing w:after="0" w:line="240" w:lineRule="auto"/>
              <w:rPr>
                <w:rFonts w:ascii="Arial" w:hAnsi="Arial" w:cs="Arial"/>
                <w:b/>
                <w:sz w:val="24"/>
                <w:szCs w:val="24"/>
              </w:rPr>
            </w:pPr>
            <w:r>
              <w:rPr>
                <w:rFonts w:ascii="Arial" w:hAnsi="Arial" w:cs="Arial"/>
                <w:b/>
                <w:sz w:val="24"/>
                <w:szCs w:val="24"/>
              </w:rPr>
              <w:t>Critically Examine the Role of the Suffering Servant in the Book of Isaiah and the Dead Sea Scrolls</w:t>
            </w:r>
          </w:p>
          <w:p w:rsidR="006E5378" w:rsidRDefault="006E5378" w:rsidP="00323E2A">
            <w:pPr>
              <w:pStyle w:val="NormalWeb"/>
              <w:spacing w:before="0" w:beforeAutospacing="0" w:after="0" w:afterAutospacing="0"/>
              <w:ind w:right="34"/>
              <w:rPr>
                <w:rFonts w:ascii="Arial" w:hAnsi="Arial" w:cs="Arial"/>
                <w:sz w:val="22"/>
                <w:szCs w:val="22"/>
              </w:rPr>
            </w:pPr>
          </w:p>
          <w:p w:rsidR="006E5378" w:rsidRPr="000A13BB" w:rsidRDefault="006E5378" w:rsidP="00323E2A">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b/>
                <w:sz w:val="22"/>
                <w:szCs w:val="22"/>
              </w:rPr>
              <w:t>20</w:t>
            </w:r>
            <w:r w:rsidRPr="000A13BB">
              <w:rPr>
                <w:rFonts w:ascii="Arial" w:hAnsi="Arial" w:cs="Arial"/>
                <w:b/>
                <w:sz w:val="22"/>
                <w:szCs w:val="22"/>
                <w:vertAlign w:val="superscript"/>
              </w:rPr>
              <w:t>th</w:t>
            </w:r>
            <w:r>
              <w:rPr>
                <w:rFonts w:ascii="Arial" w:hAnsi="Arial" w:cs="Arial"/>
                <w:b/>
                <w:sz w:val="22"/>
                <w:szCs w:val="22"/>
              </w:rPr>
              <w:t xml:space="preserve"> August 2021</w:t>
            </w:r>
          </w:p>
        </w:tc>
      </w:tr>
      <w:tr w:rsidR="006E5378" w:rsidRPr="00230F35" w:rsidTr="00323E2A">
        <w:trPr>
          <w:trHeight w:val="978"/>
        </w:trPr>
        <w:tc>
          <w:tcPr>
            <w:tcW w:w="8856" w:type="dxa"/>
            <w:gridSpan w:val="5"/>
            <w:tcBorders>
              <w:bottom w:val="single" w:sz="4" w:space="0" w:color="000000"/>
            </w:tcBorders>
          </w:tcPr>
          <w:p w:rsidR="006E5378" w:rsidRPr="00230F35" w:rsidRDefault="006E5378" w:rsidP="00323E2A">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2C3272">
              <w:rPr>
                <w:rFonts w:ascii="Arial" w:hAnsi="Arial" w:cs="Arial"/>
              </w:rPr>
            </w:r>
            <w:r w:rsidR="002C3272">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2C3272">
              <w:rPr>
                <w:rFonts w:ascii="Arial" w:hAnsi="Arial" w:cs="Arial"/>
              </w:rPr>
            </w:r>
            <w:r w:rsidR="002C3272">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2C3272">
              <w:rPr>
                <w:rFonts w:ascii="Arial" w:hAnsi="Arial" w:cs="Arial"/>
              </w:rPr>
            </w:r>
            <w:r w:rsidR="002C3272">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2C3272">
              <w:rPr>
                <w:rFonts w:ascii="Arial" w:hAnsi="Arial" w:cs="Arial"/>
              </w:rPr>
            </w:r>
            <w:r w:rsidR="002C3272">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Pr>
                <w:rFonts w:ascii="Arial" w:hAnsi="Arial" w:cs="Arial"/>
              </w:rPr>
              <w:t>X</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2C3272">
              <w:rPr>
                <w:rFonts w:ascii="Arial" w:hAnsi="Arial" w:cs="Arial"/>
              </w:rPr>
            </w:r>
            <w:r w:rsidR="002C3272">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2C3272">
              <w:rPr>
                <w:rFonts w:ascii="Arial" w:hAnsi="Arial" w:cs="Arial"/>
              </w:rPr>
            </w:r>
            <w:r w:rsidR="002C3272">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6E5378" w:rsidRPr="00230F35" w:rsidTr="00323E2A">
        <w:trPr>
          <w:trHeight w:val="978"/>
        </w:trPr>
        <w:tc>
          <w:tcPr>
            <w:tcW w:w="8856" w:type="dxa"/>
            <w:gridSpan w:val="5"/>
            <w:shd w:val="clear" w:color="auto" w:fill="D9D9D9"/>
          </w:tcPr>
          <w:p w:rsidR="006E5378" w:rsidRPr="00230F35" w:rsidRDefault="006E5378" w:rsidP="00323E2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6E5378" w:rsidRDefault="006E5378" w:rsidP="00323E2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Diane Stankaitis</w:t>
            </w:r>
            <w:r w:rsidRPr="00230F35">
              <w:rPr>
                <w:rFonts w:ascii="Arial" w:hAnsi="Arial" w:cs="Arial"/>
                <w:sz w:val="22"/>
                <w:szCs w:val="22"/>
              </w:rPr>
              <w:t>…………………………………………………</w:t>
            </w:r>
          </w:p>
          <w:p w:rsidR="006E5378" w:rsidRDefault="006E5378" w:rsidP="00323E2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rsidR="006E5378" w:rsidRPr="00230F35" w:rsidRDefault="006E5378" w:rsidP="00323E2A">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6E5378" w:rsidRPr="00230F35" w:rsidTr="00323E2A">
        <w:trPr>
          <w:trHeight w:val="3972"/>
        </w:trPr>
        <w:tc>
          <w:tcPr>
            <w:tcW w:w="8856" w:type="dxa"/>
            <w:gridSpan w:val="5"/>
          </w:tcPr>
          <w:p w:rsidR="006E5378" w:rsidRDefault="006E5378" w:rsidP="00323E2A">
            <w:pPr>
              <w:rPr>
                <w:rFonts w:ascii="Arial" w:hAnsi="Arial"/>
                <w:b/>
              </w:rPr>
            </w:pPr>
          </w:p>
          <w:p w:rsidR="006E5378" w:rsidRPr="00116CE6" w:rsidRDefault="006E5378" w:rsidP="00323E2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E5378" w:rsidRPr="00116CE6" w:rsidTr="00323E2A">
              <w:tc>
                <w:tcPr>
                  <w:tcW w:w="6970" w:type="dxa"/>
                </w:tcPr>
                <w:p w:rsidR="006E5378" w:rsidRPr="00116CE6" w:rsidRDefault="006E5378" w:rsidP="00323E2A">
                  <w:pPr>
                    <w:rPr>
                      <w:rFonts w:ascii="Arial" w:hAnsi="Arial"/>
                      <w:sz w:val="20"/>
                      <w:szCs w:val="20"/>
                    </w:rPr>
                  </w:pPr>
                </w:p>
                <w:p w:rsidR="006E5378" w:rsidRPr="00116CE6" w:rsidRDefault="006E5378" w:rsidP="00323E2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6E5378" w:rsidRPr="00116CE6" w:rsidRDefault="006E5378" w:rsidP="00323E2A">
                  <w:pPr>
                    <w:rPr>
                      <w:rFonts w:ascii="Arial" w:hAnsi="Arial"/>
                      <w:sz w:val="20"/>
                      <w:szCs w:val="20"/>
                    </w:rPr>
                  </w:pPr>
                </w:p>
              </w:tc>
            </w:tr>
            <w:tr w:rsidR="006E5378" w:rsidRPr="00116CE6" w:rsidTr="00323E2A">
              <w:tc>
                <w:tcPr>
                  <w:tcW w:w="6970" w:type="dxa"/>
                </w:tcPr>
                <w:p w:rsidR="006E5378" w:rsidRPr="00116CE6" w:rsidRDefault="006E5378" w:rsidP="00323E2A">
                  <w:pPr>
                    <w:rPr>
                      <w:rFonts w:ascii="Arial" w:hAnsi="Arial"/>
                      <w:sz w:val="20"/>
                      <w:szCs w:val="20"/>
                    </w:rPr>
                  </w:pPr>
                </w:p>
                <w:p w:rsidR="006E5378" w:rsidRPr="00116CE6" w:rsidRDefault="006E5378" w:rsidP="00323E2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6E5378" w:rsidRPr="00116CE6" w:rsidRDefault="006E5378" w:rsidP="00323E2A">
                  <w:pPr>
                    <w:rPr>
                      <w:rFonts w:ascii="Arial" w:hAnsi="Arial"/>
                      <w:sz w:val="20"/>
                      <w:szCs w:val="20"/>
                    </w:rPr>
                  </w:pPr>
                </w:p>
              </w:tc>
            </w:tr>
            <w:tr w:rsidR="006E5378" w:rsidRPr="00116CE6" w:rsidTr="00323E2A">
              <w:tc>
                <w:tcPr>
                  <w:tcW w:w="6970" w:type="dxa"/>
                </w:tcPr>
                <w:p w:rsidR="006E5378" w:rsidRPr="00116CE6" w:rsidRDefault="006E5378" w:rsidP="00323E2A">
                  <w:pPr>
                    <w:rPr>
                      <w:rFonts w:ascii="Arial" w:hAnsi="Arial"/>
                      <w:sz w:val="20"/>
                      <w:szCs w:val="20"/>
                    </w:rPr>
                  </w:pPr>
                </w:p>
                <w:p w:rsidR="006E5378" w:rsidRPr="00116CE6" w:rsidRDefault="006E5378" w:rsidP="00323E2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6E5378" w:rsidRPr="00116CE6" w:rsidRDefault="006E5378" w:rsidP="00323E2A">
                  <w:pPr>
                    <w:rPr>
                      <w:rFonts w:ascii="Arial" w:hAnsi="Arial"/>
                      <w:sz w:val="20"/>
                      <w:szCs w:val="20"/>
                    </w:rPr>
                  </w:pPr>
                </w:p>
              </w:tc>
            </w:tr>
            <w:tr w:rsidR="006E5378" w:rsidRPr="00116CE6" w:rsidTr="00323E2A">
              <w:tc>
                <w:tcPr>
                  <w:tcW w:w="6970" w:type="dxa"/>
                </w:tcPr>
                <w:p w:rsidR="006E5378" w:rsidRDefault="006E5378" w:rsidP="00323E2A">
                  <w:pPr>
                    <w:rPr>
                      <w:rFonts w:ascii="Arial" w:hAnsi="Arial"/>
                      <w:sz w:val="20"/>
                      <w:szCs w:val="20"/>
                    </w:rPr>
                  </w:pPr>
                </w:p>
                <w:p w:rsidR="006E5378" w:rsidRPr="00022345" w:rsidRDefault="006E5378" w:rsidP="00323E2A">
                  <w:pPr>
                    <w:rPr>
                      <w:rFonts w:ascii="Arial" w:hAnsi="Arial"/>
                      <w:b/>
                      <w:sz w:val="20"/>
                      <w:szCs w:val="20"/>
                    </w:rPr>
                  </w:pPr>
                  <w:r w:rsidRPr="00022345">
                    <w:rPr>
                      <w:rFonts w:ascii="Arial" w:hAnsi="Arial"/>
                      <w:b/>
                      <w:sz w:val="20"/>
                      <w:szCs w:val="20"/>
                    </w:rPr>
                    <w:t>Final Mark</w:t>
                  </w:r>
                </w:p>
                <w:p w:rsidR="006E5378" w:rsidRPr="00116CE6" w:rsidRDefault="006E5378" w:rsidP="00323E2A">
                  <w:pPr>
                    <w:rPr>
                      <w:rFonts w:ascii="Arial" w:hAnsi="Arial"/>
                      <w:sz w:val="20"/>
                      <w:szCs w:val="20"/>
                    </w:rPr>
                  </w:pPr>
                </w:p>
              </w:tc>
              <w:tc>
                <w:tcPr>
                  <w:tcW w:w="1660" w:type="dxa"/>
                </w:tcPr>
                <w:p w:rsidR="006E5378" w:rsidRPr="00116CE6" w:rsidRDefault="006E5378" w:rsidP="00323E2A">
                  <w:pPr>
                    <w:rPr>
                      <w:rFonts w:ascii="Arial" w:hAnsi="Arial"/>
                      <w:sz w:val="20"/>
                      <w:szCs w:val="20"/>
                    </w:rPr>
                  </w:pPr>
                </w:p>
              </w:tc>
            </w:tr>
          </w:tbl>
          <w:p w:rsidR="006E5378" w:rsidRDefault="006E5378" w:rsidP="00323E2A">
            <w:pPr>
              <w:pStyle w:val="NormalWeb"/>
              <w:spacing w:before="0" w:beforeAutospacing="0" w:after="0" w:afterAutospacing="0"/>
              <w:ind w:left="142" w:right="34"/>
              <w:rPr>
                <w:rFonts w:ascii="Arial" w:hAnsi="Arial" w:cs="Arial"/>
                <w:b/>
                <w:sz w:val="22"/>
                <w:szCs w:val="22"/>
              </w:rPr>
            </w:pPr>
          </w:p>
          <w:p w:rsidR="006E5378" w:rsidRPr="00230F35" w:rsidRDefault="006E5378" w:rsidP="00323E2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6E5378" w:rsidRDefault="006E5378" w:rsidP="00323E2A">
            <w:pPr>
              <w:pStyle w:val="NormalWeb"/>
              <w:spacing w:before="0" w:beforeAutospacing="0" w:after="0" w:afterAutospacing="0"/>
              <w:rPr>
                <w:rFonts w:ascii="Arial" w:hAnsi="Arial" w:cs="Arial"/>
                <w:b/>
                <w:sz w:val="22"/>
                <w:szCs w:val="22"/>
              </w:rPr>
            </w:pPr>
          </w:p>
          <w:p w:rsidR="006E5378" w:rsidRDefault="006E5378" w:rsidP="00323E2A">
            <w:pPr>
              <w:pStyle w:val="NormalWeb"/>
              <w:spacing w:before="0" w:beforeAutospacing="0" w:after="0" w:afterAutospacing="0"/>
              <w:rPr>
                <w:rFonts w:ascii="Arial" w:hAnsi="Arial" w:cs="Arial"/>
                <w:b/>
                <w:sz w:val="22"/>
                <w:szCs w:val="22"/>
              </w:rPr>
            </w:pPr>
          </w:p>
          <w:p w:rsidR="006E5378" w:rsidRDefault="006E5378" w:rsidP="00323E2A">
            <w:pPr>
              <w:pStyle w:val="NormalWeb"/>
              <w:spacing w:before="0" w:beforeAutospacing="0" w:after="0" w:afterAutospacing="0"/>
              <w:rPr>
                <w:rFonts w:ascii="Arial" w:hAnsi="Arial" w:cs="Arial"/>
                <w:b/>
                <w:sz w:val="22"/>
                <w:szCs w:val="22"/>
              </w:rPr>
            </w:pPr>
          </w:p>
          <w:p w:rsidR="006E5378" w:rsidRDefault="006E5378" w:rsidP="00323E2A">
            <w:pPr>
              <w:pStyle w:val="NormalWeb"/>
              <w:spacing w:before="0" w:beforeAutospacing="0" w:after="0" w:afterAutospacing="0"/>
              <w:rPr>
                <w:rFonts w:ascii="Arial" w:hAnsi="Arial" w:cs="Arial"/>
                <w:b/>
                <w:sz w:val="22"/>
                <w:szCs w:val="22"/>
              </w:rPr>
            </w:pPr>
          </w:p>
          <w:p w:rsidR="006E5378" w:rsidRDefault="006E5378" w:rsidP="00323E2A">
            <w:pPr>
              <w:pStyle w:val="NormalWeb"/>
              <w:spacing w:before="0" w:beforeAutospacing="0" w:after="0" w:afterAutospacing="0"/>
              <w:rPr>
                <w:rFonts w:ascii="Arial" w:hAnsi="Arial" w:cs="Arial"/>
                <w:b/>
                <w:sz w:val="22"/>
                <w:szCs w:val="22"/>
              </w:rPr>
            </w:pPr>
          </w:p>
          <w:p w:rsidR="006E5378" w:rsidRPr="00230F35" w:rsidRDefault="006E5378" w:rsidP="00323E2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6E5378" w:rsidRDefault="006E5378" w:rsidP="00323E2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6E5378" w:rsidRPr="00001C3B" w:rsidRDefault="006E5378" w:rsidP="00323E2A">
            <w:pPr>
              <w:pStyle w:val="NormalWeb"/>
              <w:rPr>
                <w:rFonts w:ascii="Arial" w:hAnsi="Arial" w:cs="Arial"/>
                <w:sz w:val="22"/>
                <w:szCs w:val="22"/>
              </w:rPr>
            </w:pPr>
          </w:p>
        </w:tc>
      </w:tr>
      <w:tr w:rsidR="006E5378" w:rsidRPr="00230F35" w:rsidTr="00323E2A">
        <w:trPr>
          <w:trHeight w:val="492"/>
        </w:trPr>
        <w:tc>
          <w:tcPr>
            <w:tcW w:w="6768" w:type="dxa"/>
            <w:gridSpan w:val="3"/>
          </w:tcPr>
          <w:p w:rsidR="006E5378" w:rsidRPr="00230F35" w:rsidRDefault="006E5378" w:rsidP="00323E2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6E5378" w:rsidRPr="00230F35" w:rsidRDefault="006E5378" w:rsidP="00323E2A">
            <w:pPr>
              <w:pStyle w:val="NormalWeb"/>
              <w:spacing w:after="0"/>
              <w:ind w:left="142" w:right="34"/>
              <w:rPr>
                <w:rFonts w:ascii="Arial" w:hAnsi="Arial" w:cs="Arial"/>
                <w:sz w:val="22"/>
                <w:szCs w:val="22"/>
              </w:rPr>
            </w:pPr>
            <w:r w:rsidRPr="00230F35">
              <w:rPr>
                <w:rFonts w:ascii="Arial" w:hAnsi="Arial" w:cs="Arial"/>
                <w:sz w:val="22"/>
                <w:szCs w:val="22"/>
              </w:rPr>
              <w:t>Date:</w:t>
            </w:r>
          </w:p>
        </w:tc>
      </w:tr>
      <w:tr w:rsidR="006E5378" w:rsidRPr="002F467C" w:rsidTr="00323E2A">
        <w:tc>
          <w:tcPr>
            <w:tcW w:w="8856" w:type="dxa"/>
            <w:gridSpan w:val="5"/>
          </w:tcPr>
          <w:p w:rsidR="006E5378" w:rsidRPr="00230F35" w:rsidRDefault="006E5378" w:rsidP="00323E2A">
            <w:pPr>
              <w:pStyle w:val="NormalWeb"/>
              <w:spacing w:before="0" w:beforeAutospacing="0" w:after="0" w:afterAutospacing="0"/>
              <w:ind w:right="-334"/>
              <w:rPr>
                <w:rFonts w:ascii="Arial" w:hAnsi="Arial" w:cs="Arial"/>
                <w:bCs/>
                <w:i/>
                <w:sz w:val="22"/>
                <w:szCs w:val="22"/>
              </w:rPr>
            </w:pPr>
          </w:p>
          <w:p w:rsidR="006E5378" w:rsidRPr="00230F35" w:rsidRDefault="006E5378" w:rsidP="00323E2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6E5378" w:rsidRPr="00230F35" w:rsidRDefault="006E5378" w:rsidP="00323E2A">
            <w:pPr>
              <w:pStyle w:val="NormalWeb"/>
              <w:spacing w:before="0" w:beforeAutospacing="0" w:after="0" w:afterAutospacing="0"/>
              <w:ind w:right="-334"/>
              <w:rPr>
                <w:rFonts w:ascii="Arial" w:hAnsi="Arial" w:cs="Arial"/>
                <w:b/>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tc>
      </w:tr>
      <w:tr w:rsidR="006E5378" w:rsidRPr="002F467C" w:rsidTr="00323E2A">
        <w:trPr>
          <w:trHeight w:val="720"/>
        </w:trPr>
        <w:tc>
          <w:tcPr>
            <w:tcW w:w="5211" w:type="dxa"/>
            <w:gridSpan w:val="2"/>
          </w:tcPr>
          <w:p w:rsidR="006E5378" w:rsidRPr="00230F35" w:rsidRDefault="006E5378" w:rsidP="00323E2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6E5378" w:rsidRPr="00230F35" w:rsidRDefault="006E5378" w:rsidP="00323E2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E5378" w:rsidRPr="002F467C" w:rsidTr="00323E2A">
        <w:trPr>
          <w:trHeight w:val="720"/>
        </w:trPr>
        <w:tc>
          <w:tcPr>
            <w:tcW w:w="8856" w:type="dxa"/>
            <w:gridSpan w:val="5"/>
          </w:tcPr>
          <w:p w:rsidR="006E5378" w:rsidRPr="00B34964" w:rsidRDefault="006E5378" w:rsidP="00323E2A">
            <w:pPr>
              <w:rPr>
                <w:rFonts w:ascii="Arial" w:hAnsi="Arial" w:cs="Arial"/>
                <w:b/>
              </w:rPr>
            </w:pPr>
            <w:r w:rsidRPr="00B34964">
              <w:rPr>
                <w:rFonts w:ascii="Arial" w:hAnsi="Arial" w:cs="Arial"/>
                <w:b/>
              </w:rPr>
              <w:lastRenderedPageBreak/>
              <w:t>External Examiner’s comments (if relevant)</w:t>
            </w: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p w:rsidR="006E5378" w:rsidRPr="00230F35" w:rsidRDefault="006E5378" w:rsidP="00323E2A">
            <w:pPr>
              <w:pStyle w:val="NormalWeb"/>
              <w:spacing w:before="0" w:beforeAutospacing="0" w:after="0" w:afterAutospacing="0"/>
              <w:ind w:right="-334"/>
              <w:rPr>
                <w:rFonts w:ascii="Arial" w:hAnsi="Arial" w:cs="Arial"/>
                <w:bCs/>
                <w:sz w:val="22"/>
                <w:szCs w:val="22"/>
              </w:rPr>
            </w:pPr>
          </w:p>
        </w:tc>
      </w:tr>
      <w:tr w:rsidR="006E5378" w:rsidRPr="002F467C" w:rsidTr="00323E2A">
        <w:trPr>
          <w:trHeight w:val="720"/>
        </w:trPr>
        <w:tc>
          <w:tcPr>
            <w:tcW w:w="5211" w:type="dxa"/>
            <w:gridSpan w:val="2"/>
          </w:tcPr>
          <w:p w:rsidR="006E5378" w:rsidRPr="00230F35" w:rsidRDefault="006E5378" w:rsidP="00323E2A">
            <w:pPr>
              <w:rPr>
                <w:rFonts w:ascii="Arial" w:hAnsi="Arial" w:cs="Arial"/>
              </w:rPr>
            </w:pPr>
            <w:r w:rsidRPr="00230F35">
              <w:rPr>
                <w:rFonts w:ascii="Arial" w:hAnsi="Arial" w:cs="Arial"/>
              </w:rPr>
              <w:t>External Examiner’s Signature:</w:t>
            </w:r>
          </w:p>
        </w:tc>
        <w:tc>
          <w:tcPr>
            <w:tcW w:w="3645" w:type="dxa"/>
            <w:gridSpan w:val="3"/>
          </w:tcPr>
          <w:p w:rsidR="006E5378" w:rsidRPr="00230F35" w:rsidRDefault="006E5378" w:rsidP="00323E2A">
            <w:pPr>
              <w:rPr>
                <w:rFonts w:ascii="Arial" w:hAnsi="Arial" w:cs="Arial"/>
              </w:rPr>
            </w:pPr>
            <w:r w:rsidRPr="00230F35">
              <w:rPr>
                <w:rFonts w:ascii="Arial" w:hAnsi="Arial" w:cs="Arial"/>
              </w:rPr>
              <w:t>Date:</w:t>
            </w:r>
          </w:p>
        </w:tc>
      </w:tr>
    </w:tbl>
    <w:p w:rsidR="006E5378" w:rsidRPr="00D67BF8" w:rsidRDefault="006E5378" w:rsidP="006E5378">
      <w:pPr>
        <w:pStyle w:val="NormalWeb"/>
        <w:spacing w:before="0" w:beforeAutospacing="0" w:after="0" w:afterAutospacing="0"/>
        <w:ind w:right="-334"/>
        <w:rPr>
          <w:rFonts w:ascii="Trebuchet MS" w:hAnsi="Trebuchet MS" w:cs="Tahoma"/>
          <w:bCs/>
          <w:sz w:val="24"/>
          <w:szCs w:val="24"/>
        </w:rPr>
      </w:pPr>
    </w:p>
    <w:p w:rsidR="006E5378" w:rsidRPr="00D67BF8" w:rsidRDefault="006E5378" w:rsidP="006E5378">
      <w:pPr>
        <w:pStyle w:val="NormalWeb"/>
        <w:spacing w:before="0" w:beforeAutospacing="0" w:after="0" w:afterAutospacing="0"/>
        <w:ind w:right="-334"/>
        <w:rPr>
          <w:rFonts w:ascii="Trebuchet MS" w:hAnsi="Trebuchet MS" w:cs="Tahoma"/>
          <w:bCs/>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6E5378" w:rsidRDefault="006E5378" w:rsidP="00707B2B">
      <w:pPr>
        <w:spacing w:line="240" w:lineRule="auto"/>
        <w:jc w:val="center"/>
        <w:rPr>
          <w:rFonts w:ascii="Arial" w:hAnsi="Arial" w:cs="Arial"/>
          <w:b/>
          <w:sz w:val="24"/>
          <w:szCs w:val="24"/>
        </w:rPr>
      </w:pPr>
    </w:p>
    <w:p w:rsidR="00707B2B" w:rsidRPr="00861B9D" w:rsidRDefault="00707B2B" w:rsidP="00707B2B">
      <w:pPr>
        <w:spacing w:line="240" w:lineRule="auto"/>
        <w:jc w:val="center"/>
        <w:rPr>
          <w:rFonts w:ascii="Arial" w:hAnsi="Arial" w:cs="Arial"/>
          <w:b/>
          <w:sz w:val="24"/>
          <w:szCs w:val="24"/>
        </w:rPr>
      </w:pPr>
      <w:r w:rsidRPr="00861B9D">
        <w:rPr>
          <w:rFonts w:ascii="Arial" w:hAnsi="Arial" w:cs="Arial"/>
          <w:b/>
          <w:sz w:val="24"/>
          <w:szCs w:val="24"/>
        </w:rPr>
        <w:lastRenderedPageBreak/>
        <w:t>Diane Stankaitis (1402208)</w:t>
      </w:r>
    </w:p>
    <w:p w:rsidR="00707B2B" w:rsidRPr="00861B9D" w:rsidRDefault="00707B2B" w:rsidP="00707B2B">
      <w:pPr>
        <w:spacing w:line="240" w:lineRule="auto"/>
        <w:jc w:val="center"/>
        <w:rPr>
          <w:rFonts w:ascii="Arial" w:hAnsi="Arial" w:cs="Arial"/>
          <w:b/>
          <w:sz w:val="24"/>
          <w:szCs w:val="24"/>
        </w:rPr>
      </w:pPr>
      <w:r w:rsidRPr="00861B9D">
        <w:rPr>
          <w:rFonts w:ascii="Arial" w:hAnsi="Arial" w:cs="Arial"/>
          <w:b/>
          <w:sz w:val="24"/>
          <w:szCs w:val="24"/>
        </w:rPr>
        <w:t xml:space="preserve">HPRS7015 – Assessment </w:t>
      </w:r>
      <w:r>
        <w:rPr>
          <w:rFonts w:ascii="Arial" w:hAnsi="Arial" w:cs="Arial"/>
          <w:b/>
          <w:sz w:val="24"/>
          <w:szCs w:val="24"/>
        </w:rPr>
        <w:t>3</w:t>
      </w:r>
    </w:p>
    <w:p w:rsidR="00707B2B" w:rsidRDefault="00707B2B" w:rsidP="00707B2B">
      <w:pPr>
        <w:spacing w:after="0" w:line="240" w:lineRule="auto"/>
        <w:jc w:val="center"/>
        <w:rPr>
          <w:rFonts w:ascii="Arial" w:hAnsi="Arial" w:cs="Arial"/>
          <w:b/>
          <w:sz w:val="24"/>
          <w:szCs w:val="24"/>
        </w:rPr>
      </w:pPr>
      <w:r>
        <w:rPr>
          <w:rFonts w:ascii="Arial" w:hAnsi="Arial" w:cs="Arial"/>
          <w:b/>
          <w:sz w:val="24"/>
          <w:szCs w:val="24"/>
        </w:rPr>
        <w:t xml:space="preserve">Critically Examine the Role of the Suffering Servant </w:t>
      </w:r>
      <w:r w:rsidR="00060119">
        <w:rPr>
          <w:rFonts w:ascii="Arial" w:hAnsi="Arial" w:cs="Arial"/>
          <w:b/>
          <w:sz w:val="24"/>
          <w:szCs w:val="24"/>
        </w:rPr>
        <w:t>in</w:t>
      </w:r>
      <w:r>
        <w:rPr>
          <w:rFonts w:ascii="Arial" w:hAnsi="Arial" w:cs="Arial"/>
          <w:b/>
          <w:sz w:val="24"/>
          <w:szCs w:val="24"/>
        </w:rPr>
        <w:t xml:space="preserve"> the Book of Isaiah and the Dead Sea Scrolls</w:t>
      </w:r>
    </w:p>
    <w:p w:rsidR="00707B2B" w:rsidRPr="00861B9D" w:rsidRDefault="00707B2B" w:rsidP="00707B2B">
      <w:pPr>
        <w:spacing w:after="0" w:line="240" w:lineRule="auto"/>
        <w:jc w:val="center"/>
        <w:rPr>
          <w:rFonts w:ascii="Arial" w:hAnsi="Arial" w:cs="Arial"/>
          <w:b/>
          <w:sz w:val="24"/>
          <w:szCs w:val="24"/>
        </w:rPr>
      </w:pPr>
      <w:r>
        <w:rPr>
          <w:rFonts w:ascii="Arial" w:hAnsi="Arial" w:cs="Arial"/>
          <w:b/>
          <w:sz w:val="24"/>
          <w:szCs w:val="24"/>
        </w:rPr>
        <w:t>___________________________________________________________________</w:t>
      </w:r>
    </w:p>
    <w:p w:rsidR="00F45912" w:rsidRDefault="00F45912">
      <w:pPr>
        <w:rPr>
          <w:rFonts w:ascii="Arial" w:hAnsi="Arial" w:cs="Arial"/>
          <w:sz w:val="24"/>
          <w:szCs w:val="24"/>
        </w:rPr>
      </w:pPr>
    </w:p>
    <w:p w:rsidR="00707B2B" w:rsidRDefault="00707B2B" w:rsidP="00FB15D9">
      <w:pPr>
        <w:spacing w:after="0"/>
        <w:jc w:val="center"/>
        <w:rPr>
          <w:rFonts w:ascii="Arial" w:hAnsi="Arial" w:cs="Arial"/>
          <w:b/>
          <w:sz w:val="24"/>
          <w:szCs w:val="24"/>
          <w:u w:val="single"/>
        </w:rPr>
      </w:pPr>
      <w:r>
        <w:rPr>
          <w:rFonts w:ascii="Arial" w:hAnsi="Arial" w:cs="Arial"/>
          <w:b/>
          <w:sz w:val="24"/>
          <w:szCs w:val="24"/>
          <w:u w:val="single"/>
        </w:rPr>
        <w:t>Introduction</w:t>
      </w:r>
    </w:p>
    <w:p w:rsidR="009D2DFF" w:rsidRDefault="009D2DFF" w:rsidP="00707B2B">
      <w:pPr>
        <w:spacing w:after="0"/>
        <w:rPr>
          <w:rFonts w:ascii="Arial" w:hAnsi="Arial" w:cs="Arial"/>
          <w:b/>
          <w:sz w:val="24"/>
          <w:szCs w:val="24"/>
          <w:u w:val="single"/>
        </w:rPr>
      </w:pPr>
    </w:p>
    <w:p w:rsidR="00707B2B" w:rsidRDefault="00707B2B" w:rsidP="00A92FD1">
      <w:pPr>
        <w:spacing w:after="0"/>
        <w:jc w:val="both"/>
        <w:rPr>
          <w:rFonts w:ascii="Arial" w:hAnsi="Arial" w:cs="Arial"/>
          <w:sz w:val="24"/>
          <w:szCs w:val="24"/>
        </w:rPr>
      </w:pPr>
      <w:r>
        <w:rPr>
          <w:rFonts w:ascii="Arial" w:hAnsi="Arial" w:cs="Arial"/>
          <w:sz w:val="24"/>
          <w:szCs w:val="24"/>
        </w:rPr>
        <w:tab/>
        <w:t>The term “Suffering Servant” is a recent construc</w:t>
      </w:r>
      <w:r w:rsidR="00BA4B05">
        <w:rPr>
          <w:rFonts w:ascii="Arial" w:hAnsi="Arial" w:cs="Arial"/>
          <w:sz w:val="24"/>
          <w:szCs w:val="24"/>
        </w:rPr>
        <w:t>t,</w:t>
      </w:r>
      <w:r w:rsidR="00694C37">
        <w:rPr>
          <w:rFonts w:ascii="Arial" w:hAnsi="Arial" w:cs="Arial"/>
          <w:sz w:val="24"/>
          <w:szCs w:val="24"/>
        </w:rPr>
        <w:t xml:space="preserve"> introduced by </w:t>
      </w:r>
      <w:r>
        <w:rPr>
          <w:rFonts w:ascii="Arial" w:hAnsi="Arial" w:cs="Arial"/>
          <w:sz w:val="24"/>
          <w:szCs w:val="24"/>
        </w:rPr>
        <w:t>Duhm in 1892, who argued that four passages</w:t>
      </w:r>
      <w:r w:rsidR="00597D9E">
        <w:rPr>
          <w:rFonts w:ascii="Arial" w:hAnsi="Arial" w:cs="Arial"/>
          <w:sz w:val="24"/>
          <w:szCs w:val="24"/>
        </w:rPr>
        <w:t xml:space="preserve"> in the book of Isaiah,</w:t>
      </w:r>
      <w:r>
        <w:rPr>
          <w:rFonts w:ascii="Arial" w:hAnsi="Arial" w:cs="Arial"/>
          <w:sz w:val="24"/>
          <w:szCs w:val="24"/>
        </w:rPr>
        <w:t xml:space="preserve"> </w:t>
      </w:r>
      <w:r w:rsidR="00A02FE7">
        <w:rPr>
          <w:rFonts w:ascii="Arial" w:hAnsi="Arial" w:cs="Arial"/>
          <w:sz w:val="24"/>
          <w:szCs w:val="24"/>
        </w:rPr>
        <w:t xml:space="preserve">the </w:t>
      </w:r>
      <w:r>
        <w:rPr>
          <w:rFonts w:ascii="Arial" w:hAnsi="Arial" w:cs="Arial"/>
          <w:sz w:val="24"/>
          <w:szCs w:val="24"/>
        </w:rPr>
        <w:t>“S</w:t>
      </w:r>
      <w:r w:rsidR="00C067D5">
        <w:rPr>
          <w:rFonts w:ascii="Arial" w:hAnsi="Arial" w:cs="Arial"/>
          <w:sz w:val="24"/>
          <w:szCs w:val="24"/>
        </w:rPr>
        <w:t>ervant Songs”</w:t>
      </w:r>
      <w:r>
        <w:rPr>
          <w:rFonts w:ascii="Arial" w:hAnsi="Arial" w:cs="Arial"/>
          <w:sz w:val="24"/>
          <w:szCs w:val="24"/>
        </w:rPr>
        <w:t xml:space="preserve"> (Isa. 42:1-4; 49:1-6; 50:4-11 and 52:13-53:12)</w:t>
      </w:r>
      <w:r w:rsidR="00B957EC">
        <w:rPr>
          <w:rFonts w:ascii="Arial" w:hAnsi="Arial" w:cs="Arial"/>
          <w:sz w:val="24"/>
          <w:szCs w:val="24"/>
        </w:rPr>
        <w:t>,</w:t>
      </w:r>
      <w:r>
        <w:rPr>
          <w:rFonts w:ascii="Arial" w:hAnsi="Arial" w:cs="Arial"/>
          <w:sz w:val="24"/>
          <w:szCs w:val="24"/>
        </w:rPr>
        <w:t xml:space="preserve"> originated from one post-exilic text, and were later incorporated into Isaiah 40-55.</w:t>
      </w:r>
      <w:r>
        <w:rPr>
          <w:rStyle w:val="FootnoteReference"/>
          <w:rFonts w:ascii="Arial" w:hAnsi="Arial" w:cs="Arial"/>
          <w:sz w:val="24"/>
          <w:szCs w:val="24"/>
        </w:rPr>
        <w:footnoteReference w:id="1"/>
      </w:r>
      <w:r w:rsidR="00597D9E">
        <w:rPr>
          <w:rFonts w:ascii="Arial" w:hAnsi="Arial" w:cs="Arial"/>
          <w:sz w:val="24"/>
          <w:szCs w:val="24"/>
        </w:rPr>
        <w:t xml:space="preserve"> T</w:t>
      </w:r>
      <w:r w:rsidR="00D3053F">
        <w:rPr>
          <w:rFonts w:ascii="Arial" w:hAnsi="Arial" w:cs="Arial"/>
          <w:sz w:val="24"/>
          <w:szCs w:val="24"/>
        </w:rPr>
        <w:t>hese chapters</w:t>
      </w:r>
      <w:r w:rsidR="00597D9E">
        <w:rPr>
          <w:rFonts w:ascii="Arial" w:hAnsi="Arial" w:cs="Arial"/>
          <w:sz w:val="24"/>
          <w:szCs w:val="24"/>
        </w:rPr>
        <w:t>, however,</w:t>
      </w:r>
      <w:r w:rsidR="00D3053F">
        <w:rPr>
          <w:rFonts w:ascii="Arial" w:hAnsi="Arial" w:cs="Arial"/>
          <w:sz w:val="24"/>
          <w:szCs w:val="24"/>
        </w:rPr>
        <w:t xml:space="preserve"> were not necessarily grouped together in ancient times, and some modern s</w:t>
      </w:r>
      <w:r w:rsidR="0098166B">
        <w:rPr>
          <w:rFonts w:ascii="Arial" w:hAnsi="Arial" w:cs="Arial"/>
          <w:sz w:val="24"/>
          <w:szCs w:val="24"/>
        </w:rPr>
        <w:t xml:space="preserve">cholars </w:t>
      </w:r>
      <w:r w:rsidR="00D3053F">
        <w:rPr>
          <w:rFonts w:ascii="Arial" w:hAnsi="Arial" w:cs="Arial"/>
          <w:sz w:val="24"/>
          <w:szCs w:val="24"/>
        </w:rPr>
        <w:t>have also questioned their distinctiveness.</w:t>
      </w:r>
      <w:r w:rsidR="00D3053F">
        <w:rPr>
          <w:rStyle w:val="FootnoteReference"/>
          <w:rFonts w:ascii="Arial" w:hAnsi="Arial" w:cs="Arial"/>
          <w:sz w:val="24"/>
          <w:szCs w:val="24"/>
        </w:rPr>
        <w:footnoteReference w:id="2"/>
      </w:r>
    </w:p>
    <w:p w:rsidR="00A6262C" w:rsidRDefault="00A6262C" w:rsidP="00A6262C">
      <w:pPr>
        <w:spacing w:after="0"/>
        <w:jc w:val="both"/>
        <w:rPr>
          <w:rFonts w:ascii="Arial" w:hAnsi="Arial" w:cs="Arial"/>
          <w:sz w:val="24"/>
          <w:szCs w:val="24"/>
        </w:rPr>
      </w:pPr>
      <w:r>
        <w:rPr>
          <w:rFonts w:ascii="Arial" w:hAnsi="Arial" w:cs="Arial"/>
          <w:sz w:val="24"/>
          <w:szCs w:val="24"/>
        </w:rPr>
        <w:tab/>
        <w:t>I will examine the role of the Suffering Servant in Isaiah, focusing on the</w:t>
      </w:r>
      <w:r w:rsidR="00FA5219">
        <w:rPr>
          <w:rFonts w:ascii="Arial" w:hAnsi="Arial" w:cs="Arial"/>
          <w:sz w:val="24"/>
          <w:szCs w:val="24"/>
        </w:rPr>
        <w:t>se</w:t>
      </w:r>
      <w:r>
        <w:rPr>
          <w:rFonts w:ascii="Arial" w:hAnsi="Arial" w:cs="Arial"/>
          <w:sz w:val="24"/>
          <w:szCs w:val="24"/>
        </w:rPr>
        <w:t xml:space="preserve"> Servant Songs</w:t>
      </w:r>
      <w:r w:rsidR="00FA5219">
        <w:rPr>
          <w:rFonts w:ascii="Arial" w:hAnsi="Arial" w:cs="Arial"/>
          <w:sz w:val="24"/>
          <w:szCs w:val="24"/>
        </w:rPr>
        <w:t>,</w:t>
      </w:r>
      <w:r>
        <w:rPr>
          <w:rFonts w:ascii="Arial" w:hAnsi="Arial" w:cs="Arial"/>
          <w:sz w:val="24"/>
          <w:szCs w:val="24"/>
        </w:rPr>
        <w:t xml:space="preserve"> and the hymns of the </w:t>
      </w:r>
      <w:r w:rsidR="00FA5219">
        <w:rPr>
          <w:rFonts w:ascii="Arial" w:hAnsi="Arial" w:cs="Arial"/>
          <w:sz w:val="24"/>
          <w:szCs w:val="24"/>
        </w:rPr>
        <w:t>Dead Sea Scrolls’</w:t>
      </w:r>
      <w:r w:rsidR="00DD2070">
        <w:rPr>
          <w:rFonts w:ascii="Arial" w:hAnsi="Arial" w:cs="Arial"/>
          <w:sz w:val="24"/>
          <w:szCs w:val="24"/>
        </w:rPr>
        <w:t xml:space="preserve"> </w:t>
      </w:r>
      <w:r w:rsidRPr="00154C63">
        <w:rPr>
          <w:rFonts w:ascii="Arial" w:hAnsi="Arial" w:cs="Arial"/>
          <w:sz w:val="24"/>
          <w:szCs w:val="24"/>
        </w:rPr>
        <w:t xml:space="preserve">Thanksgiving </w:t>
      </w:r>
      <w:r>
        <w:rPr>
          <w:rFonts w:ascii="Arial" w:hAnsi="Arial" w:cs="Arial"/>
          <w:sz w:val="24"/>
          <w:szCs w:val="24"/>
        </w:rPr>
        <w:t>Scroll. The Servant’s role in the book of Daniel and the New Test</w:t>
      </w:r>
      <w:r w:rsidR="00FA5219">
        <w:rPr>
          <w:rFonts w:ascii="Arial" w:hAnsi="Arial" w:cs="Arial"/>
          <w:sz w:val="24"/>
          <w:szCs w:val="24"/>
        </w:rPr>
        <w:t>ament will be briefly discussed</w:t>
      </w:r>
      <w:r>
        <w:rPr>
          <w:rFonts w:ascii="Arial" w:hAnsi="Arial" w:cs="Arial"/>
          <w:sz w:val="24"/>
          <w:szCs w:val="24"/>
        </w:rPr>
        <w:t xml:space="preserve"> to pro</w:t>
      </w:r>
      <w:r w:rsidR="00DD2070">
        <w:rPr>
          <w:rFonts w:ascii="Arial" w:hAnsi="Arial" w:cs="Arial"/>
          <w:sz w:val="24"/>
          <w:szCs w:val="24"/>
        </w:rPr>
        <w:t>vide further context. I</w:t>
      </w:r>
      <w:r>
        <w:rPr>
          <w:rFonts w:ascii="Arial" w:hAnsi="Arial" w:cs="Arial"/>
          <w:sz w:val="24"/>
          <w:szCs w:val="24"/>
        </w:rPr>
        <w:t xml:space="preserve">ssues to be addressed </w:t>
      </w:r>
      <w:r w:rsidR="00DD2070">
        <w:rPr>
          <w:rFonts w:ascii="Arial" w:hAnsi="Arial" w:cs="Arial"/>
          <w:sz w:val="24"/>
          <w:szCs w:val="24"/>
        </w:rPr>
        <w:t>include</w:t>
      </w:r>
      <w:r>
        <w:rPr>
          <w:rFonts w:ascii="Arial" w:hAnsi="Arial" w:cs="Arial"/>
          <w:sz w:val="24"/>
          <w:szCs w:val="24"/>
        </w:rPr>
        <w:t xml:space="preserve"> the role of the Suffering Servant </w:t>
      </w:r>
      <w:r w:rsidR="00FA5219">
        <w:rPr>
          <w:rFonts w:ascii="Arial" w:hAnsi="Arial" w:cs="Arial"/>
          <w:sz w:val="24"/>
          <w:szCs w:val="24"/>
        </w:rPr>
        <w:t>in the</w:t>
      </w:r>
      <w:r>
        <w:rPr>
          <w:rFonts w:ascii="Arial" w:hAnsi="Arial" w:cs="Arial"/>
          <w:sz w:val="24"/>
          <w:szCs w:val="24"/>
        </w:rPr>
        <w:t xml:space="preserve"> contemporary historical context, </w:t>
      </w:r>
      <w:r w:rsidR="00FA5219">
        <w:rPr>
          <w:rFonts w:ascii="Arial" w:hAnsi="Arial" w:cs="Arial"/>
          <w:sz w:val="24"/>
          <w:szCs w:val="24"/>
        </w:rPr>
        <w:t>identity, and</w:t>
      </w:r>
      <w:r>
        <w:rPr>
          <w:rFonts w:ascii="Arial" w:hAnsi="Arial" w:cs="Arial"/>
          <w:sz w:val="24"/>
          <w:szCs w:val="24"/>
        </w:rPr>
        <w:t xml:space="preserve"> messianic interpretations. </w:t>
      </w:r>
    </w:p>
    <w:p w:rsidR="00FA5219" w:rsidRDefault="00A6262C" w:rsidP="00A92FD1">
      <w:pPr>
        <w:spacing w:after="0"/>
        <w:jc w:val="both"/>
        <w:rPr>
          <w:rFonts w:ascii="Arial" w:hAnsi="Arial" w:cs="Arial"/>
          <w:sz w:val="24"/>
          <w:szCs w:val="24"/>
        </w:rPr>
      </w:pPr>
      <w:r>
        <w:rPr>
          <w:rFonts w:ascii="Arial" w:hAnsi="Arial" w:cs="Arial"/>
          <w:sz w:val="24"/>
          <w:szCs w:val="24"/>
        </w:rPr>
        <w:tab/>
        <w:t>From a historical criticism perspective, a text’s meaning cannot be truly understood unless it can be established by whom, and in what context, it was written.</w:t>
      </w:r>
      <w:r>
        <w:rPr>
          <w:rStyle w:val="FootnoteReference"/>
          <w:rFonts w:ascii="Arial" w:hAnsi="Arial" w:cs="Arial"/>
          <w:sz w:val="24"/>
          <w:szCs w:val="24"/>
        </w:rPr>
        <w:footnoteReference w:id="3"/>
      </w:r>
      <w:r>
        <w:rPr>
          <w:rFonts w:ascii="Arial" w:hAnsi="Arial" w:cs="Arial"/>
          <w:sz w:val="24"/>
          <w:szCs w:val="24"/>
        </w:rPr>
        <w:t xml:space="preserve"> However, reception history stresses that meaning derives from reader-text interaction.</w:t>
      </w:r>
      <w:r>
        <w:rPr>
          <w:rStyle w:val="FootnoteReference"/>
          <w:rFonts w:ascii="Arial" w:hAnsi="Arial" w:cs="Arial"/>
          <w:sz w:val="24"/>
          <w:szCs w:val="24"/>
        </w:rPr>
        <w:footnoteReference w:id="4"/>
      </w:r>
      <w:r>
        <w:rPr>
          <w:rFonts w:ascii="Arial" w:hAnsi="Arial" w:cs="Arial"/>
          <w:sz w:val="24"/>
          <w:szCs w:val="24"/>
        </w:rPr>
        <w:t xml:space="preserve"> Knight argues persuasively that both approaches should be considered.</w:t>
      </w:r>
      <w:r>
        <w:rPr>
          <w:rStyle w:val="FootnoteReference"/>
          <w:rFonts w:ascii="Arial" w:hAnsi="Arial" w:cs="Arial"/>
          <w:sz w:val="24"/>
          <w:szCs w:val="24"/>
        </w:rPr>
        <w:footnoteReference w:id="5"/>
      </w:r>
      <w:r>
        <w:rPr>
          <w:rFonts w:ascii="Arial" w:hAnsi="Arial" w:cs="Arial"/>
          <w:sz w:val="24"/>
          <w:szCs w:val="24"/>
        </w:rPr>
        <w:t xml:space="preserve"> </w:t>
      </w:r>
      <w:r w:rsidR="00BA4B05">
        <w:rPr>
          <w:rFonts w:ascii="Arial" w:hAnsi="Arial" w:cs="Arial"/>
          <w:sz w:val="24"/>
          <w:szCs w:val="24"/>
        </w:rPr>
        <w:t>Brettler &amp; Levine support this, arguing that, by examining the role of the Suffering Servant both in terms of original meaning and later interpretations, the texts will reveal different meanings to different people.</w:t>
      </w:r>
      <w:r w:rsidR="00BA4B05">
        <w:rPr>
          <w:rStyle w:val="FootnoteReference"/>
          <w:rFonts w:ascii="Arial" w:hAnsi="Arial" w:cs="Arial"/>
          <w:sz w:val="24"/>
          <w:szCs w:val="24"/>
        </w:rPr>
        <w:footnoteReference w:id="6"/>
      </w:r>
      <w:r w:rsidR="00BA4B05">
        <w:rPr>
          <w:rFonts w:ascii="Arial" w:hAnsi="Arial" w:cs="Arial"/>
          <w:sz w:val="24"/>
          <w:szCs w:val="24"/>
        </w:rPr>
        <w:t xml:space="preserve"> Collins</w:t>
      </w:r>
      <w:r w:rsidR="00FA5219">
        <w:rPr>
          <w:rFonts w:ascii="Arial" w:hAnsi="Arial" w:cs="Arial"/>
          <w:sz w:val="24"/>
          <w:szCs w:val="24"/>
        </w:rPr>
        <w:t xml:space="preserve"> agrees</w:t>
      </w:r>
      <w:r w:rsidR="00BA4B05">
        <w:rPr>
          <w:rFonts w:ascii="Arial" w:hAnsi="Arial" w:cs="Arial"/>
          <w:sz w:val="24"/>
          <w:szCs w:val="24"/>
        </w:rPr>
        <w:t>, propos</w:t>
      </w:r>
      <w:r w:rsidR="00FA5219">
        <w:rPr>
          <w:rFonts w:ascii="Arial" w:hAnsi="Arial" w:cs="Arial"/>
          <w:sz w:val="24"/>
          <w:szCs w:val="24"/>
        </w:rPr>
        <w:t>ing</w:t>
      </w:r>
      <w:r w:rsidR="00BA4B05">
        <w:rPr>
          <w:rFonts w:ascii="Arial" w:hAnsi="Arial" w:cs="Arial"/>
          <w:sz w:val="24"/>
          <w:szCs w:val="24"/>
        </w:rPr>
        <w:t xml:space="preserve"> that, in both the Sufferin</w:t>
      </w:r>
      <w:r w:rsidR="00FA5219">
        <w:rPr>
          <w:rFonts w:ascii="Arial" w:hAnsi="Arial" w:cs="Arial"/>
          <w:sz w:val="24"/>
          <w:szCs w:val="24"/>
        </w:rPr>
        <w:t xml:space="preserve">g Servant in Isaiah and </w:t>
      </w:r>
      <w:r w:rsidR="00BA4B05">
        <w:rPr>
          <w:rFonts w:ascii="Arial" w:hAnsi="Arial" w:cs="Arial"/>
          <w:sz w:val="24"/>
          <w:szCs w:val="24"/>
        </w:rPr>
        <w:t>the Thanksgiving Scroll, a common text contextualises and make</w:t>
      </w:r>
      <w:r w:rsidR="00FA5219">
        <w:rPr>
          <w:rFonts w:ascii="Arial" w:hAnsi="Arial" w:cs="Arial"/>
          <w:sz w:val="24"/>
          <w:szCs w:val="24"/>
        </w:rPr>
        <w:t>s</w:t>
      </w:r>
      <w:r w:rsidR="00BA4B05">
        <w:rPr>
          <w:rFonts w:ascii="Arial" w:hAnsi="Arial" w:cs="Arial"/>
          <w:sz w:val="24"/>
          <w:szCs w:val="24"/>
        </w:rPr>
        <w:t xml:space="preserve"> sense of new experiences.</w:t>
      </w:r>
      <w:r w:rsidR="00BA4B05">
        <w:rPr>
          <w:rStyle w:val="FootnoteReference"/>
          <w:rFonts w:ascii="Arial" w:hAnsi="Arial" w:cs="Arial"/>
          <w:sz w:val="24"/>
          <w:szCs w:val="24"/>
        </w:rPr>
        <w:footnoteReference w:id="7"/>
      </w:r>
      <w:r w:rsidR="00DD2070">
        <w:rPr>
          <w:rFonts w:ascii="Arial" w:hAnsi="Arial" w:cs="Arial"/>
          <w:sz w:val="24"/>
          <w:szCs w:val="24"/>
        </w:rPr>
        <w:t xml:space="preserve"> I shall adopt this approach.</w:t>
      </w:r>
    </w:p>
    <w:p w:rsidR="00A6262C" w:rsidRDefault="00A6262C" w:rsidP="00A92FD1">
      <w:pPr>
        <w:spacing w:after="0"/>
        <w:jc w:val="both"/>
        <w:rPr>
          <w:rFonts w:ascii="Arial" w:hAnsi="Arial" w:cs="Arial"/>
          <w:sz w:val="24"/>
          <w:szCs w:val="24"/>
        </w:rPr>
      </w:pPr>
    </w:p>
    <w:p w:rsidR="00DD2070" w:rsidRDefault="00DD2070" w:rsidP="00A92FD1">
      <w:pPr>
        <w:spacing w:after="0"/>
        <w:jc w:val="both"/>
        <w:rPr>
          <w:rFonts w:ascii="Arial" w:hAnsi="Arial" w:cs="Arial"/>
          <w:sz w:val="24"/>
          <w:szCs w:val="24"/>
        </w:rPr>
      </w:pPr>
    </w:p>
    <w:p w:rsidR="00167700" w:rsidRPr="00A92FD1" w:rsidRDefault="00060119" w:rsidP="00FB15D9">
      <w:pPr>
        <w:spacing w:after="0"/>
        <w:jc w:val="center"/>
        <w:rPr>
          <w:rFonts w:ascii="Arial" w:hAnsi="Arial" w:cs="Arial"/>
          <w:sz w:val="24"/>
          <w:szCs w:val="24"/>
        </w:rPr>
      </w:pPr>
      <w:r>
        <w:rPr>
          <w:rFonts w:ascii="Arial" w:hAnsi="Arial" w:cs="Arial"/>
          <w:b/>
          <w:sz w:val="24"/>
          <w:szCs w:val="24"/>
          <w:u w:val="single"/>
        </w:rPr>
        <w:lastRenderedPageBreak/>
        <w:t>The Role of the Suffering Servant in Isaiah</w:t>
      </w:r>
    </w:p>
    <w:p w:rsidR="00A262CB" w:rsidRDefault="00A262CB" w:rsidP="00A92FD1">
      <w:pPr>
        <w:spacing w:after="0"/>
        <w:jc w:val="both"/>
        <w:rPr>
          <w:rFonts w:ascii="Arial" w:hAnsi="Arial" w:cs="Arial"/>
          <w:b/>
          <w:sz w:val="24"/>
          <w:szCs w:val="24"/>
          <w:u w:val="single"/>
        </w:rPr>
      </w:pPr>
    </w:p>
    <w:p w:rsidR="001468CD" w:rsidRDefault="001468CD" w:rsidP="00A92FD1">
      <w:pPr>
        <w:spacing w:after="0"/>
        <w:jc w:val="both"/>
        <w:rPr>
          <w:rFonts w:ascii="Arial" w:hAnsi="Arial" w:cs="Arial"/>
          <w:sz w:val="24"/>
          <w:szCs w:val="24"/>
        </w:rPr>
      </w:pPr>
      <w:r>
        <w:rPr>
          <w:rFonts w:ascii="Arial" w:hAnsi="Arial" w:cs="Arial"/>
          <w:sz w:val="24"/>
          <w:szCs w:val="24"/>
        </w:rPr>
        <w:tab/>
      </w:r>
      <w:r w:rsidR="00C067D5">
        <w:rPr>
          <w:rFonts w:ascii="Arial" w:hAnsi="Arial" w:cs="Arial"/>
          <w:sz w:val="24"/>
          <w:szCs w:val="24"/>
        </w:rPr>
        <w:t>The book of Isaiah</w:t>
      </w:r>
      <w:r w:rsidR="004173B1">
        <w:rPr>
          <w:rFonts w:ascii="Arial" w:hAnsi="Arial" w:cs="Arial"/>
          <w:sz w:val="24"/>
          <w:szCs w:val="24"/>
        </w:rPr>
        <w:t xml:space="preserve"> </w:t>
      </w:r>
      <w:r w:rsidR="00C067D5">
        <w:rPr>
          <w:rFonts w:ascii="Arial" w:hAnsi="Arial" w:cs="Arial"/>
          <w:sz w:val="24"/>
          <w:szCs w:val="24"/>
        </w:rPr>
        <w:t>covers the period</w:t>
      </w:r>
      <w:r w:rsidR="00167700">
        <w:rPr>
          <w:rFonts w:ascii="Arial" w:hAnsi="Arial" w:cs="Arial"/>
          <w:sz w:val="24"/>
          <w:szCs w:val="24"/>
        </w:rPr>
        <w:t xml:space="preserve"> c.735-500BCE.</w:t>
      </w:r>
      <w:r w:rsidR="00167700">
        <w:rPr>
          <w:rStyle w:val="FootnoteReference"/>
          <w:rFonts w:ascii="Arial" w:hAnsi="Arial" w:cs="Arial"/>
          <w:sz w:val="24"/>
          <w:szCs w:val="24"/>
        </w:rPr>
        <w:footnoteReference w:id="8"/>
      </w:r>
      <w:r w:rsidR="00167700">
        <w:rPr>
          <w:rFonts w:ascii="Arial" w:hAnsi="Arial" w:cs="Arial"/>
          <w:sz w:val="24"/>
          <w:szCs w:val="24"/>
        </w:rPr>
        <w:t xml:space="preserve"> Sawyer argues that Isa</w:t>
      </w:r>
      <w:r>
        <w:rPr>
          <w:rFonts w:ascii="Arial" w:hAnsi="Arial" w:cs="Arial"/>
          <w:sz w:val="24"/>
          <w:szCs w:val="24"/>
        </w:rPr>
        <w:t>iah</w:t>
      </w:r>
      <w:r w:rsidR="00C067D5">
        <w:rPr>
          <w:rFonts w:ascii="Arial" w:hAnsi="Arial" w:cs="Arial"/>
          <w:sz w:val="24"/>
          <w:szCs w:val="24"/>
        </w:rPr>
        <w:t xml:space="preserve"> 40-55, known as Deutero-Isaiah</w:t>
      </w:r>
      <w:r w:rsidR="00167700">
        <w:rPr>
          <w:rFonts w:ascii="Arial" w:hAnsi="Arial" w:cs="Arial"/>
          <w:sz w:val="24"/>
          <w:szCs w:val="24"/>
        </w:rPr>
        <w:t xml:space="preserve">, was written by a different author from the previous chapters, </w:t>
      </w:r>
      <w:r>
        <w:rPr>
          <w:rFonts w:ascii="Arial" w:hAnsi="Arial" w:cs="Arial"/>
          <w:sz w:val="24"/>
          <w:szCs w:val="24"/>
        </w:rPr>
        <w:t>and covers</w:t>
      </w:r>
      <w:r w:rsidR="00167700">
        <w:rPr>
          <w:rFonts w:ascii="Arial" w:hAnsi="Arial" w:cs="Arial"/>
          <w:sz w:val="24"/>
          <w:szCs w:val="24"/>
        </w:rPr>
        <w:t xml:space="preserve"> a different historical period.</w:t>
      </w:r>
      <w:r w:rsidR="00167700">
        <w:rPr>
          <w:rStyle w:val="FootnoteReference"/>
          <w:rFonts w:ascii="Arial" w:hAnsi="Arial" w:cs="Arial"/>
          <w:sz w:val="24"/>
          <w:szCs w:val="24"/>
        </w:rPr>
        <w:footnoteReference w:id="9"/>
      </w:r>
      <w:r w:rsidR="00E478C4">
        <w:rPr>
          <w:rFonts w:ascii="Arial" w:hAnsi="Arial" w:cs="Arial"/>
          <w:sz w:val="24"/>
          <w:szCs w:val="24"/>
        </w:rPr>
        <w:t xml:space="preserve"> Whilst in Isaiah 1-39 Jerusalem has not yet been destro</w:t>
      </w:r>
      <w:r w:rsidR="00A92FD1">
        <w:rPr>
          <w:rFonts w:ascii="Arial" w:hAnsi="Arial" w:cs="Arial"/>
          <w:sz w:val="24"/>
          <w:szCs w:val="24"/>
        </w:rPr>
        <w:t>yed, the destruction of both city and</w:t>
      </w:r>
      <w:r w:rsidR="00E478C4">
        <w:rPr>
          <w:rFonts w:ascii="Arial" w:hAnsi="Arial" w:cs="Arial"/>
          <w:sz w:val="24"/>
          <w:szCs w:val="24"/>
        </w:rPr>
        <w:t xml:space="preserve"> temple by the Babylonians in 587BCE are prophesied</w:t>
      </w:r>
      <w:r>
        <w:rPr>
          <w:rFonts w:ascii="Arial" w:hAnsi="Arial" w:cs="Arial"/>
          <w:sz w:val="24"/>
          <w:szCs w:val="24"/>
        </w:rPr>
        <w:t>;</w:t>
      </w:r>
      <w:r w:rsidR="00E478C4">
        <w:rPr>
          <w:rFonts w:ascii="Arial" w:hAnsi="Arial" w:cs="Arial"/>
          <w:sz w:val="24"/>
          <w:szCs w:val="24"/>
        </w:rPr>
        <w:t xml:space="preserve"> in Isaiah 40-55 Jerusalem is ruined (I</w:t>
      </w:r>
      <w:r w:rsidR="00C067D5">
        <w:rPr>
          <w:rFonts w:ascii="Arial" w:hAnsi="Arial" w:cs="Arial"/>
          <w:sz w:val="24"/>
          <w:szCs w:val="24"/>
        </w:rPr>
        <w:t>sa. 44:26-28), and its people</w:t>
      </w:r>
      <w:r w:rsidR="00E478C4">
        <w:rPr>
          <w:rFonts w:ascii="Arial" w:hAnsi="Arial" w:cs="Arial"/>
          <w:sz w:val="24"/>
          <w:szCs w:val="24"/>
        </w:rPr>
        <w:t xml:space="preserve"> in exile (Isa. 43:5-6), although in Isaiah 40:1-2 it is announced that the period of exile is </w:t>
      </w:r>
      <w:r w:rsidR="00A92FD1">
        <w:rPr>
          <w:rFonts w:ascii="Arial" w:hAnsi="Arial" w:cs="Arial"/>
          <w:sz w:val="24"/>
          <w:szCs w:val="24"/>
        </w:rPr>
        <w:t xml:space="preserve">now </w:t>
      </w:r>
      <w:r w:rsidR="00E478C4">
        <w:rPr>
          <w:rFonts w:ascii="Arial" w:hAnsi="Arial" w:cs="Arial"/>
          <w:sz w:val="24"/>
          <w:szCs w:val="24"/>
        </w:rPr>
        <w:t>over.</w:t>
      </w:r>
      <w:r w:rsidR="00E478C4">
        <w:rPr>
          <w:rStyle w:val="FootnoteReference"/>
          <w:rFonts w:ascii="Arial" w:hAnsi="Arial" w:cs="Arial"/>
          <w:sz w:val="24"/>
          <w:szCs w:val="24"/>
        </w:rPr>
        <w:footnoteReference w:id="10"/>
      </w:r>
    </w:p>
    <w:p w:rsidR="00A02FE7" w:rsidRDefault="00A02FE7" w:rsidP="00A92FD1">
      <w:pPr>
        <w:spacing w:after="0"/>
        <w:jc w:val="both"/>
        <w:rPr>
          <w:rFonts w:ascii="Arial" w:hAnsi="Arial" w:cs="Arial"/>
          <w:sz w:val="24"/>
          <w:szCs w:val="24"/>
        </w:rPr>
      </w:pPr>
      <w:r>
        <w:rPr>
          <w:rFonts w:ascii="Arial" w:hAnsi="Arial" w:cs="Arial"/>
          <w:sz w:val="24"/>
          <w:szCs w:val="24"/>
        </w:rPr>
        <w:tab/>
      </w:r>
      <w:r w:rsidR="004173B1">
        <w:rPr>
          <w:rFonts w:ascii="Arial" w:hAnsi="Arial" w:cs="Arial"/>
          <w:sz w:val="24"/>
          <w:szCs w:val="24"/>
        </w:rPr>
        <w:t xml:space="preserve">In </w:t>
      </w:r>
      <w:r>
        <w:rPr>
          <w:rFonts w:ascii="Arial" w:hAnsi="Arial" w:cs="Arial"/>
          <w:sz w:val="24"/>
          <w:szCs w:val="24"/>
        </w:rPr>
        <w:t>Isa</w:t>
      </w:r>
      <w:r w:rsidR="004173B1">
        <w:rPr>
          <w:rFonts w:ascii="Arial" w:hAnsi="Arial" w:cs="Arial"/>
          <w:sz w:val="24"/>
          <w:szCs w:val="24"/>
        </w:rPr>
        <w:t>iah 40:1-2</w:t>
      </w:r>
      <w:r>
        <w:rPr>
          <w:rFonts w:ascii="Arial" w:hAnsi="Arial" w:cs="Arial"/>
          <w:sz w:val="24"/>
          <w:szCs w:val="24"/>
        </w:rPr>
        <w:t>, the exiled Israelis are offered hope and comfort, a return to Jerusalem.</w:t>
      </w:r>
      <w:r>
        <w:rPr>
          <w:rStyle w:val="FootnoteReference"/>
          <w:rFonts w:ascii="Arial" w:hAnsi="Arial" w:cs="Arial"/>
          <w:sz w:val="24"/>
          <w:szCs w:val="24"/>
        </w:rPr>
        <w:footnoteReference w:id="11"/>
      </w:r>
      <w:r>
        <w:rPr>
          <w:rFonts w:ascii="Arial" w:hAnsi="Arial" w:cs="Arial"/>
          <w:sz w:val="24"/>
          <w:szCs w:val="24"/>
        </w:rPr>
        <w:t xml:space="preserve"> However, the reason for their</w:t>
      </w:r>
      <w:r w:rsidR="004173B1">
        <w:rPr>
          <w:rFonts w:ascii="Arial" w:hAnsi="Arial" w:cs="Arial"/>
          <w:sz w:val="24"/>
          <w:szCs w:val="24"/>
        </w:rPr>
        <w:t xml:space="preserve"> exile</w:t>
      </w:r>
      <w:r>
        <w:rPr>
          <w:rFonts w:ascii="Arial" w:hAnsi="Arial" w:cs="Arial"/>
          <w:sz w:val="24"/>
          <w:szCs w:val="24"/>
        </w:rPr>
        <w:t>, rebellion and wicked</w:t>
      </w:r>
      <w:r w:rsidR="004173B1">
        <w:rPr>
          <w:rFonts w:ascii="Arial" w:hAnsi="Arial" w:cs="Arial"/>
          <w:sz w:val="24"/>
          <w:szCs w:val="24"/>
        </w:rPr>
        <w:t>ness</w:t>
      </w:r>
      <w:r>
        <w:rPr>
          <w:rFonts w:ascii="Arial" w:hAnsi="Arial" w:cs="Arial"/>
          <w:sz w:val="24"/>
          <w:szCs w:val="24"/>
        </w:rPr>
        <w:t xml:space="preserve"> against God, remains. In this respect, it is revealed that God will redeem the people via a</w:t>
      </w:r>
      <w:r w:rsidR="00C067D5">
        <w:rPr>
          <w:rFonts w:ascii="Arial" w:hAnsi="Arial" w:cs="Arial"/>
          <w:sz w:val="24"/>
          <w:szCs w:val="24"/>
        </w:rPr>
        <w:t>n</w:t>
      </w:r>
      <w:r>
        <w:rPr>
          <w:rFonts w:ascii="Arial" w:hAnsi="Arial" w:cs="Arial"/>
          <w:sz w:val="24"/>
          <w:szCs w:val="24"/>
        </w:rPr>
        <w:t xml:space="preserve"> </w:t>
      </w:r>
      <w:r w:rsidR="00C067D5">
        <w:rPr>
          <w:rFonts w:ascii="Arial" w:hAnsi="Arial" w:cs="Arial"/>
          <w:sz w:val="24"/>
          <w:szCs w:val="24"/>
        </w:rPr>
        <w:t>individual</w:t>
      </w:r>
      <w:r>
        <w:rPr>
          <w:rFonts w:ascii="Arial" w:hAnsi="Arial" w:cs="Arial"/>
          <w:sz w:val="24"/>
          <w:szCs w:val="24"/>
        </w:rPr>
        <w:t xml:space="preserve"> </w:t>
      </w:r>
      <w:r w:rsidR="00C067D5">
        <w:rPr>
          <w:rFonts w:ascii="Arial" w:hAnsi="Arial" w:cs="Arial"/>
          <w:sz w:val="24"/>
          <w:szCs w:val="24"/>
        </w:rPr>
        <w:t>identified</w:t>
      </w:r>
      <w:r>
        <w:rPr>
          <w:rFonts w:ascii="Arial" w:hAnsi="Arial" w:cs="Arial"/>
          <w:sz w:val="24"/>
          <w:szCs w:val="24"/>
        </w:rPr>
        <w:t xml:space="preserve"> as God’s </w:t>
      </w:r>
      <w:r w:rsidR="00DD2070">
        <w:rPr>
          <w:rFonts w:ascii="Arial" w:hAnsi="Arial" w:cs="Arial"/>
          <w:sz w:val="24"/>
          <w:szCs w:val="24"/>
        </w:rPr>
        <w:t>S</w:t>
      </w:r>
      <w:r>
        <w:rPr>
          <w:rFonts w:ascii="Arial" w:hAnsi="Arial" w:cs="Arial"/>
          <w:sz w:val="24"/>
          <w:szCs w:val="24"/>
        </w:rPr>
        <w:t>ervant (Isa. 41:9; 42:1)</w:t>
      </w:r>
      <w:r w:rsidR="000F5245">
        <w:rPr>
          <w:rFonts w:ascii="Arial" w:hAnsi="Arial" w:cs="Arial"/>
          <w:sz w:val="24"/>
          <w:szCs w:val="24"/>
        </w:rPr>
        <w:t>, whose role will be to bring justice to the nations (Isa. 42:1).</w:t>
      </w:r>
      <w:r w:rsidR="000F5245">
        <w:rPr>
          <w:rStyle w:val="FootnoteReference"/>
          <w:rFonts w:ascii="Arial" w:hAnsi="Arial" w:cs="Arial"/>
          <w:sz w:val="24"/>
          <w:szCs w:val="24"/>
        </w:rPr>
        <w:footnoteReference w:id="12"/>
      </w:r>
    </w:p>
    <w:p w:rsidR="00D87D99" w:rsidRDefault="00DD2070" w:rsidP="00A92FD1">
      <w:pPr>
        <w:spacing w:after="0"/>
        <w:jc w:val="both"/>
        <w:rPr>
          <w:rFonts w:ascii="Arial" w:hAnsi="Arial" w:cs="Arial"/>
          <w:sz w:val="24"/>
          <w:szCs w:val="24"/>
        </w:rPr>
      </w:pPr>
      <w:r>
        <w:rPr>
          <w:rFonts w:ascii="Arial" w:hAnsi="Arial" w:cs="Arial"/>
          <w:sz w:val="24"/>
          <w:szCs w:val="24"/>
        </w:rPr>
        <w:tab/>
        <w:t>T</w:t>
      </w:r>
      <w:r w:rsidR="00F55BF3">
        <w:rPr>
          <w:rFonts w:ascii="Arial" w:hAnsi="Arial" w:cs="Arial"/>
          <w:sz w:val="24"/>
          <w:szCs w:val="24"/>
        </w:rPr>
        <w:t>he</w:t>
      </w:r>
      <w:r>
        <w:rPr>
          <w:rFonts w:ascii="Arial" w:hAnsi="Arial" w:cs="Arial"/>
          <w:sz w:val="24"/>
          <w:szCs w:val="24"/>
        </w:rPr>
        <w:t xml:space="preserve">re is an ongoing debate concerning the identity </w:t>
      </w:r>
      <w:r w:rsidR="00F55BF3">
        <w:rPr>
          <w:rFonts w:ascii="Arial" w:hAnsi="Arial" w:cs="Arial"/>
          <w:sz w:val="24"/>
          <w:szCs w:val="24"/>
        </w:rPr>
        <w:t xml:space="preserve">of the </w:t>
      </w:r>
      <w:r w:rsidR="00C53B11">
        <w:rPr>
          <w:rFonts w:ascii="Arial" w:hAnsi="Arial" w:cs="Arial"/>
          <w:sz w:val="24"/>
          <w:szCs w:val="24"/>
        </w:rPr>
        <w:t>S</w:t>
      </w:r>
      <w:r w:rsidR="00F55BF3">
        <w:rPr>
          <w:rFonts w:ascii="Arial" w:hAnsi="Arial" w:cs="Arial"/>
          <w:sz w:val="24"/>
          <w:szCs w:val="24"/>
        </w:rPr>
        <w:t>ervant</w:t>
      </w:r>
      <w:r w:rsidR="000F5245">
        <w:rPr>
          <w:rFonts w:ascii="Arial" w:hAnsi="Arial" w:cs="Arial"/>
          <w:sz w:val="24"/>
          <w:szCs w:val="24"/>
        </w:rPr>
        <w:t>.</w:t>
      </w:r>
      <w:r w:rsidR="000F5245">
        <w:rPr>
          <w:rStyle w:val="FootnoteReference"/>
          <w:rFonts w:ascii="Arial" w:hAnsi="Arial" w:cs="Arial"/>
          <w:sz w:val="24"/>
          <w:szCs w:val="24"/>
        </w:rPr>
        <w:footnoteReference w:id="13"/>
      </w:r>
      <w:r w:rsidR="000F5245">
        <w:rPr>
          <w:rFonts w:ascii="Arial" w:hAnsi="Arial" w:cs="Arial"/>
          <w:sz w:val="24"/>
          <w:szCs w:val="24"/>
        </w:rPr>
        <w:t xml:space="preserve"> </w:t>
      </w:r>
      <w:r w:rsidR="00DA0785">
        <w:rPr>
          <w:rFonts w:ascii="Arial" w:hAnsi="Arial" w:cs="Arial"/>
          <w:sz w:val="24"/>
          <w:szCs w:val="24"/>
        </w:rPr>
        <w:t xml:space="preserve">Brettler &amp; </w:t>
      </w:r>
      <w:r w:rsidR="00C53B11">
        <w:rPr>
          <w:rFonts w:ascii="Arial" w:hAnsi="Arial" w:cs="Arial"/>
          <w:sz w:val="24"/>
          <w:szCs w:val="24"/>
        </w:rPr>
        <w:t xml:space="preserve">Levine argue that the </w:t>
      </w:r>
      <w:r w:rsidR="00846289">
        <w:rPr>
          <w:rFonts w:ascii="Arial" w:hAnsi="Arial" w:cs="Arial"/>
          <w:sz w:val="24"/>
          <w:szCs w:val="24"/>
        </w:rPr>
        <w:t>Servant was originally a resident of</w:t>
      </w:r>
      <w:r w:rsidR="00DA0785">
        <w:rPr>
          <w:rFonts w:ascii="Arial" w:hAnsi="Arial" w:cs="Arial"/>
          <w:sz w:val="24"/>
          <w:szCs w:val="24"/>
        </w:rPr>
        <w:t xml:space="preserve"> Babylon, </w:t>
      </w:r>
      <w:r w:rsidR="002C11A4">
        <w:rPr>
          <w:rFonts w:ascii="Arial" w:hAnsi="Arial" w:cs="Arial"/>
          <w:sz w:val="24"/>
          <w:szCs w:val="24"/>
        </w:rPr>
        <w:t xml:space="preserve">and, </w:t>
      </w:r>
      <w:r w:rsidR="00561CF2">
        <w:rPr>
          <w:rFonts w:ascii="Arial" w:hAnsi="Arial" w:cs="Arial"/>
          <w:sz w:val="24"/>
          <w:szCs w:val="24"/>
        </w:rPr>
        <w:t>cit</w:t>
      </w:r>
      <w:r w:rsidR="002C11A4">
        <w:rPr>
          <w:rFonts w:ascii="Arial" w:hAnsi="Arial" w:cs="Arial"/>
          <w:sz w:val="24"/>
          <w:szCs w:val="24"/>
        </w:rPr>
        <w:t>ing</w:t>
      </w:r>
      <w:r w:rsidR="00561CF2">
        <w:rPr>
          <w:rFonts w:ascii="Arial" w:hAnsi="Arial" w:cs="Arial"/>
          <w:sz w:val="24"/>
          <w:szCs w:val="24"/>
        </w:rPr>
        <w:t xml:space="preserve"> evid</w:t>
      </w:r>
      <w:r w:rsidR="002C11A4">
        <w:rPr>
          <w:rFonts w:ascii="Arial" w:hAnsi="Arial" w:cs="Arial"/>
          <w:sz w:val="24"/>
          <w:szCs w:val="24"/>
        </w:rPr>
        <w:t>ence from Isaiah 52.13-53:12,</w:t>
      </w:r>
      <w:r w:rsidR="00846289">
        <w:rPr>
          <w:rFonts w:ascii="Arial" w:hAnsi="Arial" w:cs="Arial"/>
          <w:sz w:val="24"/>
          <w:szCs w:val="24"/>
        </w:rPr>
        <w:t xml:space="preserve"> </w:t>
      </w:r>
      <w:r w:rsidR="00561CF2">
        <w:rPr>
          <w:rFonts w:ascii="Arial" w:hAnsi="Arial" w:cs="Arial"/>
          <w:sz w:val="24"/>
          <w:szCs w:val="24"/>
        </w:rPr>
        <w:t>conclud</w:t>
      </w:r>
      <w:r w:rsidR="002C11A4">
        <w:rPr>
          <w:rFonts w:ascii="Arial" w:hAnsi="Arial" w:cs="Arial"/>
          <w:sz w:val="24"/>
          <w:szCs w:val="24"/>
        </w:rPr>
        <w:t>e</w:t>
      </w:r>
      <w:r w:rsidR="00561CF2">
        <w:rPr>
          <w:rFonts w:ascii="Arial" w:hAnsi="Arial" w:cs="Arial"/>
          <w:sz w:val="24"/>
          <w:szCs w:val="24"/>
        </w:rPr>
        <w:t xml:space="preserve"> that the Servant in this passage was probably an exilic/early post-exilic contemporary of Isaiah, </w:t>
      </w:r>
      <w:r w:rsidR="002C11A4">
        <w:rPr>
          <w:rFonts w:ascii="Arial" w:hAnsi="Arial" w:cs="Arial"/>
          <w:sz w:val="24"/>
          <w:szCs w:val="24"/>
        </w:rPr>
        <w:t>whose role was to suffer vicariously to atone</w:t>
      </w:r>
      <w:r w:rsidR="00561CF2">
        <w:rPr>
          <w:rFonts w:ascii="Arial" w:hAnsi="Arial" w:cs="Arial"/>
          <w:sz w:val="24"/>
          <w:szCs w:val="24"/>
        </w:rPr>
        <w:t xml:space="preserve"> for the misdemeanours of the exiled community.</w:t>
      </w:r>
      <w:r w:rsidR="00561CF2">
        <w:rPr>
          <w:rStyle w:val="FootnoteReference"/>
          <w:rFonts w:ascii="Arial" w:hAnsi="Arial" w:cs="Arial"/>
          <w:sz w:val="24"/>
          <w:szCs w:val="24"/>
        </w:rPr>
        <w:footnoteReference w:id="14"/>
      </w:r>
      <w:r w:rsidR="00561CF2">
        <w:rPr>
          <w:rFonts w:ascii="Arial" w:hAnsi="Arial" w:cs="Arial"/>
          <w:sz w:val="24"/>
          <w:szCs w:val="24"/>
        </w:rPr>
        <w:t xml:space="preserve"> In Isaiah 44:1-2</w:t>
      </w:r>
      <w:r w:rsidR="00397859">
        <w:rPr>
          <w:rFonts w:ascii="Arial" w:hAnsi="Arial" w:cs="Arial"/>
          <w:sz w:val="24"/>
          <w:szCs w:val="24"/>
        </w:rPr>
        <w:t>,</w:t>
      </w:r>
      <w:r w:rsidR="00561CF2">
        <w:rPr>
          <w:rFonts w:ascii="Arial" w:hAnsi="Arial" w:cs="Arial"/>
          <w:sz w:val="24"/>
          <w:szCs w:val="24"/>
        </w:rPr>
        <w:t xml:space="preserve"> 21, the Servant is, indeed</w:t>
      </w:r>
      <w:r w:rsidR="00405525">
        <w:rPr>
          <w:rFonts w:ascii="Arial" w:hAnsi="Arial" w:cs="Arial"/>
          <w:sz w:val="24"/>
          <w:szCs w:val="24"/>
        </w:rPr>
        <w:t>,</w:t>
      </w:r>
      <w:r w:rsidR="00561CF2">
        <w:rPr>
          <w:rFonts w:ascii="Arial" w:hAnsi="Arial" w:cs="Arial"/>
          <w:sz w:val="24"/>
          <w:szCs w:val="24"/>
        </w:rPr>
        <w:t xml:space="preserve"> named as an individual, Jacob, although also as Israel, and in Isaiah 49.3 only as Israel.</w:t>
      </w:r>
      <w:r w:rsidR="00A92FD1">
        <w:rPr>
          <w:rFonts w:ascii="Arial" w:hAnsi="Arial" w:cs="Arial"/>
          <w:sz w:val="24"/>
          <w:szCs w:val="24"/>
        </w:rPr>
        <w:t xml:space="preserve"> </w:t>
      </w:r>
      <w:r w:rsidR="00397859">
        <w:rPr>
          <w:rFonts w:ascii="Arial" w:hAnsi="Arial" w:cs="Arial"/>
          <w:sz w:val="24"/>
          <w:szCs w:val="24"/>
        </w:rPr>
        <w:t>Maller</w:t>
      </w:r>
      <w:r w:rsidR="004173B1">
        <w:rPr>
          <w:rFonts w:ascii="Arial" w:hAnsi="Arial" w:cs="Arial"/>
          <w:sz w:val="24"/>
          <w:szCs w:val="24"/>
        </w:rPr>
        <w:t xml:space="preserve"> </w:t>
      </w:r>
      <w:r w:rsidR="00405525">
        <w:rPr>
          <w:rFonts w:ascii="Arial" w:hAnsi="Arial" w:cs="Arial"/>
          <w:sz w:val="24"/>
          <w:szCs w:val="24"/>
        </w:rPr>
        <w:t xml:space="preserve">has a different interpretation, </w:t>
      </w:r>
      <w:r w:rsidR="00846289">
        <w:rPr>
          <w:rFonts w:ascii="Arial" w:hAnsi="Arial" w:cs="Arial"/>
          <w:sz w:val="24"/>
          <w:szCs w:val="24"/>
        </w:rPr>
        <w:t>argu</w:t>
      </w:r>
      <w:r w:rsidR="00405525">
        <w:rPr>
          <w:rFonts w:ascii="Arial" w:hAnsi="Arial" w:cs="Arial"/>
          <w:sz w:val="24"/>
          <w:szCs w:val="24"/>
        </w:rPr>
        <w:t>ing</w:t>
      </w:r>
      <w:r w:rsidR="00397859">
        <w:rPr>
          <w:rFonts w:ascii="Arial" w:hAnsi="Arial" w:cs="Arial"/>
          <w:sz w:val="24"/>
          <w:szCs w:val="24"/>
        </w:rPr>
        <w:t xml:space="preserve"> that, in Isaiah 52:13-53</w:t>
      </w:r>
      <w:r w:rsidR="002C11A4">
        <w:rPr>
          <w:rFonts w:ascii="Arial" w:hAnsi="Arial" w:cs="Arial"/>
          <w:sz w:val="24"/>
          <w:szCs w:val="24"/>
        </w:rPr>
        <w:t xml:space="preserve">:12, </w:t>
      </w:r>
      <w:r w:rsidR="00397859">
        <w:rPr>
          <w:rFonts w:ascii="Arial" w:hAnsi="Arial" w:cs="Arial"/>
          <w:sz w:val="24"/>
          <w:szCs w:val="24"/>
        </w:rPr>
        <w:t>the Suffering Servant is the Israel</w:t>
      </w:r>
      <w:r w:rsidR="004173B1">
        <w:rPr>
          <w:rFonts w:ascii="Arial" w:hAnsi="Arial" w:cs="Arial"/>
          <w:sz w:val="24"/>
          <w:szCs w:val="24"/>
        </w:rPr>
        <w:t>i community, citing Isaiah 41:8, 44:1-2 and</w:t>
      </w:r>
      <w:r w:rsidR="00397859">
        <w:rPr>
          <w:rFonts w:ascii="Arial" w:hAnsi="Arial" w:cs="Arial"/>
          <w:sz w:val="24"/>
          <w:szCs w:val="24"/>
        </w:rPr>
        <w:t xml:space="preserve"> 44:21, which state that God’s servant is Israel-Jacob.</w:t>
      </w:r>
      <w:r w:rsidR="00397859">
        <w:rPr>
          <w:rStyle w:val="FootnoteReference"/>
          <w:rFonts w:ascii="Arial" w:hAnsi="Arial" w:cs="Arial"/>
          <w:sz w:val="24"/>
          <w:szCs w:val="24"/>
        </w:rPr>
        <w:footnoteReference w:id="15"/>
      </w:r>
      <w:r w:rsidR="004173B1">
        <w:rPr>
          <w:rFonts w:ascii="Arial" w:hAnsi="Arial" w:cs="Arial"/>
          <w:sz w:val="24"/>
          <w:szCs w:val="24"/>
        </w:rPr>
        <w:t xml:space="preserve"> He points out</w:t>
      </w:r>
      <w:r w:rsidR="00A92FD1">
        <w:rPr>
          <w:rFonts w:ascii="Arial" w:hAnsi="Arial" w:cs="Arial"/>
          <w:sz w:val="24"/>
          <w:szCs w:val="24"/>
        </w:rPr>
        <w:t xml:space="preserve"> </w:t>
      </w:r>
      <w:r w:rsidR="004173B1">
        <w:rPr>
          <w:rFonts w:ascii="Arial" w:hAnsi="Arial" w:cs="Arial"/>
          <w:sz w:val="24"/>
          <w:szCs w:val="24"/>
        </w:rPr>
        <w:t>that</w:t>
      </w:r>
      <w:r w:rsidR="00A92FD1">
        <w:rPr>
          <w:rFonts w:ascii="Arial" w:hAnsi="Arial" w:cs="Arial"/>
          <w:sz w:val="24"/>
          <w:szCs w:val="24"/>
        </w:rPr>
        <w:t>, in the Bible,</w:t>
      </w:r>
      <w:r w:rsidR="004173B1">
        <w:rPr>
          <w:rFonts w:ascii="Arial" w:hAnsi="Arial" w:cs="Arial"/>
          <w:sz w:val="24"/>
          <w:szCs w:val="24"/>
        </w:rPr>
        <w:t xml:space="preserve"> </w:t>
      </w:r>
      <w:r w:rsidR="00397859">
        <w:rPr>
          <w:rFonts w:ascii="Arial" w:hAnsi="Arial" w:cs="Arial"/>
          <w:sz w:val="24"/>
          <w:szCs w:val="24"/>
        </w:rPr>
        <w:t>a community is</w:t>
      </w:r>
      <w:r w:rsidR="00561CF2">
        <w:rPr>
          <w:rFonts w:ascii="Arial" w:hAnsi="Arial" w:cs="Arial"/>
          <w:sz w:val="24"/>
          <w:szCs w:val="24"/>
        </w:rPr>
        <w:t xml:space="preserve"> </w:t>
      </w:r>
      <w:r w:rsidR="00397859">
        <w:rPr>
          <w:rFonts w:ascii="Arial" w:hAnsi="Arial" w:cs="Arial"/>
          <w:sz w:val="24"/>
          <w:szCs w:val="24"/>
        </w:rPr>
        <w:t>often referred to as an individual.</w:t>
      </w:r>
      <w:r w:rsidR="00397859">
        <w:rPr>
          <w:rStyle w:val="FootnoteReference"/>
          <w:rFonts w:ascii="Arial" w:hAnsi="Arial" w:cs="Arial"/>
          <w:sz w:val="24"/>
          <w:szCs w:val="24"/>
        </w:rPr>
        <w:footnoteReference w:id="16"/>
      </w:r>
      <w:r w:rsidR="00397859">
        <w:rPr>
          <w:rFonts w:ascii="Arial" w:hAnsi="Arial" w:cs="Arial"/>
          <w:sz w:val="24"/>
          <w:szCs w:val="24"/>
        </w:rPr>
        <w:t xml:space="preserve"> The evidence would support Maller</w:t>
      </w:r>
      <w:r w:rsidR="00A92FD1">
        <w:rPr>
          <w:rFonts w:ascii="Arial" w:hAnsi="Arial" w:cs="Arial"/>
          <w:sz w:val="24"/>
          <w:szCs w:val="24"/>
        </w:rPr>
        <w:t>, as,</w:t>
      </w:r>
      <w:r w:rsidR="004D708F">
        <w:rPr>
          <w:rFonts w:ascii="Arial" w:hAnsi="Arial" w:cs="Arial"/>
          <w:sz w:val="24"/>
          <w:szCs w:val="24"/>
        </w:rPr>
        <w:t xml:space="preserve"> </w:t>
      </w:r>
      <w:r w:rsidR="008A0D93">
        <w:rPr>
          <w:rFonts w:ascii="Arial" w:hAnsi="Arial" w:cs="Arial"/>
          <w:sz w:val="24"/>
          <w:szCs w:val="24"/>
        </w:rPr>
        <w:t>in Isaiah 48:1, we are advised that the house of Jacob is also</w:t>
      </w:r>
      <w:r w:rsidR="005D35AE">
        <w:rPr>
          <w:rFonts w:ascii="Arial" w:hAnsi="Arial" w:cs="Arial"/>
          <w:sz w:val="24"/>
          <w:szCs w:val="24"/>
        </w:rPr>
        <w:t xml:space="preserve"> known “by the name of Israel”.</w:t>
      </w:r>
    </w:p>
    <w:p w:rsidR="00731B4A" w:rsidRDefault="00D87D99" w:rsidP="00A92FD1">
      <w:pPr>
        <w:spacing w:after="0"/>
        <w:jc w:val="both"/>
        <w:rPr>
          <w:rFonts w:ascii="Arial" w:hAnsi="Arial" w:cs="Arial"/>
          <w:sz w:val="24"/>
          <w:szCs w:val="24"/>
        </w:rPr>
      </w:pPr>
      <w:r>
        <w:rPr>
          <w:rFonts w:ascii="Arial" w:hAnsi="Arial" w:cs="Arial"/>
          <w:sz w:val="24"/>
          <w:szCs w:val="24"/>
        </w:rPr>
        <w:tab/>
        <w:t>In the first Servant Song (Isa. 42:1-4), the Servant’s ro</w:t>
      </w:r>
      <w:r w:rsidR="00054C83">
        <w:rPr>
          <w:rFonts w:ascii="Arial" w:hAnsi="Arial" w:cs="Arial"/>
          <w:sz w:val="24"/>
          <w:szCs w:val="24"/>
        </w:rPr>
        <w:t>le is to bring</w:t>
      </w:r>
      <w:r>
        <w:rPr>
          <w:rFonts w:ascii="Arial" w:hAnsi="Arial" w:cs="Arial"/>
          <w:sz w:val="24"/>
          <w:szCs w:val="24"/>
        </w:rPr>
        <w:t xml:space="preserve"> justice to earth. In the second (I</w:t>
      </w:r>
      <w:r w:rsidR="00054C83">
        <w:rPr>
          <w:rFonts w:ascii="Arial" w:hAnsi="Arial" w:cs="Arial"/>
          <w:sz w:val="24"/>
          <w:szCs w:val="24"/>
        </w:rPr>
        <w:t xml:space="preserve">sa. 49:1-6), it </w:t>
      </w:r>
      <w:r w:rsidR="004D708F">
        <w:rPr>
          <w:rFonts w:ascii="Arial" w:hAnsi="Arial" w:cs="Arial"/>
          <w:sz w:val="24"/>
          <w:szCs w:val="24"/>
        </w:rPr>
        <w:t>is</w:t>
      </w:r>
      <w:r>
        <w:rPr>
          <w:rFonts w:ascii="Arial" w:hAnsi="Arial" w:cs="Arial"/>
          <w:sz w:val="24"/>
          <w:szCs w:val="24"/>
        </w:rPr>
        <w:t xml:space="preserve"> to glorify God, to “restore the survivors of Israel”, and to act as a “light to the nations”</w:t>
      </w:r>
      <w:r w:rsidR="005D35AE">
        <w:rPr>
          <w:rFonts w:ascii="Arial" w:hAnsi="Arial" w:cs="Arial"/>
          <w:sz w:val="24"/>
          <w:szCs w:val="24"/>
        </w:rPr>
        <w:t>,</w:t>
      </w:r>
      <w:r>
        <w:rPr>
          <w:rFonts w:ascii="Arial" w:hAnsi="Arial" w:cs="Arial"/>
          <w:sz w:val="24"/>
          <w:szCs w:val="24"/>
        </w:rPr>
        <w:t xml:space="preserve"> in order that God’s salvation “may reach to the end of the ear</w:t>
      </w:r>
      <w:r w:rsidR="004D708F">
        <w:rPr>
          <w:rFonts w:ascii="Arial" w:hAnsi="Arial" w:cs="Arial"/>
          <w:sz w:val="24"/>
          <w:szCs w:val="24"/>
        </w:rPr>
        <w:t>th”. The third (Isa. 50:4-11) advises</w:t>
      </w:r>
      <w:r>
        <w:rPr>
          <w:rFonts w:ascii="Arial" w:hAnsi="Arial" w:cs="Arial"/>
          <w:sz w:val="24"/>
          <w:szCs w:val="24"/>
        </w:rPr>
        <w:t xml:space="preserve"> that the Servant accepted his role voluntarily, did not avoid the insults of others, and would be helped by God.</w:t>
      </w:r>
      <w:r w:rsidR="004D708F">
        <w:rPr>
          <w:rFonts w:ascii="Arial" w:hAnsi="Arial" w:cs="Arial"/>
          <w:sz w:val="24"/>
          <w:szCs w:val="24"/>
        </w:rPr>
        <w:t xml:space="preserve"> In </w:t>
      </w:r>
      <w:r>
        <w:rPr>
          <w:rFonts w:ascii="Arial" w:hAnsi="Arial" w:cs="Arial"/>
          <w:sz w:val="24"/>
          <w:szCs w:val="24"/>
        </w:rPr>
        <w:t>the fourth so</w:t>
      </w:r>
      <w:r w:rsidR="004D708F">
        <w:rPr>
          <w:rFonts w:ascii="Arial" w:hAnsi="Arial" w:cs="Arial"/>
          <w:sz w:val="24"/>
          <w:szCs w:val="24"/>
        </w:rPr>
        <w:t xml:space="preserve">ng (Isa. 52:13-53:12), </w:t>
      </w:r>
      <w:r>
        <w:rPr>
          <w:rFonts w:ascii="Arial" w:hAnsi="Arial" w:cs="Arial"/>
          <w:sz w:val="24"/>
          <w:szCs w:val="24"/>
        </w:rPr>
        <w:t>we learn that the servant wi</w:t>
      </w:r>
      <w:r w:rsidR="00A92FD1">
        <w:rPr>
          <w:rFonts w:ascii="Arial" w:hAnsi="Arial" w:cs="Arial"/>
          <w:sz w:val="24"/>
          <w:szCs w:val="24"/>
        </w:rPr>
        <w:t>ll become exalted (Isa. 52:13). T</w:t>
      </w:r>
      <w:r w:rsidR="005D35AE">
        <w:rPr>
          <w:rFonts w:ascii="Arial" w:hAnsi="Arial" w:cs="Arial"/>
          <w:sz w:val="24"/>
          <w:szCs w:val="24"/>
        </w:rPr>
        <w:t>his</w:t>
      </w:r>
      <w:r>
        <w:rPr>
          <w:rFonts w:ascii="Arial" w:hAnsi="Arial" w:cs="Arial"/>
          <w:sz w:val="24"/>
          <w:szCs w:val="24"/>
        </w:rPr>
        <w:t xml:space="preserve"> </w:t>
      </w:r>
      <w:r w:rsidR="00A92FD1">
        <w:rPr>
          <w:rFonts w:ascii="Arial" w:hAnsi="Arial" w:cs="Arial"/>
          <w:sz w:val="24"/>
          <w:szCs w:val="24"/>
        </w:rPr>
        <w:t>could bring</w:t>
      </w:r>
      <w:r w:rsidR="004D708F">
        <w:rPr>
          <w:rFonts w:ascii="Arial" w:hAnsi="Arial" w:cs="Arial"/>
          <w:sz w:val="24"/>
          <w:szCs w:val="24"/>
        </w:rPr>
        <w:t xml:space="preserve"> into doubt</w:t>
      </w:r>
      <w:r>
        <w:rPr>
          <w:rFonts w:ascii="Arial" w:hAnsi="Arial" w:cs="Arial"/>
          <w:sz w:val="24"/>
          <w:szCs w:val="24"/>
        </w:rPr>
        <w:t xml:space="preserve"> his label as “Suffering Servant”.</w:t>
      </w:r>
      <w:r>
        <w:rPr>
          <w:rStyle w:val="FootnoteReference"/>
          <w:rFonts w:ascii="Arial" w:hAnsi="Arial" w:cs="Arial"/>
          <w:sz w:val="24"/>
          <w:szCs w:val="24"/>
        </w:rPr>
        <w:footnoteReference w:id="17"/>
      </w:r>
      <w:r w:rsidR="00054C83">
        <w:rPr>
          <w:rFonts w:ascii="Arial" w:hAnsi="Arial" w:cs="Arial"/>
          <w:sz w:val="24"/>
          <w:szCs w:val="24"/>
        </w:rPr>
        <w:t xml:space="preserve"> </w:t>
      </w:r>
      <w:r w:rsidR="005D35AE">
        <w:rPr>
          <w:rFonts w:ascii="Arial" w:hAnsi="Arial" w:cs="Arial"/>
          <w:sz w:val="24"/>
          <w:szCs w:val="24"/>
        </w:rPr>
        <w:t xml:space="preserve">However, </w:t>
      </w:r>
      <w:r w:rsidR="005D35AE">
        <w:rPr>
          <w:rFonts w:ascii="Arial" w:hAnsi="Arial" w:cs="Arial"/>
          <w:sz w:val="24"/>
          <w:szCs w:val="24"/>
        </w:rPr>
        <w:lastRenderedPageBreak/>
        <w:t>God chose to cause him</w:t>
      </w:r>
      <w:r w:rsidR="00BE132F">
        <w:rPr>
          <w:rFonts w:ascii="Arial" w:hAnsi="Arial" w:cs="Arial"/>
          <w:sz w:val="24"/>
          <w:szCs w:val="24"/>
        </w:rPr>
        <w:t xml:space="preserve"> pain, suffering and rejection,</w:t>
      </w:r>
      <w:r w:rsidR="006A1961">
        <w:rPr>
          <w:rFonts w:ascii="Arial" w:hAnsi="Arial" w:cs="Arial"/>
          <w:sz w:val="24"/>
          <w:szCs w:val="24"/>
        </w:rPr>
        <w:t xml:space="preserve"> although innocent (Isa. 53:4,5,6,10), unjustly punished for the transgressions of others.</w:t>
      </w:r>
      <w:r w:rsidR="006A1961">
        <w:rPr>
          <w:rStyle w:val="FootnoteReference"/>
          <w:rFonts w:ascii="Arial" w:hAnsi="Arial" w:cs="Arial"/>
          <w:sz w:val="24"/>
          <w:szCs w:val="24"/>
        </w:rPr>
        <w:footnoteReference w:id="18"/>
      </w:r>
      <w:r w:rsidR="00731B4A">
        <w:rPr>
          <w:rFonts w:ascii="Arial" w:hAnsi="Arial" w:cs="Arial"/>
          <w:sz w:val="24"/>
          <w:szCs w:val="24"/>
        </w:rPr>
        <w:t xml:space="preserve"> He endured a violent death because of these transgressions (Isa. 53:7-9), all because of God’s will, and to suit God’s purpose. </w:t>
      </w:r>
      <w:r w:rsidR="00694C37">
        <w:rPr>
          <w:rFonts w:ascii="Arial" w:hAnsi="Arial" w:cs="Arial"/>
          <w:sz w:val="24"/>
          <w:szCs w:val="24"/>
        </w:rPr>
        <w:t>His</w:t>
      </w:r>
      <w:r w:rsidR="00731B4A">
        <w:rPr>
          <w:rFonts w:ascii="Arial" w:hAnsi="Arial" w:cs="Arial"/>
          <w:sz w:val="24"/>
          <w:szCs w:val="24"/>
        </w:rPr>
        <w:t xml:space="preserve"> role, therefore, would</w:t>
      </w:r>
      <w:r w:rsidR="00054C83">
        <w:rPr>
          <w:rFonts w:ascii="Arial" w:hAnsi="Arial" w:cs="Arial"/>
          <w:sz w:val="24"/>
          <w:szCs w:val="24"/>
        </w:rPr>
        <w:t xml:space="preserve"> be</w:t>
      </w:r>
      <w:r w:rsidR="00731B4A">
        <w:rPr>
          <w:rFonts w:ascii="Arial" w:hAnsi="Arial" w:cs="Arial"/>
          <w:sz w:val="24"/>
          <w:szCs w:val="24"/>
        </w:rPr>
        <w:t xml:space="preserve">, by his vicarious suffering, </w:t>
      </w:r>
      <w:r w:rsidR="00054C83">
        <w:rPr>
          <w:rFonts w:ascii="Arial" w:hAnsi="Arial" w:cs="Arial"/>
          <w:sz w:val="24"/>
          <w:szCs w:val="24"/>
        </w:rPr>
        <w:t xml:space="preserve">to </w:t>
      </w:r>
      <w:r w:rsidR="00731B4A">
        <w:rPr>
          <w:rFonts w:ascii="Arial" w:hAnsi="Arial" w:cs="Arial"/>
          <w:sz w:val="24"/>
          <w:szCs w:val="24"/>
        </w:rPr>
        <w:t>make many righteous by sacrificing himself to erase the sins of many.</w:t>
      </w:r>
      <w:r w:rsidR="00731B4A">
        <w:rPr>
          <w:rStyle w:val="FootnoteReference"/>
          <w:rFonts w:ascii="Arial" w:hAnsi="Arial" w:cs="Arial"/>
          <w:sz w:val="24"/>
          <w:szCs w:val="24"/>
        </w:rPr>
        <w:footnoteReference w:id="19"/>
      </w:r>
    </w:p>
    <w:p w:rsidR="00405525" w:rsidRDefault="00BE132F" w:rsidP="00A92FD1">
      <w:pPr>
        <w:spacing w:after="0"/>
        <w:jc w:val="both"/>
        <w:rPr>
          <w:rFonts w:ascii="Arial" w:hAnsi="Arial" w:cs="Arial"/>
          <w:sz w:val="24"/>
          <w:szCs w:val="24"/>
        </w:rPr>
      </w:pPr>
      <w:r>
        <w:rPr>
          <w:rFonts w:ascii="Arial" w:hAnsi="Arial" w:cs="Arial"/>
          <w:sz w:val="24"/>
          <w:szCs w:val="24"/>
        </w:rPr>
        <w:tab/>
        <w:t>Another</w:t>
      </w:r>
      <w:r w:rsidR="00731B4A">
        <w:rPr>
          <w:rFonts w:ascii="Arial" w:hAnsi="Arial" w:cs="Arial"/>
          <w:sz w:val="24"/>
          <w:szCs w:val="24"/>
        </w:rPr>
        <w:t xml:space="preserve"> role of the Suffering S</w:t>
      </w:r>
      <w:r>
        <w:rPr>
          <w:rFonts w:ascii="Arial" w:hAnsi="Arial" w:cs="Arial"/>
          <w:sz w:val="24"/>
          <w:szCs w:val="24"/>
        </w:rPr>
        <w:t>ervant, according to Maller, is</w:t>
      </w:r>
      <w:r w:rsidR="00054C83">
        <w:rPr>
          <w:rFonts w:ascii="Arial" w:hAnsi="Arial" w:cs="Arial"/>
          <w:sz w:val="24"/>
          <w:szCs w:val="24"/>
        </w:rPr>
        <w:t xml:space="preserve"> of a messianic figure</w:t>
      </w:r>
      <w:r w:rsidR="00731B4A">
        <w:rPr>
          <w:rFonts w:ascii="Arial" w:hAnsi="Arial" w:cs="Arial"/>
          <w:sz w:val="24"/>
          <w:szCs w:val="24"/>
        </w:rPr>
        <w:t xml:space="preserve">. Maller argues, that, by </w:t>
      </w:r>
      <w:r w:rsidR="00694C37">
        <w:rPr>
          <w:rFonts w:ascii="Arial" w:hAnsi="Arial" w:cs="Arial"/>
          <w:sz w:val="24"/>
          <w:szCs w:val="24"/>
        </w:rPr>
        <w:t>considering</w:t>
      </w:r>
      <w:r w:rsidR="00D33302">
        <w:rPr>
          <w:rFonts w:ascii="Arial" w:hAnsi="Arial" w:cs="Arial"/>
          <w:sz w:val="24"/>
          <w:szCs w:val="24"/>
        </w:rPr>
        <w:t xml:space="preserve"> a m</w:t>
      </w:r>
      <w:r w:rsidR="00694C37">
        <w:rPr>
          <w:rFonts w:ascii="Arial" w:hAnsi="Arial" w:cs="Arial"/>
          <w:sz w:val="24"/>
          <w:szCs w:val="24"/>
        </w:rPr>
        <w:t>essianic interpretation</w:t>
      </w:r>
      <w:r w:rsidR="00405525">
        <w:rPr>
          <w:rFonts w:ascii="Arial" w:hAnsi="Arial" w:cs="Arial"/>
          <w:sz w:val="24"/>
          <w:szCs w:val="24"/>
        </w:rPr>
        <w:t>,</w:t>
      </w:r>
      <w:r w:rsidR="00D33302">
        <w:rPr>
          <w:rFonts w:ascii="Arial" w:hAnsi="Arial" w:cs="Arial"/>
          <w:sz w:val="24"/>
          <w:szCs w:val="24"/>
        </w:rPr>
        <w:t xml:space="preserve"> Isaiah’s concept of the Suffering Servant will acquire </w:t>
      </w:r>
      <w:r w:rsidR="005D35AE">
        <w:rPr>
          <w:rFonts w:ascii="Arial" w:hAnsi="Arial" w:cs="Arial"/>
          <w:sz w:val="24"/>
          <w:szCs w:val="24"/>
        </w:rPr>
        <w:t>deeper</w:t>
      </w:r>
      <w:r w:rsidR="00D33302">
        <w:rPr>
          <w:rFonts w:ascii="Arial" w:hAnsi="Arial" w:cs="Arial"/>
          <w:sz w:val="24"/>
          <w:szCs w:val="24"/>
        </w:rPr>
        <w:t xml:space="preserve"> meaning.</w:t>
      </w:r>
      <w:r w:rsidR="00D33302">
        <w:rPr>
          <w:rStyle w:val="FootnoteReference"/>
          <w:rFonts w:ascii="Arial" w:hAnsi="Arial" w:cs="Arial"/>
          <w:sz w:val="24"/>
          <w:szCs w:val="24"/>
        </w:rPr>
        <w:footnoteReference w:id="20"/>
      </w:r>
      <w:r w:rsidR="005D35AE">
        <w:rPr>
          <w:rFonts w:ascii="Arial" w:hAnsi="Arial" w:cs="Arial"/>
          <w:sz w:val="24"/>
          <w:szCs w:val="24"/>
        </w:rPr>
        <w:t xml:space="preserve"> There is</w:t>
      </w:r>
      <w:r w:rsidR="00D33302">
        <w:rPr>
          <w:rFonts w:ascii="Arial" w:hAnsi="Arial" w:cs="Arial"/>
          <w:sz w:val="24"/>
          <w:szCs w:val="24"/>
        </w:rPr>
        <w:t xml:space="preserve"> support for this </w:t>
      </w:r>
      <w:r w:rsidR="005D35AE">
        <w:rPr>
          <w:rFonts w:ascii="Arial" w:hAnsi="Arial" w:cs="Arial"/>
          <w:sz w:val="24"/>
          <w:szCs w:val="24"/>
        </w:rPr>
        <w:t>role</w:t>
      </w:r>
      <w:r w:rsidR="00D33302">
        <w:rPr>
          <w:rFonts w:ascii="Arial" w:hAnsi="Arial" w:cs="Arial"/>
          <w:sz w:val="24"/>
          <w:szCs w:val="24"/>
        </w:rPr>
        <w:t xml:space="preserve"> from Jerome (</w:t>
      </w:r>
      <w:r w:rsidR="00694C37">
        <w:rPr>
          <w:rFonts w:ascii="Arial" w:hAnsi="Arial" w:cs="Arial"/>
          <w:sz w:val="24"/>
          <w:szCs w:val="24"/>
        </w:rPr>
        <w:t>c.342-420CE), who</w:t>
      </w:r>
      <w:r w:rsidR="00D33302">
        <w:rPr>
          <w:rFonts w:ascii="Arial" w:hAnsi="Arial" w:cs="Arial"/>
          <w:sz w:val="24"/>
          <w:szCs w:val="24"/>
        </w:rPr>
        <w:t xml:space="preserve"> </w:t>
      </w:r>
      <w:r w:rsidR="00694C37">
        <w:rPr>
          <w:rFonts w:ascii="Arial" w:hAnsi="Arial" w:cs="Arial"/>
          <w:sz w:val="24"/>
          <w:szCs w:val="24"/>
        </w:rPr>
        <w:t>wrote</w:t>
      </w:r>
      <w:r w:rsidR="00D33302">
        <w:rPr>
          <w:rFonts w:ascii="Arial" w:hAnsi="Arial" w:cs="Arial"/>
          <w:sz w:val="24"/>
          <w:szCs w:val="24"/>
        </w:rPr>
        <w:t xml:space="preserve"> that Isaiah demonstrated an interest in the coming of Jesus Christ (Isa. 11).</w:t>
      </w:r>
      <w:r w:rsidR="00D33302">
        <w:rPr>
          <w:rStyle w:val="FootnoteReference"/>
          <w:rFonts w:ascii="Arial" w:hAnsi="Arial" w:cs="Arial"/>
          <w:sz w:val="24"/>
          <w:szCs w:val="24"/>
        </w:rPr>
        <w:footnoteReference w:id="21"/>
      </w:r>
      <w:r w:rsidR="00054C83">
        <w:rPr>
          <w:rFonts w:ascii="Arial" w:hAnsi="Arial" w:cs="Arial"/>
          <w:sz w:val="24"/>
          <w:szCs w:val="24"/>
        </w:rPr>
        <w:t xml:space="preserve"> </w:t>
      </w:r>
      <w:r w:rsidR="00D33302">
        <w:rPr>
          <w:rFonts w:ascii="Arial" w:hAnsi="Arial" w:cs="Arial"/>
          <w:sz w:val="24"/>
          <w:szCs w:val="24"/>
        </w:rPr>
        <w:t>More</w:t>
      </w:r>
      <w:r w:rsidR="00AE699E">
        <w:rPr>
          <w:rFonts w:ascii="Arial" w:hAnsi="Arial" w:cs="Arial"/>
          <w:sz w:val="24"/>
          <w:szCs w:val="24"/>
        </w:rPr>
        <w:t>over, he observed that</w:t>
      </w:r>
      <w:r w:rsidR="00D33302">
        <w:rPr>
          <w:rFonts w:ascii="Arial" w:hAnsi="Arial" w:cs="Arial"/>
          <w:sz w:val="24"/>
          <w:szCs w:val="24"/>
        </w:rPr>
        <w:t xml:space="preserve"> some </w:t>
      </w:r>
      <w:r w:rsidR="00AE699E">
        <w:rPr>
          <w:rFonts w:ascii="Arial" w:hAnsi="Arial" w:cs="Arial"/>
          <w:sz w:val="24"/>
          <w:szCs w:val="24"/>
        </w:rPr>
        <w:t>passages refer to</w:t>
      </w:r>
      <w:r w:rsidR="00D33302">
        <w:rPr>
          <w:rFonts w:ascii="Arial" w:hAnsi="Arial" w:cs="Arial"/>
          <w:sz w:val="24"/>
          <w:szCs w:val="24"/>
        </w:rPr>
        <w:t xml:space="preserve"> a messiani</w:t>
      </w:r>
      <w:r w:rsidR="00AE699E">
        <w:rPr>
          <w:rFonts w:ascii="Arial" w:hAnsi="Arial" w:cs="Arial"/>
          <w:sz w:val="24"/>
          <w:szCs w:val="24"/>
        </w:rPr>
        <w:t>c figure in the past tense (</w:t>
      </w:r>
      <w:r w:rsidR="00D33302">
        <w:rPr>
          <w:rFonts w:ascii="Arial" w:hAnsi="Arial" w:cs="Arial"/>
          <w:sz w:val="24"/>
          <w:szCs w:val="24"/>
        </w:rPr>
        <w:t>Isa. 9:6; 42:1; 49.4; 50.6; 53.3,7,8,9</w:t>
      </w:r>
      <w:r w:rsidR="000B2817">
        <w:rPr>
          <w:rFonts w:ascii="Arial" w:hAnsi="Arial" w:cs="Arial"/>
          <w:sz w:val="24"/>
          <w:szCs w:val="24"/>
        </w:rPr>
        <w:t>; 53:12).</w:t>
      </w:r>
      <w:r w:rsidR="000B2817">
        <w:rPr>
          <w:rStyle w:val="FootnoteReference"/>
          <w:rFonts w:ascii="Arial" w:hAnsi="Arial" w:cs="Arial"/>
          <w:sz w:val="24"/>
          <w:szCs w:val="24"/>
        </w:rPr>
        <w:footnoteReference w:id="22"/>
      </w:r>
      <w:r w:rsidR="00AE699E">
        <w:rPr>
          <w:rFonts w:ascii="Arial" w:hAnsi="Arial" w:cs="Arial"/>
          <w:sz w:val="24"/>
          <w:szCs w:val="24"/>
        </w:rPr>
        <w:t xml:space="preserve"> However, </w:t>
      </w:r>
      <w:r w:rsidR="000B2817">
        <w:rPr>
          <w:rFonts w:ascii="Arial" w:hAnsi="Arial" w:cs="Arial"/>
          <w:sz w:val="24"/>
          <w:szCs w:val="24"/>
        </w:rPr>
        <w:t xml:space="preserve">Williamson </w:t>
      </w:r>
      <w:r>
        <w:rPr>
          <w:rFonts w:ascii="Arial" w:hAnsi="Arial" w:cs="Arial"/>
          <w:sz w:val="24"/>
          <w:szCs w:val="24"/>
        </w:rPr>
        <w:t xml:space="preserve">denies that the Suffering Servant is </w:t>
      </w:r>
      <w:r w:rsidR="000B2817">
        <w:rPr>
          <w:rFonts w:ascii="Arial" w:hAnsi="Arial" w:cs="Arial"/>
          <w:sz w:val="24"/>
          <w:szCs w:val="24"/>
        </w:rPr>
        <w:t>ever referred to as a messiah, and</w:t>
      </w:r>
      <w:r>
        <w:rPr>
          <w:rFonts w:ascii="Arial" w:hAnsi="Arial" w:cs="Arial"/>
          <w:sz w:val="24"/>
          <w:szCs w:val="24"/>
        </w:rPr>
        <w:t xml:space="preserve"> that</w:t>
      </w:r>
      <w:r w:rsidR="000B2817">
        <w:rPr>
          <w:rFonts w:ascii="Arial" w:hAnsi="Arial" w:cs="Arial"/>
          <w:sz w:val="24"/>
          <w:szCs w:val="24"/>
        </w:rPr>
        <w:t xml:space="preserve">, within </w:t>
      </w:r>
      <w:r w:rsidR="00694C37">
        <w:rPr>
          <w:rFonts w:ascii="Arial" w:hAnsi="Arial" w:cs="Arial"/>
          <w:sz w:val="24"/>
          <w:szCs w:val="24"/>
        </w:rPr>
        <w:t>Deutero-Isaiah</w:t>
      </w:r>
      <w:r w:rsidR="000B2817">
        <w:rPr>
          <w:rFonts w:ascii="Arial" w:hAnsi="Arial" w:cs="Arial"/>
          <w:sz w:val="24"/>
          <w:szCs w:val="24"/>
        </w:rPr>
        <w:t xml:space="preserve">, the only reference to </w:t>
      </w:r>
      <w:r>
        <w:rPr>
          <w:rFonts w:ascii="Arial" w:hAnsi="Arial" w:cs="Arial"/>
          <w:sz w:val="24"/>
          <w:szCs w:val="24"/>
        </w:rPr>
        <w:t>a messiah</w:t>
      </w:r>
      <w:r w:rsidR="000B2817">
        <w:rPr>
          <w:rFonts w:ascii="Arial" w:hAnsi="Arial" w:cs="Arial"/>
          <w:sz w:val="24"/>
          <w:szCs w:val="24"/>
        </w:rPr>
        <w:t xml:space="preserve"> is </w:t>
      </w:r>
      <w:r w:rsidR="00AE699E">
        <w:rPr>
          <w:rFonts w:ascii="Arial" w:hAnsi="Arial" w:cs="Arial"/>
          <w:sz w:val="24"/>
          <w:szCs w:val="24"/>
        </w:rPr>
        <w:t xml:space="preserve">to </w:t>
      </w:r>
      <w:r w:rsidR="000B2817">
        <w:rPr>
          <w:rFonts w:ascii="Arial" w:hAnsi="Arial" w:cs="Arial"/>
          <w:sz w:val="24"/>
          <w:szCs w:val="24"/>
        </w:rPr>
        <w:t xml:space="preserve">Cyrus, the Babylonian king (Isa. 45:1), with Brettler &amp; Levine </w:t>
      </w:r>
      <w:r>
        <w:rPr>
          <w:rFonts w:ascii="Arial" w:hAnsi="Arial" w:cs="Arial"/>
          <w:sz w:val="24"/>
          <w:szCs w:val="24"/>
        </w:rPr>
        <w:t>also arguing persuasively</w:t>
      </w:r>
      <w:r w:rsidR="006C61C0">
        <w:rPr>
          <w:rFonts w:ascii="Arial" w:hAnsi="Arial" w:cs="Arial"/>
          <w:sz w:val="24"/>
          <w:szCs w:val="24"/>
        </w:rPr>
        <w:t xml:space="preserve"> </w:t>
      </w:r>
      <w:r w:rsidR="000B2817">
        <w:rPr>
          <w:rFonts w:ascii="Arial" w:hAnsi="Arial" w:cs="Arial"/>
          <w:sz w:val="24"/>
          <w:szCs w:val="24"/>
        </w:rPr>
        <w:t>that, within Isaiah 40-55, the Suffering Servant</w:t>
      </w:r>
      <w:r w:rsidR="00BD63CA">
        <w:rPr>
          <w:rFonts w:ascii="Arial" w:hAnsi="Arial" w:cs="Arial"/>
          <w:sz w:val="24"/>
          <w:szCs w:val="24"/>
        </w:rPr>
        <w:t xml:space="preserve"> cannot be considered a messiah</w:t>
      </w:r>
      <w:r w:rsidR="007D3CA6">
        <w:rPr>
          <w:rFonts w:ascii="Arial" w:hAnsi="Arial" w:cs="Arial"/>
          <w:sz w:val="24"/>
          <w:szCs w:val="24"/>
        </w:rPr>
        <w:t xml:space="preserve"> (meaning anointed)</w:t>
      </w:r>
      <w:r w:rsidR="00BD63CA">
        <w:rPr>
          <w:rFonts w:ascii="Arial" w:hAnsi="Arial" w:cs="Arial"/>
          <w:sz w:val="24"/>
          <w:szCs w:val="24"/>
        </w:rPr>
        <w:t xml:space="preserve">, </w:t>
      </w:r>
      <w:r w:rsidR="00694C37">
        <w:rPr>
          <w:rFonts w:ascii="Arial" w:hAnsi="Arial" w:cs="Arial"/>
          <w:sz w:val="24"/>
          <w:szCs w:val="24"/>
        </w:rPr>
        <w:t>and</w:t>
      </w:r>
      <w:r w:rsidR="00BD63CA">
        <w:rPr>
          <w:rFonts w:ascii="Arial" w:hAnsi="Arial" w:cs="Arial"/>
          <w:sz w:val="24"/>
          <w:szCs w:val="24"/>
        </w:rPr>
        <w:t xml:space="preserve"> Collins uncertain whether Isaiah 53 was viewed as a messianic prophecy before Jesus’ death.</w:t>
      </w:r>
      <w:r w:rsidR="000B2817">
        <w:rPr>
          <w:rStyle w:val="FootnoteReference"/>
          <w:rFonts w:ascii="Arial" w:hAnsi="Arial" w:cs="Arial"/>
          <w:sz w:val="24"/>
          <w:szCs w:val="24"/>
        </w:rPr>
        <w:footnoteReference w:id="23"/>
      </w:r>
      <w:r w:rsidR="007D3CA6">
        <w:rPr>
          <w:rFonts w:ascii="Arial" w:hAnsi="Arial" w:cs="Arial"/>
          <w:sz w:val="24"/>
          <w:szCs w:val="24"/>
        </w:rPr>
        <w:t xml:space="preserve"> I would support the latter interpretations</w:t>
      </w:r>
      <w:r>
        <w:rPr>
          <w:rFonts w:ascii="Arial" w:hAnsi="Arial" w:cs="Arial"/>
          <w:sz w:val="24"/>
          <w:szCs w:val="24"/>
        </w:rPr>
        <w:t>.</w:t>
      </w:r>
    </w:p>
    <w:p w:rsidR="00A262CB" w:rsidRDefault="00A262CB" w:rsidP="00A92FD1">
      <w:pPr>
        <w:spacing w:after="0"/>
        <w:jc w:val="both"/>
        <w:rPr>
          <w:rFonts w:ascii="Arial" w:hAnsi="Arial" w:cs="Arial"/>
          <w:sz w:val="24"/>
          <w:szCs w:val="24"/>
        </w:rPr>
      </w:pPr>
    </w:p>
    <w:p w:rsidR="00405525" w:rsidRDefault="00405525" w:rsidP="00FB15D9">
      <w:pPr>
        <w:spacing w:after="0"/>
        <w:jc w:val="center"/>
        <w:rPr>
          <w:rFonts w:ascii="Arial" w:hAnsi="Arial" w:cs="Arial"/>
          <w:b/>
          <w:sz w:val="24"/>
          <w:szCs w:val="24"/>
          <w:u w:val="single"/>
        </w:rPr>
      </w:pPr>
      <w:r>
        <w:rPr>
          <w:rFonts w:ascii="Arial" w:hAnsi="Arial" w:cs="Arial"/>
          <w:b/>
          <w:sz w:val="24"/>
          <w:szCs w:val="24"/>
          <w:u w:val="single"/>
        </w:rPr>
        <w:t xml:space="preserve">Repurposing of the </w:t>
      </w:r>
      <w:r w:rsidR="004C1DF7">
        <w:rPr>
          <w:rFonts w:ascii="Arial" w:hAnsi="Arial" w:cs="Arial"/>
          <w:b/>
          <w:sz w:val="24"/>
          <w:szCs w:val="24"/>
          <w:u w:val="single"/>
        </w:rPr>
        <w:t xml:space="preserve">Role of the </w:t>
      </w:r>
      <w:r>
        <w:rPr>
          <w:rFonts w:ascii="Arial" w:hAnsi="Arial" w:cs="Arial"/>
          <w:b/>
          <w:sz w:val="24"/>
          <w:szCs w:val="24"/>
          <w:u w:val="single"/>
        </w:rPr>
        <w:t>Suffering Servant</w:t>
      </w:r>
      <w:r w:rsidR="00BE132F">
        <w:rPr>
          <w:rFonts w:ascii="Arial" w:hAnsi="Arial" w:cs="Arial"/>
          <w:b/>
          <w:sz w:val="24"/>
          <w:szCs w:val="24"/>
          <w:u w:val="single"/>
        </w:rPr>
        <w:t xml:space="preserve"> </w:t>
      </w:r>
      <w:r w:rsidR="00D86A2B">
        <w:rPr>
          <w:rFonts w:ascii="Arial" w:hAnsi="Arial" w:cs="Arial"/>
          <w:b/>
          <w:sz w:val="24"/>
          <w:szCs w:val="24"/>
          <w:u w:val="single"/>
        </w:rPr>
        <w:t>in Daniel/the New Testament</w:t>
      </w:r>
    </w:p>
    <w:p w:rsidR="00A262CB" w:rsidRPr="00405525" w:rsidRDefault="00A262CB" w:rsidP="00FB15D9">
      <w:pPr>
        <w:tabs>
          <w:tab w:val="left" w:pos="5590"/>
        </w:tabs>
        <w:spacing w:after="0"/>
        <w:jc w:val="both"/>
        <w:rPr>
          <w:rFonts w:ascii="Arial" w:hAnsi="Arial" w:cs="Arial"/>
          <w:b/>
          <w:sz w:val="24"/>
          <w:szCs w:val="24"/>
          <w:u w:val="single"/>
        </w:rPr>
      </w:pPr>
    </w:p>
    <w:p w:rsidR="004257CC" w:rsidRDefault="004257CC" w:rsidP="00A92FD1">
      <w:pPr>
        <w:spacing w:after="0"/>
        <w:jc w:val="both"/>
        <w:rPr>
          <w:rFonts w:ascii="Arial" w:hAnsi="Arial" w:cs="Arial"/>
          <w:sz w:val="24"/>
          <w:szCs w:val="24"/>
        </w:rPr>
      </w:pPr>
      <w:r>
        <w:rPr>
          <w:rFonts w:ascii="Arial" w:hAnsi="Arial" w:cs="Arial"/>
          <w:sz w:val="24"/>
          <w:szCs w:val="24"/>
        </w:rPr>
        <w:tab/>
      </w:r>
      <w:r w:rsidR="00AE699E">
        <w:rPr>
          <w:rFonts w:ascii="Arial" w:hAnsi="Arial" w:cs="Arial"/>
          <w:sz w:val="24"/>
          <w:szCs w:val="24"/>
        </w:rPr>
        <w:t>T</w:t>
      </w:r>
      <w:r w:rsidR="00E009D0">
        <w:rPr>
          <w:rFonts w:ascii="Arial" w:hAnsi="Arial" w:cs="Arial"/>
          <w:sz w:val="24"/>
          <w:szCs w:val="24"/>
        </w:rPr>
        <w:t>he author of the 2</w:t>
      </w:r>
      <w:r w:rsidR="00E009D0" w:rsidRPr="00E009D0">
        <w:rPr>
          <w:rFonts w:ascii="Arial" w:hAnsi="Arial" w:cs="Arial"/>
          <w:sz w:val="24"/>
          <w:szCs w:val="24"/>
          <w:vertAlign w:val="superscript"/>
        </w:rPr>
        <w:t>nd</w:t>
      </w:r>
      <w:r w:rsidR="00E009D0">
        <w:rPr>
          <w:rFonts w:ascii="Arial" w:hAnsi="Arial" w:cs="Arial"/>
          <w:sz w:val="24"/>
          <w:szCs w:val="24"/>
        </w:rPr>
        <w:t xml:space="preserve">-century BCE book of Daniel repurposes the role of the Suffering Servant </w:t>
      </w:r>
      <w:r w:rsidR="005D6E5E">
        <w:rPr>
          <w:rFonts w:ascii="Arial" w:hAnsi="Arial" w:cs="Arial"/>
          <w:sz w:val="24"/>
          <w:szCs w:val="24"/>
        </w:rPr>
        <w:t xml:space="preserve">of Isaiah 52:13-53:12 </w:t>
      </w:r>
      <w:r w:rsidR="00E009D0">
        <w:rPr>
          <w:rFonts w:ascii="Arial" w:hAnsi="Arial" w:cs="Arial"/>
          <w:sz w:val="24"/>
          <w:szCs w:val="24"/>
        </w:rPr>
        <w:t>in the contemporary context of religious persecution by Antiochus IV.</w:t>
      </w:r>
      <w:r w:rsidR="00E009D0">
        <w:rPr>
          <w:rStyle w:val="FootnoteReference"/>
          <w:rFonts w:ascii="Arial" w:hAnsi="Arial" w:cs="Arial"/>
          <w:sz w:val="24"/>
          <w:szCs w:val="24"/>
        </w:rPr>
        <w:footnoteReference w:id="24"/>
      </w:r>
      <w:r w:rsidR="00F3176D">
        <w:rPr>
          <w:rFonts w:ascii="Arial" w:hAnsi="Arial" w:cs="Arial"/>
          <w:sz w:val="24"/>
          <w:szCs w:val="24"/>
        </w:rPr>
        <w:t xml:space="preserve"> I</w:t>
      </w:r>
      <w:r w:rsidR="00E009D0">
        <w:rPr>
          <w:rFonts w:ascii="Arial" w:hAnsi="Arial" w:cs="Arial"/>
          <w:sz w:val="24"/>
          <w:szCs w:val="24"/>
        </w:rPr>
        <w:t>n Daniel 12, the Servant is considered the representative of those righteous individuals who opposed Antiochus’s decrees</w:t>
      </w:r>
      <w:r w:rsidR="00F020D5">
        <w:rPr>
          <w:rFonts w:ascii="Arial" w:hAnsi="Arial" w:cs="Arial"/>
          <w:sz w:val="24"/>
          <w:szCs w:val="24"/>
        </w:rPr>
        <w:t>.</w:t>
      </w:r>
      <w:r w:rsidR="005D6E5E">
        <w:rPr>
          <w:rStyle w:val="FootnoteReference"/>
          <w:rFonts w:ascii="Arial" w:hAnsi="Arial" w:cs="Arial"/>
          <w:sz w:val="24"/>
          <w:szCs w:val="24"/>
        </w:rPr>
        <w:footnoteReference w:id="25"/>
      </w:r>
      <w:r w:rsidR="00AE699E">
        <w:rPr>
          <w:rFonts w:ascii="Arial" w:hAnsi="Arial" w:cs="Arial"/>
          <w:sz w:val="24"/>
          <w:szCs w:val="24"/>
        </w:rPr>
        <w:t xml:space="preserve"> These</w:t>
      </w:r>
      <w:r w:rsidR="00F020D5">
        <w:rPr>
          <w:rFonts w:ascii="Arial" w:hAnsi="Arial" w:cs="Arial"/>
          <w:sz w:val="24"/>
          <w:szCs w:val="24"/>
        </w:rPr>
        <w:t xml:space="preserve"> indiv</w:t>
      </w:r>
      <w:r w:rsidR="00166D5B">
        <w:rPr>
          <w:rFonts w:ascii="Arial" w:hAnsi="Arial" w:cs="Arial"/>
          <w:sz w:val="24"/>
          <w:szCs w:val="24"/>
        </w:rPr>
        <w:t>iduals (Dan.</w:t>
      </w:r>
      <w:r w:rsidR="00F020D5">
        <w:rPr>
          <w:rFonts w:ascii="Arial" w:hAnsi="Arial" w:cs="Arial"/>
          <w:sz w:val="24"/>
          <w:szCs w:val="24"/>
        </w:rPr>
        <w:t xml:space="preserve"> 11:33</w:t>
      </w:r>
      <w:r w:rsidR="00166D5B">
        <w:rPr>
          <w:rFonts w:ascii="Arial" w:hAnsi="Arial" w:cs="Arial"/>
          <w:sz w:val="24"/>
          <w:szCs w:val="24"/>
        </w:rPr>
        <w:t>;</w:t>
      </w:r>
      <w:r w:rsidR="005D6E5E">
        <w:rPr>
          <w:rFonts w:ascii="Arial" w:hAnsi="Arial" w:cs="Arial"/>
          <w:sz w:val="24"/>
          <w:szCs w:val="24"/>
        </w:rPr>
        <w:t>12:3</w:t>
      </w:r>
      <w:r w:rsidR="00166D5B">
        <w:rPr>
          <w:rFonts w:ascii="Arial" w:hAnsi="Arial" w:cs="Arial"/>
          <w:sz w:val="24"/>
          <w:szCs w:val="24"/>
        </w:rPr>
        <w:t>)</w:t>
      </w:r>
      <w:r w:rsidR="00F020D5">
        <w:rPr>
          <w:rFonts w:ascii="Arial" w:hAnsi="Arial" w:cs="Arial"/>
          <w:sz w:val="24"/>
          <w:szCs w:val="24"/>
        </w:rPr>
        <w:t xml:space="preserve"> are described as being “wise, who will “give understanding to the many”, and will </w:t>
      </w:r>
      <w:r w:rsidR="005D6E5E">
        <w:rPr>
          <w:rFonts w:ascii="Arial" w:hAnsi="Arial" w:cs="Arial"/>
          <w:sz w:val="24"/>
          <w:szCs w:val="24"/>
        </w:rPr>
        <w:t>be exalted, referencing the Servant in Isaiah.</w:t>
      </w:r>
      <w:r w:rsidR="005D6E5E">
        <w:rPr>
          <w:rStyle w:val="FootnoteReference"/>
          <w:rFonts w:ascii="Arial" w:hAnsi="Arial" w:cs="Arial"/>
          <w:sz w:val="24"/>
          <w:szCs w:val="24"/>
        </w:rPr>
        <w:footnoteReference w:id="26"/>
      </w:r>
      <w:r w:rsidR="00AE699E">
        <w:rPr>
          <w:rFonts w:ascii="Arial" w:hAnsi="Arial" w:cs="Arial"/>
          <w:sz w:val="24"/>
          <w:szCs w:val="24"/>
        </w:rPr>
        <w:t xml:space="preserve"> However,</w:t>
      </w:r>
      <w:r w:rsidR="005D6E5E">
        <w:rPr>
          <w:rFonts w:ascii="Arial" w:hAnsi="Arial" w:cs="Arial"/>
          <w:sz w:val="24"/>
          <w:szCs w:val="24"/>
        </w:rPr>
        <w:t xml:space="preserve"> there is no mention of “vicarious punishment”.</w:t>
      </w:r>
      <w:r w:rsidR="005D6E5E">
        <w:rPr>
          <w:rStyle w:val="FootnoteReference"/>
          <w:rFonts w:ascii="Arial" w:hAnsi="Arial" w:cs="Arial"/>
          <w:sz w:val="24"/>
          <w:szCs w:val="24"/>
        </w:rPr>
        <w:footnoteReference w:id="27"/>
      </w:r>
    </w:p>
    <w:p w:rsidR="00BA5039" w:rsidRDefault="00DF32E4" w:rsidP="00A92FD1">
      <w:pPr>
        <w:spacing w:after="0"/>
        <w:jc w:val="both"/>
        <w:rPr>
          <w:rFonts w:ascii="Arial" w:hAnsi="Arial" w:cs="Arial"/>
          <w:sz w:val="24"/>
          <w:szCs w:val="24"/>
        </w:rPr>
      </w:pPr>
      <w:r>
        <w:rPr>
          <w:rFonts w:ascii="Arial" w:hAnsi="Arial" w:cs="Arial"/>
          <w:sz w:val="24"/>
          <w:szCs w:val="24"/>
        </w:rPr>
        <w:tab/>
      </w:r>
      <w:r w:rsidR="00BA5039">
        <w:rPr>
          <w:rFonts w:ascii="Arial" w:hAnsi="Arial" w:cs="Arial"/>
          <w:sz w:val="24"/>
          <w:szCs w:val="24"/>
        </w:rPr>
        <w:t>It is generally accepted that the book of Isaiah played a prominent role in the origin</w:t>
      </w:r>
      <w:r w:rsidR="00BE132F">
        <w:rPr>
          <w:rFonts w:ascii="Arial" w:hAnsi="Arial" w:cs="Arial"/>
          <w:sz w:val="24"/>
          <w:szCs w:val="24"/>
        </w:rPr>
        <w:t>s</w:t>
      </w:r>
      <w:r w:rsidR="00BA5039">
        <w:rPr>
          <w:rFonts w:ascii="Arial" w:hAnsi="Arial" w:cs="Arial"/>
          <w:sz w:val="24"/>
          <w:szCs w:val="24"/>
        </w:rPr>
        <w:t xml:space="preserve"> of Christianity.</w:t>
      </w:r>
      <w:r w:rsidR="00BA5039">
        <w:rPr>
          <w:rStyle w:val="FootnoteReference"/>
          <w:rFonts w:ascii="Arial" w:hAnsi="Arial" w:cs="Arial"/>
          <w:sz w:val="24"/>
          <w:szCs w:val="24"/>
        </w:rPr>
        <w:footnoteReference w:id="28"/>
      </w:r>
      <w:r w:rsidR="00BA5039">
        <w:rPr>
          <w:rFonts w:ascii="Arial" w:hAnsi="Arial" w:cs="Arial"/>
          <w:sz w:val="24"/>
          <w:szCs w:val="24"/>
        </w:rPr>
        <w:t xml:space="preserve"> The historical </w:t>
      </w:r>
      <w:r w:rsidR="00BE132F">
        <w:rPr>
          <w:rFonts w:ascii="Arial" w:hAnsi="Arial" w:cs="Arial"/>
          <w:sz w:val="24"/>
          <w:szCs w:val="24"/>
        </w:rPr>
        <w:t xml:space="preserve">context </w:t>
      </w:r>
      <w:r w:rsidR="00BA5039">
        <w:rPr>
          <w:rFonts w:ascii="Arial" w:hAnsi="Arial" w:cs="Arial"/>
          <w:sz w:val="24"/>
          <w:szCs w:val="24"/>
        </w:rPr>
        <w:t xml:space="preserve">is a time of rule by Herod and Imperial </w:t>
      </w:r>
      <w:r w:rsidR="00BA5039">
        <w:rPr>
          <w:rFonts w:ascii="Arial" w:hAnsi="Arial" w:cs="Arial"/>
          <w:sz w:val="24"/>
          <w:szCs w:val="24"/>
        </w:rPr>
        <w:lastRenderedPageBreak/>
        <w:t>Rome, with Jewish life being “diverse and precarious”, especi</w:t>
      </w:r>
      <w:r w:rsidR="0034236E">
        <w:rPr>
          <w:rFonts w:ascii="Arial" w:hAnsi="Arial" w:cs="Arial"/>
          <w:sz w:val="24"/>
          <w:szCs w:val="24"/>
        </w:rPr>
        <w:t xml:space="preserve">ally because, in the early 40s </w:t>
      </w:r>
      <w:r w:rsidR="00BA5039">
        <w:rPr>
          <w:rFonts w:ascii="Arial" w:hAnsi="Arial" w:cs="Arial"/>
          <w:sz w:val="24"/>
          <w:szCs w:val="24"/>
        </w:rPr>
        <w:t>CE, Jesus had been proclaimed the Christ, a proclamation which many Jews did not accept.</w:t>
      </w:r>
      <w:r w:rsidR="00BA5039">
        <w:rPr>
          <w:rStyle w:val="FootnoteReference"/>
          <w:rFonts w:ascii="Arial" w:hAnsi="Arial" w:cs="Arial"/>
          <w:sz w:val="24"/>
          <w:szCs w:val="24"/>
        </w:rPr>
        <w:footnoteReference w:id="29"/>
      </w:r>
      <w:r w:rsidR="00BA5039">
        <w:rPr>
          <w:rFonts w:ascii="Arial" w:hAnsi="Arial" w:cs="Arial"/>
          <w:sz w:val="24"/>
          <w:szCs w:val="24"/>
        </w:rPr>
        <w:t xml:space="preserve"> </w:t>
      </w:r>
    </w:p>
    <w:p w:rsidR="00BA3D85" w:rsidRDefault="00BA5039" w:rsidP="00BA3D85">
      <w:pPr>
        <w:spacing w:after="0"/>
        <w:jc w:val="both"/>
        <w:rPr>
          <w:rFonts w:ascii="Arial" w:hAnsi="Arial" w:cs="Arial"/>
          <w:sz w:val="24"/>
          <w:szCs w:val="24"/>
        </w:rPr>
      </w:pPr>
      <w:r>
        <w:rPr>
          <w:rFonts w:ascii="Arial" w:hAnsi="Arial" w:cs="Arial"/>
          <w:sz w:val="24"/>
          <w:szCs w:val="24"/>
        </w:rPr>
        <w:tab/>
        <w:t xml:space="preserve">Brettler &amp; Levine </w:t>
      </w:r>
      <w:r w:rsidR="007D3CA6">
        <w:rPr>
          <w:rFonts w:ascii="Arial" w:hAnsi="Arial" w:cs="Arial"/>
          <w:sz w:val="24"/>
          <w:szCs w:val="24"/>
        </w:rPr>
        <w:t>propose</w:t>
      </w:r>
      <w:r>
        <w:rPr>
          <w:rFonts w:ascii="Arial" w:hAnsi="Arial" w:cs="Arial"/>
          <w:sz w:val="24"/>
          <w:szCs w:val="24"/>
        </w:rPr>
        <w:t xml:space="preserve"> that several connections between the role of the Suffering Servant of Isaiah 52:13-52:12 and </w:t>
      </w:r>
      <w:r w:rsidR="00BE132F">
        <w:rPr>
          <w:rFonts w:ascii="Arial" w:hAnsi="Arial" w:cs="Arial"/>
          <w:sz w:val="24"/>
          <w:szCs w:val="24"/>
        </w:rPr>
        <w:t>Jesus are evident</w:t>
      </w:r>
      <w:r w:rsidR="007D3CA6">
        <w:rPr>
          <w:rFonts w:ascii="Arial" w:hAnsi="Arial" w:cs="Arial"/>
          <w:sz w:val="24"/>
          <w:szCs w:val="24"/>
        </w:rPr>
        <w:t xml:space="preserve"> in the New Testament</w:t>
      </w:r>
      <w:r w:rsidR="00BE132F">
        <w:rPr>
          <w:rFonts w:ascii="Arial" w:hAnsi="Arial" w:cs="Arial"/>
          <w:sz w:val="24"/>
          <w:szCs w:val="24"/>
        </w:rPr>
        <w:t xml:space="preserve">, for example, </w:t>
      </w:r>
      <w:r>
        <w:rPr>
          <w:rFonts w:ascii="Arial" w:hAnsi="Arial" w:cs="Arial"/>
          <w:sz w:val="24"/>
          <w:szCs w:val="24"/>
        </w:rPr>
        <w:t>that Jesus “was handed over to death for our trespasses” (Rom. 4:25), clearly refers to Isaiah 53:12.</w:t>
      </w:r>
      <w:r>
        <w:rPr>
          <w:rStyle w:val="FootnoteReference"/>
          <w:rFonts w:ascii="Arial" w:hAnsi="Arial" w:cs="Arial"/>
          <w:sz w:val="24"/>
          <w:szCs w:val="24"/>
        </w:rPr>
        <w:footnoteReference w:id="30"/>
      </w:r>
      <w:r w:rsidR="00597D9E">
        <w:rPr>
          <w:rFonts w:ascii="Arial" w:hAnsi="Arial" w:cs="Arial"/>
          <w:sz w:val="24"/>
          <w:szCs w:val="24"/>
        </w:rPr>
        <w:t xml:space="preserve"> </w:t>
      </w:r>
      <w:r w:rsidR="00BA3D85">
        <w:rPr>
          <w:rFonts w:ascii="Arial" w:hAnsi="Arial" w:cs="Arial"/>
          <w:sz w:val="24"/>
          <w:szCs w:val="24"/>
        </w:rPr>
        <w:t>Knohl is persuasive in arguing that the Jesus himself did not consider himself the Messiah, the role being assigned to him by his disciples after his death.</w:t>
      </w:r>
      <w:r w:rsidR="00BA3D85">
        <w:rPr>
          <w:rStyle w:val="FootnoteReference"/>
          <w:rFonts w:ascii="Arial" w:hAnsi="Arial" w:cs="Arial"/>
          <w:sz w:val="24"/>
          <w:szCs w:val="24"/>
        </w:rPr>
        <w:footnoteReference w:id="31"/>
      </w:r>
      <w:r w:rsidR="00BA3D85">
        <w:rPr>
          <w:rFonts w:ascii="Arial" w:hAnsi="Arial" w:cs="Arial"/>
          <w:sz w:val="24"/>
          <w:szCs w:val="24"/>
        </w:rPr>
        <w:t xml:space="preserve">   </w:t>
      </w:r>
    </w:p>
    <w:p w:rsidR="009301BF" w:rsidRPr="009301BF" w:rsidRDefault="00BA3D85" w:rsidP="00A92FD1">
      <w:pPr>
        <w:spacing w:after="0"/>
        <w:jc w:val="both"/>
        <w:rPr>
          <w:rFonts w:ascii="Arial" w:hAnsi="Arial" w:cs="Arial"/>
          <w:sz w:val="24"/>
          <w:szCs w:val="24"/>
        </w:rPr>
      </w:pPr>
      <w:r>
        <w:rPr>
          <w:rFonts w:ascii="Arial" w:hAnsi="Arial" w:cs="Arial"/>
          <w:sz w:val="24"/>
          <w:szCs w:val="24"/>
        </w:rPr>
        <w:tab/>
      </w:r>
      <w:r w:rsidR="00BA5039">
        <w:rPr>
          <w:rFonts w:ascii="Arial" w:hAnsi="Arial" w:cs="Arial"/>
          <w:sz w:val="24"/>
          <w:szCs w:val="24"/>
        </w:rPr>
        <w:t xml:space="preserve">I </w:t>
      </w:r>
      <w:r w:rsidR="00597D9E">
        <w:rPr>
          <w:rFonts w:ascii="Arial" w:hAnsi="Arial" w:cs="Arial"/>
          <w:sz w:val="24"/>
          <w:szCs w:val="24"/>
        </w:rPr>
        <w:t>consider</w:t>
      </w:r>
      <w:r w:rsidR="00BA5039">
        <w:rPr>
          <w:rFonts w:ascii="Arial" w:hAnsi="Arial" w:cs="Arial"/>
          <w:sz w:val="24"/>
          <w:szCs w:val="24"/>
        </w:rPr>
        <w:t xml:space="preserve"> that t</w:t>
      </w:r>
      <w:r w:rsidR="00177B4F">
        <w:rPr>
          <w:rFonts w:ascii="Arial" w:hAnsi="Arial" w:cs="Arial"/>
          <w:sz w:val="24"/>
          <w:szCs w:val="24"/>
        </w:rPr>
        <w:t xml:space="preserve">he role </w:t>
      </w:r>
      <w:r w:rsidR="00BA5039">
        <w:rPr>
          <w:rFonts w:ascii="Arial" w:hAnsi="Arial" w:cs="Arial"/>
          <w:sz w:val="24"/>
          <w:szCs w:val="24"/>
        </w:rPr>
        <w:t>of the Suffering Servant is</w:t>
      </w:r>
      <w:r w:rsidR="00177B4F">
        <w:rPr>
          <w:rFonts w:ascii="Arial" w:hAnsi="Arial" w:cs="Arial"/>
          <w:sz w:val="24"/>
          <w:szCs w:val="24"/>
        </w:rPr>
        <w:t xml:space="preserve"> </w:t>
      </w:r>
      <w:r w:rsidR="009301BF">
        <w:rPr>
          <w:rFonts w:ascii="Arial" w:hAnsi="Arial" w:cs="Arial"/>
          <w:sz w:val="24"/>
          <w:szCs w:val="24"/>
        </w:rPr>
        <w:t>repurposed</w:t>
      </w:r>
      <w:r w:rsidR="00F3176D">
        <w:rPr>
          <w:rFonts w:ascii="Arial" w:hAnsi="Arial" w:cs="Arial"/>
          <w:sz w:val="24"/>
          <w:szCs w:val="24"/>
        </w:rPr>
        <w:t xml:space="preserve"> in the New Testa</w:t>
      </w:r>
      <w:r w:rsidR="00D86A2B">
        <w:rPr>
          <w:rFonts w:ascii="Arial" w:hAnsi="Arial" w:cs="Arial"/>
          <w:sz w:val="24"/>
          <w:szCs w:val="24"/>
        </w:rPr>
        <w:t xml:space="preserve">ment as both a reaction to Roman rule and </w:t>
      </w:r>
      <w:r>
        <w:rPr>
          <w:rFonts w:ascii="Arial" w:hAnsi="Arial" w:cs="Arial"/>
          <w:sz w:val="24"/>
          <w:szCs w:val="24"/>
        </w:rPr>
        <w:t>as a result of different Jewish views.</w:t>
      </w:r>
    </w:p>
    <w:p w:rsidR="00F9322F" w:rsidRDefault="00060119" w:rsidP="00BA3D85">
      <w:pPr>
        <w:spacing w:after="0"/>
        <w:jc w:val="center"/>
        <w:rPr>
          <w:rFonts w:ascii="Arial" w:hAnsi="Arial" w:cs="Arial"/>
          <w:b/>
          <w:sz w:val="24"/>
          <w:szCs w:val="24"/>
          <w:u w:val="single"/>
        </w:rPr>
      </w:pPr>
      <w:r>
        <w:rPr>
          <w:rFonts w:ascii="Arial" w:hAnsi="Arial" w:cs="Arial"/>
          <w:b/>
          <w:sz w:val="24"/>
          <w:szCs w:val="24"/>
          <w:u w:val="single"/>
        </w:rPr>
        <w:t>The Role of the Suffering Servant in the Dead Sea Scrolls</w:t>
      </w:r>
    </w:p>
    <w:p w:rsidR="00BA3D85" w:rsidRPr="00BA3D85" w:rsidRDefault="00BA3D85" w:rsidP="00BA3D85">
      <w:pPr>
        <w:spacing w:after="0"/>
        <w:jc w:val="center"/>
        <w:rPr>
          <w:rFonts w:ascii="Arial" w:hAnsi="Arial" w:cs="Arial"/>
          <w:b/>
          <w:sz w:val="24"/>
          <w:szCs w:val="24"/>
          <w:u w:val="single"/>
        </w:rPr>
      </w:pPr>
    </w:p>
    <w:p w:rsidR="00F9322F" w:rsidRDefault="00F9322F" w:rsidP="00D86A2B">
      <w:pPr>
        <w:spacing w:after="0"/>
        <w:jc w:val="center"/>
        <w:rPr>
          <w:rFonts w:ascii="Arial" w:hAnsi="Arial" w:cs="Arial"/>
          <w:b/>
          <w:sz w:val="24"/>
          <w:szCs w:val="24"/>
          <w:u w:val="single"/>
        </w:rPr>
      </w:pPr>
      <w:r>
        <w:rPr>
          <w:rFonts w:cstheme="minorHAnsi"/>
          <w:noProof/>
          <w:u w:val="single"/>
          <w:lang w:eastAsia="en-GB"/>
        </w:rPr>
        <w:drawing>
          <wp:inline distT="0" distB="0" distL="0" distR="0" wp14:anchorId="416FB71F" wp14:editId="75D0FA79">
            <wp:extent cx="1727200" cy="2622550"/>
            <wp:effectExtent l="0" t="0" r="6350" b="6350"/>
            <wp:docPr id="1" name="Picture 1" descr="C:\Users\Diane\Desktop\Ancient Religions\HPRS7015\Assessment 3\1QH Thanksgiving Scro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ane\Desktop\Ancient Religions\HPRS7015\Assessment 3\1QH Thanksgiving Scrol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7200" cy="2622550"/>
                    </a:xfrm>
                    <a:prstGeom prst="rect">
                      <a:avLst/>
                    </a:prstGeom>
                    <a:noFill/>
                    <a:ln>
                      <a:noFill/>
                    </a:ln>
                  </pic:spPr>
                </pic:pic>
              </a:graphicData>
            </a:graphic>
          </wp:inline>
        </w:drawing>
      </w:r>
    </w:p>
    <w:p w:rsidR="00F9322F" w:rsidRPr="00A84310" w:rsidRDefault="00F9322F" w:rsidP="00D86A2B">
      <w:pPr>
        <w:spacing w:after="0"/>
        <w:jc w:val="center"/>
        <w:rPr>
          <w:rFonts w:ascii="Arial" w:hAnsi="Arial" w:cs="Arial"/>
          <w:sz w:val="20"/>
          <w:szCs w:val="20"/>
        </w:rPr>
      </w:pPr>
      <w:r w:rsidRPr="00CF7633">
        <w:rPr>
          <w:rFonts w:cstheme="minorHAnsi"/>
          <w:b/>
        </w:rPr>
        <w:t>Fig. 1</w:t>
      </w:r>
      <w:r>
        <w:rPr>
          <w:rFonts w:cstheme="minorHAnsi"/>
        </w:rPr>
        <w:t xml:space="preserve">: Part of the Thanksgiving Scroll </w:t>
      </w:r>
      <w:r>
        <w:rPr>
          <w:rFonts w:ascii="Arial" w:hAnsi="Arial" w:cs="Arial"/>
          <w:sz w:val="20"/>
          <w:szCs w:val="20"/>
        </w:rPr>
        <w:t>[Online].</w:t>
      </w:r>
    </w:p>
    <w:p w:rsidR="00F9322F" w:rsidRDefault="00F9322F" w:rsidP="00D86A2B">
      <w:pPr>
        <w:pStyle w:val="ListParagraph"/>
        <w:spacing w:after="0"/>
        <w:ind w:left="360"/>
        <w:jc w:val="center"/>
        <w:rPr>
          <w:rFonts w:ascii="Arial" w:hAnsi="Arial" w:cs="Arial"/>
          <w:sz w:val="20"/>
          <w:szCs w:val="20"/>
        </w:rPr>
      </w:pPr>
      <w:r>
        <w:rPr>
          <w:rFonts w:ascii="Arial" w:hAnsi="Arial" w:cs="Arial"/>
          <w:sz w:val="20"/>
          <w:szCs w:val="20"/>
        </w:rPr>
        <w:t>6</w:t>
      </w:r>
      <w:r w:rsidRPr="00CF7633">
        <w:rPr>
          <w:rFonts w:ascii="Arial" w:hAnsi="Arial" w:cs="Arial"/>
          <w:sz w:val="20"/>
          <w:szCs w:val="20"/>
          <w:vertAlign w:val="superscript"/>
        </w:rPr>
        <w:t>th</w:t>
      </w:r>
      <w:r>
        <w:rPr>
          <w:rFonts w:ascii="Arial" w:hAnsi="Arial" w:cs="Arial"/>
          <w:sz w:val="20"/>
          <w:szCs w:val="20"/>
        </w:rPr>
        <w:t xml:space="preserve"> August 2021. Available from:</w:t>
      </w:r>
    </w:p>
    <w:p w:rsidR="00F9322F" w:rsidRPr="004C1DF7" w:rsidRDefault="002C3272" w:rsidP="00D86A2B">
      <w:pPr>
        <w:pStyle w:val="ListParagraph"/>
        <w:spacing w:after="0"/>
        <w:ind w:left="360"/>
        <w:jc w:val="center"/>
        <w:rPr>
          <w:rFonts w:cstheme="minorHAnsi"/>
          <w:u w:val="single"/>
        </w:rPr>
      </w:pPr>
      <w:hyperlink r:id="rId10" w:history="1">
        <w:r w:rsidR="00F9322F" w:rsidRPr="002557DF">
          <w:rPr>
            <w:rStyle w:val="Hyperlink"/>
            <w:rFonts w:cstheme="minorHAnsi"/>
          </w:rPr>
          <w:t>http://orion.mscc.huji.ac.il/cave/megila4.shtml</w:t>
        </w:r>
      </w:hyperlink>
    </w:p>
    <w:p w:rsidR="00CF57AA" w:rsidRDefault="00CF57AA" w:rsidP="00A92FD1">
      <w:pPr>
        <w:spacing w:after="0"/>
        <w:jc w:val="both"/>
        <w:rPr>
          <w:rFonts w:ascii="Arial" w:hAnsi="Arial" w:cs="Arial"/>
          <w:b/>
          <w:sz w:val="24"/>
          <w:szCs w:val="24"/>
          <w:u w:val="single"/>
        </w:rPr>
      </w:pPr>
    </w:p>
    <w:p w:rsidR="008A6635" w:rsidRDefault="00CF57AA" w:rsidP="008A6635">
      <w:pPr>
        <w:spacing w:after="0"/>
        <w:jc w:val="both"/>
        <w:rPr>
          <w:rFonts w:ascii="Arial" w:hAnsi="Arial" w:cs="Arial"/>
          <w:sz w:val="24"/>
          <w:szCs w:val="24"/>
        </w:rPr>
      </w:pPr>
      <w:r>
        <w:rPr>
          <w:rFonts w:ascii="Arial" w:hAnsi="Arial" w:cs="Arial"/>
          <w:sz w:val="24"/>
          <w:szCs w:val="24"/>
        </w:rPr>
        <w:tab/>
        <w:t>The Dead Sea Scrolls, discovered in caves at Qumran, on the n</w:t>
      </w:r>
      <w:r w:rsidR="006E089C">
        <w:rPr>
          <w:rFonts w:ascii="Arial" w:hAnsi="Arial" w:cs="Arial"/>
          <w:sz w:val="24"/>
          <w:szCs w:val="24"/>
        </w:rPr>
        <w:t>ortheast coast of the Dead Sea between</w:t>
      </w:r>
      <w:r>
        <w:rPr>
          <w:rFonts w:ascii="Arial" w:hAnsi="Arial" w:cs="Arial"/>
          <w:sz w:val="24"/>
          <w:szCs w:val="24"/>
        </w:rPr>
        <w:t xml:space="preserve"> 1947</w:t>
      </w:r>
      <w:r w:rsidR="006E089C">
        <w:rPr>
          <w:rFonts w:ascii="Arial" w:hAnsi="Arial" w:cs="Arial"/>
          <w:sz w:val="24"/>
          <w:szCs w:val="24"/>
        </w:rPr>
        <w:t xml:space="preserve"> and 1956</w:t>
      </w:r>
      <w:r w:rsidR="00FB15D9">
        <w:rPr>
          <w:rFonts w:ascii="Arial" w:hAnsi="Arial" w:cs="Arial"/>
          <w:sz w:val="24"/>
          <w:szCs w:val="24"/>
        </w:rPr>
        <w:t>, are</w:t>
      </w:r>
      <w:r>
        <w:rPr>
          <w:rFonts w:ascii="Arial" w:hAnsi="Arial" w:cs="Arial"/>
          <w:sz w:val="24"/>
          <w:szCs w:val="24"/>
        </w:rPr>
        <w:t xml:space="preserve"> the most important recent find relating to biblical literature, Judaism and the beginning</w:t>
      </w:r>
      <w:r w:rsidR="00BA5039">
        <w:rPr>
          <w:rFonts w:ascii="Arial" w:hAnsi="Arial" w:cs="Arial"/>
          <w:sz w:val="24"/>
          <w:szCs w:val="24"/>
        </w:rPr>
        <w:t>s of Christianity</w:t>
      </w:r>
      <w:r w:rsidR="00846289">
        <w:rPr>
          <w:rFonts w:ascii="Arial" w:hAnsi="Arial" w:cs="Arial"/>
          <w:sz w:val="24"/>
          <w:szCs w:val="24"/>
        </w:rPr>
        <w:t xml:space="preserve">; they have been almost unanimously dated, </w:t>
      </w:r>
      <w:r w:rsidR="00BA5039">
        <w:rPr>
          <w:rFonts w:ascii="Arial" w:hAnsi="Arial" w:cs="Arial"/>
          <w:sz w:val="24"/>
          <w:szCs w:val="24"/>
        </w:rPr>
        <w:t>using palaeographic</w:t>
      </w:r>
      <w:r w:rsidR="00846289">
        <w:rPr>
          <w:rFonts w:ascii="Arial" w:hAnsi="Arial" w:cs="Arial"/>
          <w:sz w:val="24"/>
          <w:szCs w:val="24"/>
        </w:rPr>
        <w:t xml:space="preserve"> and archaeolog</w:t>
      </w:r>
      <w:r w:rsidR="00BA5039">
        <w:rPr>
          <w:rFonts w:ascii="Arial" w:hAnsi="Arial" w:cs="Arial"/>
          <w:sz w:val="24"/>
          <w:szCs w:val="24"/>
        </w:rPr>
        <w:t>ical evidence</w:t>
      </w:r>
      <w:r w:rsidR="00846289">
        <w:rPr>
          <w:rFonts w:ascii="Arial" w:hAnsi="Arial" w:cs="Arial"/>
          <w:sz w:val="24"/>
          <w:szCs w:val="24"/>
        </w:rPr>
        <w:t>, to between the 2nd</w:t>
      </w:r>
      <w:r>
        <w:rPr>
          <w:rFonts w:ascii="Arial" w:hAnsi="Arial" w:cs="Arial"/>
          <w:sz w:val="24"/>
          <w:szCs w:val="24"/>
        </w:rPr>
        <w:t xml:space="preserve"> century BCE </w:t>
      </w:r>
      <w:r w:rsidR="00846289">
        <w:rPr>
          <w:rFonts w:ascii="Arial" w:hAnsi="Arial" w:cs="Arial"/>
          <w:sz w:val="24"/>
          <w:szCs w:val="24"/>
        </w:rPr>
        <w:t>and</w:t>
      </w:r>
      <w:r w:rsidR="008A6635">
        <w:rPr>
          <w:rFonts w:ascii="Arial" w:hAnsi="Arial" w:cs="Arial"/>
          <w:sz w:val="24"/>
          <w:szCs w:val="24"/>
        </w:rPr>
        <w:t xml:space="preserve"> the 1st century CE .</w:t>
      </w:r>
      <w:r>
        <w:rPr>
          <w:rStyle w:val="FootnoteReference"/>
          <w:rFonts w:ascii="Arial" w:hAnsi="Arial" w:cs="Arial"/>
          <w:sz w:val="24"/>
          <w:szCs w:val="24"/>
        </w:rPr>
        <w:footnoteReference w:id="32"/>
      </w:r>
      <w:r w:rsidR="008A6635">
        <w:rPr>
          <w:rFonts w:ascii="Arial" w:hAnsi="Arial" w:cs="Arial"/>
          <w:sz w:val="24"/>
          <w:szCs w:val="24"/>
        </w:rPr>
        <w:t xml:space="preserve"> This indicates a degree of </w:t>
      </w:r>
      <w:r w:rsidR="008A6635">
        <w:rPr>
          <w:rFonts w:ascii="Arial" w:hAnsi="Arial" w:cs="Arial"/>
          <w:sz w:val="24"/>
          <w:szCs w:val="24"/>
        </w:rPr>
        <w:lastRenderedPageBreak/>
        <w:t xml:space="preserve">crossover between the time of writing of the Scrolls, the book of Daniel and early Christian texts. </w:t>
      </w:r>
    </w:p>
    <w:p w:rsidR="00B7353A" w:rsidRDefault="00BA3D85" w:rsidP="00A92FD1">
      <w:pPr>
        <w:spacing w:after="0"/>
        <w:jc w:val="both"/>
        <w:rPr>
          <w:rFonts w:ascii="Arial" w:hAnsi="Arial" w:cs="Arial"/>
          <w:sz w:val="24"/>
          <w:szCs w:val="24"/>
        </w:rPr>
      </w:pPr>
      <w:r>
        <w:rPr>
          <w:rFonts w:ascii="Arial" w:hAnsi="Arial" w:cs="Arial"/>
          <w:sz w:val="24"/>
          <w:szCs w:val="24"/>
        </w:rPr>
        <w:tab/>
      </w:r>
      <w:r w:rsidR="00FB15D9">
        <w:rPr>
          <w:rFonts w:ascii="Arial" w:hAnsi="Arial" w:cs="Arial"/>
          <w:sz w:val="24"/>
          <w:szCs w:val="24"/>
        </w:rPr>
        <w:t xml:space="preserve">The authors </w:t>
      </w:r>
      <w:r>
        <w:rPr>
          <w:rFonts w:ascii="Arial" w:hAnsi="Arial" w:cs="Arial"/>
          <w:sz w:val="24"/>
          <w:szCs w:val="24"/>
        </w:rPr>
        <w:t>of</w:t>
      </w:r>
      <w:r w:rsidR="00FB15D9">
        <w:rPr>
          <w:rFonts w:ascii="Arial" w:hAnsi="Arial" w:cs="Arial"/>
          <w:sz w:val="24"/>
          <w:szCs w:val="24"/>
        </w:rPr>
        <w:t xml:space="preserve"> the Scrolls also </w:t>
      </w:r>
      <w:r>
        <w:rPr>
          <w:rFonts w:ascii="Arial" w:hAnsi="Arial" w:cs="Arial"/>
          <w:sz w:val="24"/>
          <w:szCs w:val="24"/>
        </w:rPr>
        <w:t xml:space="preserve">appear to have been </w:t>
      </w:r>
      <w:r w:rsidR="00FB15D9">
        <w:rPr>
          <w:rFonts w:ascii="Arial" w:hAnsi="Arial" w:cs="Arial"/>
          <w:sz w:val="24"/>
          <w:szCs w:val="24"/>
        </w:rPr>
        <w:t>concerned with their contemporary situation, although there is a lack of historical references.</w:t>
      </w:r>
      <w:r w:rsidR="00FB15D9">
        <w:rPr>
          <w:rStyle w:val="FootnoteReference"/>
          <w:rFonts w:ascii="Arial" w:hAnsi="Arial" w:cs="Arial"/>
          <w:sz w:val="24"/>
          <w:szCs w:val="24"/>
        </w:rPr>
        <w:footnoteReference w:id="33"/>
      </w:r>
      <w:r w:rsidR="00FB15D9">
        <w:rPr>
          <w:rFonts w:ascii="Arial" w:hAnsi="Arial" w:cs="Arial"/>
          <w:sz w:val="24"/>
          <w:szCs w:val="24"/>
        </w:rPr>
        <w:t xml:space="preserve"> Historically</w:t>
      </w:r>
      <w:r w:rsidR="00BA5039">
        <w:rPr>
          <w:rFonts w:ascii="Arial" w:hAnsi="Arial" w:cs="Arial"/>
          <w:sz w:val="24"/>
          <w:szCs w:val="24"/>
        </w:rPr>
        <w:t>, Judea was</w:t>
      </w:r>
      <w:r w:rsidR="00BA0C84">
        <w:rPr>
          <w:rFonts w:ascii="Arial" w:hAnsi="Arial" w:cs="Arial"/>
          <w:sz w:val="24"/>
          <w:szCs w:val="24"/>
        </w:rPr>
        <w:t xml:space="preserve"> under the control of Imper</w:t>
      </w:r>
      <w:r w:rsidR="00B7353A">
        <w:rPr>
          <w:rFonts w:ascii="Arial" w:hAnsi="Arial" w:cs="Arial"/>
          <w:sz w:val="24"/>
          <w:szCs w:val="24"/>
        </w:rPr>
        <w:t>ial Rome, which would</w:t>
      </w:r>
      <w:r w:rsidR="00BA0C84">
        <w:rPr>
          <w:rFonts w:ascii="Arial" w:hAnsi="Arial" w:cs="Arial"/>
          <w:sz w:val="24"/>
          <w:szCs w:val="24"/>
        </w:rPr>
        <w:t>, following an unsuccessful revolt, r</w:t>
      </w:r>
      <w:r w:rsidR="00BA5039">
        <w:rPr>
          <w:rFonts w:ascii="Arial" w:hAnsi="Arial" w:cs="Arial"/>
          <w:sz w:val="24"/>
          <w:szCs w:val="24"/>
        </w:rPr>
        <w:t>esult in the destruction of</w:t>
      </w:r>
      <w:r w:rsidR="00BA0C84">
        <w:rPr>
          <w:rFonts w:ascii="Arial" w:hAnsi="Arial" w:cs="Arial"/>
          <w:sz w:val="24"/>
          <w:szCs w:val="24"/>
        </w:rPr>
        <w:t xml:space="preserve"> Jerusalem and its temple, and, in the years pr</w:t>
      </w:r>
      <w:r w:rsidR="00B7353A">
        <w:rPr>
          <w:rFonts w:ascii="Arial" w:hAnsi="Arial" w:cs="Arial"/>
          <w:sz w:val="24"/>
          <w:szCs w:val="24"/>
        </w:rPr>
        <w:t xml:space="preserve">eceding this revolt, </w:t>
      </w:r>
      <w:r w:rsidR="00BA0C84">
        <w:rPr>
          <w:rFonts w:ascii="Arial" w:hAnsi="Arial" w:cs="Arial"/>
          <w:sz w:val="24"/>
          <w:szCs w:val="24"/>
        </w:rPr>
        <w:t>would give rise to a number of “bandits, prop</w:t>
      </w:r>
      <w:r w:rsidR="00B7353A">
        <w:rPr>
          <w:rFonts w:ascii="Arial" w:hAnsi="Arial" w:cs="Arial"/>
          <w:sz w:val="24"/>
          <w:szCs w:val="24"/>
        </w:rPr>
        <w:t>hets and messiahs”, promising</w:t>
      </w:r>
      <w:r w:rsidR="00BA0C84">
        <w:rPr>
          <w:rFonts w:ascii="Arial" w:hAnsi="Arial" w:cs="Arial"/>
          <w:sz w:val="24"/>
          <w:szCs w:val="24"/>
        </w:rPr>
        <w:t xml:space="preserve"> liberation to the oppressed.</w:t>
      </w:r>
      <w:r w:rsidR="00BA0C84">
        <w:rPr>
          <w:rStyle w:val="FootnoteReference"/>
          <w:rFonts w:ascii="Arial" w:hAnsi="Arial" w:cs="Arial"/>
          <w:sz w:val="24"/>
          <w:szCs w:val="24"/>
        </w:rPr>
        <w:footnoteReference w:id="34"/>
      </w:r>
      <w:r w:rsidR="00F05EFA">
        <w:rPr>
          <w:rFonts w:ascii="Arial" w:hAnsi="Arial" w:cs="Arial"/>
          <w:sz w:val="24"/>
          <w:szCs w:val="24"/>
        </w:rPr>
        <w:tab/>
      </w:r>
    </w:p>
    <w:p w:rsidR="00B7353A" w:rsidRDefault="00B7353A" w:rsidP="00A92FD1">
      <w:pPr>
        <w:spacing w:after="0"/>
        <w:jc w:val="both"/>
        <w:rPr>
          <w:rFonts w:ascii="Arial" w:hAnsi="Arial" w:cs="Arial"/>
          <w:sz w:val="24"/>
          <w:szCs w:val="24"/>
        </w:rPr>
      </w:pPr>
      <w:r>
        <w:rPr>
          <w:rFonts w:ascii="Arial" w:hAnsi="Arial" w:cs="Arial"/>
          <w:sz w:val="24"/>
          <w:szCs w:val="24"/>
        </w:rPr>
        <w:tab/>
      </w:r>
      <w:r w:rsidR="00F05EFA">
        <w:rPr>
          <w:rFonts w:ascii="Arial" w:hAnsi="Arial" w:cs="Arial"/>
          <w:sz w:val="24"/>
          <w:szCs w:val="24"/>
        </w:rPr>
        <w:t>The religio</w:t>
      </w:r>
      <w:r w:rsidR="00BA5039">
        <w:rPr>
          <w:rFonts w:ascii="Arial" w:hAnsi="Arial" w:cs="Arial"/>
          <w:sz w:val="24"/>
          <w:szCs w:val="24"/>
        </w:rPr>
        <w:t>us context of the Scrolls was</w:t>
      </w:r>
      <w:r w:rsidR="00F05EFA">
        <w:rPr>
          <w:rFonts w:ascii="Arial" w:hAnsi="Arial" w:cs="Arial"/>
          <w:sz w:val="24"/>
          <w:szCs w:val="24"/>
        </w:rPr>
        <w:t xml:space="preserve"> identified </w:t>
      </w:r>
      <w:r w:rsidR="00800727">
        <w:rPr>
          <w:rFonts w:ascii="Arial" w:hAnsi="Arial" w:cs="Arial"/>
          <w:sz w:val="24"/>
          <w:szCs w:val="24"/>
        </w:rPr>
        <w:t xml:space="preserve">by most scholars </w:t>
      </w:r>
      <w:r w:rsidR="00BA5039">
        <w:rPr>
          <w:rFonts w:ascii="Arial" w:hAnsi="Arial" w:cs="Arial"/>
          <w:sz w:val="24"/>
          <w:szCs w:val="24"/>
        </w:rPr>
        <w:t xml:space="preserve">as that of </w:t>
      </w:r>
      <w:r w:rsidR="00F05EFA">
        <w:rPr>
          <w:rFonts w:ascii="Arial" w:hAnsi="Arial" w:cs="Arial"/>
          <w:sz w:val="24"/>
          <w:szCs w:val="24"/>
        </w:rPr>
        <w:t xml:space="preserve">a group of dissident Jews, </w:t>
      </w:r>
      <w:r w:rsidR="00BA5039">
        <w:rPr>
          <w:rFonts w:ascii="Arial" w:hAnsi="Arial" w:cs="Arial"/>
          <w:sz w:val="24"/>
          <w:szCs w:val="24"/>
        </w:rPr>
        <w:t xml:space="preserve">the Essene sect, </w:t>
      </w:r>
      <w:r w:rsidR="008A6635">
        <w:rPr>
          <w:rFonts w:ascii="Arial" w:hAnsi="Arial" w:cs="Arial"/>
          <w:sz w:val="24"/>
          <w:szCs w:val="24"/>
        </w:rPr>
        <w:t xml:space="preserve">who </w:t>
      </w:r>
      <w:r w:rsidR="00F05EFA">
        <w:rPr>
          <w:rFonts w:ascii="Arial" w:hAnsi="Arial" w:cs="Arial"/>
          <w:sz w:val="24"/>
          <w:szCs w:val="24"/>
        </w:rPr>
        <w:t>deserted Jerusalem</w:t>
      </w:r>
      <w:r>
        <w:rPr>
          <w:rFonts w:ascii="Arial" w:hAnsi="Arial" w:cs="Arial"/>
          <w:sz w:val="24"/>
          <w:szCs w:val="24"/>
        </w:rPr>
        <w:t xml:space="preserve"> and the High Priest</w:t>
      </w:r>
      <w:r w:rsidR="00F05EFA">
        <w:rPr>
          <w:rFonts w:ascii="Arial" w:hAnsi="Arial" w:cs="Arial"/>
          <w:sz w:val="24"/>
          <w:szCs w:val="24"/>
        </w:rPr>
        <w:t xml:space="preserve">, </w:t>
      </w:r>
      <w:r w:rsidR="008A6635">
        <w:rPr>
          <w:rFonts w:ascii="Arial" w:hAnsi="Arial" w:cs="Arial"/>
          <w:sz w:val="24"/>
          <w:szCs w:val="24"/>
        </w:rPr>
        <w:t xml:space="preserve">and </w:t>
      </w:r>
      <w:r w:rsidR="0034236E">
        <w:rPr>
          <w:rFonts w:ascii="Arial" w:hAnsi="Arial" w:cs="Arial"/>
          <w:sz w:val="24"/>
          <w:szCs w:val="24"/>
        </w:rPr>
        <w:t>settled</w:t>
      </w:r>
      <w:r w:rsidR="008A6635">
        <w:rPr>
          <w:rFonts w:ascii="Arial" w:hAnsi="Arial" w:cs="Arial"/>
          <w:sz w:val="24"/>
          <w:szCs w:val="24"/>
        </w:rPr>
        <w:t xml:space="preserve"> at Qumran</w:t>
      </w:r>
      <w:r w:rsidR="00F05EFA">
        <w:rPr>
          <w:rFonts w:ascii="Arial" w:hAnsi="Arial" w:cs="Arial"/>
          <w:sz w:val="24"/>
          <w:szCs w:val="24"/>
        </w:rPr>
        <w:t xml:space="preserve"> (c.161-135BCE) under the guidance of the “Teacher of Righteousness”.</w:t>
      </w:r>
      <w:r w:rsidR="00F05EFA">
        <w:rPr>
          <w:rStyle w:val="FootnoteReference"/>
          <w:rFonts w:ascii="Arial" w:hAnsi="Arial" w:cs="Arial"/>
          <w:sz w:val="24"/>
          <w:szCs w:val="24"/>
        </w:rPr>
        <w:footnoteReference w:id="35"/>
      </w:r>
      <w:r w:rsidR="00F05EFA">
        <w:rPr>
          <w:rFonts w:ascii="Arial" w:hAnsi="Arial" w:cs="Arial"/>
          <w:sz w:val="24"/>
          <w:szCs w:val="24"/>
        </w:rPr>
        <w:t xml:space="preserve"> </w:t>
      </w:r>
      <w:r w:rsidR="00294B2A">
        <w:rPr>
          <w:rFonts w:ascii="Arial" w:hAnsi="Arial" w:cs="Arial"/>
          <w:sz w:val="24"/>
          <w:szCs w:val="24"/>
        </w:rPr>
        <w:t>The Essenes are known to us from the ancient texts of Philo</w:t>
      </w:r>
      <w:r w:rsidR="00D23C8D">
        <w:rPr>
          <w:rFonts w:ascii="Arial" w:hAnsi="Arial" w:cs="Arial"/>
          <w:sz w:val="24"/>
          <w:szCs w:val="24"/>
        </w:rPr>
        <w:t xml:space="preserve"> </w:t>
      </w:r>
      <w:r w:rsidR="003564D2">
        <w:rPr>
          <w:rFonts w:ascii="Arial" w:hAnsi="Arial" w:cs="Arial"/>
          <w:sz w:val="24"/>
          <w:szCs w:val="24"/>
        </w:rPr>
        <w:t>(</w:t>
      </w:r>
      <w:r w:rsidR="00D23C8D" w:rsidRPr="003564D2">
        <w:rPr>
          <w:rFonts w:ascii="Arial" w:hAnsi="Arial" w:cs="Arial"/>
          <w:i/>
          <w:sz w:val="24"/>
          <w:szCs w:val="24"/>
        </w:rPr>
        <w:t>Prob.</w:t>
      </w:r>
      <w:r w:rsidR="003564D2">
        <w:rPr>
          <w:rFonts w:ascii="Arial" w:hAnsi="Arial" w:cs="Arial"/>
          <w:sz w:val="24"/>
          <w:szCs w:val="24"/>
        </w:rPr>
        <w:t xml:space="preserve"> I-XIII 72-91</w:t>
      </w:r>
      <w:r w:rsidR="00D23C8D" w:rsidRPr="003564D2">
        <w:rPr>
          <w:rFonts w:ascii="Arial" w:hAnsi="Arial" w:cs="Arial"/>
          <w:sz w:val="24"/>
          <w:szCs w:val="24"/>
        </w:rPr>
        <w:t xml:space="preserve">, </w:t>
      </w:r>
      <w:r w:rsidR="00D23C8D" w:rsidRPr="003564D2">
        <w:rPr>
          <w:rFonts w:ascii="Arial" w:hAnsi="Arial" w:cs="Arial"/>
          <w:i/>
          <w:sz w:val="24"/>
          <w:szCs w:val="24"/>
        </w:rPr>
        <w:t>Hypoth</w:t>
      </w:r>
      <w:r w:rsidR="00D23C8D" w:rsidRPr="003564D2">
        <w:rPr>
          <w:rFonts w:ascii="Arial" w:hAnsi="Arial" w:cs="Arial"/>
          <w:sz w:val="24"/>
          <w:szCs w:val="24"/>
        </w:rPr>
        <w:t>.</w:t>
      </w:r>
      <w:r w:rsidR="00D23C8D">
        <w:t xml:space="preserve"> </w:t>
      </w:r>
      <w:r w:rsidR="00D23C8D" w:rsidRPr="003564D2">
        <w:rPr>
          <w:rFonts w:ascii="Arial" w:hAnsi="Arial" w:cs="Arial"/>
          <w:sz w:val="24"/>
          <w:szCs w:val="24"/>
        </w:rPr>
        <w:t>11.1-19</w:t>
      </w:r>
      <w:r w:rsidR="003564D2">
        <w:rPr>
          <w:rFonts w:ascii="Arial" w:hAnsi="Arial" w:cs="Arial"/>
          <w:sz w:val="24"/>
          <w:szCs w:val="24"/>
        </w:rPr>
        <w:t>)</w:t>
      </w:r>
      <w:r w:rsidR="00294B2A" w:rsidRPr="003564D2">
        <w:rPr>
          <w:rFonts w:ascii="Arial" w:hAnsi="Arial" w:cs="Arial"/>
          <w:sz w:val="24"/>
          <w:szCs w:val="24"/>
        </w:rPr>
        <w:t>, Josephus</w:t>
      </w:r>
      <w:r w:rsidR="00D23C8D" w:rsidRPr="003564D2">
        <w:rPr>
          <w:rFonts w:ascii="Arial" w:hAnsi="Arial" w:cs="Arial"/>
          <w:sz w:val="24"/>
          <w:szCs w:val="24"/>
        </w:rPr>
        <w:t xml:space="preserve"> </w:t>
      </w:r>
      <w:r w:rsidR="003564D2">
        <w:rPr>
          <w:rFonts w:ascii="Arial" w:hAnsi="Arial" w:cs="Arial"/>
          <w:sz w:val="24"/>
          <w:szCs w:val="24"/>
        </w:rPr>
        <w:t>(</w:t>
      </w:r>
      <w:r w:rsidR="00D23C8D" w:rsidRPr="003564D2">
        <w:rPr>
          <w:rFonts w:ascii="Arial" w:hAnsi="Arial" w:cs="Arial"/>
          <w:i/>
          <w:sz w:val="24"/>
          <w:szCs w:val="24"/>
        </w:rPr>
        <w:t xml:space="preserve">A.J. </w:t>
      </w:r>
      <w:r w:rsidR="00D23C8D" w:rsidRPr="003564D2">
        <w:rPr>
          <w:rFonts w:ascii="Arial" w:hAnsi="Arial" w:cs="Arial"/>
          <w:sz w:val="24"/>
          <w:szCs w:val="24"/>
        </w:rPr>
        <w:t>13.171-2</w:t>
      </w:r>
      <w:r w:rsidR="003564D2">
        <w:rPr>
          <w:rFonts w:ascii="Arial" w:hAnsi="Arial" w:cs="Arial"/>
          <w:sz w:val="24"/>
          <w:szCs w:val="24"/>
        </w:rPr>
        <w:t>,</w:t>
      </w:r>
      <w:r w:rsidR="00D23C8D" w:rsidRPr="003564D2">
        <w:rPr>
          <w:rFonts w:ascii="Arial" w:hAnsi="Arial" w:cs="Arial"/>
          <w:sz w:val="24"/>
          <w:szCs w:val="24"/>
        </w:rPr>
        <w:t xml:space="preserve"> </w:t>
      </w:r>
      <w:r w:rsidR="00D23C8D" w:rsidRPr="003564D2">
        <w:rPr>
          <w:rFonts w:ascii="Arial" w:hAnsi="Arial" w:cs="Arial"/>
          <w:i/>
          <w:sz w:val="24"/>
          <w:szCs w:val="24"/>
        </w:rPr>
        <w:t xml:space="preserve">B.J. </w:t>
      </w:r>
      <w:r w:rsidR="00D23C8D" w:rsidRPr="003564D2">
        <w:rPr>
          <w:rFonts w:ascii="Arial" w:hAnsi="Arial" w:cs="Arial"/>
          <w:sz w:val="24"/>
          <w:szCs w:val="24"/>
        </w:rPr>
        <w:t>2.8.117-166</w:t>
      </w:r>
      <w:r w:rsidR="003564D2">
        <w:rPr>
          <w:rFonts w:ascii="Arial" w:hAnsi="Arial" w:cs="Arial"/>
          <w:sz w:val="24"/>
          <w:szCs w:val="24"/>
        </w:rPr>
        <w:t>)</w:t>
      </w:r>
      <w:r w:rsidR="00294B2A" w:rsidRPr="003564D2">
        <w:rPr>
          <w:rFonts w:ascii="Arial" w:hAnsi="Arial" w:cs="Arial"/>
          <w:sz w:val="24"/>
          <w:szCs w:val="24"/>
        </w:rPr>
        <w:t xml:space="preserve"> and Pliny the Elder</w:t>
      </w:r>
      <w:r w:rsidR="00D23C8D" w:rsidRPr="003564D2">
        <w:rPr>
          <w:rFonts w:ascii="Arial" w:hAnsi="Arial" w:cs="Arial"/>
          <w:sz w:val="24"/>
          <w:szCs w:val="24"/>
        </w:rPr>
        <w:t xml:space="preserve"> </w:t>
      </w:r>
      <w:r w:rsidR="00D23C8D" w:rsidRPr="003564D2">
        <w:rPr>
          <w:rFonts w:ascii="Arial" w:hAnsi="Arial" w:cs="Arial"/>
          <w:i/>
          <w:sz w:val="24"/>
          <w:szCs w:val="24"/>
        </w:rPr>
        <w:t xml:space="preserve">HN </w:t>
      </w:r>
      <w:r w:rsidR="00D23C8D" w:rsidRPr="003564D2">
        <w:rPr>
          <w:rFonts w:ascii="Arial" w:hAnsi="Arial" w:cs="Arial"/>
          <w:sz w:val="24"/>
          <w:szCs w:val="24"/>
        </w:rPr>
        <w:t>5.18.73</w:t>
      </w:r>
      <w:r w:rsidR="003564D2">
        <w:rPr>
          <w:rFonts w:ascii="Arial" w:hAnsi="Arial" w:cs="Arial"/>
          <w:sz w:val="24"/>
          <w:szCs w:val="24"/>
        </w:rPr>
        <w:t>.</w:t>
      </w:r>
      <w:r w:rsidR="00294B2A">
        <w:rPr>
          <w:rStyle w:val="FootnoteReference"/>
          <w:rFonts w:ascii="Arial" w:hAnsi="Arial" w:cs="Arial"/>
          <w:sz w:val="24"/>
          <w:szCs w:val="24"/>
        </w:rPr>
        <w:footnoteReference w:id="36"/>
      </w:r>
      <w:r w:rsidR="003564D2">
        <w:rPr>
          <w:rFonts w:ascii="Arial" w:hAnsi="Arial" w:cs="Arial"/>
          <w:sz w:val="24"/>
          <w:szCs w:val="24"/>
        </w:rPr>
        <w:t xml:space="preserve"> </w:t>
      </w:r>
      <w:r w:rsidR="006D53B4">
        <w:rPr>
          <w:rFonts w:ascii="Arial" w:hAnsi="Arial" w:cs="Arial"/>
          <w:sz w:val="24"/>
          <w:szCs w:val="24"/>
        </w:rPr>
        <w:t xml:space="preserve">In the Thanksgiving Scroll, the repurposing of the role of the Suffering Servant </w:t>
      </w:r>
      <w:r w:rsidR="00BA3D85">
        <w:rPr>
          <w:rFonts w:ascii="Arial" w:hAnsi="Arial" w:cs="Arial"/>
          <w:sz w:val="24"/>
          <w:szCs w:val="24"/>
        </w:rPr>
        <w:t>does not seem to have been</w:t>
      </w:r>
      <w:r w:rsidR="006D53B4">
        <w:rPr>
          <w:rFonts w:ascii="Arial" w:hAnsi="Arial" w:cs="Arial"/>
          <w:sz w:val="24"/>
          <w:szCs w:val="24"/>
        </w:rPr>
        <w:t xml:space="preserve"> li</w:t>
      </w:r>
      <w:r>
        <w:rPr>
          <w:rFonts w:ascii="Arial" w:hAnsi="Arial" w:cs="Arial"/>
          <w:sz w:val="24"/>
          <w:szCs w:val="24"/>
        </w:rPr>
        <w:t>nked to foreign oppression, although there is a st</w:t>
      </w:r>
      <w:r w:rsidR="008A6635">
        <w:rPr>
          <w:rFonts w:ascii="Arial" w:hAnsi="Arial" w:cs="Arial"/>
          <w:sz w:val="24"/>
          <w:szCs w:val="24"/>
        </w:rPr>
        <w:t xml:space="preserve">rong argument that the </w:t>
      </w:r>
      <w:r>
        <w:rPr>
          <w:rFonts w:ascii="Arial" w:hAnsi="Arial" w:cs="Arial"/>
          <w:sz w:val="24"/>
          <w:szCs w:val="24"/>
        </w:rPr>
        <w:t>Scrolls were the library of the sect, secreted in the caves to prevent their destruction by the enemy.</w:t>
      </w:r>
      <w:r>
        <w:rPr>
          <w:rStyle w:val="FootnoteReference"/>
          <w:rFonts w:ascii="Arial" w:hAnsi="Arial" w:cs="Arial"/>
          <w:sz w:val="24"/>
          <w:szCs w:val="24"/>
        </w:rPr>
        <w:footnoteReference w:id="37"/>
      </w:r>
      <w:r>
        <w:rPr>
          <w:rFonts w:ascii="Arial" w:hAnsi="Arial" w:cs="Arial"/>
          <w:sz w:val="24"/>
          <w:szCs w:val="24"/>
        </w:rPr>
        <w:t xml:space="preserve"> Qumran was destroyed by the Romans in 68CE.</w:t>
      </w:r>
      <w:r>
        <w:rPr>
          <w:rStyle w:val="FootnoteReference"/>
          <w:rFonts w:ascii="Arial" w:hAnsi="Arial" w:cs="Arial"/>
          <w:sz w:val="24"/>
          <w:szCs w:val="24"/>
        </w:rPr>
        <w:footnoteReference w:id="38"/>
      </w:r>
      <w:r>
        <w:rPr>
          <w:rFonts w:ascii="Arial" w:hAnsi="Arial" w:cs="Arial"/>
          <w:sz w:val="24"/>
          <w:szCs w:val="24"/>
        </w:rPr>
        <w:t xml:space="preserve">. </w:t>
      </w:r>
      <w:r w:rsidR="006D53B4">
        <w:rPr>
          <w:rFonts w:ascii="Arial" w:hAnsi="Arial" w:cs="Arial"/>
          <w:sz w:val="24"/>
          <w:szCs w:val="24"/>
        </w:rPr>
        <w:t>I strongly</w:t>
      </w:r>
      <w:r>
        <w:rPr>
          <w:rFonts w:ascii="Arial" w:hAnsi="Arial" w:cs="Arial"/>
          <w:sz w:val="24"/>
          <w:szCs w:val="24"/>
        </w:rPr>
        <w:t xml:space="preserve"> support Collins’ view that the </w:t>
      </w:r>
      <w:r w:rsidR="006D53B4">
        <w:rPr>
          <w:rFonts w:ascii="Arial" w:hAnsi="Arial" w:cs="Arial"/>
          <w:sz w:val="24"/>
          <w:szCs w:val="24"/>
        </w:rPr>
        <w:t>Suffering Se</w:t>
      </w:r>
      <w:r>
        <w:rPr>
          <w:rFonts w:ascii="Arial" w:hAnsi="Arial" w:cs="Arial"/>
          <w:sz w:val="24"/>
          <w:szCs w:val="24"/>
        </w:rPr>
        <w:t>rvant in this context</w:t>
      </w:r>
      <w:r w:rsidR="006D53B4">
        <w:rPr>
          <w:rFonts w:ascii="Arial" w:hAnsi="Arial" w:cs="Arial"/>
          <w:sz w:val="24"/>
          <w:szCs w:val="24"/>
        </w:rPr>
        <w:t xml:space="preserve"> represent</w:t>
      </w:r>
      <w:r>
        <w:rPr>
          <w:rFonts w:ascii="Arial" w:hAnsi="Arial" w:cs="Arial"/>
          <w:sz w:val="24"/>
          <w:szCs w:val="24"/>
        </w:rPr>
        <w:t>ed</w:t>
      </w:r>
      <w:r w:rsidR="006D53B4">
        <w:rPr>
          <w:rFonts w:ascii="Arial" w:hAnsi="Arial" w:cs="Arial"/>
          <w:sz w:val="24"/>
          <w:szCs w:val="24"/>
        </w:rPr>
        <w:t xml:space="preserve"> the Teac</w:t>
      </w:r>
      <w:r w:rsidR="003B204C">
        <w:rPr>
          <w:rFonts w:ascii="Arial" w:hAnsi="Arial" w:cs="Arial"/>
          <w:sz w:val="24"/>
          <w:szCs w:val="24"/>
        </w:rPr>
        <w:t xml:space="preserve">her of Righteousness as the </w:t>
      </w:r>
      <w:r w:rsidR="008A6635">
        <w:rPr>
          <w:rFonts w:ascii="Arial" w:hAnsi="Arial" w:cs="Arial"/>
          <w:sz w:val="24"/>
          <w:szCs w:val="24"/>
        </w:rPr>
        <w:t>ideal</w:t>
      </w:r>
      <w:r w:rsidR="006D53B4">
        <w:rPr>
          <w:rFonts w:ascii="Arial" w:hAnsi="Arial" w:cs="Arial"/>
          <w:sz w:val="24"/>
          <w:szCs w:val="24"/>
        </w:rPr>
        <w:t xml:space="preserve"> leader of the sect.</w:t>
      </w:r>
      <w:r w:rsidR="006D53B4">
        <w:rPr>
          <w:rStyle w:val="FootnoteReference"/>
          <w:rFonts w:ascii="Arial" w:hAnsi="Arial" w:cs="Arial"/>
          <w:sz w:val="24"/>
          <w:szCs w:val="24"/>
        </w:rPr>
        <w:footnoteReference w:id="39"/>
      </w:r>
      <w:r w:rsidR="00294B2A">
        <w:rPr>
          <w:rFonts w:ascii="Arial" w:hAnsi="Arial" w:cs="Arial"/>
          <w:sz w:val="24"/>
          <w:szCs w:val="24"/>
        </w:rPr>
        <w:tab/>
      </w:r>
    </w:p>
    <w:p w:rsidR="00294B2A" w:rsidRDefault="00B7353A" w:rsidP="00A92FD1">
      <w:pPr>
        <w:spacing w:after="0"/>
        <w:jc w:val="both"/>
        <w:rPr>
          <w:rFonts w:ascii="Arial" w:hAnsi="Arial" w:cs="Arial"/>
          <w:sz w:val="24"/>
          <w:szCs w:val="24"/>
        </w:rPr>
      </w:pPr>
      <w:r>
        <w:rPr>
          <w:rFonts w:ascii="Arial" w:hAnsi="Arial" w:cs="Arial"/>
          <w:sz w:val="24"/>
          <w:szCs w:val="24"/>
        </w:rPr>
        <w:tab/>
      </w:r>
      <w:r w:rsidR="00294B2A">
        <w:rPr>
          <w:rFonts w:ascii="Arial" w:hAnsi="Arial" w:cs="Arial"/>
          <w:sz w:val="24"/>
          <w:szCs w:val="24"/>
        </w:rPr>
        <w:t xml:space="preserve">All Dead Sea Scroll reference numbers </w:t>
      </w:r>
      <w:r>
        <w:rPr>
          <w:rFonts w:ascii="Arial" w:hAnsi="Arial" w:cs="Arial"/>
          <w:sz w:val="24"/>
          <w:szCs w:val="24"/>
        </w:rPr>
        <w:t xml:space="preserve">below </w:t>
      </w:r>
      <w:r w:rsidR="00294B2A">
        <w:rPr>
          <w:rFonts w:ascii="Arial" w:hAnsi="Arial" w:cs="Arial"/>
          <w:sz w:val="24"/>
          <w:szCs w:val="24"/>
        </w:rPr>
        <w:t>are taken from Vermes’ translation.</w:t>
      </w:r>
      <w:r w:rsidR="00294B2A">
        <w:rPr>
          <w:rStyle w:val="FootnoteReference"/>
          <w:rFonts w:ascii="Arial" w:hAnsi="Arial" w:cs="Arial"/>
          <w:sz w:val="24"/>
          <w:szCs w:val="24"/>
        </w:rPr>
        <w:footnoteReference w:id="40"/>
      </w:r>
    </w:p>
    <w:p w:rsidR="00294B2A" w:rsidRDefault="00294B2A" w:rsidP="00A92FD1">
      <w:pPr>
        <w:spacing w:after="0"/>
        <w:jc w:val="both"/>
        <w:rPr>
          <w:rFonts w:ascii="Arial" w:hAnsi="Arial" w:cs="Arial"/>
          <w:sz w:val="24"/>
          <w:szCs w:val="24"/>
        </w:rPr>
      </w:pPr>
      <w:r>
        <w:rPr>
          <w:rFonts w:ascii="Arial" w:hAnsi="Arial" w:cs="Arial"/>
          <w:sz w:val="24"/>
          <w:szCs w:val="24"/>
        </w:rPr>
        <w:tab/>
      </w:r>
      <w:r w:rsidR="00624D16">
        <w:rPr>
          <w:rFonts w:ascii="Arial" w:hAnsi="Arial" w:cs="Arial"/>
          <w:sz w:val="24"/>
          <w:szCs w:val="24"/>
        </w:rPr>
        <w:t>There is a convincing argument that the central chara</w:t>
      </w:r>
      <w:r w:rsidR="00B7353A">
        <w:rPr>
          <w:rFonts w:ascii="Arial" w:hAnsi="Arial" w:cs="Arial"/>
          <w:sz w:val="24"/>
          <w:szCs w:val="24"/>
        </w:rPr>
        <w:t xml:space="preserve">cter </w:t>
      </w:r>
      <w:r w:rsidR="00C30952">
        <w:rPr>
          <w:rFonts w:ascii="Arial" w:hAnsi="Arial" w:cs="Arial"/>
          <w:sz w:val="24"/>
          <w:szCs w:val="24"/>
        </w:rPr>
        <w:t xml:space="preserve">and author </w:t>
      </w:r>
      <w:r w:rsidR="00B7353A">
        <w:rPr>
          <w:rFonts w:ascii="Arial" w:hAnsi="Arial" w:cs="Arial"/>
          <w:sz w:val="24"/>
          <w:szCs w:val="24"/>
        </w:rPr>
        <w:t>of the Thanksgiving Scroll</w:t>
      </w:r>
      <w:r w:rsidR="004C1DF7">
        <w:rPr>
          <w:rFonts w:ascii="Arial" w:hAnsi="Arial" w:cs="Arial"/>
          <w:sz w:val="24"/>
          <w:szCs w:val="24"/>
        </w:rPr>
        <w:t xml:space="preserve"> </w:t>
      </w:r>
      <w:r w:rsidR="00624D16">
        <w:rPr>
          <w:rFonts w:ascii="Arial" w:hAnsi="Arial" w:cs="Arial"/>
          <w:sz w:val="24"/>
          <w:szCs w:val="24"/>
        </w:rPr>
        <w:t>(1QH), the Teacher of Righteousness, identified himself with the Suffering Servant of Isaiah</w:t>
      </w:r>
      <w:r w:rsidR="008A6635">
        <w:rPr>
          <w:rFonts w:ascii="Arial" w:hAnsi="Arial" w:cs="Arial"/>
          <w:sz w:val="24"/>
          <w:szCs w:val="24"/>
        </w:rPr>
        <w:t>, although there is no definitive answer</w:t>
      </w:r>
      <w:r w:rsidR="00F9322F">
        <w:rPr>
          <w:rFonts w:ascii="Arial" w:hAnsi="Arial" w:cs="Arial"/>
          <w:sz w:val="24"/>
          <w:szCs w:val="24"/>
        </w:rPr>
        <w:t>.</w:t>
      </w:r>
      <w:r w:rsidR="00E10DD6">
        <w:rPr>
          <w:rStyle w:val="FootnoteReference"/>
          <w:rFonts w:ascii="Arial" w:hAnsi="Arial" w:cs="Arial"/>
          <w:sz w:val="24"/>
          <w:szCs w:val="24"/>
        </w:rPr>
        <w:footnoteReference w:id="41"/>
      </w:r>
      <w:r w:rsidR="00F9322F">
        <w:rPr>
          <w:rFonts w:ascii="Arial" w:hAnsi="Arial" w:cs="Arial"/>
          <w:sz w:val="24"/>
          <w:szCs w:val="24"/>
        </w:rPr>
        <w:t xml:space="preserve"> </w:t>
      </w:r>
    </w:p>
    <w:p w:rsidR="00936E6A" w:rsidRDefault="004C1DF7" w:rsidP="00A92FD1">
      <w:pPr>
        <w:spacing w:after="0"/>
        <w:jc w:val="both"/>
        <w:rPr>
          <w:rFonts w:ascii="Arial" w:hAnsi="Arial" w:cs="Arial"/>
          <w:sz w:val="24"/>
          <w:szCs w:val="24"/>
        </w:rPr>
      </w:pPr>
      <w:r>
        <w:rPr>
          <w:rFonts w:ascii="Arial" w:hAnsi="Arial" w:cs="Arial"/>
          <w:sz w:val="24"/>
          <w:szCs w:val="24"/>
        </w:rPr>
        <w:tab/>
        <w:t xml:space="preserve">Whilst most of the hymns in </w:t>
      </w:r>
      <w:r w:rsidR="000A36C6">
        <w:rPr>
          <w:rFonts w:ascii="Arial" w:hAnsi="Arial" w:cs="Arial"/>
          <w:sz w:val="24"/>
          <w:szCs w:val="24"/>
        </w:rPr>
        <w:t>1QH</w:t>
      </w:r>
      <w:r>
        <w:rPr>
          <w:rFonts w:ascii="Arial" w:hAnsi="Arial" w:cs="Arial"/>
          <w:sz w:val="24"/>
          <w:szCs w:val="24"/>
        </w:rPr>
        <w:t xml:space="preserve"> deal with guilt-ridden individuals, from which they can only be liberated by divine intervention</w:t>
      </w:r>
      <w:r w:rsidR="00000977">
        <w:rPr>
          <w:rFonts w:ascii="Arial" w:hAnsi="Arial" w:cs="Arial"/>
          <w:sz w:val="24"/>
          <w:szCs w:val="24"/>
        </w:rPr>
        <w:t>, in two hymns (4Q491, fr.</w:t>
      </w:r>
      <w:r>
        <w:rPr>
          <w:rFonts w:ascii="Arial" w:hAnsi="Arial" w:cs="Arial"/>
          <w:sz w:val="24"/>
          <w:szCs w:val="24"/>
        </w:rPr>
        <w:t xml:space="preserve">11 and </w:t>
      </w:r>
      <w:r>
        <w:rPr>
          <w:rFonts w:ascii="Arial" w:hAnsi="Arial" w:cs="Arial"/>
          <w:sz w:val="24"/>
          <w:szCs w:val="24"/>
        </w:rPr>
        <w:lastRenderedPageBreak/>
        <w:t xml:space="preserve">4Q471b), </w:t>
      </w:r>
      <w:r w:rsidR="00847C57">
        <w:rPr>
          <w:rFonts w:ascii="Arial" w:hAnsi="Arial" w:cs="Arial"/>
          <w:sz w:val="24"/>
          <w:szCs w:val="24"/>
        </w:rPr>
        <w:t xml:space="preserve">the Self-Glorification, or Self-Exaltation hymns, </w:t>
      </w:r>
      <w:r>
        <w:rPr>
          <w:rFonts w:ascii="Arial" w:hAnsi="Arial" w:cs="Arial"/>
          <w:sz w:val="24"/>
          <w:szCs w:val="24"/>
        </w:rPr>
        <w:t xml:space="preserve">there is no mention of guilt, leading scholars to conclude that they were </w:t>
      </w:r>
      <w:r w:rsidR="00847C57">
        <w:rPr>
          <w:rFonts w:ascii="Arial" w:hAnsi="Arial" w:cs="Arial"/>
          <w:sz w:val="24"/>
          <w:szCs w:val="24"/>
        </w:rPr>
        <w:t>later additions to the Scroll</w:t>
      </w:r>
      <w:r>
        <w:rPr>
          <w:rFonts w:ascii="Arial" w:hAnsi="Arial" w:cs="Arial"/>
          <w:sz w:val="24"/>
          <w:szCs w:val="24"/>
        </w:rPr>
        <w:t>.</w:t>
      </w:r>
      <w:r>
        <w:rPr>
          <w:rStyle w:val="FootnoteReference"/>
          <w:rFonts w:ascii="Arial" w:hAnsi="Arial" w:cs="Arial"/>
          <w:sz w:val="24"/>
          <w:szCs w:val="24"/>
        </w:rPr>
        <w:footnoteReference w:id="42"/>
      </w:r>
      <w:r w:rsidR="00936E6A">
        <w:rPr>
          <w:rFonts w:ascii="Arial" w:hAnsi="Arial" w:cs="Arial"/>
          <w:sz w:val="24"/>
          <w:szCs w:val="24"/>
        </w:rPr>
        <w:t xml:space="preserve"> </w:t>
      </w:r>
    </w:p>
    <w:p w:rsidR="00C95599" w:rsidRDefault="00936E6A" w:rsidP="00A92FD1">
      <w:pPr>
        <w:spacing w:after="0"/>
        <w:jc w:val="both"/>
        <w:rPr>
          <w:rFonts w:ascii="Arial" w:hAnsi="Arial" w:cs="Arial"/>
          <w:sz w:val="24"/>
          <w:szCs w:val="24"/>
        </w:rPr>
      </w:pPr>
      <w:r>
        <w:rPr>
          <w:rFonts w:ascii="Arial" w:hAnsi="Arial" w:cs="Arial"/>
          <w:sz w:val="24"/>
          <w:szCs w:val="24"/>
        </w:rPr>
        <w:tab/>
        <w:t>Knohl argues persuasively that, in both hymns, the narrator, possibly the Teacher of Righteousness, clearly identifies himself with the Suffering Servant of Isaiah 52:13-53:12.</w:t>
      </w:r>
      <w:r>
        <w:rPr>
          <w:rStyle w:val="FootnoteReference"/>
          <w:rFonts w:ascii="Arial" w:hAnsi="Arial" w:cs="Arial"/>
          <w:sz w:val="24"/>
          <w:szCs w:val="24"/>
        </w:rPr>
        <w:footnoteReference w:id="43"/>
      </w:r>
      <w:r>
        <w:rPr>
          <w:rFonts w:ascii="Arial" w:hAnsi="Arial" w:cs="Arial"/>
          <w:sz w:val="24"/>
          <w:szCs w:val="24"/>
        </w:rPr>
        <w:t xml:space="preserve"> Collins agree</w:t>
      </w:r>
      <w:r w:rsidR="00847C57">
        <w:rPr>
          <w:rFonts w:ascii="Arial" w:hAnsi="Arial" w:cs="Arial"/>
          <w:sz w:val="24"/>
          <w:szCs w:val="24"/>
        </w:rPr>
        <w:t>s</w:t>
      </w:r>
      <w:r>
        <w:rPr>
          <w:rFonts w:ascii="Arial" w:hAnsi="Arial" w:cs="Arial"/>
          <w:sz w:val="24"/>
          <w:szCs w:val="24"/>
        </w:rPr>
        <w:t>, concluding</w:t>
      </w:r>
      <w:r w:rsidR="003B204C">
        <w:rPr>
          <w:rFonts w:ascii="Arial" w:hAnsi="Arial" w:cs="Arial"/>
          <w:sz w:val="24"/>
          <w:szCs w:val="24"/>
        </w:rPr>
        <w:t xml:space="preserve"> that the Servant</w:t>
      </w:r>
      <w:r>
        <w:rPr>
          <w:rFonts w:ascii="Arial" w:hAnsi="Arial" w:cs="Arial"/>
          <w:sz w:val="24"/>
          <w:szCs w:val="24"/>
        </w:rPr>
        <w:t xml:space="preserve"> could provide a framework for the </w:t>
      </w:r>
      <w:r w:rsidR="00847C57">
        <w:rPr>
          <w:rFonts w:ascii="Arial" w:hAnsi="Arial" w:cs="Arial"/>
          <w:sz w:val="24"/>
          <w:szCs w:val="24"/>
        </w:rPr>
        <w:t>Teacher</w:t>
      </w:r>
      <w:r w:rsidR="003B204C">
        <w:rPr>
          <w:rFonts w:ascii="Arial" w:hAnsi="Arial" w:cs="Arial"/>
          <w:sz w:val="24"/>
          <w:szCs w:val="24"/>
        </w:rPr>
        <w:t xml:space="preserve">, </w:t>
      </w:r>
      <w:r>
        <w:rPr>
          <w:rFonts w:ascii="Arial" w:hAnsi="Arial" w:cs="Arial"/>
          <w:sz w:val="24"/>
          <w:szCs w:val="24"/>
        </w:rPr>
        <w:t xml:space="preserve">relying on thematic similarities between the Teacher and the Servant, </w:t>
      </w:r>
      <w:r w:rsidR="00A11E27">
        <w:rPr>
          <w:rFonts w:ascii="Arial" w:hAnsi="Arial" w:cs="Arial"/>
          <w:sz w:val="24"/>
          <w:szCs w:val="24"/>
        </w:rPr>
        <w:t>linking</w:t>
      </w:r>
      <w:r w:rsidR="00000977">
        <w:rPr>
          <w:rFonts w:ascii="Arial" w:hAnsi="Arial" w:cs="Arial"/>
          <w:sz w:val="24"/>
          <w:szCs w:val="24"/>
        </w:rPr>
        <w:t>, for example, 4Q491, fr.</w:t>
      </w:r>
      <w:r w:rsidR="007A7F77">
        <w:rPr>
          <w:rFonts w:ascii="Arial" w:hAnsi="Arial" w:cs="Arial"/>
          <w:sz w:val="24"/>
          <w:szCs w:val="24"/>
        </w:rPr>
        <w:t>11</w:t>
      </w:r>
      <w:r w:rsidR="00A11E27">
        <w:rPr>
          <w:rFonts w:ascii="Arial" w:hAnsi="Arial" w:cs="Arial"/>
          <w:sz w:val="24"/>
          <w:szCs w:val="24"/>
        </w:rPr>
        <w:t>.8-9 to Isa. 53.3,</w:t>
      </w:r>
      <w:r w:rsidR="007A7F77">
        <w:rPr>
          <w:rFonts w:ascii="Arial" w:hAnsi="Arial" w:cs="Arial"/>
          <w:sz w:val="24"/>
          <w:szCs w:val="24"/>
        </w:rPr>
        <w:t xml:space="preserve"> concerning being despised,</w:t>
      </w:r>
      <w:r w:rsidR="00A11E27">
        <w:rPr>
          <w:rFonts w:ascii="Arial" w:hAnsi="Arial" w:cs="Arial"/>
          <w:sz w:val="24"/>
          <w:szCs w:val="24"/>
        </w:rPr>
        <w:t xml:space="preserve"> </w:t>
      </w:r>
      <w:r w:rsidR="007A7F77">
        <w:rPr>
          <w:rFonts w:ascii="Arial" w:hAnsi="Arial" w:cs="Arial"/>
          <w:sz w:val="24"/>
          <w:szCs w:val="24"/>
        </w:rPr>
        <w:t xml:space="preserve">and </w:t>
      </w:r>
      <w:r w:rsidR="00000977">
        <w:rPr>
          <w:rFonts w:ascii="Arial" w:hAnsi="Arial" w:cs="Arial"/>
          <w:sz w:val="24"/>
          <w:szCs w:val="24"/>
        </w:rPr>
        <w:t>4Q491, fr.</w:t>
      </w:r>
      <w:r w:rsidR="007A7F77">
        <w:rPr>
          <w:rFonts w:ascii="Arial" w:hAnsi="Arial" w:cs="Arial"/>
          <w:sz w:val="24"/>
          <w:szCs w:val="24"/>
        </w:rPr>
        <w:t>11.1 to Isa. 52:13 concerning exaltation</w:t>
      </w:r>
      <w:r>
        <w:rPr>
          <w:rFonts w:ascii="Arial" w:hAnsi="Arial" w:cs="Arial"/>
          <w:sz w:val="24"/>
          <w:szCs w:val="24"/>
        </w:rPr>
        <w:t>;</w:t>
      </w:r>
      <w:r w:rsidR="00847C57">
        <w:rPr>
          <w:rFonts w:ascii="Arial" w:hAnsi="Arial" w:cs="Arial"/>
          <w:sz w:val="24"/>
          <w:szCs w:val="24"/>
        </w:rPr>
        <w:t xml:space="preserve"> t</w:t>
      </w:r>
      <w:r w:rsidR="00C95599">
        <w:rPr>
          <w:rFonts w:ascii="Arial" w:hAnsi="Arial" w:cs="Arial"/>
          <w:sz w:val="24"/>
          <w:szCs w:val="24"/>
        </w:rPr>
        <w:t>his is strong evidence that the narrator of the hymn intended to infer an analogy between the role of the Servant and himself, although</w:t>
      </w:r>
      <w:r w:rsidR="00CB7C80">
        <w:rPr>
          <w:rFonts w:ascii="Arial" w:hAnsi="Arial" w:cs="Arial"/>
          <w:sz w:val="24"/>
          <w:szCs w:val="24"/>
        </w:rPr>
        <w:t>, again,</w:t>
      </w:r>
      <w:r w:rsidR="00C95599">
        <w:rPr>
          <w:rFonts w:ascii="Arial" w:hAnsi="Arial" w:cs="Arial"/>
          <w:sz w:val="24"/>
          <w:szCs w:val="24"/>
        </w:rPr>
        <w:t xml:space="preserve"> it does not appear that the Qumran individual suffered vicariously.</w:t>
      </w:r>
      <w:r w:rsidR="00C95599">
        <w:rPr>
          <w:rStyle w:val="FootnoteReference"/>
          <w:rFonts w:ascii="Arial" w:hAnsi="Arial" w:cs="Arial"/>
          <w:sz w:val="24"/>
          <w:szCs w:val="24"/>
        </w:rPr>
        <w:footnoteReference w:id="44"/>
      </w:r>
    </w:p>
    <w:p w:rsidR="00000977" w:rsidRDefault="00C95599" w:rsidP="00A92FD1">
      <w:pPr>
        <w:spacing w:after="0"/>
        <w:jc w:val="both"/>
        <w:rPr>
          <w:rFonts w:ascii="Arial" w:hAnsi="Arial" w:cs="Arial"/>
          <w:sz w:val="24"/>
          <w:szCs w:val="24"/>
        </w:rPr>
      </w:pPr>
      <w:r>
        <w:rPr>
          <w:rFonts w:ascii="Arial" w:hAnsi="Arial" w:cs="Arial"/>
          <w:sz w:val="24"/>
          <w:szCs w:val="24"/>
        </w:rPr>
        <w:tab/>
        <w:t>Wis</w:t>
      </w:r>
      <w:r w:rsidR="0022677F">
        <w:rPr>
          <w:rFonts w:ascii="Arial" w:hAnsi="Arial" w:cs="Arial"/>
          <w:sz w:val="24"/>
          <w:szCs w:val="24"/>
        </w:rPr>
        <w:t xml:space="preserve">e </w:t>
      </w:r>
      <w:r w:rsidR="003B204C">
        <w:rPr>
          <w:rFonts w:ascii="Arial" w:hAnsi="Arial" w:cs="Arial"/>
          <w:sz w:val="24"/>
          <w:szCs w:val="24"/>
        </w:rPr>
        <w:t>locates</w:t>
      </w:r>
      <w:r w:rsidR="0022677F">
        <w:rPr>
          <w:rFonts w:ascii="Arial" w:hAnsi="Arial" w:cs="Arial"/>
          <w:sz w:val="24"/>
          <w:szCs w:val="24"/>
        </w:rPr>
        <w:t xml:space="preserve"> evidence elsewhere in the Thanksgiving Scroll (1QH12, 1QH16) of allusions to the Servant Songs, particularly Isaiah 52:13-53:12, and</w:t>
      </w:r>
      <w:r w:rsidR="003B204C">
        <w:rPr>
          <w:rFonts w:ascii="Arial" w:hAnsi="Arial" w:cs="Arial"/>
          <w:sz w:val="24"/>
          <w:szCs w:val="24"/>
        </w:rPr>
        <w:t>,</w:t>
      </w:r>
      <w:r w:rsidR="0022677F">
        <w:rPr>
          <w:rFonts w:ascii="Arial" w:hAnsi="Arial" w:cs="Arial"/>
          <w:sz w:val="24"/>
          <w:szCs w:val="24"/>
        </w:rPr>
        <w:t xml:space="preserve"> in 1QH15.10, Collins points out that, like the Servant in Isaiah 50.4, the narrator claims to have a disciple’s/teacher’s tongue, although it is feasible that the narrator might have alluded to the Servant as an analogy to explain his own role, not necessarily as fulfilling a prophecy.</w:t>
      </w:r>
      <w:r w:rsidR="0022677F">
        <w:rPr>
          <w:rStyle w:val="FootnoteReference"/>
          <w:rFonts w:ascii="Arial" w:hAnsi="Arial" w:cs="Arial"/>
          <w:sz w:val="24"/>
          <w:szCs w:val="24"/>
        </w:rPr>
        <w:footnoteReference w:id="45"/>
      </w:r>
      <w:r w:rsidR="00CB7C80">
        <w:rPr>
          <w:rFonts w:ascii="Arial" w:hAnsi="Arial" w:cs="Arial"/>
          <w:sz w:val="24"/>
          <w:szCs w:val="24"/>
        </w:rPr>
        <w:t xml:space="preserve"> Collins, moreover,</w:t>
      </w:r>
      <w:r w:rsidR="0022677F">
        <w:rPr>
          <w:rFonts w:ascii="Arial" w:hAnsi="Arial" w:cs="Arial"/>
          <w:sz w:val="24"/>
          <w:szCs w:val="24"/>
        </w:rPr>
        <w:t xml:space="preserve"> points out an </w:t>
      </w:r>
      <w:r w:rsidR="00A262CB">
        <w:rPr>
          <w:rFonts w:ascii="Arial" w:hAnsi="Arial" w:cs="Arial"/>
          <w:sz w:val="24"/>
          <w:szCs w:val="24"/>
        </w:rPr>
        <w:t>inconsistency; in</w:t>
      </w:r>
      <w:r w:rsidR="0022677F">
        <w:rPr>
          <w:rFonts w:ascii="Arial" w:hAnsi="Arial" w:cs="Arial"/>
          <w:sz w:val="24"/>
          <w:szCs w:val="24"/>
        </w:rPr>
        <w:t xml:space="preserve"> Isaiah 52:13, the Servant would be exalted in the future, </w:t>
      </w:r>
      <w:r w:rsidR="00A262CB">
        <w:rPr>
          <w:rFonts w:ascii="Arial" w:hAnsi="Arial" w:cs="Arial"/>
          <w:sz w:val="24"/>
          <w:szCs w:val="24"/>
        </w:rPr>
        <w:t>whereas</w:t>
      </w:r>
      <w:r w:rsidR="00000977">
        <w:rPr>
          <w:rFonts w:ascii="Arial" w:hAnsi="Arial" w:cs="Arial"/>
          <w:sz w:val="24"/>
          <w:szCs w:val="24"/>
        </w:rPr>
        <w:t xml:space="preserve"> in 1QH</w:t>
      </w:r>
      <w:r w:rsidR="0022677F">
        <w:rPr>
          <w:rFonts w:ascii="Arial" w:hAnsi="Arial" w:cs="Arial"/>
          <w:sz w:val="24"/>
          <w:szCs w:val="24"/>
        </w:rPr>
        <w:t>11 he is already exalted.</w:t>
      </w:r>
    </w:p>
    <w:p w:rsidR="00472098" w:rsidRDefault="00000977" w:rsidP="00A92FD1">
      <w:pPr>
        <w:spacing w:after="0"/>
        <w:jc w:val="both"/>
        <w:rPr>
          <w:rFonts w:ascii="Arial" w:hAnsi="Arial" w:cs="Arial"/>
          <w:sz w:val="24"/>
          <w:szCs w:val="24"/>
        </w:rPr>
      </w:pPr>
      <w:r>
        <w:rPr>
          <w:rFonts w:ascii="Arial" w:hAnsi="Arial" w:cs="Arial"/>
          <w:sz w:val="24"/>
          <w:szCs w:val="24"/>
        </w:rPr>
        <w:tab/>
        <w:t>According to K</w:t>
      </w:r>
      <w:r w:rsidR="003B204C">
        <w:rPr>
          <w:rFonts w:ascii="Arial" w:hAnsi="Arial" w:cs="Arial"/>
          <w:sz w:val="24"/>
          <w:szCs w:val="24"/>
        </w:rPr>
        <w:t xml:space="preserve">nohl, </w:t>
      </w:r>
      <w:r>
        <w:rPr>
          <w:rFonts w:ascii="Arial" w:hAnsi="Arial" w:cs="Arial"/>
          <w:sz w:val="24"/>
          <w:szCs w:val="24"/>
        </w:rPr>
        <w:t xml:space="preserve">a messianic figure </w:t>
      </w:r>
      <w:r w:rsidR="003B204C">
        <w:rPr>
          <w:rFonts w:ascii="Arial" w:hAnsi="Arial" w:cs="Arial"/>
          <w:sz w:val="24"/>
          <w:szCs w:val="24"/>
        </w:rPr>
        <w:t>exi</w:t>
      </w:r>
      <w:r w:rsidR="00847C57">
        <w:rPr>
          <w:rFonts w:ascii="Arial" w:hAnsi="Arial" w:cs="Arial"/>
          <w:sz w:val="24"/>
          <w:szCs w:val="24"/>
        </w:rPr>
        <w:t>s</w:t>
      </w:r>
      <w:r w:rsidR="003B204C">
        <w:rPr>
          <w:rFonts w:ascii="Arial" w:hAnsi="Arial" w:cs="Arial"/>
          <w:sz w:val="24"/>
          <w:szCs w:val="24"/>
        </w:rPr>
        <w:t>ted</w:t>
      </w:r>
      <w:r>
        <w:rPr>
          <w:rFonts w:ascii="Arial" w:hAnsi="Arial" w:cs="Arial"/>
          <w:sz w:val="24"/>
          <w:szCs w:val="24"/>
        </w:rPr>
        <w:t xml:space="preserve"> a generation earlier th</w:t>
      </w:r>
      <w:r w:rsidR="003B204C">
        <w:rPr>
          <w:rFonts w:ascii="Arial" w:hAnsi="Arial" w:cs="Arial"/>
          <w:sz w:val="24"/>
          <w:szCs w:val="24"/>
        </w:rPr>
        <w:t xml:space="preserve">an Jesus, and </w:t>
      </w:r>
      <w:r>
        <w:rPr>
          <w:rFonts w:ascii="Arial" w:hAnsi="Arial" w:cs="Arial"/>
          <w:sz w:val="24"/>
          <w:szCs w:val="24"/>
        </w:rPr>
        <w:t>can be found in 4Q491 fr.11</w:t>
      </w:r>
      <w:r w:rsidR="00847C57">
        <w:rPr>
          <w:rFonts w:ascii="Arial" w:hAnsi="Arial" w:cs="Arial"/>
          <w:sz w:val="24"/>
          <w:szCs w:val="24"/>
        </w:rPr>
        <w:t>, further arguing</w:t>
      </w:r>
      <w:r>
        <w:rPr>
          <w:rFonts w:ascii="Arial" w:hAnsi="Arial" w:cs="Arial"/>
          <w:sz w:val="24"/>
          <w:szCs w:val="24"/>
        </w:rPr>
        <w:t xml:space="preserve"> that the Self-Glorification/Self-Exaltation hymns were inserted into </w:t>
      </w:r>
      <w:r w:rsidR="003B204C">
        <w:rPr>
          <w:rFonts w:ascii="Arial" w:hAnsi="Arial" w:cs="Arial"/>
          <w:sz w:val="24"/>
          <w:szCs w:val="24"/>
        </w:rPr>
        <w:t>the Thanksgiving Scroll</w:t>
      </w:r>
      <w:r>
        <w:rPr>
          <w:rFonts w:ascii="Arial" w:hAnsi="Arial" w:cs="Arial"/>
          <w:sz w:val="24"/>
          <w:szCs w:val="24"/>
        </w:rPr>
        <w:t xml:space="preserve"> to represent a messianic movement within the Essene sect at Qumran.</w:t>
      </w:r>
      <w:r>
        <w:rPr>
          <w:rStyle w:val="FootnoteReference"/>
          <w:rFonts w:ascii="Arial" w:hAnsi="Arial" w:cs="Arial"/>
          <w:sz w:val="24"/>
          <w:szCs w:val="24"/>
        </w:rPr>
        <w:footnoteReference w:id="46"/>
      </w:r>
      <w:r>
        <w:rPr>
          <w:rFonts w:ascii="Arial" w:hAnsi="Arial" w:cs="Arial"/>
          <w:sz w:val="24"/>
          <w:szCs w:val="24"/>
        </w:rPr>
        <w:t xml:space="preserve"> Moreover, Knohl views this messiah</w:t>
      </w:r>
      <w:r w:rsidR="003B204C">
        <w:rPr>
          <w:rFonts w:ascii="Arial" w:hAnsi="Arial" w:cs="Arial"/>
          <w:sz w:val="24"/>
          <w:szCs w:val="24"/>
        </w:rPr>
        <w:t xml:space="preserve"> </w:t>
      </w:r>
      <w:r w:rsidR="00324A94">
        <w:rPr>
          <w:rFonts w:ascii="Arial" w:hAnsi="Arial" w:cs="Arial"/>
          <w:sz w:val="24"/>
          <w:szCs w:val="24"/>
        </w:rPr>
        <w:t>as an explanation for the way in which Christianity arose from Judaism.</w:t>
      </w:r>
      <w:r w:rsidR="00324A94">
        <w:rPr>
          <w:rStyle w:val="FootnoteReference"/>
          <w:rFonts w:ascii="Arial" w:hAnsi="Arial" w:cs="Arial"/>
          <w:sz w:val="24"/>
          <w:szCs w:val="24"/>
        </w:rPr>
        <w:footnoteReference w:id="47"/>
      </w:r>
      <w:r w:rsidR="00472098">
        <w:rPr>
          <w:rFonts w:ascii="Arial" w:hAnsi="Arial" w:cs="Arial"/>
          <w:sz w:val="24"/>
          <w:szCs w:val="24"/>
        </w:rPr>
        <w:t xml:space="preserve"> Wise considers that the Teacher of Righteousness himself was the first messiah, and that Jesus as a messiah cannot be thought of in terms other than related to the Teacher.</w:t>
      </w:r>
      <w:r w:rsidR="00472098">
        <w:rPr>
          <w:rStyle w:val="FootnoteReference"/>
          <w:rFonts w:ascii="Arial" w:hAnsi="Arial" w:cs="Arial"/>
          <w:sz w:val="24"/>
          <w:szCs w:val="24"/>
        </w:rPr>
        <w:footnoteReference w:id="48"/>
      </w:r>
    </w:p>
    <w:p w:rsidR="00472098" w:rsidRDefault="00324A94" w:rsidP="00A92FD1">
      <w:pPr>
        <w:spacing w:after="0"/>
        <w:jc w:val="both"/>
        <w:rPr>
          <w:rFonts w:ascii="Arial" w:hAnsi="Arial" w:cs="Arial"/>
          <w:sz w:val="24"/>
          <w:szCs w:val="24"/>
        </w:rPr>
      </w:pPr>
      <w:r>
        <w:rPr>
          <w:rFonts w:ascii="Arial" w:hAnsi="Arial" w:cs="Arial"/>
          <w:sz w:val="24"/>
          <w:szCs w:val="24"/>
        </w:rPr>
        <w:tab/>
      </w:r>
      <w:r w:rsidR="00847C57">
        <w:rPr>
          <w:rFonts w:ascii="Arial" w:hAnsi="Arial" w:cs="Arial"/>
          <w:sz w:val="24"/>
          <w:szCs w:val="24"/>
        </w:rPr>
        <w:t xml:space="preserve">I support </w:t>
      </w:r>
      <w:r>
        <w:rPr>
          <w:rFonts w:ascii="Arial" w:hAnsi="Arial" w:cs="Arial"/>
          <w:sz w:val="24"/>
          <w:szCs w:val="24"/>
        </w:rPr>
        <w:t xml:space="preserve">Collins, however, </w:t>
      </w:r>
      <w:r w:rsidR="00847C57">
        <w:rPr>
          <w:rFonts w:ascii="Arial" w:hAnsi="Arial" w:cs="Arial"/>
          <w:sz w:val="24"/>
          <w:szCs w:val="24"/>
        </w:rPr>
        <w:t xml:space="preserve">who </w:t>
      </w:r>
      <w:r>
        <w:rPr>
          <w:rFonts w:ascii="Arial" w:hAnsi="Arial" w:cs="Arial"/>
          <w:sz w:val="24"/>
          <w:szCs w:val="24"/>
        </w:rPr>
        <w:t xml:space="preserve">argues that the role of the Suffering Servant did not include messianic interpretations, although </w:t>
      </w:r>
      <w:r w:rsidR="00CB7C80">
        <w:rPr>
          <w:rFonts w:ascii="Arial" w:hAnsi="Arial" w:cs="Arial"/>
          <w:sz w:val="24"/>
          <w:szCs w:val="24"/>
        </w:rPr>
        <w:t xml:space="preserve">he </w:t>
      </w:r>
      <w:r>
        <w:rPr>
          <w:rFonts w:ascii="Arial" w:hAnsi="Arial" w:cs="Arial"/>
          <w:sz w:val="24"/>
          <w:szCs w:val="24"/>
        </w:rPr>
        <w:t>concedes that there is, in both Isaiah 61:1a and the Great Isaiah Scroll (1QIsa), a reference to anointing.</w:t>
      </w:r>
      <w:r>
        <w:rPr>
          <w:rStyle w:val="FootnoteReference"/>
          <w:rFonts w:ascii="Arial" w:hAnsi="Arial" w:cs="Arial"/>
          <w:sz w:val="24"/>
          <w:szCs w:val="24"/>
        </w:rPr>
        <w:footnoteReference w:id="49"/>
      </w:r>
      <w:r>
        <w:rPr>
          <w:rFonts w:ascii="Arial" w:hAnsi="Arial" w:cs="Arial"/>
          <w:sz w:val="24"/>
          <w:szCs w:val="24"/>
        </w:rPr>
        <w:t xml:space="preserve"> Brettler &amp; Levine </w:t>
      </w:r>
      <w:r w:rsidR="00847C57">
        <w:rPr>
          <w:rFonts w:ascii="Arial" w:hAnsi="Arial" w:cs="Arial"/>
          <w:sz w:val="24"/>
          <w:szCs w:val="24"/>
        </w:rPr>
        <w:t>agree</w:t>
      </w:r>
      <w:r>
        <w:rPr>
          <w:rFonts w:ascii="Arial" w:hAnsi="Arial" w:cs="Arial"/>
          <w:sz w:val="24"/>
          <w:szCs w:val="24"/>
        </w:rPr>
        <w:t>, arguing convincingly that the Essene sect did not recognise the concept of a “servant messiah”.</w:t>
      </w:r>
      <w:r>
        <w:rPr>
          <w:rStyle w:val="FootnoteReference"/>
          <w:rFonts w:ascii="Arial" w:hAnsi="Arial" w:cs="Arial"/>
          <w:sz w:val="24"/>
          <w:szCs w:val="24"/>
        </w:rPr>
        <w:footnoteReference w:id="50"/>
      </w:r>
    </w:p>
    <w:p w:rsidR="00A94BE4" w:rsidRDefault="00472098" w:rsidP="00A92FD1">
      <w:pPr>
        <w:spacing w:after="0"/>
        <w:jc w:val="both"/>
        <w:rPr>
          <w:rFonts w:ascii="Arial" w:hAnsi="Arial" w:cs="Arial"/>
          <w:sz w:val="24"/>
          <w:szCs w:val="24"/>
        </w:rPr>
      </w:pPr>
      <w:r>
        <w:rPr>
          <w:rFonts w:ascii="Arial" w:hAnsi="Arial" w:cs="Arial"/>
          <w:sz w:val="24"/>
          <w:szCs w:val="24"/>
        </w:rPr>
        <w:tab/>
      </w:r>
      <w:r w:rsidR="00D23C8D">
        <w:rPr>
          <w:rFonts w:ascii="Arial" w:hAnsi="Arial" w:cs="Arial"/>
          <w:sz w:val="24"/>
          <w:szCs w:val="24"/>
        </w:rPr>
        <w:t xml:space="preserve">Collins opposes Knohl’s concept of a Qumran messiah, </w:t>
      </w:r>
      <w:r w:rsidR="00847C57">
        <w:rPr>
          <w:rFonts w:ascii="Arial" w:hAnsi="Arial" w:cs="Arial"/>
          <w:sz w:val="24"/>
          <w:szCs w:val="24"/>
        </w:rPr>
        <w:t>due to lack of evidence,</w:t>
      </w:r>
      <w:r w:rsidR="00D23C8D">
        <w:rPr>
          <w:rFonts w:ascii="Arial" w:hAnsi="Arial" w:cs="Arial"/>
          <w:sz w:val="24"/>
          <w:szCs w:val="24"/>
        </w:rPr>
        <w:t xml:space="preserve"> even </w:t>
      </w:r>
      <w:r w:rsidR="00A94BE4">
        <w:rPr>
          <w:rFonts w:ascii="Arial" w:hAnsi="Arial" w:cs="Arial"/>
          <w:sz w:val="24"/>
          <w:szCs w:val="24"/>
        </w:rPr>
        <w:t>from</w:t>
      </w:r>
      <w:r w:rsidR="00D23C8D">
        <w:rPr>
          <w:rFonts w:ascii="Arial" w:hAnsi="Arial" w:cs="Arial"/>
          <w:sz w:val="24"/>
          <w:szCs w:val="24"/>
        </w:rPr>
        <w:t xml:space="preserve"> Josephus, who </w:t>
      </w:r>
      <w:r w:rsidR="00A94BE4">
        <w:rPr>
          <w:rFonts w:ascii="Arial" w:hAnsi="Arial" w:cs="Arial"/>
          <w:sz w:val="24"/>
          <w:szCs w:val="24"/>
        </w:rPr>
        <w:t>was interested</w:t>
      </w:r>
      <w:r w:rsidR="00D23C8D">
        <w:rPr>
          <w:rFonts w:ascii="Arial" w:hAnsi="Arial" w:cs="Arial"/>
          <w:sz w:val="24"/>
          <w:szCs w:val="24"/>
        </w:rPr>
        <w:t xml:space="preserve"> in those claiming to be messiahs, and also because h</w:t>
      </w:r>
      <w:r w:rsidR="00847C57">
        <w:rPr>
          <w:rFonts w:ascii="Arial" w:hAnsi="Arial" w:cs="Arial"/>
          <w:sz w:val="24"/>
          <w:szCs w:val="24"/>
        </w:rPr>
        <w:t>e feels Knohl does not consider other</w:t>
      </w:r>
      <w:r w:rsidR="00D23C8D">
        <w:rPr>
          <w:rFonts w:ascii="Arial" w:hAnsi="Arial" w:cs="Arial"/>
          <w:sz w:val="24"/>
          <w:szCs w:val="24"/>
        </w:rPr>
        <w:t xml:space="preserve"> interpre</w:t>
      </w:r>
      <w:r w:rsidR="00847C57">
        <w:rPr>
          <w:rFonts w:ascii="Arial" w:hAnsi="Arial" w:cs="Arial"/>
          <w:sz w:val="24"/>
          <w:szCs w:val="24"/>
        </w:rPr>
        <w:t>tations or objections, or</w:t>
      </w:r>
      <w:r w:rsidR="00D23C8D">
        <w:rPr>
          <w:rFonts w:ascii="Arial" w:hAnsi="Arial" w:cs="Arial"/>
          <w:sz w:val="24"/>
          <w:szCs w:val="24"/>
        </w:rPr>
        <w:t xml:space="preserve"> critically examine the ancient sources. However, as Collins points </w:t>
      </w:r>
      <w:r w:rsidR="00D23C8D">
        <w:rPr>
          <w:rFonts w:ascii="Arial" w:hAnsi="Arial" w:cs="Arial"/>
          <w:sz w:val="24"/>
          <w:szCs w:val="24"/>
        </w:rPr>
        <w:lastRenderedPageBreak/>
        <w:t>out, Knohl does not claim that the original Teacher was the messiah, but was Menahem, a later Essene teacher, known from Josephus (</w:t>
      </w:r>
      <w:r w:rsidR="00D23C8D">
        <w:rPr>
          <w:rFonts w:ascii="Arial" w:hAnsi="Arial" w:cs="Arial"/>
          <w:i/>
          <w:sz w:val="24"/>
          <w:szCs w:val="24"/>
        </w:rPr>
        <w:t>A.J.</w:t>
      </w:r>
      <w:r w:rsidR="00D23C8D">
        <w:rPr>
          <w:rFonts w:ascii="Arial" w:hAnsi="Arial" w:cs="Arial"/>
          <w:sz w:val="24"/>
          <w:szCs w:val="24"/>
        </w:rPr>
        <w:t xml:space="preserve"> 15.373-379).</w:t>
      </w:r>
      <w:r w:rsidR="00D23C8D">
        <w:rPr>
          <w:rStyle w:val="FootnoteReference"/>
          <w:rFonts w:ascii="Arial" w:hAnsi="Arial" w:cs="Arial"/>
          <w:sz w:val="24"/>
          <w:szCs w:val="24"/>
        </w:rPr>
        <w:footnoteReference w:id="51"/>
      </w:r>
      <w:r>
        <w:rPr>
          <w:rFonts w:ascii="Arial" w:hAnsi="Arial" w:cs="Arial"/>
          <w:sz w:val="24"/>
          <w:szCs w:val="24"/>
        </w:rPr>
        <w:t xml:space="preserve"> Whilst describing Knohl’</w:t>
      </w:r>
      <w:r w:rsidR="00847C57">
        <w:rPr>
          <w:rFonts w:ascii="Arial" w:hAnsi="Arial" w:cs="Arial"/>
          <w:sz w:val="24"/>
          <w:szCs w:val="24"/>
        </w:rPr>
        <w:t>s argument as “ingenious”,</w:t>
      </w:r>
      <w:r w:rsidR="00A94BE4">
        <w:rPr>
          <w:rFonts w:ascii="Arial" w:hAnsi="Arial" w:cs="Arial"/>
          <w:sz w:val="24"/>
          <w:szCs w:val="24"/>
        </w:rPr>
        <w:t xml:space="preserve"> </w:t>
      </w:r>
      <w:r>
        <w:rPr>
          <w:rFonts w:ascii="Arial" w:hAnsi="Arial" w:cs="Arial"/>
          <w:sz w:val="24"/>
          <w:szCs w:val="24"/>
        </w:rPr>
        <w:t xml:space="preserve">Novenson </w:t>
      </w:r>
      <w:r w:rsidR="00847C57">
        <w:rPr>
          <w:rFonts w:ascii="Arial" w:hAnsi="Arial" w:cs="Arial"/>
          <w:sz w:val="24"/>
          <w:szCs w:val="24"/>
        </w:rPr>
        <w:t>considers</w:t>
      </w:r>
      <w:r>
        <w:rPr>
          <w:rFonts w:ascii="Arial" w:hAnsi="Arial" w:cs="Arial"/>
          <w:sz w:val="24"/>
          <w:szCs w:val="24"/>
        </w:rPr>
        <w:t xml:space="preserve"> that his links are too vague, and that Josephus’s Menahem is nowh</w:t>
      </w:r>
      <w:r w:rsidR="00C7434E">
        <w:rPr>
          <w:rFonts w:ascii="Arial" w:hAnsi="Arial" w:cs="Arial"/>
          <w:sz w:val="24"/>
          <w:szCs w:val="24"/>
        </w:rPr>
        <w:t xml:space="preserve">ere identified as a messiah, or </w:t>
      </w:r>
      <w:r>
        <w:rPr>
          <w:rFonts w:ascii="Arial" w:hAnsi="Arial" w:cs="Arial"/>
          <w:sz w:val="24"/>
          <w:szCs w:val="24"/>
        </w:rPr>
        <w:t>linked in the ancient sources specifically with Qumran.</w:t>
      </w:r>
      <w:r>
        <w:rPr>
          <w:rStyle w:val="FootnoteReference"/>
          <w:rFonts w:ascii="Arial" w:hAnsi="Arial" w:cs="Arial"/>
          <w:sz w:val="24"/>
          <w:szCs w:val="24"/>
        </w:rPr>
        <w:footnoteReference w:id="52"/>
      </w:r>
      <w:r w:rsidR="00A94BE4">
        <w:rPr>
          <w:rFonts w:ascii="Arial" w:hAnsi="Arial" w:cs="Arial"/>
          <w:sz w:val="24"/>
          <w:szCs w:val="24"/>
        </w:rPr>
        <w:t xml:space="preserve"> </w:t>
      </w:r>
      <w:r w:rsidR="003564D2">
        <w:rPr>
          <w:rFonts w:ascii="Arial" w:hAnsi="Arial" w:cs="Arial"/>
          <w:sz w:val="24"/>
          <w:szCs w:val="24"/>
        </w:rPr>
        <w:t xml:space="preserve">Novenson </w:t>
      </w:r>
      <w:r>
        <w:rPr>
          <w:rFonts w:ascii="Arial" w:hAnsi="Arial" w:cs="Arial"/>
          <w:sz w:val="24"/>
          <w:szCs w:val="24"/>
        </w:rPr>
        <w:t>further argues</w:t>
      </w:r>
      <w:r w:rsidR="003564D2">
        <w:rPr>
          <w:rFonts w:ascii="Arial" w:hAnsi="Arial" w:cs="Arial"/>
          <w:sz w:val="24"/>
          <w:szCs w:val="24"/>
        </w:rPr>
        <w:t xml:space="preserve"> that the search for the first messiah ha</w:t>
      </w:r>
      <w:r w:rsidR="00C7434E">
        <w:rPr>
          <w:rFonts w:ascii="Arial" w:hAnsi="Arial" w:cs="Arial"/>
          <w:sz w:val="24"/>
          <w:szCs w:val="24"/>
        </w:rPr>
        <w:t>s failed</w:t>
      </w:r>
      <w:r w:rsidR="00A94BE4">
        <w:rPr>
          <w:rFonts w:ascii="Arial" w:hAnsi="Arial" w:cs="Arial"/>
          <w:sz w:val="24"/>
          <w:szCs w:val="24"/>
        </w:rPr>
        <w:t>, and</w:t>
      </w:r>
      <w:r w:rsidR="005C0D29">
        <w:rPr>
          <w:rFonts w:ascii="Arial" w:hAnsi="Arial" w:cs="Arial"/>
          <w:sz w:val="24"/>
          <w:szCs w:val="24"/>
        </w:rPr>
        <w:t>, moreover,</w:t>
      </w:r>
      <w:r w:rsidR="00A94BE4">
        <w:rPr>
          <w:rFonts w:ascii="Arial" w:hAnsi="Arial" w:cs="Arial"/>
          <w:sz w:val="24"/>
          <w:szCs w:val="24"/>
        </w:rPr>
        <w:t xml:space="preserve"> </w:t>
      </w:r>
      <w:r w:rsidR="003564D2">
        <w:rPr>
          <w:rFonts w:ascii="Arial" w:hAnsi="Arial" w:cs="Arial"/>
          <w:sz w:val="24"/>
          <w:szCs w:val="24"/>
        </w:rPr>
        <w:t xml:space="preserve">is unfounded, </w:t>
      </w:r>
      <w:r w:rsidR="00C7434E">
        <w:rPr>
          <w:rFonts w:ascii="Arial" w:hAnsi="Arial" w:cs="Arial"/>
          <w:sz w:val="24"/>
          <w:szCs w:val="24"/>
        </w:rPr>
        <w:t>because</w:t>
      </w:r>
      <w:r w:rsidR="003564D2">
        <w:rPr>
          <w:rFonts w:ascii="Arial" w:hAnsi="Arial" w:cs="Arial"/>
          <w:sz w:val="24"/>
          <w:szCs w:val="24"/>
        </w:rPr>
        <w:t xml:space="preserve"> there are only interpretations of texts, </w:t>
      </w:r>
      <w:r w:rsidR="00C7434E">
        <w:rPr>
          <w:rFonts w:ascii="Arial" w:hAnsi="Arial" w:cs="Arial"/>
          <w:sz w:val="24"/>
          <w:szCs w:val="24"/>
        </w:rPr>
        <w:t>with</w:t>
      </w:r>
      <w:r w:rsidR="003564D2">
        <w:rPr>
          <w:rFonts w:ascii="Arial" w:hAnsi="Arial" w:cs="Arial"/>
          <w:sz w:val="24"/>
          <w:szCs w:val="24"/>
        </w:rPr>
        <w:t xml:space="preserve"> no hard evidence that such an individual existed. </w:t>
      </w:r>
      <w:r w:rsidR="005C0D29">
        <w:rPr>
          <w:rFonts w:ascii="Arial" w:hAnsi="Arial" w:cs="Arial"/>
          <w:sz w:val="24"/>
          <w:szCs w:val="24"/>
        </w:rPr>
        <w:t>He concludes that t</w:t>
      </w:r>
      <w:r>
        <w:rPr>
          <w:rFonts w:ascii="Arial" w:hAnsi="Arial" w:cs="Arial"/>
          <w:sz w:val="24"/>
          <w:szCs w:val="24"/>
        </w:rPr>
        <w:t xml:space="preserve">he narrator of the hymns in the </w:t>
      </w:r>
      <w:r w:rsidR="003564D2">
        <w:rPr>
          <w:rFonts w:ascii="Arial" w:hAnsi="Arial" w:cs="Arial"/>
          <w:sz w:val="24"/>
          <w:szCs w:val="24"/>
        </w:rPr>
        <w:t>Thanksgiving Scroll never describes himself as a messiah, nor is there any reference elsewhere in the Scroll to a messiah.</w:t>
      </w:r>
      <w:r w:rsidR="003564D2">
        <w:rPr>
          <w:rStyle w:val="FootnoteReference"/>
          <w:rFonts w:ascii="Arial" w:hAnsi="Arial" w:cs="Arial"/>
          <w:sz w:val="24"/>
          <w:szCs w:val="24"/>
        </w:rPr>
        <w:footnoteReference w:id="53"/>
      </w:r>
      <w:r>
        <w:rPr>
          <w:rFonts w:ascii="Arial" w:hAnsi="Arial" w:cs="Arial"/>
          <w:sz w:val="24"/>
          <w:szCs w:val="24"/>
        </w:rPr>
        <w:t xml:space="preserve"> </w:t>
      </w:r>
    </w:p>
    <w:p w:rsidR="005C0D29" w:rsidRDefault="005C0D29" w:rsidP="00A92FD1">
      <w:pPr>
        <w:spacing w:after="0"/>
        <w:jc w:val="both"/>
        <w:rPr>
          <w:rFonts w:ascii="Arial" w:hAnsi="Arial" w:cs="Arial"/>
          <w:sz w:val="24"/>
          <w:szCs w:val="24"/>
        </w:rPr>
      </w:pPr>
    </w:p>
    <w:p w:rsidR="00A94BE4" w:rsidRDefault="00A94BE4" w:rsidP="0054759A">
      <w:pPr>
        <w:spacing w:after="0"/>
        <w:jc w:val="center"/>
        <w:rPr>
          <w:rFonts w:ascii="Arial" w:hAnsi="Arial" w:cs="Arial"/>
          <w:b/>
          <w:sz w:val="24"/>
          <w:szCs w:val="24"/>
          <w:u w:val="single"/>
        </w:rPr>
      </w:pPr>
      <w:r>
        <w:rPr>
          <w:rFonts w:ascii="Arial" w:hAnsi="Arial" w:cs="Arial"/>
          <w:b/>
          <w:sz w:val="24"/>
          <w:szCs w:val="24"/>
          <w:u w:val="single"/>
        </w:rPr>
        <w:t>Conclusion</w:t>
      </w:r>
    </w:p>
    <w:p w:rsidR="005C0D29" w:rsidRDefault="005C0D29" w:rsidP="0054759A">
      <w:pPr>
        <w:spacing w:after="0"/>
        <w:jc w:val="center"/>
        <w:rPr>
          <w:rFonts w:ascii="Arial" w:hAnsi="Arial" w:cs="Arial"/>
          <w:b/>
          <w:sz w:val="24"/>
          <w:szCs w:val="24"/>
          <w:u w:val="single"/>
        </w:rPr>
      </w:pPr>
    </w:p>
    <w:p w:rsidR="005C0D29" w:rsidRDefault="005C0D29" w:rsidP="00E85DD4">
      <w:pPr>
        <w:spacing w:after="0"/>
        <w:jc w:val="both"/>
        <w:rPr>
          <w:rFonts w:ascii="Arial" w:hAnsi="Arial" w:cs="Arial"/>
          <w:sz w:val="24"/>
          <w:szCs w:val="24"/>
        </w:rPr>
      </w:pPr>
      <w:r>
        <w:rPr>
          <w:rFonts w:ascii="Arial" w:hAnsi="Arial" w:cs="Arial"/>
          <w:sz w:val="24"/>
          <w:szCs w:val="24"/>
        </w:rPr>
        <w:tab/>
        <w:t xml:space="preserve">I have examined the role of the Suffering Servant focusing on the Servant Songs in the book of Isaiah and the Thanksgiving Scroll, but also briefly taking into account </w:t>
      </w:r>
      <w:r w:rsidR="009A12DD">
        <w:rPr>
          <w:rFonts w:ascii="Arial" w:hAnsi="Arial" w:cs="Arial"/>
          <w:sz w:val="24"/>
          <w:szCs w:val="24"/>
        </w:rPr>
        <w:t xml:space="preserve">the book of Daniel and </w:t>
      </w:r>
      <w:r>
        <w:rPr>
          <w:rFonts w:ascii="Arial" w:hAnsi="Arial" w:cs="Arial"/>
          <w:sz w:val="24"/>
          <w:szCs w:val="24"/>
        </w:rPr>
        <w:t>the New Testament. The evidence suggests that the role of the Servant in these texts has been repurposed according to the contemporary circumstance</w:t>
      </w:r>
      <w:r w:rsidR="009A12DD">
        <w:rPr>
          <w:rFonts w:ascii="Arial" w:hAnsi="Arial" w:cs="Arial"/>
          <w:sz w:val="24"/>
          <w:szCs w:val="24"/>
        </w:rPr>
        <w:t xml:space="preserve">s, </w:t>
      </w:r>
      <w:r>
        <w:rPr>
          <w:rFonts w:ascii="Arial" w:hAnsi="Arial" w:cs="Arial"/>
          <w:sz w:val="24"/>
          <w:szCs w:val="24"/>
        </w:rPr>
        <w:t>which I consider could have been times of stress</w:t>
      </w:r>
      <w:r w:rsidR="009A12DD">
        <w:rPr>
          <w:rFonts w:ascii="Arial" w:hAnsi="Arial" w:cs="Arial"/>
          <w:sz w:val="24"/>
          <w:szCs w:val="24"/>
        </w:rPr>
        <w:t xml:space="preserve"> for the communi</w:t>
      </w:r>
      <w:r w:rsidR="00F1381D">
        <w:rPr>
          <w:rFonts w:ascii="Arial" w:hAnsi="Arial" w:cs="Arial"/>
          <w:sz w:val="24"/>
          <w:szCs w:val="24"/>
        </w:rPr>
        <w:t>ties</w:t>
      </w:r>
      <w:r>
        <w:rPr>
          <w:rFonts w:ascii="Arial" w:hAnsi="Arial" w:cs="Arial"/>
          <w:sz w:val="24"/>
          <w:szCs w:val="24"/>
        </w:rPr>
        <w:t>: exile in the book of Isaiah</w:t>
      </w:r>
      <w:r w:rsidR="00F1381D">
        <w:rPr>
          <w:rFonts w:ascii="Arial" w:hAnsi="Arial" w:cs="Arial"/>
          <w:sz w:val="24"/>
          <w:szCs w:val="24"/>
        </w:rPr>
        <w:t xml:space="preserve">; </w:t>
      </w:r>
      <w:r w:rsidR="009A12DD">
        <w:rPr>
          <w:rFonts w:ascii="Arial" w:hAnsi="Arial" w:cs="Arial"/>
          <w:sz w:val="24"/>
          <w:szCs w:val="24"/>
        </w:rPr>
        <w:t xml:space="preserve">the establishment of a dissident Jewish community at Qumran </w:t>
      </w:r>
      <w:r>
        <w:rPr>
          <w:rFonts w:ascii="Arial" w:hAnsi="Arial" w:cs="Arial"/>
          <w:sz w:val="24"/>
          <w:szCs w:val="24"/>
        </w:rPr>
        <w:t xml:space="preserve">in the </w:t>
      </w:r>
      <w:r w:rsidR="009A12DD">
        <w:rPr>
          <w:rFonts w:ascii="Arial" w:hAnsi="Arial" w:cs="Arial"/>
          <w:sz w:val="24"/>
          <w:szCs w:val="24"/>
        </w:rPr>
        <w:t>Thanksgiving Scroll;</w:t>
      </w:r>
      <w:r>
        <w:rPr>
          <w:rFonts w:ascii="Arial" w:hAnsi="Arial" w:cs="Arial"/>
          <w:sz w:val="24"/>
          <w:szCs w:val="24"/>
        </w:rPr>
        <w:t xml:space="preserve"> </w:t>
      </w:r>
      <w:r w:rsidR="009A12DD">
        <w:rPr>
          <w:rFonts w:ascii="Arial" w:hAnsi="Arial" w:cs="Arial"/>
          <w:sz w:val="24"/>
          <w:szCs w:val="24"/>
        </w:rPr>
        <w:t xml:space="preserve">religious persecution in the book of Daniel, </w:t>
      </w:r>
      <w:r>
        <w:rPr>
          <w:rFonts w:ascii="Arial" w:hAnsi="Arial" w:cs="Arial"/>
          <w:sz w:val="24"/>
          <w:szCs w:val="24"/>
        </w:rPr>
        <w:t xml:space="preserve">and </w:t>
      </w:r>
      <w:r w:rsidR="009A12DD">
        <w:rPr>
          <w:rFonts w:ascii="Arial" w:hAnsi="Arial" w:cs="Arial"/>
          <w:sz w:val="24"/>
          <w:szCs w:val="24"/>
        </w:rPr>
        <w:t>Roman rule, and, again, differences in Jewish ideology, in the New Testament.</w:t>
      </w:r>
    </w:p>
    <w:p w:rsidR="009A12DD" w:rsidRPr="005C0D29" w:rsidRDefault="009A12DD" w:rsidP="00E85DD4">
      <w:pPr>
        <w:spacing w:after="0"/>
        <w:jc w:val="both"/>
        <w:rPr>
          <w:rFonts w:ascii="Arial" w:hAnsi="Arial" w:cs="Arial"/>
          <w:sz w:val="24"/>
          <w:szCs w:val="24"/>
        </w:rPr>
      </w:pPr>
      <w:r>
        <w:rPr>
          <w:rFonts w:ascii="Arial" w:hAnsi="Arial" w:cs="Arial"/>
          <w:sz w:val="24"/>
          <w:szCs w:val="24"/>
        </w:rPr>
        <w:tab/>
      </w:r>
      <w:r w:rsidR="00F1381D">
        <w:rPr>
          <w:rFonts w:ascii="Arial" w:hAnsi="Arial" w:cs="Arial"/>
          <w:sz w:val="24"/>
          <w:szCs w:val="24"/>
        </w:rPr>
        <w:t>The</w:t>
      </w:r>
      <w:r>
        <w:rPr>
          <w:rFonts w:ascii="Arial" w:hAnsi="Arial" w:cs="Arial"/>
          <w:sz w:val="24"/>
          <w:szCs w:val="24"/>
        </w:rPr>
        <w:t xml:space="preserve"> Servant’</w:t>
      </w:r>
      <w:r w:rsidR="00F1381D">
        <w:rPr>
          <w:rFonts w:ascii="Arial" w:hAnsi="Arial" w:cs="Arial"/>
          <w:sz w:val="24"/>
          <w:szCs w:val="24"/>
        </w:rPr>
        <w:t xml:space="preserve">s role in Isaiah appears to have been one of offering hope, comfort and a return to the homeland, and, in the Thanksgiving Scroll, as that of leader and teacher of the newly-formed community at Qumran. </w:t>
      </w:r>
      <w:r w:rsidR="0067666C">
        <w:rPr>
          <w:rFonts w:ascii="Arial" w:hAnsi="Arial" w:cs="Arial"/>
          <w:sz w:val="24"/>
          <w:szCs w:val="24"/>
        </w:rPr>
        <w:t xml:space="preserve">Whilst </w:t>
      </w:r>
      <w:r w:rsidR="00F1381D">
        <w:rPr>
          <w:rFonts w:ascii="Arial" w:hAnsi="Arial" w:cs="Arial"/>
          <w:sz w:val="24"/>
          <w:szCs w:val="24"/>
        </w:rPr>
        <w:t xml:space="preserve">he identity of the Servant, and a messianic interpretation of the Servant, in both texts, </w:t>
      </w:r>
      <w:r w:rsidR="0067666C">
        <w:rPr>
          <w:rFonts w:ascii="Arial" w:hAnsi="Arial" w:cs="Arial"/>
          <w:sz w:val="24"/>
          <w:szCs w:val="24"/>
        </w:rPr>
        <w:t>may be</w:t>
      </w:r>
      <w:r w:rsidR="00F1381D">
        <w:rPr>
          <w:rFonts w:ascii="Arial" w:hAnsi="Arial" w:cs="Arial"/>
          <w:sz w:val="24"/>
          <w:szCs w:val="24"/>
        </w:rPr>
        <w:t xml:space="preserve"> uncertain</w:t>
      </w:r>
      <w:r w:rsidR="0067666C">
        <w:rPr>
          <w:rFonts w:ascii="Arial" w:hAnsi="Arial" w:cs="Arial"/>
          <w:sz w:val="24"/>
          <w:szCs w:val="24"/>
        </w:rPr>
        <w:t xml:space="preserve"> to modern scholars,</w:t>
      </w:r>
      <w:r w:rsidR="00F1381D">
        <w:rPr>
          <w:rFonts w:ascii="Arial" w:hAnsi="Arial" w:cs="Arial"/>
          <w:sz w:val="24"/>
          <w:szCs w:val="24"/>
        </w:rPr>
        <w:t xml:space="preserve"> this may not have been the case </w:t>
      </w:r>
      <w:r w:rsidR="0067666C">
        <w:rPr>
          <w:rFonts w:ascii="Arial" w:hAnsi="Arial" w:cs="Arial"/>
          <w:sz w:val="24"/>
          <w:szCs w:val="24"/>
        </w:rPr>
        <w:t xml:space="preserve">for contemporary readers </w:t>
      </w:r>
      <w:r w:rsidR="00F1381D">
        <w:rPr>
          <w:rFonts w:ascii="Arial" w:hAnsi="Arial" w:cs="Arial"/>
          <w:sz w:val="24"/>
          <w:szCs w:val="24"/>
        </w:rPr>
        <w:t xml:space="preserve">of the texts. My view is that the evidence is more in favour of the Servant in Isaiah being the Community, and in the Thanksgiving Scroll, </w:t>
      </w:r>
      <w:r w:rsidR="0067666C">
        <w:rPr>
          <w:rFonts w:ascii="Arial" w:hAnsi="Arial" w:cs="Arial"/>
          <w:sz w:val="24"/>
          <w:szCs w:val="24"/>
        </w:rPr>
        <w:t xml:space="preserve">as being </w:t>
      </w:r>
      <w:r w:rsidR="00F1381D">
        <w:rPr>
          <w:rFonts w:ascii="Arial" w:hAnsi="Arial" w:cs="Arial"/>
          <w:sz w:val="24"/>
          <w:szCs w:val="24"/>
        </w:rPr>
        <w:t>the Teacher of Righteousness</w:t>
      </w:r>
      <w:r w:rsidR="0067666C">
        <w:rPr>
          <w:rFonts w:ascii="Arial" w:hAnsi="Arial" w:cs="Arial"/>
          <w:sz w:val="24"/>
          <w:szCs w:val="24"/>
        </w:rPr>
        <w:t xml:space="preserve"> himelf</w:t>
      </w:r>
      <w:r w:rsidR="00F1381D">
        <w:rPr>
          <w:rFonts w:ascii="Arial" w:hAnsi="Arial" w:cs="Arial"/>
          <w:sz w:val="24"/>
          <w:szCs w:val="24"/>
        </w:rPr>
        <w:t>. I support the argument that there is no firm evidence to justify a messianic interpreta</w:t>
      </w:r>
      <w:r w:rsidR="00E85DD4">
        <w:rPr>
          <w:rFonts w:ascii="Arial" w:hAnsi="Arial" w:cs="Arial"/>
          <w:sz w:val="24"/>
          <w:szCs w:val="24"/>
        </w:rPr>
        <w:t xml:space="preserve">tion of the role of the Servant in the two main texts examined, although this could be the case in the New Testament. Finally, I would highlight the influence and importance of the part played by the interaction of reader and text in interpretation of texts. </w:t>
      </w:r>
    </w:p>
    <w:p w:rsidR="00060119" w:rsidRDefault="00060119" w:rsidP="00A92FD1">
      <w:pPr>
        <w:spacing w:after="0"/>
        <w:jc w:val="both"/>
        <w:rPr>
          <w:rFonts w:ascii="Arial" w:hAnsi="Arial" w:cs="Arial"/>
          <w:b/>
          <w:sz w:val="24"/>
          <w:szCs w:val="24"/>
          <w:u w:val="single"/>
        </w:rPr>
      </w:pPr>
    </w:p>
    <w:p w:rsidR="00E85DD4" w:rsidRDefault="00E85DD4" w:rsidP="00A92FD1">
      <w:pPr>
        <w:spacing w:after="0"/>
        <w:jc w:val="both"/>
        <w:rPr>
          <w:rFonts w:ascii="Arial" w:hAnsi="Arial" w:cs="Arial"/>
          <w:b/>
          <w:sz w:val="24"/>
          <w:szCs w:val="24"/>
        </w:rPr>
      </w:pPr>
      <w:r>
        <w:rPr>
          <w:rFonts w:ascii="Arial" w:hAnsi="Arial" w:cs="Arial"/>
          <w:b/>
          <w:sz w:val="24"/>
          <w:szCs w:val="24"/>
        </w:rPr>
        <w:t>Diane Stankaitis</w:t>
      </w:r>
    </w:p>
    <w:p w:rsidR="00E85DD4" w:rsidRDefault="00E85DD4" w:rsidP="00A92FD1">
      <w:pPr>
        <w:spacing w:after="0"/>
        <w:jc w:val="both"/>
        <w:rPr>
          <w:rFonts w:ascii="Arial" w:hAnsi="Arial" w:cs="Arial"/>
          <w:b/>
          <w:sz w:val="24"/>
          <w:szCs w:val="24"/>
        </w:rPr>
      </w:pPr>
      <w:r>
        <w:rPr>
          <w:rFonts w:ascii="Arial" w:hAnsi="Arial" w:cs="Arial"/>
          <w:b/>
          <w:sz w:val="24"/>
          <w:szCs w:val="24"/>
        </w:rPr>
        <w:t>15</w:t>
      </w:r>
      <w:r w:rsidRPr="00E85DD4">
        <w:rPr>
          <w:rFonts w:ascii="Arial" w:hAnsi="Arial" w:cs="Arial"/>
          <w:b/>
          <w:sz w:val="24"/>
          <w:szCs w:val="24"/>
          <w:vertAlign w:val="superscript"/>
        </w:rPr>
        <w:t>th</w:t>
      </w:r>
      <w:r>
        <w:rPr>
          <w:rFonts w:ascii="Arial" w:hAnsi="Arial" w:cs="Arial"/>
          <w:b/>
          <w:sz w:val="24"/>
          <w:szCs w:val="24"/>
        </w:rPr>
        <w:t xml:space="preserve"> August 2021</w:t>
      </w:r>
    </w:p>
    <w:p w:rsidR="00033A1A" w:rsidRDefault="00C30952" w:rsidP="00033A1A">
      <w:pPr>
        <w:spacing w:after="0"/>
        <w:jc w:val="both"/>
        <w:rPr>
          <w:rFonts w:ascii="Arial" w:hAnsi="Arial" w:cs="Arial"/>
          <w:b/>
          <w:sz w:val="24"/>
          <w:szCs w:val="24"/>
        </w:rPr>
      </w:pPr>
      <w:r>
        <w:rPr>
          <w:rFonts w:ascii="Arial" w:hAnsi="Arial" w:cs="Arial"/>
          <w:b/>
          <w:sz w:val="24"/>
          <w:szCs w:val="24"/>
        </w:rPr>
        <w:t>32</w:t>
      </w:r>
      <w:r w:rsidR="0034236E">
        <w:rPr>
          <w:rFonts w:ascii="Arial" w:hAnsi="Arial" w:cs="Arial"/>
          <w:b/>
          <w:sz w:val="24"/>
          <w:szCs w:val="24"/>
        </w:rPr>
        <w:t>17</w:t>
      </w:r>
      <w:bookmarkStart w:id="6" w:name="_GoBack"/>
      <w:bookmarkEnd w:id="6"/>
      <w:r w:rsidR="00E85DD4">
        <w:rPr>
          <w:rFonts w:ascii="Arial" w:hAnsi="Arial" w:cs="Arial"/>
          <w:b/>
          <w:sz w:val="24"/>
          <w:szCs w:val="24"/>
        </w:rPr>
        <w:t xml:space="preserve"> words, excluding title</w:t>
      </w:r>
    </w:p>
    <w:p w:rsidR="00F20CC9" w:rsidRDefault="00F20CC9" w:rsidP="00033A1A">
      <w:pPr>
        <w:spacing w:after="0"/>
        <w:jc w:val="center"/>
        <w:rPr>
          <w:rFonts w:ascii="Arial" w:hAnsi="Arial" w:cs="Arial"/>
          <w:b/>
          <w:u w:val="single"/>
        </w:rPr>
      </w:pPr>
      <w:r>
        <w:rPr>
          <w:rFonts w:ascii="Arial" w:hAnsi="Arial" w:cs="Arial"/>
          <w:b/>
          <w:u w:val="single"/>
        </w:rPr>
        <w:lastRenderedPageBreak/>
        <w:t>Bibliography</w:t>
      </w:r>
    </w:p>
    <w:p w:rsidR="00033A1A" w:rsidRPr="00033A1A" w:rsidRDefault="00033A1A" w:rsidP="00033A1A">
      <w:pPr>
        <w:spacing w:after="0"/>
        <w:jc w:val="center"/>
        <w:rPr>
          <w:rFonts w:ascii="Arial" w:hAnsi="Arial" w:cs="Arial"/>
          <w:b/>
          <w:sz w:val="24"/>
          <w:szCs w:val="24"/>
        </w:rPr>
      </w:pPr>
    </w:p>
    <w:p w:rsidR="00F20CC9" w:rsidRDefault="00F20CC9" w:rsidP="00F20CC9">
      <w:pPr>
        <w:spacing w:after="0"/>
        <w:rPr>
          <w:rFonts w:ascii="Arial" w:hAnsi="Arial" w:cs="Arial"/>
          <w:b/>
          <w:u w:val="single"/>
        </w:rPr>
      </w:pPr>
      <w:r>
        <w:rPr>
          <w:rFonts w:ascii="Arial" w:hAnsi="Arial" w:cs="Arial"/>
          <w:b/>
          <w:u w:val="single"/>
        </w:rPr>
        <w:t>Ancient Sources</w:t>
      </w:r>
    </w:p>
    <w:p w:rsidR="00F20CC9" w:rsidRDefault="00F20CC9" w:rsidP="00F20CC9">
      <w:pPr>
        <w:spacing w:after="0"/>
        <w:rPr>
          <w:rFonts w:ascii="Arial" w:hAnsi="Arial" w:cs="Arial"/>
          <w:b/>
          <w:u w:val="single"/>
        </w:rPr>
      </w:pPr>
    </w:p>
    <w:p w:rsidR="00F20CC9" w:rsidRPr="005B5803" w:rsidRDefault="00F20CC9" w:rsidP="00F20CC9">
      <w:pPr>
        <w:spacing w:after="0"/>
        <w:rPr>
          <w:rFonts w:ascii="Arial" w:hAnsi="Arial" w:cs="Arial"/>
          <w:b/>
          <w:u w:val="single"/>
        </w:rPr>
      </w:pPr>
      <w:r>
        <w:rPr>
          <w:rFonts w:ascii="Arial" w:hAnsi="Arial" w:cs="Arial"/>
        </w:rPr>
        <w:t xml:space="preserve">Josephus, </w:t>
      </w:r>
      <w:r>
        <w:rPr>
          <w:rFonts w:ascii="Arial" w:hAnsi="Arial" w:cs="Arial"/>
          <w:i/>
        </w:rPr>
        <w:t>Jewish Antiquities</w:t>
      </w:r>
      <w:r>
        <w:rPr>
          <w:rFonts w:ascii="Arial" w:hAnsi="Arial" w:cs="Arial"/>
        </w:rPr>
        <w:t>, trans. W. Whiston (Stansted: Wordsworth Editions, 2006).</w:t>
      </w:r>
    </w:p>
    <w:p w:rsidR="00F20CC9" w:rsidRDefault="00F20CC9" w:rsidP="00F20CC9">
      <w:pPr>
        <w:spacing w:after="0"/>
        <w:ind w:left="720" w:hanging="720"/>
        <w:rPr>
          <w:rFonts w:ascii="Arial" w:hAnsi="Arial" w:cs="Arial"/>
        </w:rPr>
      </w:pPr>
      <w:r>
        <w:rPr>
          <w:rFonts w:ascii="Arial" w:hAnsi="Arial" w:cs="Arial"/>
        </w:rPr>
        <w:t xml:space="preserve">Josephus, </w:t>
      </w:r>
      <w:r>
        <w:rPr>
          <w:rFonts w:ascii="Arial" w:hAnsi="Arial" w:cs="Arial"/>
          <w:i/>
        </w:rPr>
        <w:t>The Jewish War</w:t>
      </w:r>
      <w:r>
        <w:rPr>
          <w:rFonts w:ascii="Arial" w:hAnsi="Arial" w:cs="Arial"/>
        </w:rPr>
        <w:t>, trans. G.A. Williamson (London: Penguin Classics, 1981).</w:t>
      </w:r>
    </w:p>
    <w:p w:rsidR="00F20CC9" w:rsidRDefault="00F20CC9" w:rsidP="00F20CC9">
      <w:pPr>
        <w:spacing w:after="0"/>
        <w:ind w:left="720" w:hanging="720"/>
        <w:rPr>
          <w:rFonts w:ascii="Arial" w:hAnsi="Arial" w:cs="Arial"/>
        </w:rPr>
      </w:pPr>
      <w:r>
        <w:rPr>
          <w:rFonts w:ascii="Arial" w:hAnsi="Arial" w:cs="Arial"/>
        </w:rPr>
        <w:t xml:space="preserve">Philo, </w:t>
      </w:r>
      <w:r>
        <w:rPr>
          <w:rFonts w:ascii="Arial" w:hAnsi="Arial" w:cs="Arial"/>
          <w:i/>
        </w:rPr>
        <w:t>Volume IX</w:t>
      </w:r>
      <w:r>
        <w:rPr>
          <w:rFonts w:ascii="Arial" w:hAnsi="Arial" w:cs="Arial"/>
        </w:rPr>
        <w:t>, trans. F.H. Colson (Cambridge, MA: Harvard University Press, 1989).</w:t>
      </w:r>
    </w:p>
    <w:p w:rsidR="00F20CC9" w:rsidRDefault="00F20CC9" w:rsidP="00F20CC9">
      <w:pPr>
        <w:spacing w:after="0"/>
        <w:ind w:left="720" w:hanging="720"/>
        <w:rPr>
          <w:rFonts w:ascii="Arial" w:hAnsi="Arial" w:cs="Arial"/>
        </w:rPr>
      </w:pPr>
      <w:r>
        <w:rPr>
          <w:rFonts w:ascii="Arial" w:hAnsi="Arial" w:cs="Arial"/>
        </w:rPr>
        <w:t xml:space="preserve">Pliny the Elder, </w:t>
      </w:r>
      <w:r>
        <w:rPr>
          <w:rFonts w:ascii="Arial" w:hAnsi="Arial" w:cs="Arial"/>
          <w:i/>
        </w:rPr>
        <w:t>Natural History, Books 3-7</w:t>
      </w:r>
      <w:r>
        <w:rPr>
          <w:rFonts w:ascii="Arial" w:hAnsi="Arial" w:cs="Arial"/>
        </w:rPr>
        <w:t>, trans. H. Rackham (Cambridge, MA: Harvard University Press, 1989).</w:t>
      </w:r>
    </w:p>
    <w:p w:rsidR="00F20CC9" w:rsidRPr="0030675F" w:rsidRDefault="00F20CC9" w:rsidP="00F20CC9">
      <w:pPr>
        <w:spacing w:after="0"/>
        <w:ind w:left="720" w:hanging="720"/>
        <w:rPr>
          <w:rFonts w:ascii="Arial" w:hAnsi="Arial" w:cs="Arial"/>
        </w:rPr>
      </w:pPr>
      <w:r>
        <w:rPr>
          <w:rFonts w:ascii="Arial" w:hAnsi="Arial" w:cs="Arial"/>
        </w:rPr>
        <w:t xml:space="preserve"> </w:t>
      </w:r>
    </w:p>
    <w:p w:rsidR="00F20CC9" w:rsidRDefault="00F20CC9" w:rsidP="00F20CC9">
      <w:pPr>
        <w:spacing w:after="0"/>
        <w:rPr>
          <w:rFonts w:ascii="Arial" w:hAnsi="Arial" w:cs="Arial"/>
          <w:b/>
          <w:u w:val="single"/>
        </w:rPr>
      </w:pPr>
      <w:r>
        <w:rPr>
          <w:rFonts w:ascii="Arial" w:hAnsi="Arial" w:cs="Arial"/>
          <w:b/>
          <w:u w:val="single"/>
        </w:rPr>
        <w:t>Modern Scholarship</w:t>
      </w:r>
    </w:p>
    <w:p w:rsidR="00F20CC9" w:rsidRDefault="00F20CC9" w:rsidP="00F20CC9">
      <w:pPr>
        <w:spacing w:after="0"/>
        <w:rPr>
          <w:rFonts w:ascii="Arial" w:hAnsi="Arial" w:cs="Arial"/>
          <w:b/>
          <w:u w:val="single"/>
        </w:rPr>
      </w:pPr>
    </w:p>
    <w:p w:rsidR="00F20CC9" w:rsidRDefault="00F20CC9" w:rsidP="00F20CC9">
      <w:pPr>
        <w:spacing w:after="0"/>
        <w:ind w:left="720" w:hanging="720"/>
        <w:rPr>
          <w:rFonts w:ascii="Arial" w:hAnsi="Arial" w:cs="Arial"/>
        </w:rPr>
      </w:pPr>
      <w:r>
        <w:rPr>
          <w:rFonts w:ascii="Arial" w:hAnsi="Arial" w:cs="Arial"/>
        </w:rPr>
        <w:t xml:space="preserve">Barstad, H.M. ‘The Future of the “Servant Songs”: Some Reflections on the Relationship of Biblical Scholarship to its own Tradition, in </w:t>
      </w:r>
      <w:r>
        <w:rPr>
          <w:rFonts w:ascii="Arial" w:hAnsi="Arial" w:cs="Arial"/>
          <w:i/>
        </w:rPr>
        <w:t xml:space="preserve">Language, Theology, and the Bible. Essays in honour of James Barr, </w:t>
      </w:r>
      <w:r>
        <w:rPr>
          <w:rFonts w:ascii="Arial" w:hAnsi="Arial" w:cs="Arial"/>
        </w:rPr>
        <w:t>eds. S.E. Balentine &amp; J. Barton (Oxford: Clarendon Press, 1994), pp. 261-270.</w:t>
      </w:r>
    </w:p>
    <w:p w:rsidR="00F20CC9" w:rsidRPr="00D14FF7" w:rsidRDefault="00F20CC9" w:rsidP="00F20CC9">
      <w:pPr>
        <w:spacing w:after="0"/>
        <w:ind w:left="720" w:hanging="720"/>
        <w:rPr>
          <w:rFonts w:ascii="Arial" w:hAnsi="Arial" w:cs="Arial"/>
        </w:rPr>
      </w:pPr>
      <w:r>
        <w:rPr>
          <w:rFonts w:ascii="Arial" w:hAnsi="Arial" w:cs="Arial"/>
        </w:rPr>
        <w:t xml:space="preserve">Berges, U. ‘Isaiah: Structure, Themes, and Contested Issues’, in </w:t>
      </w:r>
      <w:r>
        <w:rPr>
          <w:rFonts w:ascii="Arial" w:hAnsi="Arial" w:cs="Arial"/>
          <w:i/>
        </w:rPr>
        <w:t>The Oxford Handbook of the Prophets</w:t>
      </w:r>
      <w:r>
        <w:rPr>
          <w:rFonts w:ascii="Arial" w:hAnsi="Arial" w:cs="Arial"/>
        </w:rPr>
        <w:t>, ed. C.J. Sharp (Oxford: Oxford University Press, 2016), pp. 153-173.</w:t>
      </w:r>
    </w:p>
    <w:p w:rsidR="00F20CC9" w:rsidRPr="00641FE9" w:rsidRDefault="00F20CC9" w:rsidP="00F20CC9">
      <w:pPr>
        <w:spacing w:after="0"/>
        <w:ind w:left="720" w:hanging="720"/>
        <w:rPr>
          <w:rFonts w:ascii="Arial" w:hAnsi="Arial" w:cs="Arial"/>
        </w:rPr>
      </w:pPr>
      <w:r>
        <w:rPr>
          <w:rFonts w:ascii="Arial" w:hAnsi="Arial" w:cs="Arial"/>
        </w:rPr>
        <w:t xml:space="preserve">Blenkinsopp, J., </w:t>
      </w:r>
      <w:r>
        <w:rPr>
          <w:rFonts w:ascii="Arial" w:hAnsi="Arial" w:cs="Arial"/>
          <w:i/>
        </w:rPr>
        <w:t xml:space="preserve">A History of Prophecy in Israel, </w:t>
      </w:r>
      <w:r>
        <w:rPr>
          <w:rFonts w:ascii="Arial" w:hAnsi="Arial" w:cs="Arial"/>
        </w:rPr>
        <w:t xml:space="preserve">rev. edn. (Louisville: Westminster John Knox, 1996). </w:t>
      </w:r>
    </w:p>
    <w:p w:rsidR="00F20CC9" w:rsidRPr="00641FE9" w:rsidRDefault="00F20CC9" w:rsidP="00F20CC9">
      <w:pPr>
        <w:spacing w:after="0"/>
        <w:ind w:left="720" w:hanging="720"/>
        <w:rPr>
          <w:rFonts w:ascii="Arial" w:hAnsi="Arial" w:cs="Arial"/>
        </w:rPr>
      </w:pPr>
      <w:r>
        <w:rPr>
          <w:rFonts w:ascii="Arial" w:hAnsi="Arial" w:cs="Arial"/>
        </w:rPr>
        <w:t xml:space="preserve">Blenkinsopp, J., </w:t>
      </w:r>
      <w:r>
        <w:rPr>
          <w:rFonts w:ascii="Arial" w:hAnsi="Arial" w:cs="Arial"/>
          <w:i/>
        </w:rPr>
        <w:t>Isaiah 40-55: A New Translation with Introduction and Commentary</w:t>
      </w:r>
      <w:r>
        <w:rPr>
          <w:rFonts w:ascii="Arial" w:hAnsi="Arial" w:cs="Arial"/>
        </w:rPr>
        <w:t>,</w:t>
      </w:r>
      <w:r>
        <w:rPr>
          <w:rFonts w:ascii="Arial" w:hAnsi="Arial" w:cs="Arial"/>
          <w:i/>
        </w:rPr>
        <w:t xml:space="preserve"> </w:t>
      </w:r>
      <w:r>
        <w:rPr>
          <w:rFonts w:ascii="Arial" w:hAnsi="Arial" w:cs="Arial"/>
        </w:rPr>
        <w:t xml:space="preserve">AB 19A: </w:t>
      </w:r>
      <w:r>
        <w:rPr>
          <w:rFonts w:ascii="Arial" w:hAnsi="Arial" w:cs="Arial"/>
          <w:i/>
        </w:rPr>
        <w:t xml:space="preserve"> </w:t>
      </w:r>
      <w:r>
        <w:rPr>
          <w:rFonts w:ascii="Arial" w:hAnsi="Arial" w:cs="Arial"/>
        </w:rPr>
        <w:t>(Garden City: Doubleday, 2000).</w:t>
      </w:r>
    </w:p>
    <w:p w:rsidR="00F20CC9" w:rsidRDefault="00F20CC9" w:rsidP="00F20CC9">
      <w:pPr>
        <w:spacing w:after="0"/>
        <w:ind w:left="720" w:hanging="720"/>
        <w:rPr>
          <w:rFonts w:ascii="Arial" w:hAnsi="Arial" w:cs="Arial"/>
        </w:rPr>
      </w:pPr>
      <w:r>
        <w:rPr>
          <w:rFonts w:ascii="Arial" w:hAnsi="Arial" w:cs="Arial"/>
        </w:rPr>
        <w:t xml:space="preserve">Blenkinsopp, J., </w:t>
      </w:r>
      <w:r>
        <w:rPr>
          <w:rFonts w:ascii="Arial" w:hAnsi="Arial" w:cs="Arial"/>
          <w:i/>
        </w:rPr>
        <w:t>Opening the Sealed Book: Interpretations of the Book of Isaiah in Late Antiquity</w:t>
      </w:r>
      <w:r>
        <w:rPr>
          <w:rFonts w:ascii="Arial" w:hAnsi="Arial" w:cs="Arial"/>
        </w:rPr>
        <w:t xml:space="preserve"> (Grand Rapids: Eerdmans, 2006).</w:t>
      </w:r>
    </w:p>
    <w:p w:rsidR="00F20CC9" w:rsidRPr="00D14FF7" w:rsidRDefault="00F20CC9" w:rsidP="00F20CC9">
      <w:pPr>
        <w:spacing w:after="0"/>
        <w:ind w:left="720" w:hanging="720"/>
        <w:rPr>
          <w:rFonts w:ascii="Arial" w:hAnsi="Arial" w:cs="Arial"/>
        </w:rPr>
      </w:pPr>
      <w:r>
        <w:rPr>
          <w:rFonts w:ascii="Arial" w:hAnsi="Arial" w:cs="Arial"/>
        </w:rPr>
        <w:t xml:space="preserve">Blenkinsopp, J., ‘The Sacrificial Life and Death of the Servant (Isaiah 52:13-53:12), </w:t>
      </w:r>
      <w:r>
        <w:rPr>
          <w:rFonts w:ascii="Arial" w:hAnsi="Arial" w:cs="Arial"/>
          <w:i/>
        </w:rPr>
        <w:t>Vetus Testamentum</w:t>
      </w:r>
      <w:r>
        <w:rPr>
          <w:rFonts w:ascii="Arial" w:hAnsi="Arial" w:cs="Arial"/>
        </w:rPr>
        <w:t xml:space="preserve"> 66, 1 (2016), pp. 1-14).</w:t>
      </w:r>
    </w:p>
    <w:p w:rsidR="00F20CC9" w:rsidRDefault="00F20CC9" w:rsidP="00F20CC9">
      <w:pPr>
        <w:spacing w:after="0"/>
        <w:ind w:left="720" w:hanging="720"/>
        <w:rPr>
          <w:rFonts w:ascii="Arial" w:hAnsi="Arial" w:cs="Arial"/>
        </w:rPr>
      </w:pPr>
      <w:r>
        <w:rPr>
          <w:rFonts w:ascii="Arial" w:hAnsi="Arial" w:cs="Arial"/>
        </w:rPr>
        <w:t xml:space="preserve">Brettler, M. &amp; A.-J. Levine, ‘Isaiah’s Suffering Servant: Before and After Christianity’, </w:t>
      </w:r>
      <w:r>
        <w:rPr>
          <w:rFonts w:ascii="Arial" w:hAnsi="Arial" w:cs="Arial"/>
          <w:i/>
        </w:rPr>
        <w:t>Interpretation: A Journal of Bible and Theology</w:t>
      </w:r>
      <w:r>
        <w:rPr>
          <w:rFonts w:ascii="Arial" w:hAnsi="Arial" w:cs="Arial"/>
        </w:rPr>
        <w:t xml:space="preserve"> 73, 2 (2019), pp. 158-173.</w:t>
      </w:r>
    </w:p>
    <w:p w:rsidR="00F20CC9" w:rsidRPr="00462AC5" w:rsidRDefault="00F20CC9" w:rsidP="00F20CC9">
      <w:pPr>
        <w:spacing w:after="0"/>
        <w:ind w:left="720" w:hanging="720"/>
        <w:rPr>
          <w:rFonts w:ascii="Arial" w:hAnsi="Arial" w:cs="Arial"/>
        </w:rPr>
      </w:pPr>
      <w:r>
        <w:rPr>
          <w:rFonts w:ascii="Arial" w:hAnsi="Arial" w:cs="Arial"/>
        </w:rPr>
        <w:t xml:space="preserve">Carmignac, J., ‘Les Citations de l’Ancient Testament, et Spécialement des Poèmes du Serviteur’, </w:t>
      </w:r>
      <w:r>
        <w:rPr>
          <w:rFonts w:ascii="Arial" w:hAnsi="Arial" w:cs="Arial"/>
          <w:i/>
        </w:rPr>
        <w:t xml:space="preserve">RevQ </w:t>
      </w:r>
      <w:r>
        <w:rPr>
          <w:rFonts w:ascii="Arial" w:hAnsi="Arial" w:cs="Arial"/>
        </w:rPr>
        <w:t>3 (1960), pp. 357-394.</w:t>
      </w:r>
    </w:p>
    <w:p w:rsidR="00F20CC9" w:rsidRPr="00CE02EC" w:rsidRDefault="00F20CC9" w:rsidP="00F20CC9">
      <w:pPr>
        <w:spacing w:after="0"/>
        <w:ind w:left="720" w:hanging="720"/>
        <w:rPr>
          <w:rFonts w:ascii="Arial" w:hAnsi="Arial" w:cs="Arial"/>
        </w:rPr>
      </w:pPr>
      <w:r>
        <w:rPr>
          <w:rFonts w:ascii="Arial" w:hAnsi="Arial" w:cs="Arial"/>
        </w:rPr>
        <w:t xml:space="preserve">Charlesworth, J.H., in </w:t>
      </w:r>
      <w:r>
        <w:rPr>
          <w:rFonts w:ascii="Arial" w:hAnsi="Arial" w:cs="Arial"/>
          <w:i/>
        </w:rPr>
        <w:t>Encyclopedia of the Dead Sea Scrolls</w:t>
      </w:r>
      <w:r>
        <w:rPr>
          <w:rFonts w:ascii="Arial" w:hAnsi="Arial" w:cs="Arial"/>
        </w:rPr>
        <w:t>, eds. L.H. Schiffman &amp; J.C. VanderKam (New York: Oxford University Press, 2000), 2.901.</w:t>
      </w:r>
    </w:p>
    <w:p w:rsidR="00F20CC9" w:rsidRDefault="00F20CC9" w:rsidP="00F20CC9">
      <w:pPr>
        <w:spacing w:after="0"/>
        <w:ind w:left="720" w:hanging="720"/>
        <w:rPr>
          <w:rFonts w:ascii="Arial" w:hAnsi="Arial" w:cs="Arial"/>
        </w:rPr>
      </w:pPr>
      <w:r>
        <w:rPr>
          <w:rFonts w:ascii="Arial" w:hAnsi="Arial" w:cs="Arial"/>
        </w:rPr>
        <w:t xml:space="preserve">Childs, B.S., </w:t>
      </w:r>
      <w:r>
        <w:rPr>
          <w:rFonts w:ascii="Arial" w:hAnsi="Arial" w:cs="Arial"/>
          <w:i/>
        </w:rPr>
        <w:t xml:space="preserve">Isaiah, </w:t>
      </w:r>
      <w:r w:rsidRPr="00FD2D28">
        <w:rPr>
          <w:rFonts w:ascii="Arial" w:hAnsi="Arial" w:cs="Arial"/>
        </w:rPr>
        <w:t>OTL</w:t>
      </w:r>
      <w:r>
        <w:rPr>
          <w:rFonts w:ascii="Arial" w:hAnsi="Arial" w:cs="Arial"/>
        </w:rPr>
        <w:t xml:space="preserve"> (Louisville: Westminster John Knox, 2001).</w:t>
      </w:r>
    </w:p>
    <w:p w:rsidR="00F20CC9" w:rsidRDefault="00F20CC9" w:rsidP="00F20CC9">
      <w:pPr>
        <w:spacing w:after="0"/>
        <w:ind w:left="720" w:hanging="720"/>
        <w:rPr>
          <w:rFonts w:ascii="Arial" w:hAnsi="Arial" w:cs="Arial"/>
        </w:rPr>
      </w:pPr>
      <w:r>
        <w:rPr>
          <w:rFonts w:ascii="Arial" w:hAnsi="Arial" w:cs="Arial"/>
        </w:rPr>
        <w:t xml:space="preserve">Clifford, R.J., </w:t>
      </w:r>
      <w:r>
        <w:rPr>
          <w:rFonts w:ascii="Arial" w:hAnsi="Arial" w:cs="Arial"/>
          <w:i/>
        </w:rPr>
        <w:t>Fair Spoken and Persuading: An Interpretation of Second Isaiah</w:t>
      </w:r>
      <w:r>
        <w:rPr>
          <w:rFonts w:ascii="Arial" w:hAnsi="Arial" w:cs="Arial"/>
        </w:rPr>
        <w:t xml:space="preserve"> (New York: Paulist, 1984).</w:t>
      </w:r>
    </w:p>
    <w:p w:rsidR="00F20CC9" w:rsidRPr="0062365D" w:rsidRDefault="00F20CC9" w:rsidP="00F20CC9">
      <w:pPr>
        <w:spacing w:after="0"/>
        <w:ind w:left="720" w:hanging="720"/>
        <w:rPr>
          <w:rFonts w:ascii="Arial" w:hAnsi="Arial" w:cs="Arial"/>
        </w:rPr>
      </w:pPr>
      <w:r>
        <w:rPr>
          <w:rFonts w:ascii="Arial" w:hAnsi="Arial" w:cs="Arial"/>
        </w:rPr>
        <w:t xml:space="preserve">Clines, D.J.A., </w:t>
      </w:r>
      <w:r>
        <w:rPr>
          <w:rFonts w:ascii="Arial" w:hAnsi="Arial" w:cs="Arial"/>
          <w:i/>
        </w:rPr>
        <w:t>I, He, We and They: A Literary Approach to Isaiah 53</w:t>
      </w:r>
      <w:r>
        <w:rPr>
          <w:rFonts w:ascii="Arial" w:hAnsi="Arial" w:cs="Arial"/>
        </w:rPr>
        <w:t xml:space="preserve"> (Sheffield: Journal for the Study of the Old Testament, 1976).</w:t>
      </w:r>
    </w:p>
    <w:p w:rsidR="00F20CC9" w:rsidRDefault="00F20CC9" w:rsidP="00F20CC9">
      <w:pPr>
        <w:spacing w:after="0"/>
        <w:ind w:left="720" w:hanging="720"/>
        <w:rPr>
          <w:rFonts w:ascii="Arial" w:hAnsi="Arial" w:cs="Arial"/>
        </w:rPr>
      </w:pPr>
      <w:r>
        <w:rPr>
          <w:rFonts w:ascii="Arial" w:hAnsi="Arial" w:cs="Arial"/>
        </w:rPr>
        <w:t xml:space="preserve">Collins, J.J., </w:t>
      </w:r>
      <w:r>
        <w:rPr>
          <w:rFonts w:ascii="Arial" w:hAnsi="Arial" w:cs="Arial"/>
          <w:i/>
        </w:rPr>
        <w:t xml:space="preserve">Daniel: A Commentary on the Book of Daniel </w:t>
      </w:r>
      <w:r>
        <w:rPr>
          <w:rFonts w:ascii="Arial" w:hAnsi="Arial" w:cs="Arial"/>
        </w:rPr>
        <w:t>(Hermeneia) (Philadelphia: Fortress Press, 1994).</w:t>
      </w:r>
    </w:p>
    <w:p w:rsidR="00F20CC9" w:rsidRDefault="00F20CC9" w:rsidP="00F20CC9">
      <w:pPr>
        <w:spacing w:after="0"/>
        <w:ind w:left="720" w:hanging="720"/>
        <w:rPr>
          <w:rFonts w:ascii="Arial" w:hAnsi="Arial" w:cs="Arial"/>
        </w:rPr>
      </w:pPr>
      <w:r>
        <w:rPr>
          <w:rFonts w:ascii="Arial" w:hAnsi="Arial" w:cs="Arial"/>
        </w:rPr>
        <w:t xml:space="preserve">Collins, J.J., </w:t>
      </w:r>
      <w:r>
        <w:rPr>
          <w:rFonts w:ascii="Arial" w:hAnsi="Arial" w:cs="Arial"/>
          <w:i/>
        </w:rPr>
        <w:t>The Scepter and the Star: The Messiahs of the Dead Sea Scrolls and other Ancient Literature</w:t>
      </w:r>
      <w:r>
        <w:rPr>
          <w:rFonts w:ascii="Arial" w:hAnsi="Arial" w:cs="Arial"/>
        </w:rPr>
        <w:t xml:space="preserve"> (New York: Doubleday, 1995).</w:t>
      </w:r>
    </w:p>
    <w:p w:rsidR="00F20CC9" w:rsidRDefault="00F20CC9" w:rsidP="00F20CC9">
      <w:pPr>
        <w:spacing w:after="0"/>
        <w:ind w:left="720" w:hanging="720"/>
        <w:rPr>
          <w:rFonts w:ascii="Arial" w:hAnsi="Arial" w:cs="Arial"/>
        </w:rPr>
      </w:pPr>
      <w:r>
        <w:rPr>
          <w:rFonts w:ascii="Arial" w:hAnsi="Arial" w:cs="Arial"/>
        </w:rPr>
        <w:t xml:space="preserve">Collins, J.J., </w:t>
      </w:r>
      <w:r>
        <w:rPr>
          <w:rFonts w:ascii="Arial" w:hAnsi="Arial" w:cs="Arial"/>
          <w:i/>
        </w:rPr>
        <w:t>Apocalypticism in the Dead Sea Scrolls</w:t>
      </w:r>
      <w:r>
        <w:rPr>
          <w:rFonts w:ascii="Arial" w:hAnsi="Arial" w:cs="Arial"/>
        </w:rPr>
        <w:t xml:space="preserve"> (London: Routledge, 1997).</w:t>
      </w:r>
    </w:p>
    <w:p w:rsidR="00F20CC9" w:rsidRDefault="00F20CC9" w:rsidP="00F20CC9">
      <w:pPr>
        <w:spacing w:after="0"/>
        <w:ind w:left="720" w:hanging="720"/>
        <w:rPr>
          <w:rFonts w:ascii="Arial" w:hAnsi="Arial" w:cs="Arial"/>
        </w:rPr>
      </w:pPr>
      <w:r>
        <w:rPr>
          <w:rFonts w:ascii="Arial" w:hAnsi="Arial" w:cs="Arial"/>
        </w:rPr>
        <w:t xml:space="preserve">Collins, J.J., ‘A Messiah Before Jesus’, in </w:t>
      </w:r>
      <w:r>
        <w:rPr>
          <w:rFonts w:ascii="Arial" w:hAnsi="Arial" w:cs="Arial"/>
          <w:i/>
        </w:rPr>
        <w:t>Christian Beginnings and the Dead Sea Scrolls</w:t>
      </w:r>
      <w:r>
        <w:rPr>
          <w:rFonts w:ascii="Arial" w:hAnsi="Arial" w:cs="Arial"/>
        </w:rPr>
        <w:t>, eds. J.J. Collins &amp; C.A. Evans (Grand Rapids: Baker Academic, 2006a), pp. 15-35.</w:t>
      </w:r>
    </w:p>
    <w:p w:rsidR="00F20CC9" w:rsidRDefault="00F20CC9" w:rsidP="00F20CC9">
      <w:pPr>
        <w:spacing w:after="0"/>
        <w:ind w:left="720" w:hanging="720"/>
        <w:rPr>
          <w:rFonts w:ascii="Arial" w:hAnsi="Arial" w:cs="Arial"/>
        </w:rPr>
      </w:pPr>
      <w:r>
        <w:rPr>
          <w:rFonts w:ascii="Arial" w:hAnsi="Arial" w:cs="Arial"/>
        </w:rPr>
        <w:t xml:space="preserve">Collins, J.J., ‘An Essene Messiah? Comments on Israel Knohl, </w:t>
      </w:r>
      <w:r>
        <w:rPr>
          <w:rFonts w:ascii="Arial" w:hAnsi="Arial" w:cs="Arial"/>
          <w:i/>
        </w:rPr>
        <w:t>The Messiah Before Jesus</w:t>
      </w:r>
      <w:r>
        <w:rPr>
          <w:rFonts w:ascii="Arial" w:hAnsi="Arial" w:cs="Arial"/>
        </w:rPr>
        <w:t xml:space="preserve">, in </w:t>
      </w:r>
      <w:r>
        <w:rPr>
          <w:rFonts w:ascii="Arial" w:hAnsi="Arial" w:cs="Arial"/>
          <w:i/>
        </w:rPr>
        <w:t>Christian Beginnings and the Dead Sea Scrolls</w:t>
      </w:r>
      <w:r>
        <w:rPr>
          <w:rFonts w:ascii="Arial" w:hAnsi="Arial" w:cs="Arial"/>
        </w:rPr>
        <w:t>, eds. J.J. Collins &amp; C.A. Evans (Grand Rapids: Baker Academic, 2006b), pp. 37-44.</w:t>
      </w:r>
    </w:p>
    <w:p w:rsidR="00F20CC9" w:rsidRDefault="00F20CC9" w:rsidP="00F20CC9">
      <w:pPr>
        <w:spacing w:after="0"/>
        <w:ind w:left="720" w:hanging="720"/>
        <w:rPr>
          <w:rFonts w:ascii="Arial" w:hAnsi="Arial" w:cs="Arial"/>
        </w:rPr>
      </w:pPr>
      <w:r>
        <w:rPr>
          <w:rFonts w:ascii="Arial" w:hAnsi="Arial" w:cs="Arial"/>
        </w:rPr>
        <w:lastRenderedPageBreak/>
        <w:t xml:space="preserve">Collins, J.J., </w:t>
      </w:r>
      <w:r>
        <w:rPr>
          <w:rFonts w:ascii="Arial" w:hAnsi="Arial" w:cs="Arial"/>
          <w:i/>
        </w:rPr>
        <w:t>The Scepter and the Star: The Messiahs of the Dead Sea Scrolls and Other Ancient Literature</w:t>
      </w:r>
      <w:r>
        <w:rPr>
          <w:rFonts w:ascii="Arial" w:hAnsi="Arial" w:cs="Arial"/>
        </w:rPr>
        <w:t>, 2</w:t>
      </w:r>
      <w:r w:rsidRPr="00CE02EC">
        <w:rPr>
          <w:rFonts w:ascii="Arial" w:hAnsi="Arial" w:cs="Arial"/>
          <w:vertAlign w:val="superscript"/>
        </w:rPr>
        <w:t>nd</w:t>
      </w:r>
      <w:r>
        <w:rPr>
          <w:rFonts w:ascii="Arial" w:hAnsi="Arial" w:cs="Arial"/>
        </w:rPr>
        <w:t xml:space="preserve"> edn. (Grand Rapids: Eerdmans, 2010).</w:t>
      </w:r>
    </w:p>
    <w:p w:rsidR="00F20CC9" w:rsidRPr="00CE7D93" w:rsidRDefault="00F20CC9" w:rsidP="00F20CC9">
      <w:pPr>
        <w:spacing w:after="0"/>
        <w:ind w:left="720" w:hanging="720"/>
        <w:rPr>
          <w:rFonts w:ascii="Arial" w:hAnsi="Arial" w:cs="Arial"/>
        </w:rPr>
      </w:pPr>
      <w:r>
        <w:rPr>
          <w:rFonts w:ascii="Arial" w:hAnsi="Arial" w:cs="Arial"/>
        </w:rPr>
        <w:t xml:space="preserve">Collins, J.J., </w:t>
      </w:r>
      <w:r>
        <w:rPr>
          <w:rFonts w:ascii="Arial" w:hAnsi="Arial" w:cs="Arial"/>
          <w:i/>
        </w:rPr>
        <w:t>The Dead Sea Scrolls: A Biography</w:t>
      </w:r>
      <w:r>
        <w:rPr>
          <w:rFonts w:ascii="Arial" w:hAnsi="Arial" w:cs="Arial"/>
        </w:rPr>
        <w:t xml:space="preserve"> (Princeton: Princeton University Press, 2013).</w:t>
      </w:r>
    </w:p>
    <w:p w:rsidR="00F20CC9" w:rsidRDefault="00F20CC9" w:rsidP="00F20CC9">
      <w:pPr>
        <w:spacing w:after="0"/>
        <w:ind w:left="720" w:hanging="720"/>
        <w:rPr>
          <w:rFonts w:ascii="Arial" w:hAnsi="Arial" w:cs="Arial"/>
        </w:rPr>
      </w:pPr>
      <w:r>
        <w:rPr>
          <w:rFonts w:ascii="Arial" w:hAnsi="Arial" w:cs="Arial"/>
        </w:rPr>
        <w:t xml:space="preserve">Collins, J.J., </w:t>
      </w:r>
      <w:r>
        <w:rPr>
          <w:rFonts w:ascii="Arial" w:hAnsi="Arial" w:cs="Arial"/>
          <w:i/>
        </w:rPr>
        <w:t>Scriptures and Sectarianism: Essays on the Dead Sea Scrolls</w:t>
      </w:r>
      <w:r>
        <w:rPr>
          <w:rFonts w:ascii="Arial" w:hAnsi="Arial" w:cs="Arial"/>
        </w:rPr>
        <w:t xml:space="preserve"> (Grand Rapids: Eerdmans, 2014).</w:t>
      </w:r>
    </w:p>
    <w:p w:rsidR="00F20CC9" w:rsidRPr="00545713" w:rsidRDefault="00F20CC9" w:rsidP="00F20CC9">
      <w:pPr>
        <w:spacing w:after="0"/>
        <w:ind w:left="720" w:hanging="720"/>
        <w:rPr>
          <w:rFonts w:ascii="Arial" w:hAnsi="Arial" w:cs="Arial"/>
        </w:rPr>
      </w:pPr>
      <w:r>
        <w:rPr>
          <w:rFonts w:ascii="Arial" w:hAnsi="Arial" w:cs="Arial"/>
        </w:rPr>
        <w:t xml:space="preserve">Collins, J.J. &amp; Evans, C.S., ‘Preface; in </w:t>
      </w:r>
      <w:r>
        <w:rPr>
          <w:rFonts w:ascii="Arial" w:hAnsi="Arial" w:cs="Arial"/>
          <w:i/>
        </w:rPr>
        <w:t>Christian Beginnings and the Dead Sea Scrolls</w:t>
      </w:r>
      <w:r>
        <w:rPr>
          <w:rFonts w:ascii="Arial" w:hAnsi="Arial" w:cs="Arial"/>
        </w:rPr>
        <w:t>, eds. J.J. Collins &amp; C.A. Evans (Grand Rapids: Baker Academic, 2006), pp. 9-14.</w:t>
      </w:r>
      <w:r>
        <w:rPr>
          <w:rFonts w:ascii="Arial" w:hAnsi="Arial" w:cs="Arial"/>
          <w:i/>
        </w:rPr>
        <w:t xml:space="preserve"> </w:t>
      </w:r>
    </w:p>
    <w:p w:rsidR="00F20CC9" w:rsidRPr="008C6858" w:rsidRDefault="00F20CC9" w:rsidP="00F20CC9">
      <w:pPr>
        <w:spacing w:after="0"/>
        <w:ind w:left="720" w:hanging="720"/>
        <w:rPr>
          <w:rFonts w:ascii="Arial" w:hAnsi="Arial" w:cs="Arial"/>
        </w:rPr>
      </w:pPr>
      <w:r>
        <w:rPr>
          <w:rFonts w:ascii="Arial" w:hAnsi="Arial" w:cs="Arial"/>
        </w:rPr>
        <w:t xml:space="preserve">Cook, E.M. </w:t>
      </w:r>
      <w:r>
        <w:rPr>
          <w:rFonts w:ascii="Arial" w:hAnsi="Arial" w:cs="Arial"/>
          <w:i/>
        </w:rPr>
        <w:t>Solving The Mysteries of the Dead Sea Scrolls</w:t>
      </w:r>
      <w:r>
        <w:rPr>
          <w:rFonts w:ascii="Arial" w:hAnsi="Arial" w:cs="Arial"/>
        </w:rPr>
        <w:t xml:space="preserve"> (Carlisle: The Paternoster Press, 1994).</w:t>
      </w:r>
    </w:p>
    <w:p w:rsidR="00F20CC9" w:rsidRDefault="00F20CC9" w:rsidP="00F20CC9">
      <w:pPr>
        <w:spacing w:after="0"/>
        <w:ind w:left="720" w:hanging="720"/>
        <w:rPr>
          <w:rFonts w:ascii="Arial" w:hAnsi="Arial" w:cs="Arial"/>
        </w:rPr>
      </w:pPr>
      <w:r>
        <w:rPr>
          <w:rFonts w:ascii="Arial" w:hAnsi="Arial" w:cs="Arial"/>
        </w:rPr>
        <w:t xml:space="preserve">Cross. F.M., </w:t>
      </w:r>
      <w:r>
        <w:rPr>
          <w:rFonts w:ascii="Arial" w:hAnsi="Arial" w:cs="Arial"/>
          <w:i/>
        </w:rPr>
        <w:t>The Ancient Library of Qumran and Modern Biblical Studies</w:t>
      </w:r>
      <w:r>
        <w:rPr>
          <w:rFonts w:ascii="Arial" w:hAnsi="Arial" w:cs="Arial"/>
        </w:rPr>
        <w:t xml:space="preserve"> (Garden City, NY: Doubleday, 1958).</w:t>
      </w:r>
    </w:p>
    <w:p w:rsidR="00F20CC9" w:rsidRPr="001F5BA2" w:rsidRDefault="00F20CC9" w:rsidP="00F20CC9">
      <w:pPr>
        <w:spacing w:after="0"/>
        <w:ind w:left="720" w:hanging="720"/>
        <w:rPr>
          <w:rFonts w:ascii="Arial" w:hAnsi="Arial" w:cs="Arial"/>
        </w:rPr>
      </w:pPr>
      <w:r>
        <w:rPr>
          <w:rFonts w:ascii="Arial" w:hAnsi="Arial" w:cs="Arial"/>
        </w:rPr>
        <w:t xml:space="preserve">Davies, P.R., Brooke, G.J. &amp; Callaway, P.R., </w:t>
      </w:r>
      <w:r>
        <w:rPr>
          <w:rFonts w:ascii="Arial" w:hAnsi="Arial" w:cs="Arial"/>
          <w:i/>
        </w:rPr>
        <w:t xml:space="preserve">The Complete World of The Dead Sea Scrolls </w:t>
      </w:r>
      <w:r>
        <w:rPr>
          <w:rFonts w:ascii="Arial" w:hAnsi="Arial" w:cs="Arial"/>
        </w:rPr>
        <w:t>(London: Thames &amp; Hudson, 2002).</w:t>
      </w:r>
    </w:p>
    <w:p w:rsidR="00F20CC9" w:rsidRDefault="00F20CC9" w:rsidP="00F20CC9">
      <w:pPr>
        <w:spacing w:after="0"/>
        <w:ind w:left="720" w:hanging="720"/>
        <w:rPr>
          <w:rFonts w:ascii="Arial" w:hAnsi="Arial" w:cs="Arial"/>
        </w:rPr>
      </w:pPr>
      <w:r>
        <w:rPr>
          <w:rFonts w:ascii="Arial" w:hAnsi="Arial" w:cs="Arial"/>
        </w:rPr>
        <w:t xml:space="preserve">De Jonge, M., </w:t>
      </w:r>
      <w:r>
        <w:rPr>
          <w:rFonts w:ascii="Arial" w:hAnsi="Arial" w:cs="Arial"/>
          <w:i/>
        </w:rPr>
        <w:t>Jesus, The Servant Messiah</w:t>
      </w:r>
      <w:r>
        <w:rPr>
          <w:rFonts w:ascii="Arial" w:hAnsi="Arial" w:cs="Arial"/>
        </w:rPr>
        <w:t xml:space="preserve"> (New Haven: Yale University Press, 1991).</w:t>
      </w:r>
    </w:p>
    <w:p w:rsidR="00F20CC9" w:rsidRDefault="00F20CC9" w:rsidP="00F20CC9">
      <w:pPr>
        <w:spacing w:after="0"/>
        <w:ind w:left="720" w:hanging="720"/>
        <w:rPr>
          <w:rFonts w:ascii="Arial" w:hAnsi="Arial" w:cs="Arial"/>
        </w:rPr>
      </w:pPr>
      <w:r>
        <w:rPr>
          <w:rFonts w:ascii="Arial" w:hAnsi="Arial" w:cs="Arial"/>
        </w:rPr>
        <w:t xml:space="preserve">De Vaux, R., </w:t>
      </w:r>
      <w:r>
        <w:rPr>
          <w:rFonts w:ascii="Arial" w:hAnsi="Arial" w:cs="Arial"/>
          <w:i/>
        </w:rPr>
        <w:t xml:space="preserve">Archaeology and the Dead Sea Scrolls </w:t>
      </w:r>
      <w:r>
        <w:rPr>
          <w:rFonts w:ascii="Arial" w:hAnsi="Arial" w:cs="Arial"/>
        </w:rPr>
        <w:t>(London: Oxford University Press, 1973).</w:t>
      </w:r>
    </w:p>
    <w:p w:rsidR="00F20CC9" w:rsidRPr="0083029C" w:rsidRDefault="00F20CC9" w:rsidP="00F20CC9">
      <w:pPr>
        <w:spacing w:after="0"/>
        <w:ind w:left="720" w:hanging="720"/>
        <w:rPr>
          <w:rFonts w:ascii="Arial" w:hAnsi="Arial" w:cs="Arial"/>
        </w:rPr>
      </w:pPr>
      <w:r>
        <w:rPr>
          <w:rFonts w:ascii="Arial" w:hAnsi="Arial" w:cs="Arial"/>
        </w:rPr>
        <w:t xml:space="preserve">Dray, P., ‘Isaiah 52:13-53:12: Isaiah on the Suffering Servant’, </w:t>
      </w:r>
      <w:r>
        <w:rPr>
          <w:rFonts w:ascii="Arial" w:hAnsi="Arial" w:cs="Arial"/>
          <w:i/>
        </w:rPr>
        <w:t>Evangel</w:t>
      </w:r>
      <w:r>
        <w:rPr>
          <w:rFonts w:ascii="Arial" w:hAnsi="Arial" w:cs="Arial"/>
        </w:rPr>
        <w:t xml:space="preserve"> 26, 2 (2008), pp.33-36.</w:t>
      </w:r>
    </w:p>
    <w:p w:rsidR="00F20CC9" w:rsidRPr="0020138E" w:rsidRDefault="00F20CC9" w:rsidP="00F20CC9">
      <w:pPr>
        <w:spacing w:after="0"/>
        <w:ind w:left="720" w:hanging="720"/>
        <w:rPr>
          <w:rFonts w:ascii="Arial" w:hAnsi="Arial" w:cs="Arial"/>
        </w:rPr>
      </w:pPr>
      <w:r>
        <w:rPr>
          <w:rFonts w:ascii="Arial" w:hAnsi="Arial" w:cs="Arial"/>
        </w:rPr>
        <w:t xml:space="preserve">Driver, S.R., </w:t>
      </w:r>
      <w:r>
        <w:rPr>
          <w:rFonts w:ascii="Arial" w:hAnsi="Arial" w:cs="Arial"/>
          <w:i/>
        </w:rPr>
        <w:t xml:space="preserve">A Critical and Exegetical Commentary on Deuteronomy, </w:t>
      </w:r>
      <w:r>
        <w:rPr>
          <w:rFonts w:ascii="Arial" w:hAnsi="Arial" w:cs="Arial"/>
        </w:rPr>
        <w:t>ICC (New York: Scribner, 1895).</w:t>
      </w:r>
    </w:p>
    <w:p w:rsidR="00F20CC9" w:rsidRDefault="00F20CC9" w:rsidP="00F20CC9">
      <w:pPr>
        <w:spacing w:after="0"/>
        <w:ind w:left="720" w:hanging="720"/>
        <w:rPr>
          <w:rFonts w:ascii="Arial" w:hAnsi="Arial" w:cs="Arial"/>
        </w:rPr>
      </w:pPr>
      <w:r>
        <w:rPr>
          <w:rFonts w:ascii="Arial" w:hAnsi="Arial" w:cs="Arial"/>
        </w:rPr>
        <w:t xml:space="preserve">Duhm, B.L., </w:t>
      </w:r>
      <w:r>
        <w:rPr>
          <w:rFonts w:ascii="Arial" w:hAnsi="Arial" w:cs="Arial"/>
          <w:i/>
        </w:rPr>
        <w:t xml:space="preserve">Das Buch Jesaia </w:t>
      </w:r>
      <w:r>
        <w:rPr>
          <w:rFonts w:ascii="Arial" w:hAnsi="Arial" w:cs="Arial"/>
        </w:rPr>
        <w:t>(Göttingen: Vandenhoeck &amp; Ruprecht, 1892).</w:t>
      </w:r>
    </w:p>
    <w:p w:rsidR="00F20CC9" w:rsidRDefault="00F20CC9" w:rsidP="00F20CC9">
      <w:pPr>
        <w:spacing w:after="0"/>
        <w:ind w:left="720" w:hanging="720"/>
        <w:rPr>
          <w:rFonts w:ascii="Arial" w:hAnsi="Arial" w:cs="Arial"/>
        </w:rPr>
      </w:pPr>
      <w:r>
        <w:rPr>
          <w:rFonts w:ascii="Arial" w:hAnsi="Arial" w:cs="Arial"/>
        </w:rPr>
        <w:t xml:space="preserve">Dupont-Sommer, A., </w:t>
      </w:r>
      <w:r>
        <w:rPr>
          <w:rFonts w:ascii="Arial" w:hAnsi="Arial" w:cs="Arial"/>
          <w:i/>
        </w:rPr>
        <w:t>The Essene Writings from Qumran</w:t>
      </w:r>
      <w:r>
        <w:rPr>
          <w:rFonts w:ascii="Arial" w:hAnsi="Arial" w:cs="Arial"/>
        </w:rPr>
        <w:t>, trans. G. Vermes (Gloucester, MA: Smith, 1973).</w:t>
      </w:r>
    </w:p>
    <w:p w:rsidR="00F20CC9" w:rsidRPr="008C6858" w:rsidRDefault="00F20CC9" w:rsidP="00F20CC9">
      <w:pPr>
        <w:spacing w:after="0"/>
        <w:ind w:left="720" w:hanging="720"/>
        <w:rPr>
          <w:rFonts w:ascii="Arial" w:hAnsi="Arial" w:cs="Arial"/>
          <w:i/>
        </w:rPr>
      </w:pPr>
      <w:r>
        <w:rPr>
          <w:rFonts w:ascii="Arial" w:hAnsi="Arial" w:cs="Arial"/>
        </w:rPr>
        <w:t xml:space="preserve">Eisenman, R. &amp; Wise, M., </w:t>
      </w:r>
      <w:r>
        <w:rPr>
          <w:rFonts w:ascii="Arial" w:hAnsi="Arial" w:cs="Arial"/>
          <w:i/>
        </w:rPr>
        <w:t>The Dead Sea Scrolls Uncovered</w:t>
      </w:r>
      <w:r>
        <w:rPr>
          <w:rFonts w:ascii="Arial" w:hAnsi="Arial" w:cs="Arial"/>
        </w:rPr>
        <w:t xml:space="preserve"> (London: Penguin Books, 1992).</w:t>
      </w:r>
    </w:p>
    <w:p w:rsidR="00F20CC9" w:rsidRPr="00795CFD" w:rsidRDefault="00F20CC9" w:rsidP="00F20CC9">
      <w:pPr>
        <w:spacing w:after="0"/>
        <w:ind w:left="720" w:hanging="720"/>
        <w:rPr>
          <w:rFonts w:ascii="Arial" w:hAnsi="Arial" w:cs="Arial"/>
        </w:rPr>
      </w:pPr>
      <w:r>
        <w:rPr>
          <w:rFonts w:ascii="Arial" w:hAnsi="Arial" w:cs="Arial"/>
        </w:rPr>
        <w:t xml:space="preserve">Eshel, E., ‘4Q471b: A Self-Glorification Hymn’, </w:t>
      </w:r>
      <w:r>
        <w:rPr>
          <w:rFonts w:ascii="Arial" w:hAnsi="Arial" w:cs="Arial"/>
          <w:i/>
        </w:rPr>
        <w:t>RevQ</w:t>
      </w:r>
      <w:r>
        <w:rPr>
          <w:rFonts w:ascii="Arial" w:hAnsi="Arial" w:cs="Arial"/>
        </w:rPr>
        <w:t xml:space="preserve"> 17 (1996), pp.175-203.</w:t>
      </w:r>
    </w:p>
    <w:p w:rsidR="00F20CC9" w:rsidRDefault="00F20CC9" w:rsidP="00F20CC9">
      <w:pPr>
        <w:spacing w:after="0"/>
        <w:ind w:left="720" w:hanging="720"/>
        <w:rPr>
          <w:rFonts w:ascii="Arial" w:hAnsi="Arial" w:cs="Arial"/>
        </w:rPr>
      </w:pPr>
      <w:r>
        <w:rPr>
          <w:rFonts w:ascii="Arial" w:hAnsi="Arial" w:cs="Arial"/>
        </w:rPr>
        <w:t xml:space="preserve">Eshel, E., ‘The Identification of the ‘Speaker’ of the Self-Glorification Hymn’, in </w:t>
      </w:r>
      <w:r>
        <w:rPr>
          <w:rFonts w:ascii="Arial" w:hAnsi="Arial" w:cs="Arial"/>
          <w:i/>
        </w:rPr>
        <w:t>The Provo International Conference on the Dead Sea Scrolls</w:t>
      </w:r>
      <w:r>
        <w:rPr>
          <w:rFonts w:ascii="Arial" w:hAnsi="Arial" w:cs="Arial"/>
        </w:rPr>
        <w:t>, eds. D.W. Parry &amp; E. Ulrich (Leiden: Brill, 1999).</w:t>
      </w:r>
    </w:p>
    <w:p w:rsidR="00F20CC9" w:rsidRPr="00082796" w:rsidRDefault="00F20CC9" w:rsidP="00F20CC9">
      <w:pPr>
        <w:spacing w:after="0"/>
        <w:ind w:left="720" w:hanging="720"/>
        <w:rPr>
          <w:rFonts w:ascii="Arial" w:hAnsi="Arial" w:cs="Arial"/>
        </w:rPr>
      </w:pPr>
      <w:r>
        <w:rPr>
          <w:rFonts w:ascii="Arial" w:hAnsi="Arial" w:cs="Arial"/>
        </w:rPr>
        <w:t xml:space="preserve">Evans, C.A., </w:t>
      </w:r>
      <w:r>
        <w:rPr>
          <w:rFonts w:ascii="Arial" w:hAnsi="Arial" w:cs="Arial"/>
          <w:i/>
        </w:rPr>
        <w:t>Jesus and His Contemporaries</w:t>
      </w:r>
      <w:r>
        <w:rPr>
          <w:rFonts w:ascii="Arial" w:hAnsi="Arial" w:cs="Arial"/>
        </w:rPr>
        <w:t xml:space="preserve"> (Leiden: Brill, 1995).</w:t>
      </w:r>
    </w:p>
    <w:p w:rsidR="00F20CC9" w:rsidRDefault="00F20CC9" w:rsidP="00F20CC9">
      <w:pPr>
        <w:spacing w:after="0"/>
        <w:ind w:left="720" w:hanging="720"/>
        <w:rPr>
          <w:rFonts w:ascii="Arial" w:hAnsi="Arial" w:cs="Arial"/>
        </w:rPr>
      </w:pPr>
      <w:r>
        <w:rPr>
          <w:rFonts w:ascii="Arial" w:hAnsi="Arial" w:cs="Arial"/>
        </w:rPr>
        <w:t xml:space="preserve">Goulder, M.D., ‘Behold My Servant Jehoiachin’, </w:t>
      </w:r>
      <w:r>
        <w:rPr>
          <w:rFonts w:ascii="Arial" w:hAnsi="Arial" w:cs="Arial"/>
          <w:i/>
        </w:rPr>
        <w:t xml:space="preserve">VT </w:t>
      </w:r>
      <w:r>
        <w:rPr>
          <w:rFonts w:ascii="Arial" w:hAnsi="Arial" w:cs="Arial"/>
        </w:rPr>
        <w:t>52 (2002), pp. 175-190.</w:t>
      </w:r>
    </w:p>
    <w:p w:rsidR="00F20CC9" w:rsidRPr="00462AC5" w:rsidRDefault="00F20CC9" w:rsidP="00F20CC9">
      <w:pPr>
        <w:spacing w:after="0"/>
        <w:ind w:left="720" w:hanging="720"/>
        <w:rPr>
          <w:rFonts w:ascii="Arial" w:hAnsi="Arial" w:cs="Arial"/>
          <w:i/>
        </w:rPr>
      </w:pPr>
      <w:r>
        <w:rPr>
          <w:rFonts w:ascii="Arial" w:hAnsi="Arial" w:cs="Arial"/>
        </w:rPr>
        <w:t xml:space="preserve">Hengel, M., ‘The Effective History of Isaiah 53 in the Pre-Christian Period’, in </w:t>
      </w:r>
      <w:r>
        <w:rPr>
          <w:rFonts w:ascii="Arial" w:hAnsi="Arial" w:cs="Arial"/>
          <w:i/>
        </w:rPr>
        <w:t>The Suffering Servant. Isaiah 53 in Jewish and Christian Sources</w:t>
      </w:r>
      <w:r>
        <w:rPr>
          <w:rFonts w:ascii="Arial" w:hAnsi="Arial" w:cs="Arial"/>
        </w:rPr>
        <w:t>, eds. B. Janowski &amp; P. Stuhlmacher (Grand Rapids: Eerdmans, 2004), pp. 75-146.</w:t>
      </w:r>
      <w:r>
        <w:rPr>
          <w:rFonts w:ascii="Arial" w:hAnsi="Arial" w:cs="Arial"/>
          <w:i/>
        </w:rPr>
        <w:t xml:space="preserve"> </w:t>
      </w:r>
    </w:p>
    <w:p w:rsidR="00F20CC9" w:rsidRDefault="00F20CC9" w:rsidP="00F20CC9">
      <w:pPr>
        <w:spacing w:after="0"/>
        <w:ind w:left="720" w:hanging="720"/>
        <w:rPr>
          <w:rFonts w:ascii="Arial" w:hAnsi="Arial" w:cs="Arial"/>
        </w:rPr>
      </w:pPr>
      <w:r>
        <w:rPr>
          <w:rFonts w:ascii="Arial" w:hAnsi="Arial" w:cs="Arial"/>
        </w:rPr>
        <w:t xml:space="preserve">Hooker, M.D., ‘Did the Use of Isaiah 53 to Interpret His Mission Begin With Jesus?’, in </w:t>
      </w:r>
      <w:r>
        <w:rPr>
          <w:rFonts w:ascii="Arial" w:hAnsi="Arial" w:cs="Arial"/>
          <w:i/>
        </w:rPr>
        <w:t>Jesus and the Suffering Servant</w:t>
      </w:r>
      <w:r>
        <w:rPr>
          <w:rFonts w:ascii="Arial" w:hAnsi="Arial" w:cs="Arial"/>
        </w:rPr>
        <w:t xml:space="preserve">: </w:t>
      </w:r>
      <w:r>
        <w:rPr>
          <w:rFonts w:ascii="Arial" w:hAnsi="Arial" w:cs="Arial"/>
          <w:i/>
        </w:rPr>
        <w:t>Isaiah and Christian Origins</w:t>
      </w:r>
      <w:r>
        <w:rPr>
          <w:rFonts w:ascii="Arial" w:hAnsi="Arial" w:cs="Arial"/>
        </w:rPr>
        <w:t>, eds. W.H. Bellinger Jr. &amp; W.R. Farmer (Harrisburg: Trinity Press International, 1998), pp. 88-103.</w:t>
      </w:r>
    </w:p>
    <w:p w:rsidR="00F20CC9" w:rsidRDefault="00F20CC9" w:rsidP="00F20CC9">
      <w:pPr>
        <w:spacing w:after="0"/>
        <w:ind w:left="720" w:hanging="720"/>
        <w:rPr>
          <w:rFonts w:ascii="Arial" w:hAnsi="Arial" w:cs="Arial"/>
        </w:rPr>
      </w:pPr>
      <w:r>
        <w:rPr>
          <w:rFonts w:ascii="Arial" w:hAnsi="Arial" w:cs="Arial"/>
        </w:rPr>
        <w:t xml:space="preserve">Jassen, A.P. ‘The Prophets in the Dead Sea Scrolls’, in </w:t>
      </w:r>
      <w:r>
        <w:rPr>
          <w:rFonts w:ascii="Arial" w:hAnsi="Arial" w:cs="Arial"/>
          <w:i/>
        </w:rPr>
        <w:t>The Oxford Handbook of the Prophets</w:t>
      </w:r>
      <w:r>
        <w:rPr>
          <w:rFonts w:ascii="Arial" w:hAnsi="Arial" w:cs="Arial"/>
        </w:rPr>
        <w:t>, ed. C.J. Sharp (Oxford: Oxford University Press, 2016), pp. 353-372.</w:t>
      </w:r>
    </w:p>
    <w:p w:rsidR="00F20CC9" w:rsidRPr="00462AC5" w:rsidRDefault="00F20CC9" w:rsidP="00F20CC9">
      <w:pPr>
        <w:spacing w:after="0"/>
        <w:ind w:left="720" w:hanging="720"/>
        <w:rPr>
          <w:rFonts w:ascii="Arial" w:hAnsi="Arial" w:cs="Arial"/>
        </w:rPr>
      </w:pPr>
      <w:r>
        <w:rPr>
          <w:rFonts w:ascii="Arial" w:hAnsi="Arial" w:cs="Arial"/>
        </w:rPr>
        <w:t xml:space="preserve">Jeremias, G., </w:t>
      </w:r>
      <w:r>
        <w:rPr>
          <w:rFonts w:ascii="Arial" w:hAnsi="Arial" w:cs="Arial"/>
          <w:i/>
        </w:rPr>
        <w:t>Der Lehrer der Gerechtigkeit</w:t>
      </w:r>
      <w:r>
        <w:rPr>
          <w:rFonts w:ascii="Arial" w:hAnsi="Arial" w:cs="Arial"/>
        </w:rPr>
        <w:t xml:space="preserve"> (Göttingen: Vandenhoeck &amp; Ruprecht, 1963).</w:t>
      </w:r>
    </w:p>
    <w:p w:rsidR="00F20CC9" w:rsidRDefault="00F20CC9" w:rsidP="00F20CC9">
      <w:pPr>
        <w:spacing w:after="0"/>
        <w:ind w:left="720" w:hanging="720"/>
        <w:rPr>
          <w:rFonts w:ascii="Arial" w:hAnsi="Arial" w:cs="Arial"/>
        </w:rPr>
      </w:pPr>
      <w:r>
        <w:rPr>
          <w:rFonts w:ascii="Arial" w:hAnsi="Arial" w:cs="Arial"/>
        </w:rPr>
        <w:t xml:space="preserve">Jeremias, J., ‘Pais Theou’, in </w:t>
      </w:r>
      <w:r>
        <w:rPr>
          <w:rFonts w:ascii="Arial" w:hAnsi="Arial" w:cs="Arial"/>
          <w:i/>
        </w:rPr>
        <w:t>Theological Dictionary of the New Testament</w:t>
      </w:r>
      <w:r>
        <w:rPr>
          <w:rFonts w:ascii="Arial" w:hAnsi="Arial" w:cs="Arial"/>
        </w:rPr>
        <w:t>, ed. G. Friedrich (Grand Rapids: Eerdmans, 1967), 5.677-700.</w:t>
      </w:r>
    </w:p>
    <w:p w:rsidR="00F20CC9" w:rsidRDefault="00F20CC9" w:rsidP="00F20CC9">
      <w:pPr>
        <w:spacing w:after="0"/>
        <w:ind w:left="720" w:hanging="720"/>
        <w:rPr>
          <w:rFonts w:ascii="Arial" w:hAnsi="Arial" w:cs="Arial"/>
          <w:sz w:val="24"/>
          <w:szCs w:val="24"/>
        </w:rPr>
      </w:pPr>
      <w:r>
        <w:rPr>
          <w:rFonts w:ascii="Arial" w:hAnsi="Arial" w:cs="Arial"/>
          <w:sz w:val="24"/>
          <w:szCs w:val="24"/>
        </w:rPr>
        <w:t xml:space="preserve">Knight, M., ‘Wirkungsgeschichte, Reception Theory’, </w:t>
      </w:r>
      <w:r>
        <w:rPr>
          <w:rFonts w:ascii="Arial" w:hAnsi="Arial" w:cs="Arial"/>
          <w:i/>
          <w:sz w:val="24"/>
          <w:szCs w:val="24"/>
        </w:rPr>
        <w:t>Journal for the Study of the New Testament</w:t>
      </w:r>
      <w:r>
        <w:rPr>
          <w:rFonts w:ascii="Arial" w:hAnsi="Arial" w:cs="Arial"/>
          <w:sz w:val="24"/>
          <w:szCs w:val="24"/>
        </w:rPr>
        <w:t xml:space="preserve"> 33, 2 (2010), pp. 137-146.</w:t>
      </w:r>
    </w:p>
    <w:p w:rsidR="00F20CC9" w:rsidRPr="00592881" w:rsidRDefault="00F20CC9" w:rsidP="00F20CC9">
      <w:pPr>
        <w:spacing w:after="0"/>
        <w:ind w:left="720" w:hanging="720"/>
        <w:rPr>
          <w:rFonts w:ascii="Arial" w:hAnsi="Arial" w:cs="Arial"/>
        </w:rPr>
      </w:pPr>
    </w:p>
    <w:p w:rsidR="00F20CC9" w:rsidRPr="00CE02EC" w:rsidRDefault="00F20CC9" w:rsidP="00F20CC9">
      <w:pPr>
        <w:spacing w:after="0"/>
        <w:ind w:left="720" w:hanging="720"/>
        <w:rPr>
          <w:rFonts w:ascii="Arial" w:hAnsi="Arial" w:cs="Arial"/>
        </w:rPr>
      </w:pPr>
      <w:r>
        <w:rPr>
          <w:rFonts w:ascii="Arial" w:hAnsi="Arial" w:cs="Arial"/>
        </w:rPr>
        <w:lastRenderedPageBreak/>
        <w:t xml:space="preserve">Knohl, I., </w:t>
      </w:r>
      <w:r>
        <w:rPr>
          <w:rFonts w:ascii="Arial" w:hAnsi="Arial" w:cs="Arial"/>
          <w:i/>
        </w:rPr>
        <w:t>The Messiah Before Jesus: The Suffering Servant of the Dead Sea Scrolls</w:t>
      </w:r>
      <w:r>
        <w:rPr>
          <w:rFonts w:ascii="Arial" w:hAnsi="Arial" w:cs="Arial"/>
        </w:rPr>
        <w:t>, trans. D. Maisel (Berkeley: University of California Press, 2000).</w:t>
      </w:r>
    </w:p>
    <w:p w:rsidR="00F20CC9" w:rsidRDefault="00F20CC9" w:rsidP="00F20CC9">
      <w:pPr>
        <w:spacing w:after="0"/>
        <w:ind w:left="720" w:hanging="720"/>
        <w:rPr>
          <w:rFonts w:ascii="Arial" w:hAnsi="Arial" w:cs="Arial"/>
        </w:rPr>
      </w:pPr>
      <w:r>
        <w:rPr>
          <w:rFonts w:ascii="Arial" w:hAnsi="Arial" w:cs="Arial"/>
        </w:rPr>
        <w:t xml:space="preserve">Knohl, I., ‘The Suffering Servant: From Isaiah to the Dead Sea Scrolls’, in </w:t>
      </w:r>
      <w:r>
        <w:rPr>
          <w:rFonts w:ascii="Arial" w:hAnsi="Arial" w:cs="Arial"/>
          <w:i/>
        </w:rPr>
        <w:t>Scriptural Exegesis: The Shapes of Culture and the Religious Imagination: Essays in Honour of Michael Fishbane</w:t>
      </w:r>
      <w:r>
        <w:rPr>
          <w:rFonts w:ascii="Arial" w:hAnsi="Arial" w:cs="Arial"/>
        </w:rPr>
        <w:t>, eds. D.A. Green &amp; L.S. Lieber (Oxford: Oxford University Press, 2009), pp. 89-104.</w:t>
      </w:r>
    </w:p>
    <w:p w:rsidR="00F20CC9" w:rsidRDefault="00F20CC9" w:rsidP="00F20CC9">
      <w:pPr>
        <w:spacing w:after="0"/>
        <w:ind w:left="720" w:hanging="720"/>
        <w:rPr>
          <w:rFonts w:ascii="Arial" w:hAnsi="Arial" w:cs="Arial"/>
        </w:rPr>
      </w:pPr>
      <w:r>
        <w:rPr>
          <w:rFonts w:ascii="Arial" w:hAnsi="Arial" w:cs="Arial"/>
        </w:rPr>
        <w:t xml:space="preserve">Lessing, R.R., ‘Isaiah’s Servants in Chapters 40-55: Clearing up the Confusion’, </w:t>
      </w:r>
      <w:r>
        <w:rPr>
          <w:rFonts w:ascii="Arial" w:hAnsi="Arial" w:cs="Arial"/>
          <w:i/>
        </w:rPr>
        <w:t>Concordia Journal</w:t>
      </w:r>
      <w:r>
        <w:rPr>
          <w:rFonts w:ascii="Arial" w:hAnsi="Arial" w:cs="Arial"/>
        </w:rPr>
        <w:t xml:space="preserve"> 37, 2 (2011), pp.130-134.</w:t>
      </w:r>
    </w:p>
    <w:p w:rsidR="00F20CC9" w:rsidRPr="00B305FB" w:rsidRDefault="00F20CC9" w:rsidP="00F20CC9">
      <w:pPr>
        <w:spacing w:after="0"/>
        <w:ind w:left="720" w:hanging="720"/>
        <w:rPr>
          <w:rFonts w:ascii="Arial" w:hAnsi="Arial" w:cs="Arial"/>
        </w:rPr>
      </w:pPr>
      <w:r>
        <w:rPr>
          <w:rFonts w:ascii="Arial" w:hAnsi="Arial" w:cs="Arial"/>
        </w:rPr>
        <w:t xml:space="preserve">Levine, A.-J., ‘Introduction’, in </w:t>
      </w:r>
      <w:r>
        <w:rPr>
          <w:rFonts w:ascii="Arial" w:hAnsi="Arial" w:cs="Arial"/>
          <w:i/>
        </w:rPr>
        <w:t>The Historical Jesus in Context</w:t>
      </w:r>
      <w:r>
        <w:rPr>
          <w:rFonts w:ascii="Arial" w:hAnsi="Arial" w:cs="Arial"/>
        </w:rPr>
        <w:t>, eds. A.-J. Levine, D.C. Allison Jr. &amp; J.D. Crossan (Princeton: Princeton University Press), pp.1-39.</w:t>
      </w:r>
    </w:p>
    <w:p w:rsidR="00F20CC9" w:rsidRDefault="00F20CC9" w:rsidP="00F20CC9">
      <w:pPr>
        <w:spacing w:after="0"/>
        <w:ind w:left="720" w:hanging="720"/>
        <w:rPr>
          <w:rFonts w:ascii="Arial" w:hAnsi="Arial" w:cs="Arial"/>
        </w:rPr>
      </w:pPr>
      <w:r>
        <w:rPr>
          <w:rFonts w:ascii="Arial" w:hAnsi="Arial" w:cs="Arial"/>
        </w:rPr>
        <w:t xml:space="preserve">Lindsey, F.D., ‘Isaiah’s Songs of the Servant Part 5: The Career of the Servant in Isaiah 52:13-53:12’, </w:t>
      </w:r>
      <w:r>
        <w:rPr>
          <w:rFonts w:ascii="Arial" w:hAnsi="Arial" w:cs="Arial"/>
          <w:i/>
        </w:rPr>
        <w:t xml:space="preserve">Bibliotheca Sacra </w:t>
      </w:r>
      <w:r>
        <w:rPr>
          <w:rFonts w:ascii="Arial" w:hAnsi="Arial" w:cs="Arial"/>
        </w:rPr>
        <w:t>140, 557 (1983), pp.21-39.</w:t>
      </w:r>
    </w:p>
    <w:p w:rsidR="00F20CC9" w:rsidRPr="0062365D" w:rsidRDefault="00F20CC9" w:rsidP="00F20CC9">
      <w:pPr>
        <w:spacing w:after="0"/>
        <w:ind w:left="720" w:hanging="720"/>
        <w:rPr>
          <w:rFonts w:ascii="Arial" w:hAnsi="Arial" w:cs="Arial"/>
        </w:rPr>
      </w:pPr>
      <w:r>
        <w:rPr>
          <w:rFonts w:ascii="Arial" w:hAnsi="Arial" w:cs="Arial"/>
        </w:rPr>
        <w:t xml:space="preserve">Lindsey, F.D., </w:t>
      </w:r>
      <w:r>
        <w:rPr>
          <w:rFonts w:ascii="Arial" w:hAnsi="Arial" w:cs="Arial"/>
          <w:i/>
        </w:rPr>
        <w:t xml:space="preserve">The Servant Songs </w:t>
      </w:r>
      <w:r>
        <w:rPr>
          <w:rFonts w:ascii="Arial" w:hAnsi="Arial" w:cs="Arial"/>
        </w:rPr>
        <w:t>(Chicago: Moody, 1985).</w:t>
      </w:r>
    </w:p>
    <w:p w:rsidR="00F20CC9" w:rsidRPr="00A3385B" w:rsidRDefault="00F20CC9" w:rsidP="00F20CC9">
      <w:pPr>
        <w:spacing w:after="0"/>
        <w:ind w:left="720" w:hanging="720"/>
        <w:rPr>
          <w:rFonts w:ascii="Arial" w:hAnsi="Arial" w:cs="Arial"/>
        </w:rPr>
      </w:pPr>
      <w:r>
        <w:rPr>
          <w:rFonts w:ascii="Arial" w:hAnsi="Arial" w:cs="Arial"/>
        </w:rPr>
        <w:t xml:space="preserve">Maller, A.S., ‘Isaiah’s Suffering Servant: A New View’, </w:t>
      </w:r>
      <w:r>
        <w:rPr>
          <w:rFonts w:ascii="Arial" w:hAnsi="Arial" w:cs="Arial"/>
          <w:i/>
        </w:rPr>
        <w:t>The Jewish Bible Quarterly</w:t>
      </w:r>
      <w:r>
        <w:rPr>
          <w:rFonts w:ascii="Arial" w:hAnsi="Arial" w:cs="Arial"/>
        </w:rPr>
        <w:t xml:space="preserve"> 37, 4 (2009), pp. 243-249.</w:t>
      </w:r>
    </w:p>
    <w:p w:rsidR="00F20CC9" w:rsidRDefault="00F20CC9" w:rsidP="00F20CC9">
      <w:pPr>
        <w:spacing w:after="0"/>
        <w:ind w:left="720" w:hanging="720"/>
        <w:rPr>
          <w:rFonts w:ascii="Arial" w:hAnsi="Arial" w:cs="Arial"/>
        </w:rPr>
      </w:pPr>
      <w:r>
        <w:rPr>
          <w:rFonts w:ascii="Arial" w:hAnsi="Arial" w:cs="Arial"/>
        </w:rPr>
        <w:t xml:space="preserve">Mettinger, T.N.D., </w:t>
      </w:r>
      <w:r>
        <w:rPr>
          <w:rFonts w:ascii="Arial" w:hAnsi="Arial" w:cs="Arial"/>
          <w:i/>
        </w:rPr>
        <w:t>A Farewell to the Servant Songs: A Critical Examination of an Exegetical Axiom</w:t>
      </w:r>
      <w:r>
        <w:rPr>
          <w:rFonts w:ascii="Arial" w:hAnsi="Arial" w:cs="Arial"/>
        </w:rPr>
        <w:t>, Skripta Minora, trans. F.H. Cryer (Lund: Royal Society of Letters, 1983).</w:t>
      </w:r>
    </w:p>
    <w:p w:rsidR="00F20CC9" w:rsidRPr="00CC70BA" w:rsidRDefault="00F20CC9" w:rsidP="00F20CC9">
      <w:pPr>
        <w:spacing w:after="0"/>
        <w:ind w:left="720" w:hanging="720"/>
        <w:rPr>
          <w:rFonts w:ascii="Arial" w:hAnsi="Arial" w:cs="Arial"/>
        </w:rPr>
      </w:pPr>
      <w:r>
        <w:rPr>
          <w:rFonts w:ascii="Arial" w:hAnsi="Arial" w:cs="Arial"/>
        </w:rPr>
        <w:t xml:space="preserve">Montgomery, J.A., </w:t>
      </w:r>
      <w:r>
        <w:rPr>
          <w:rFonts w:ascii="Arial" w:hAnsi="Arial" w:cs="Arial"/>
          <w:i/>
        </w:rPr>
        <w:t>A Critical and Exegetical Commentary on the Book of Daniel</w:t>
      </w:r>
      <w:r>
        <w:rPr>
          <w:rFonts w:ascii="Arial" w:hAnsi="Arial" w:cs="Arial"/>
        </w:rPr>
        <w:t xml:space="preserve"> (Edinburgh: T.&amp;T. Clark, 1927).</w:t>
      </w:r>
    </w:p>
    <w:p w:rsidR="00F20CC9" w:rsidRDefault="00F20CC9" w:rsidP="00F20CC9">
      <w:pPr>
        <w:spacing w:after="0"/>
        <w:ind w:left="720" w:hanging="720"/>
        <w:rPr>
          <w:rFonts w:ascii="Arial" w:hAnsi="Arial" w:cs="Arial"/>
        </w:rPr>
      </w:pPr>
      <w:r>
        <w:rPr>
          <w:rFonts w:ascii="Arial" w:hAnsi="Arial" w:cs="Arial"/>
        </w:rPr>
        <w:t xml:space="preserve">North, C.R., </w:t>
      </w:r>
      <w:r>
        <w:rPr>
          <w:rFonts w:ascii="Arial" w:hAnsi="Arial" w:cs="Arial"/>
          <w:i/>
        </w:rPr>
        <w:t>The Suffering Servant in Deutero-Isaiah: An Historical and Critical Study</w:t>
      </w:r>
      <w:r>
        <w:rPr>
          <w:rFonts w:ascii="Arial" w:hAnsi="Arial" w:cs="Arial"/>
        </w:rPr>
        <w:t>, 2</w:t>
      </w:r>
      <w:r w:rsidRPr="0020138E">
        <w:rPr>
          <w:rFonts w:ascii="Arial" w:hAnsi="Arial" w:cs="Arial"/>
          <w:vertAlign w:val="superscript"/>
        </w:rPr>
        <w:t>nd</w:t>
      </w:r>
      <w:r>
        <w:rPr>
          <w:rFonts w:ascii="Arial" w:hAnsi="Arial" w:cs="Arial"/>
        </w:rPr>
        <w:t xml:space="preserve"> edn. (Oxford: Oxford University Press, 1956).</w:t>
      </w:r>
    </w:p>
    <w:p w:rsidR="00F20CC9" w:rsidRPr="00C87E5A" w:rsidRDefault="00F20CC9" w:rsidP="00F20CC9">
      <w:pPr>
        <w:spacing w:after="0"/>
        <w:ind w:left="720" w:hanging="720"/>
        <w:rPr>
          <w:rFonts w:ascii="Arial" w:hAnsi="Arial" w:cs="Arial"/>
        </w:rPr>
      </w:pPr>
      <w:r>
        <w:rPr>
          <w:rFonts w:ascii="Arial" w:hAnsi="Arial" w:cs="Arial"/>
        </w:rPr>
        <w:t xml:space="preserve">Novenson, M.V., </w:t>
      </w:r>
      <w:r>
        <w:rPr>
          <w:rFonts w:ascii="Arial" w:hAnsi="Arial" w:cs="Arial"/>
          <w:i/>
        </w:rPr>
        <w:t xml:space="preserve">The Grammar of Messianism: An Ancient Jewish Political Idiom and Its Users </w:t>
      </w:r>
      <w:r>
        <w:rPr>
          <w:rFonts w:ascii="Arial" w:hAnsi="Arial" w:cs="Arial"/>
        </w:rPr>
        <w:t>(Oxford: Oxford University Press, 2017).</w:t>
      </w:r>
    </w:p>
    <w:p w:rsidR="00F20CC9" w:rsidRPr="0020138E" w:rsidRDefault="00F20CC9" w:rsidP="00F20CC9">
      <w:pPr>
        <w:spacing w:after="0"/>
        <w:ind w:left="720" w:hanging="720"/>
        <w:rPr>
          <w:rFonts w:ascii="Arial" w:hAnsi="Arial" w:cs="Arial"/>
        </w:rPr>
      </w:pPr>
      <w:r>
        <w:rPr>
          <w:rFonts w:ascii="Arial" w:hAnsi="Arial" w:cs="Arial"/>
        </w:rPr>
        <w:t xml:space="preserve">Quinn-Miscall, P.D., </w:t>
      </w:r>
      <w:r>
        <w:rPr>
          <w:rFonts w:ascii="Arial" w:hAnsi="Arial" w:cs="Arial"/>
          <w:i/>
        </w:rPr>
        <w:t xml:space="preserve">Reading Isaiah: Poetry and Vision </w:t>
      </w:r>
      <w:r>
        <w:rPr>
          <w:rFonts w:ascii="Arial" w:hAnsi="Arial" w:cs="Arial"/>
        </w:rPr>
        <w:t xml:space="preserve">(Louisville: Westminster John Knox Press, 2001). </w:t>
      </w:r>
    </w:p>
    <w:p w:rsidR="00F20CC9" w:rsidRDefault="00F20CC9" w:rsidP="00F20CC9">
      <w:pPr>
        <w:spacing w:after="0"/>
        <w:ind w:left="720" w:hanging="720"/>
        <w:rPr>
          <w:rFonts w:ascii="Arial" w:hAnsi="Arial" w:cs="Arial"/>
        </w:rPr>
      </w:pPr>
      <w:r>
        <w:rPr>
          <w:rFonts w:ascii="Arial" w:hAnsi="Arial" w:cs="Arial"/>
        </w:rPr>
        <w:t xml:space="preserve">Sawyer, J.F.A., ‘Isaiah’, in </w:t>
      </w:r>
      <w:r>
        <w:rPr>
          <w:rFonts w:ascii="Arial" w:hAnsi="Arial" w:cs="Arial"/>
          <w:i/>
        </w:rPr>
        <w:t>The Oxford Handbook of the Reception History of the Bible</w:t>
      </w:r>
      <w:r>
        <w:rPr>
          <w:rFonts w:ascii="Arial" w:hAnsi="Arial" w:cs="Arial"/>
        </w:rPr>
        <w:t>, eds. M. Lieb, E. Mason, J. Roberts &amp; C. Rowland (Oxford: Oxford University Press, 2011), pp. 52-63.</w:t>
      </w:r>
    </w:p>
    <w:p w:rsidR="00F20CC9" w:rsidRPr="00113BB9" w:rsidRDefault="00F20CC9" w:rsidP="00F20CC9">
      <w:pPr>
        <w:spacing w:after="0"/>
        <w:ind w:left="720" w:hanging="720"/>
        <w:rPr>
          <w:rFonts w:ascii="Arial" w:hAnsi="Arial" w:cs="Arial"/>
        </w:rPr>
      </w:pPr>
      <w:r>
        <w:rPr>
          <w:rFonts w:ascii="Arial" w:hAnsi="Arial" w:cs="Arial"/>
        </w:rPr>
        <w:t xml:space="preserve">Schuller, E.M., ‘A Hymn from a Cave Four </w:t>
      </w:r>
      <w:r>
        <w:rPr>
          <w:rFonts w:ascii="Arial" w:hAnsi="Arial" w:cs="Arial"/>
          <w:i/>
        </w:rPr>
        <w:t>Hodayot</w:t>
      </w:r>
      <w:r>
        <w:rPr>
          <w:rFonts w:ascii="Arial" w:hAnsi="Arial" w:cs="Arial"/>
        </w:rPr>
        <w:t xml:space="preserve"> Manuscript: 4Q4277i+ii’, </w:t>
      </w:r>
      <w:r>
        <w:rPr>
          <w:rFonts w:ascii="Arial" w:hAnsi="Arial" w:cs="Arial"/>
          <w:i/>
        </w:rPr>
        <w:t xml:space="preserve">JBL </w:t>
      </w:r>
      <w:r>
        <w:rPr>
          <w:rFonts w:ascii="Arial" w:hAnsi="Arial" w:cs="Arial"/>
        </w:rPr>
        <w:t>12 (1993), pp. 605-628.</w:t>
      </w:r>
    </w:p>
    <w:p w:rsidR="00F20CC9" w:rsidRPr="00641FE9" w:rsidRDefault="00F20CC9" w:rsidP="00F20CC9">
      <w:pPr>
        <w:spacing w:after="0"/>
        <w:ind w:left="720" w:hanging="720"/>
        <w:rPr>
          <w:rFonts w:ascii="Arial" w:hAnsi="Arial" w:cs="Arial"/>
        </w:rPr>
      </w:pPr>
      <w:r>
        <w:rPr>
          <w:rFonts w:ascii="Arial" w:hAnsi="Arial" w:cs="Arial"/>
        </w:rPr>
        <w:t xml:space="preserve">Seitz, C.R., ‘”You Are My Servant, You Are Israel In Whom I Will Be Glorified”: The Servant Songs and the Effect of Literary Context in Isaiah’, </w:t>
      </w:r>
      <w:r>
        <w:rPr>
          <w:rFonts w:ascii="Arial" w:hAnsi="Arial" w:cs="Arial"/>
          <w:i/>
        </w:rPr>
        <w:t xml:space="preserve">CTJ </w:t>
      </w:r>
      <w:r>
        <w:rPr>
          <w:rFonts w:ascii="Arial" w:hAnsi="Arial" w:cs="Arial"/>
        </w:rPr>
        <w:t>39 (2004), pp. 117-34.</w:t>
      </w:r>
    </w:p>
    <w:p w:rsidR="00F20CC9" w:rsidRDefault="00F20CC9" w:rsidP="00F20CC9">
      <w:pPr>
        <w:spacing w:after="0"/>
        <w:ind w:left="720" w:hanging="720"/>
        <w:rPr>
          <w:rFonts w:ascii="Arial" w:hAnsi="Arial" w:cs="Arial"/>
        </w:rPr>
      </w:pPr>
      <w:r>
        <w:rPr>
          <w:rFonts w:ascii="Arial" w:hAnsi="Arial" w:cs="Arial"/>
        </w:rPr>
        <w:t xml:space="preserve">Shalom, M.P., </w:t>
      </w:r>
      <w:r>
        <w:rPr>
          <w:rFonts w:ascii="Arial" w:hAnsi="Arial" w:cs="Arial"/>
          <w:i/>
        </w:rPr>
        <w:t xml:space="preserve">Isaiah 40-66 </w:t>
      </w:r>
      <w:r>
        <w:rPr>
          <w:rFonts w:ascii="Arial" w:hAnsi="Arial" w:cs="Arial"/>
        </w:rPr>
        <w:t>(Grand Rapids: Eerdmans, 2012).</w:t>
      </w:r>
    </w:p>
    <w:p w:rsidR="00F20CC9" w:rsidRPr="00592881" w:rsidRDefault="00F20CC9" w:rsidP="00F20CC9">
      <w:pPr>
        <w:spacing w:after="0"/>
        <w:ind w:left="720" w:hanging="720"/>
        <w:rPr>
          <w:rFonts w:ascii="Arial" w:hAnsi="Arial" w:cs="Arial"/>
        </w:rPr>
      </w:pPr>
      <w:r>
        <w:rPr>
          <w:rFonts w:ascii="Arial" w:hAnsi="Arial" w:cs="Arial"/>
        </w:rPr>
        <w:t xml:space="preserve">Scholem, G., </w:t>
      </w:r>
      <w:r>
        <w:rPr>
          <w:rFonts w:ascii="Arial" w:hAnsi="Arial" w:cs="Arial"/>
          <w:i/>
        </w:rPr>
        <w:t>The Messianic Idea in Judaism and Other Essays on Jewish Spirituality</w:t>
      </w:r>
      <w:r>
        <w:rPr>
          <w:rFonts w:ascii="Arial" w:hAnsi="Arial" w:cs="Arial"/>
        </w:rPr>
        <w:t xml:space="preserve"> (New York: Schocken, 1971).</w:t>
      </w:r>
    </w:p>
    <w:p w:rsidR="00F20CC9" w:rsidRDefault="00F20CC9" w:rsidP="00F20CC9">
      <w:pPr>
        <w:spacing w:after="0"/>
        <w:ind w:left="720" w:hanging="720"/>
        <w:rPr>
          <w:rFonts w:ascii="Arial" w:hAnsi="Arial" w:cs="Arial"/>
        </w:rPr>
      </w:pPr>
      <w:r>
        <w:rPr>
          <w:rFonts w:ascii="Arial" w:hAnsi="Arial" w:cs="Arial"/>
        </w:rPr>
        <w:t xml:space="preserve">Starcky, J., ‘Les Quatres Étapes du Messianisme à Qumrân’, </w:t>
      </w:r>
      <w:r>
        <w:rPr>
          <w:rFonts w:ascii="Arial" w:hAnsi="Arial" w:cs="Arial"/>
          <w:i/>
        </w:rPr>
        <w:t>Revue Biblique</w:t>
      </w:r>
      <w:r>
        <w:rPr>
          <w:rFonts w:ascii="Arial" w:hAnsi="Arial" w:cs="Arial"/>
        </w:rPr>
        <w:t xml:space="preserve"> 70 (1963), pp. 481-505).</w:t>
      </w:r>
    </w:p>
    <w:p w:rsidR="00F20CC9" w:rsidRPr="0082141E" w:rsidRDefault="00F20CC9" w:rsidP="00F20CC9">
      <w:pPr>
        <w:spacing w:after="0"/>
        <w:ind w:left="720" w:hanging="720"/>
        <w:rPr>
          <w:rFonts w:ascii="Arial" w:hAnsi="Arial" w:cs="Arial"/>
        </w:rPr>
      </w:pPr>
      <w:r>
        <w:rPr>
          <w:rFonts w:ascii="Arial" w:hAnsi="Arial" w:cs="Arial"/>
        </w:rPr>
        <w:t xml:space="preserve">Sukenik, E.L., </w:t>
      </w:r>
      <w:r>
        <w:rPr>
          <w:rFonts w:ascii="Arial" w:hAnsi="Arial" w:cs="Arial"/>
          <w:i/>
        </w:rPr>
        <w:t>Megillot Genuzot: Vol. 1</w:t>
      </w:r>
      <w:r>
        <w:rPr>
          <w:rFonts w:ascii="Arial" w:hAnsi="Arial" w:cs="Arial"/>
        </w:rPr>
        <w:t xml:space="preserve"> (Jerusalem: Bialik, 1948).</w:t>
      </w:r>
    </w:p>
    <w:p w:rsidR="00F20CC9" w:rsidRPr="0062365D" w:rsidRDefault="00F20CC9" w:rsidP="00F20CC9">
      <w:pPr>
        <w:spacing w:after="0"/>
        <w:ind w:left="720" w:hanging="720"/>
        <w:rPr>
          <w:rFonts w:ascii="Arial" w:hAnsi="Arial" w:cs="Arial"/>
        </w:rPr>
      </w:pPr>
      <w:r>
        <w:rPr>
          <w:rFonts w:ascii="Arial" w:hAnsi="Arial" w:cs="Arial"/>
        </w:rPr>
        <w:t xml:space="preserve">Tharekadavil, A., ‘Servant of Yahweh in Second Isaiah: Isaianic Servant Passages in Their Literary and Historical Context’, </w:t>
      </w:r>
      <w:r>
        <w:rPr>
          <w:rFonts w:ascii="Arial" w:hAnsi="Arial" w:cs="Arial"/>
          <w:i/>
        </w:rPr>
        <w:t xml:space="preserve">European University Studies </w:t>
      </w:r>
      <w:r>
        <w:rPr>
          <w:rFonts w:ascii="Arial" w:hAnsi="Arial" w:cs="Arial"/>
        </w:rPr>
        <w:t>23 (2007), pp.11-12.</w:t>
      </w:r>
    </w:p>
    <w:p w:rsidR="00F20CC9" w:rsidRPr="00B5199A" w:rsidRDefault="00F20CC9" w:rsidP="00F20CC9">
      <w:pPr>
        <w:spacing w:after="0"/>
        <w:ind w:left="720" w:hanging="720"/>
        <w:rPr>
          <w:rFonts w:ascii="Arial" w:hAnsi="Arial" w:cs="Arial"/>
          <w:sz w:val="24"/>
          <w:szCs w:val="24"/>
        </w:rPr>
      </w:pPr>
      <w:r>
        <w:rPr>
          <w:rFonts w:ascii="Arial" w:hAnsi="Arial" w:cs="Arial"/>
          <w:i/>
          <w:sz w:val="24"/>
          <w:szCs w:val="24"/>
        </w:rPr>
        <w:t>The New Oxford Annotated Bible: New Revised Standard Version with the Apocrypha</w:t>
      </w:r>
      <w:r>
        <w:rPr>
          <w:rFonts w:ascii="Arial" w:hAnsi="Arial" w:cs="Arial"/>
          <w:sz w:val="24"/>
          <w:szCs w:val="24"/>
        </w:rPr>
        <w:t xml:space="preserve">, ed. M.D. Coogan, </w:t>
      </w:r>
      <w:r w:rsidRPr="005D1708">
        <w:rPr>
          <w:rFonts w:ascii="Arial" w:hAnsi="Arial" w:cs="Arial"/>
          <w:sz w:val="24"/>
          <w:szCs w:val="24"/>
        </w:rPr>
        <w:t>5</w:t>
      </w:r>
      <w:r w:rsidRPr="005D1708">
        <w:rPr>
          <w:rFonts w:ascii="Arial" w:hAnsi="Arial" w:cs="Arial"/>
          <w:sz w:val="24"/>
          <w:szCs w:val="24"/>
          <w:vertAlign w:val="superscript"/>
        </w:rPr>
        <w:t>th</w:t>
      </w:r>
      <w:r w:rsidRPr="005D1708">
        <w:rPr>
          <w:rFonts w:ascii="Arial" w:hAnsi="Arial" w:cs="Arial"/>
          <w:sz w:val="24"/>
          <w:szCs w:val="24"/>
        </w:rPr>
        <w:t xml:space="preserve"> </w:t>
      </w:r>
      <w:r>
        <w:rPr>
          <w:rFonts w:ascii="Arial" w:hAnsi="Arial" w:cs="Arial"/>
          <w:sz w:val="24"/>
          <w:szCs w:val="24"/>
        </w:rPr>
        <w:t>edn.</w:t>
      </w:r>
      <w:r>
        <w:rPr>
          <w:rFonts w:ascii="Arial" w:hAnsi="Arial" w:cs="Arial"/>
          <w:i/>
          <w:sz w:val="24"/>
          <w:szCs w:val="24"/>
        </w:rPr>
        <w:t xml:space="preserve"> </w:t>
      </w:r>
      <w:r>
        <w:rPr>
          <w:rFonts w:ascii="Arial" w:hAnsi="Arial" w:cs="Arial"/>
          <w:sz w:val="24"/>
          <w:szCs w:val="24"/>
        </w:rPr>
        <w:t>(Oxford: Oxford University Press, 2018).</w:t>
      </w:r>
    </w:p>
    <w:p w:rsidR="00F20CC9" w:rsidRDefault="00F20CC9" w:rsidP="00F20CC9">
      <w:pPr>
        <w:spacing w:after="0"/>
        <w:ind w:left="720" w:hanging="720"/>
        <w:rPr>
          <w:rFonts w:ascii="Arial" w:hAnsi="Arial" w:cs="Arial"/>
        </w:rPr>
      </w:pPr>
      <w:r>
        <w:rPr>
          <w:rFonts w:ascii="Arial" w:hAnsi="Arial" w:cs="Arial"/>
        </w:rPr>
        <w:t xml:space="preserve">Torrey, C.C., </w:t>
      </w:r>
      <w:r>
        <w:rPr>
          <w:rFonts w:ascii="Arial" w:hAnsi="Arial" w:cs="Arial"/>
          <w:i/>
        </w:rPr>
        <w:t>The Second Isaiah: A New Interpretation</w:t>
      </w:r>
      <w:r>
        <w:rPr>
          <w:rFonts w:ascii="Arial" w:hAnsi="Arial" w:cs="Arial"/>
        </w:rPr>
        <w:t xml:space="preserve"> (New York: Scribner’s Sons, 1928).</w:t>
      </w:r>
    </w:p>
    <w:p w:rsidR="00F20CC9" w:rsidRPr="001F5BA2" w:rsidRDefault="00F20CC9" w:rsidP="00F20CC9">
      <w:pPr>
        <w:spacing w:after="0"/>
        <w:ind w:left="720" w:hanging="720"/>
        <w:rPr>
          <w:rFonts w:ascii="Arial" w:hAnsi="Arial" w:cs="Arial"/>
        </w:rPr>
      </w:pPr>
      <w:r>
        <w:rPr>
          <w:rFonts w:ascii="Arial" w:hAnsi="Arial" w:cs="Arial"/>
        </w:rPr>
        <w:t xml:space="preserve">VanderKam, J.C., </w:t>
      </w:r>
      <w:r>
        <w:rPr>
          <w:rFonts w:ascii="Arial" w:hAnsi="Arial" w:cs="Arial"/>
          <w:i/>
        </w:rPr>
        <w:t>The Dead Sea Scrolls Today</w:t>
      </w:r>
      <w:r>
        <w:rPr>
          <w:rFonts w:ascii="Arial" w:hAnsi="Arial" w:cs="Arial"/>
        </w:rPr>
        <w:t>. 2</w:t>
      </w:r>
      <w:r w:rsidRPr="001F5BA2">
        <w:rPr>
          <w:rFonts w:ascii="Arial" w:hAnsi="Arial" w:cs="Arial"/>
          <w:vertAlign w:val="superscript"/>
        </w:rPr>
        <w:t>nd</w:t>
      </w:r>
      <w:r>
        <w:rPr>
          <w:rFonts w:ascii="Arial" w:hAnsi="Arial" w:cs="Arial"/>
        </w:rPr>
        <w:t xml:space="preserve"> edn. (Grand Rapids: Eerdmans, 2010).</w:t>
      </w:r>
    </w:p>
    <w:p w:rsidR="00F20CC9" w:rsidRPr="00CE7D93" w:rsidRDefault="00F20CC9" w:rsidP="00F20CC9">
      <w:pPr>
        <w:spacing w:after="0"/>
        <w:ind w:left="720" w:hanging="720"/>
        <w:rPr>
          <w:rFonts w:ascii="Arial" w:hAnsi="Arial" w:cs="Arial"/>
        </w:rPr>
      </w:pPr>
      <w:r>
        <w:rPr>
          <w:rFonts w:ascii="Arial" w:hAnsi="Arial" w:cs="Arial"/>
        </w:rPr>
        <w:t xml:space="preserve">Vermes, G., </w:t>
      </w:r>
      <w:r>
        <w:rPr>
          <w:rFonts w:ascii="Arial" w:hAnsi="Arial" w:cs="Arial"/>
          <w:i/>
        </w:rPr>
        <w:t>The Dead Sea Scrolls: Qumran in Perspective</w:t>
      </w:r>
      <w:r>
        <w:rPr>
          <w:rFonts w:ascii="Arial" w:hAnsi="Arial" w:cs="Arial"/>
        </w:rPr>
        <w:t xml:space="preserve"> (London: Collins, 1977).</w:t>
      </w:r>
    </w:p>
    <w:p w:rsidR="00F20CC9" w:rsidRPr="00113BB9" w:rsidRDefault="00F20CC9" w:rsidP="00F20CC9">
      <w:pPr>
        <w:spacing w:after="0"/>
        <w:ind w:left="720" w:hanging="720"/>
        <w:rPr>
          <w:rFonts w:ascii="Arial" w:hAnsi="Arial" w:cs="Arial"/>
        </w:rPr>
      </w:pPr>
      <w:r>
        <w:rPr>
          <w:rFonts w:ascii="Arial" w:hAnsi="Arial" w:cs="Arial"/>
        </w:rPr>
        <w:lastRenderedPageBreak/>
        <w:t xml:space="preserve">Vermes, G., </w:t>
      </w:r>
      <w:r>
        <w:rPr>
          <w:rFonts w:ascii="Arial" w:hAnsi="Arial" w:cs="Arial"/>
          <w:i/>
        </w:rPr>
        <w:t>The Complete Dead Sea Scrolls in English</w:t>
      </w:r>
      <w:r>
        <w:rPr>
          <w:rFonts w:ascii="Arial" w:hAnsi="Arial" w:cs="Arial"/>
        </w:rPr>
        <w:t>. Rev. Edn. (London: Penguin Classics, 2011).</w:t>
      </w:r>
    </w:p>
    <w:p w:rsidR="00F20CC9" w:rsidRDefault="00F20CC9" w:rsidP="00F20CC9">
      <w:pPr>
        <w:spacing w:after="0"/>
        <w:ind w:left="720" w:hanging="720"/>
        <w:rPr>
          <w:rFonts w:ascii="Arial" w:hAnsi="Arial" w:cs="Arial"/>
        </w:rPr>
      </w:pPr>
      <w:r>
        <w:rPr>
          <w:rFonts w:ascii="Arial" w:hAnsi="Arial" w:cs="Arial"/>
        </w:rPr>
        <w:t xml:space="preserve">Weber, R., </w:t>
      </w:r>
      <w:r>
        <w:rPr>
          <w:rFonts w:ascii="Arial" w:hAnsi="Arial" w:cs="Arial"/>
          <w:i/>
        </w:rPr>
        <w:t>Biblia Sacra Iuxta Vulgatum Versionem</w:t>
      </w:r>
      <w:r>
        <w:rPr>
          <w:rFonts w:ascii="Arial" w:hAnsi="Arial" w:cs="Arial"/>
        </w:rPr>
        <w:t>, 4</w:t>
      </w:r>
      <w:r w:rsidRPr="00EB6FF9">
        <w:rPr>
          <w:rFonts w:ascii="Arial" w:hAnsi="Arial" w:cs="Arial"/>
          <w:vertAlign w:val="superscript"/>
        </w:rPr>
        <w:t>th</w:t>
      </w:r>
      <w:r>
        <w:rPr>
          <w:rFonts w:ascii="Arial" w:hAnsi="Arial" w:cs="Arial"/>
        </w:rPr>
        <w:t xml:space="preserve"> edn. (Stuttgart: Deutsche</w:t>
      </w:r>
      <w:r>
        <w:rPr>
          <w:rFonts w:ascii="Arial" w:hAnsi="Arial" w:cs="Arial"/>
          <w:i/>
        </w:rPr>
        <w:t xml:space="preserve"> </w:t>
      </w:r>
      <w:r w:rsidRPr="00EB6FF9">
        <w:rPr>
          <w:rFonts w:ascii="Arial" w:hAnsi="Arial" w:cs="Arial"/>
        </w:rPr>
        <w:t>Bibelgesellschaft, 1994)</w:t>
      </w:r>
      <w:r>
        <w:rPr>
          <w:rFonts w:ascii="Arial" w:hAnsi="Arial" w:cs="Arial"/>
          <w:i/>
        </w:rPr>
        <w:t>.</w:t>
      </w:r>
    </w:p>
    <w:p w:rsidR="00F20CC9" w:rsidRDefault="00F20CC9" w:rsidP="00F20CC9">
      <w:pPr>
        <w:spacing w:after="0"/>
        <w:ind w:left="720" w:hanging="720"/>
        <w:rPr>
          <w:rFonts w:ascii="Arial" w:hAnsi="Arial" w:cs="Arial"/>
        </w:rPr>
      </w:pPr>
      <w:r>
        <w:rPr>
          <w:rFonts w:ascii="Arial" w:hAnsi="Arial" w:cs="Arial"/>
        </w:rPr>
        <w:t xml:space="preserve">Williamson, H.G.M., </w:t>
      </w:r>
      <w:r>
        <w:rPr>
          <w:rFonts w:ascii="Arial" w:hAnsi="Arial" w:cs="Arial"/>
          <w:i/>
        </w:rPr>
        <w:t>Variations on a Theme: King, Messiah and Servant in the Book of Isaiah</w:t>
      </w:r>
      <w:r>
        <w:rPr>
          <w:rFonts w:ascii="Arial" w:hAnsi="Arial" w:cs="Arial"/>
        </w:rPr>
        <w:t>, The Didsbury Lectures 1997 (Carlisle: Paternoster, 1997).</w:t>
      </w:r>
    </w:p>
    <w:p w:rsidR="00F20CC9" w:rsidRDefault="00F20CC9" w:rsidP="00F20CC9">
      <w:pPr>
        <w:spacing w:after="0"/>
        <w:ind w:left="720" w:hanging="720"/>
        <w:rPr>
          <w:rFonts w:ascii="Arial" w:hAnsi="Arial" w:cs="Arial"/>
        </w:rPr>
      </w:pPr>
      <w:r>
        <w:rPr>
          <w:rFonts w:ascii="Arial" w:hAnsi="Arial" w:cs="Arial"/>
        </w:rPr>
        <w:t xml:space="preserve">Wise, M.O., </w:t>
      </w:r>
      <w:r>
        <w:rPr>
          <w:rFonts w:ascii="Arial" w:hAnsi="Arial" w:cs="Arial"/>
          <w:i/>
        </w:rPr>
        <w:t xml:space="preserve">The First Messiah: Investigating the Savior Before Jesus </w:t>
      </w:r>
      <w:r>
        <w:rPr>
          <w:rFonts w:ascii="Arial" w:hAnsi="Arial" w:cs="Arial"/>
        </w:rPr>
        <w:t>(San Francisco: Harper, 1999).</w:t>
      </w:r>
    </w:p>
    <w:p w:rsidR="00F20CC9" w:rsidRPr="006607AF" w:rsidRDefault="00F20CC9" w:rsidP="00F20CC9">
      <w:pPr>
        <w:spacing w:after="0"/>
        <w:ind w:left="720" w:hanging="720"/>
        <w:rPr>
          <w:rFonts w:ascii="Arial" w:hAnsi="Arial" w:cs="Arial"/>
        </w:rPr>
      </w:pPr>
      <w:r>
        <w:rPr>
          <w:rFonts w:ascii="Arial" w:hAnsi="Arial" w:cs="Arial"/>
        </w:rPr>
        <w:t xml:space="preserve">Wise, M.O., ‘The Origins and History of the Teacher’s Movement’, in </w:t>
      </w:r>
      <w:r>
        <w:rPr>
          <w:rFonts w:ascii="Arial" w:hAnsi="Arial" w:cs="Arial"/>
          <w:i/>
        </w:rPr>
        <w:t>The Oxford Handbook of The Dead Sea Scrolls</w:t>
      </w:r>
      <w:r>
        <w:rPr>
          <w:rFonts w:ascii="Arial" w:hAnsi="Arial" w:cs="Arial"/>
        </w:rPr>
        <w:t>, eds. T.H. Lim &amp; J.J. Collins (Oxford: Oxford University Press, 2010), pp. 92-119.</w:t>
      </w:r>
    </w:p>
    <w:p w:rsidR="00F20CC9" w:rsidRPr="0020138E" w:rsidRDefault="00F20CC9" w:rsidP="00F20CC9">
      <w:pPr>
        <w:spacing w:after="0"/>
        <w:ind w:left="720" w:hanging="720"/>
        <w:rPr>
          <w:rFonts w:ascii="Arial" w:hAnsi="Arial" w:cs="Arial"/>
        </w:rPr>
      </w:pPr>
      <w:r>
        <w:rPr>
          <w:rFonts w:ascii="Arial" w:hAnsi="Arial" w:cs="Arial"/>
        </w:rPr>
        <w:t xml:space="preserve">Zadok, R., </w:t>
      </w:r>
      <w:r>
        <w:rPr>
          <w:rFonts w:ascii="Arial" w:hAnsi="Arial" w:cs="Arial"/>
          <w:i/>
        </w:rPr>
        <w:t xml:space="preserve">The Jews in Babylonia During the Chaldean and Achaemenid Periods </w:t>
      </w:r>
      <w:r>
        <w:rPr>
          <w:rFonts w:ascii="Arial" w:hAnsi="Arial" w:cs="Arial"/>
        </w:rPr>
        <w:t>(Haifa: University of Haifa Press, 1979).</w:t>
      </w:r>
    </w:p>
    <w:p w:rsidR="00F20CC9" w:rsidRPr="00E85DD4" w:rsidRDefault="00F20CC9" w:rsidP="00A92FD1">
      <w:pPr>
        <w:spacing w:after="0"/>
        <w:jc w:val="both"/>
        <w:rPr>
          <w:rFonts w:ascii="Arial" w:hAnsi="Arial" w:cs="Arial"/>
          <w:b/>
          <w:sz w:val="24"/>
          <w:szCs w:val="24"/>
        </w:rPr>
      </w:pPr>
    </w:p>
    <w:p w:rsidR="00060119" w:rsidRDefault="00060119" w:rsidP="00A92FD1">
      <w:pPr>
        <w:spacing w:after="0"/>
        <w:jc w:val="both"/>
        <w:rPr>
          <w:rFonts w:ascii="Arial" w:hAnsi="Arial" w:cs="Arial"/>
          <w:sz w:val="24"/>
          <w:szCs w:val="24"/>
        </w:rPr>
      </w:pPr>
    </w:p>
    <w:p w:rsidR="00060119" w:rsidRPr="00060119" w:rsidRDefault="00060119" w:rsidP="00A92FD1">
      <w:pPr>
        <w:spacing w:after="0"/>
        <w:jc w:val="both"/>
        <w:rPr>
          <w:rFonts w:ascii="Arial" w:hAnsi="Arial" w:cs="Arial"/>
          <w:sz w:val="24"/>
          <w:szCs w:val="24"/>
        </w:rPr>
      </w:pPr>
    </w:p>
    <w:p w:rsidR="00216F21" w:rsidRPr="00707B2B" w:rsidRDefault="009301BF" w:rsidP="00A92FD1">
      <w:pPr>
        <w:spacing w:after="0"/>
        <w:jc w:val="both"/>
        <w:rPr>
          <w:rFonts w:ascii="Arial" w:hAnsi="Arial" w:cs="Arial"/>
          <w:sz w:val="24"/>
          <w:szCs w:val="24"/>
        </w:rPr>
      </w:pPr>
      <w:r>
        <w:rPr>
          <w:rFonts w:ascii="Arial" w:hAnsi="Arial" w:cs="Arial"/>
          <w:sz w:val="24"/>
          <w:szCs w:val="24"/>
        </w:rPr>
        <w:tab/>
      </w:r>
    </w:p>
    <w:sectPr w:rsidR="00216F21" w:rsidRPr="00707B2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272" w:rsidRDefault="002C3272" w:rsidP="00707B2B">
      <w:pPr>
        <w:spacing w:after="0" w:line="240" w:lineRule="auto"/>
      </w:pPr>
      <w:r>
        <w:separator/>
      </w:r>
    </w:p>
  </w:endnote>
  <w:endnote w:type="continuationSeparator" w:id="0">
    <w:p w:rsidR="002C3272" w:rsidRDefault="002C3272" w:rsidP="00707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272" w:rsidRDefault="002C3272" w:rsidP="00707B2B">
      <w:pPr>
        <w:spacing w:after="0" w:line="240" w:lineRule="auto"/>
      </w:pPr>
      <w:r>
        <w:separator/>
      </w:r>
    </w:p>
  </w:footnote>
  <w:footnote w:type="continuationSeparator" w:id="0">
    <w:p w:rsidR="002C3272" w:rsidRDefault="002C3272" w:rsidP="00707B2B">
      <w:pPr>
        <w:spacing w:after="0" w:line="240" w:lineRule="auto"/>
      </w:pPr>
      <w:r>
        <w:continuationSeparator/>
      </w:r>
    </w:p>
  </w:footnote>
  <w:footnote w:id="1">
    <w:p w:rsidR="00707B2B" w:rsidRPr="00216F21" w:rsidRDefault="00707B2B">
      <w:pPr>
        <w:pStyle w:val="FootnoteText"/>
      </w:pPr>
      <w:r>
        <w:rPr>
          <w:rStyle w:val="FootnoteReference"/>
        </w:rPr>
        <w:footnoteRef/>
      </w:r>
      <w:r>
        <w:t xml:space="preserve"> Bernhard Duhm, </w:t>
      </w:r>
      <w:r>
        <w:rPr>
          <w:i/>
        </w:rPr>
        <w:t xml:space="preserve">Das Buch Jesaia </w:t>
      </w:r>
      <w:r>
        <w:t>(G</w:t>
      </w:r>
      <w:r>
        <w:rPr>
          <w:rFonts w:cstheme="minorHAnsi"/>
        </w:rPr>
        <w:t>ö</w:t>
      </w:r>
      <w:r>
        <w:t>ttingen:</w:t>
      </w:r>
      <w:r w:rsidR="00216F21">
        <w:t xml:space="preserve"> Vandenhoeck &amp; Ruprecht, 1982); Marc Brettler &amp; Amy-Jill Levine, ‘Isaiah’s Suffering Servant: Before and After Christianity’, </w:t>
      </w:r>
      <w:r w:rsidR="00216F21">
        <w:rPr>
          <w:i/>
        </w:rPr>
        <w:t>Interpretation: A Journal of Bible and Theology</w:t>
      </w:r>
      <w:r w:rsidR="00216F21">
        <w:t xml:space="preserve">, 73, 2 (2019), p. 159; Reed Lessing, ‘Isaiah’s Servants in Chapters 40-55: Clearing up the Confusion’, </w:t>
      </w:r>
      <w:r w:rsidR="00216F21">
        <w:rPr>
          <w:i/>
        </w:rPr>
        <w:t>Concordia Journal</w:t>
      </w:r>
      <w:r w:rsidR="00216F21">
        <w:t xml:space="preserve"> 37, 2 (2011), p. 131.</w:t>
      </w:r>
    </w:p>
  </w:footnote>
  <w:footnote w:id="2">
    <w:p w:rsidR="00D3053F" w:rsidRPr="00D3053F" w:rsidRDefault="00D3053F">
      <w:pPr>
        <w:pStyle w:val="FootnoteText"/>
      </w:pPr>
      <w:r>
        <w:rPr>
          <w:rStyle w:val="FootnoteReference"/>
        </w:rPr>
        <w:footnoteRef/>
      </w:r>
      <w:r>
        <w:t xml:space="preserve"> John Collins, </w:t>
      </w:r>
      <w:r>
        <w:rPr>
          <w:i/>
        </w:rPr>
        <w:t xml:space="preserve">Scriptures and Sectarianism: Essays on the Dead Sea Scrolls </w:t>
      </w:r>
      <w:r>
        <w:t xml:space="preserve">(Grand Rapids: Eerdmans, 2014), p. 263; Richard Clifford, </w:t>
      </w:r>
      <w:r>
        <w:rPr>
          <w:i/>
        </w:rPr>
        <w:t>Fair Spoken and Persuading: An Interpretation of Second Isaiah</w:t>
      </w:r>
      <w:r>
        <w:t xml:space="preserve"> (New York: Paulist, 1984).</w:t>
      </w:r>
    </w:p>
  </w:footnote>
  <w:footnote w:id="3">
    <w:p w:rsidR="00A6262C" w:rsidRPr="00154C63" w:rsidRDefault="00A6262C" w:rsidP="00A6262C">
      <w:pPr>
        <w:pStyle w:val="FootnoteText"/>
      </w:pPr>
      <w:r>
        <w:rPr>
          <w:rStyle w:val="FootnoteReference"/>
        </w:rPr>
        <w:footnoteRef/>
      </w:r>
      <w:r>
        <w:t xml:space="preserve"> John Sawyer, ‘Isaiah’ in </w:t>
      </w:r>
      <w:r>
        <w:rPr>
          <w:i/>
        </w:rPr>
        <w:t>The Oxford Handbook of the Reception History of the Bible</w:t>
      </w:r>
      <w:r>
        <w:t>, eds. M. Lieb, E. Mason, J. Roberts and C. Rowland (Oxford: Oxford University Press, 2011), p. 58.</w:t>
      </w:r>
    </w:p>
  </w:footnote>
  <w:footnote w:id="4">
    <w:p w:rsidR="00A6262C" w:rsidRDefault="00A6262C" w:rsidP="00A6262C">
      <w:pPr>
        <w:pStyle w:val="FootnoteText"/>
      </w:pPr>
      <w:r>
        <w:rPr>
          <w:rStyle w:val="FootnoteReference"/>
        </w:rPr>
        <w:footnoteRef/>
      </w:r>
      <w:r>
        <w:t xml:space="preserve"> Sawyer, Isaiah, p. 62.</w:t>
      </w:r>
    </w:p>
  </w:footnote>
  <w:footnote w:id="5">
    <w:p w:rsidR="00A6262C" w:rsidRPr="00BA4B05" w:rsidRDefault="00A6262C" w:rsidP="00A6262C">
      <w:pPr>
        <w:pStyle w:val="FootnoteText"/>
      </w:pPr>
      <w:r>
        <w:rPr>
          <w:rStyle w:val="FootnoteReference"/>
        </w:rPr>
        <w:footnoteRef/>
      </w:r>
      <w:r>
        <w:t xml:space="preserve"> Mark Knight, ‘Wirkungsgeschichte, Reception Theory’, </w:t>
      </w:r>
      <w:r>
        <w:rPr>
          <w:i/>
        </w:rPr>
        <w:t>Journal for the Study of the New Testament</w:t>
      </w:r>
      <w:r>
        <w:t xml:space="preserve"> 33, 2 (2010), pp. 137-146.</w:t>
      </w:r>
    </w:p>
  </w:footnote>
  <w:footnote w:id="6">
    <w:p w:rsidR="00BA4B05" w:rsidRDefault="00BA4B05" w:rsidP="00BA4B05">
      <w:pPr>
        <w:pStyle w:val="FootnoteText"/>
      </w:pPr>
      <w:r>
        <w:rPr>
          <w:rStyle w:val="FootnoteReference"/>
        </w:rPr>
        <w:footnoteRef/>
      </w:r>
      <w:r>
        <w:t xml:space="preserve"> Brettler &amp; Levine, Isaiah’s Suffering Servant, p. 159.</w:t>
      </w:r>
    </w:p>
  </w:footnote>
  <w:footnote w:id="7">
    <w:p w:rsidR="00BA4B05" w:rsidRPr="00154C63" w:rsidRDefault="00BA4B05" w:rsidP="00BA4B05">
      <w:pPr>
        <w:pStyle w:val="FootnoteText"/>
      </w:pPr>
      <w:r>
        <w:rPr>
          <w:rStyle w:val="FootnoteReference"/>
        </w:rPr>
        <w:footnoteRef/>
      </w:r>
      <w:r>
        <w:t xml:space="preserve"> Collins, </w:t>
      </w:r>
      <w:r w:rsidRPr="007A6BAE">
        <w:t>Scriptures and Sectarianism</w:t>
      </w:r>
      <w:r>
        <w:t>, p. 271.</w:t>
      </w:r>
    </w:p>
  </w:footnote>
  <w:footnote w:id="8">
    <w:p w:rsidR="00167700" w:rsidRPr="00167700" w:rsidRDefault="00167700">
      <w:pPr>
        <w:pStyle w:val="FootnoteText"/>
      </w:pPr>
      <w:r>
        <w:rPr>
          <w:rStyle w:val="FootnoteReference"/>
        </w:rPr>
        <w:footnoteRef/>
      </w:r>
      <w:r>
        <w:t xml:space="preserve"> Sawyer, Isaiah, p.52; Peter Quinn-Miscall, </w:t>
      </w:r>
      <w:r>
        <w:rPr>
          <w:i/>
        </w:rPr>
        <w:t>Reading Isaiah: Poetry and Vision</w:t>
      </w:r>
      <w:r>
        <w:t xml:space="preserve"> (Louisville: Westminster John Knox Press, 2001), p. 26.</w:t>
      </w:r>
    </w:p>
  </w:footnote>
  <w:footnote w:id="9">
    <w:p w:rsidR="00167700" w:rsidRDefault="00167700">
      <w:pPr>
        <w:pStyle w:val="FootnoteText"/>
      </w:pPr>
      <w:r>
        <w:rPr>
          <w:rStyle w:val="FootnoteReference"/>
        </w:rPr>
        <w:footnoteRef/>
      </w:r>
      <w:r>
        <w:t xml:space="preserve"> Sawyer, Isaiah, p</w:t>
      </w:r>
      <w:r w:rsidR="00E478C4">
        <w:t>.</w:t>
      </w:r>
      <w:r>
        <w:t xml:space="preserve"> 54</w:t>
      </w:r>
      <w:r w:rsidR="00E478C4">
        <w:t>.</w:t>
      </w:r>
    </w:p>
  </w:footnote>
  <w:footnote w:id="10">
    <w:p w:rsidR="00E478C4" w:rsidRDefault="00E478C4">
      <w:pPr>
        <w:pStyle w:val="FootnoteText"/>
      </w:pPr>
      <w:r>
        <w:rPr>
          <w:rStyle w:val="FootnoteReference"/>
        </w:rPr>
        <w:footnoteRef/>
      </w:r>
      <w:r>
        <w:t xml:space="preserve"> Sawyer, Isaiah, p. 54; Quinn-Miscall, Reading Isaiah, p.25. </w:t>
      </w:r>
    </w:p>
  </w:footnote>
  <w:footnote w:id="11">
    <w:p w:rsidR="00A02FE7" w:rsidRPr="00A02FE7" w:rsidRDefault="00A02FE7" w:rsidP="00A02FE7">
      <w:pPr>
        <w:spacing w:after="0"/>
        <w:ind w:left="720" w:hanging="720"/>
        <w:rPr>
          <w:rFonts w:ascii="Arial" w:hAnsi="Arial" w:cs="Arial"/>
        </w:rPr>
      </w:pPr>
      <w:r>
        <w:rPr>
          <w:rStyle w:val="FootnoteReference"/>
        </w:rPr>
        <w:footnoteRef/>
      </w:r>
      <w:r>
        <w:t xml:space="preserve"> </w:t>
      </w:r>
      <w:r w:rsidRPr="00A02FE7">
        <w:rPr>
          <w:sz w:val="20"/>
          <w:szCs w:val="20"/>
        </w:rPr>
        <w:t>Peter Dray,</w:t>
      </w:r>
      <w:r>
        <w:t xml:space="preserve"> </w:t>
      </w:r>
      <w:r w:rsidRPr="00A02FE7">
        <w:rPr>
          <w:rFonts w:cstheme="minorHAnsi"/>
          <w:sz w:val="20"/>
          <w:szCs w:val="20"/>
        </w:rPr>
        <w:t xml:space="preserve">‘Isaiah 52:13-53:12: Isaiah on the Suffering Servant’, </w:t>
      </w:r>
      <w:r w:rsidRPr="00A02FE7">
        <w:rPr>
          <w:rFonts w:cstheme="minorHAnsi"/>
          <w:i/>
          <w:sz w:val="20"/>
          <w:szCs w:val="20"/>
        </w:rPr>
        <w:t>Evangel</w:t>
      </w:r>
      <w:r>
        <w:rPr>
          <w:rFonts w:cstheme="minorHAnsi"/>
          <w:sz w:val="20"/>
          <w:szCs w:val="20"/>
        </w:rPr>
        <w:t xml:space="preserve"> 26, 2 (2008), p</w:t>
      </w:r>
      <w:r w:rsidRPr="00A02FE7">
        <w:rPr>
          <w:rFonts w:cstheme="minorHAnsi"/>
          <w:sz w:val="20"/>
          <w:szCs w:val="20"/>
        </w:rPr>
        <w:t>.</w:t>
      </w:r>
      <w:r>
        <w:rPr>
          <w:rFonts w:cstheme="minorHAnsi"/>
          <w:sz w:val="20"/>
          <w:szCs w:val="20"/>
        </w:rPr>
        <w:t>33.</w:t>
      </w:r>
    </w:p>
  </w:footnote>
  <w:footnote w:id="12">
    <w:p w:rsidR="000F5245" w:rsidRDefault="000F5245">
      <w:pPr>
        <w:pStyle w:val="FootnoteText"/>
      </w:pPr>
      <w:r>
        <w:rPr>
          <w:rStyle w:val="FootnoteReference"/>
        </w:rPr>
        <w:footnoteRef/>
      </w:r>
      <w:r>
        <w:t xml:space="preserve"> Dray, Isaiah, p.33.</w:t>
      </w:r>
    </w:p>
  </w:footnote>
  <w:footnote w:id="13">
    <w:p w:rsidR="000F5245" w:rsidRPr="000F5245" w:rsidRDefault="000F5245">
      <w:pPr>
        <w:pStyle w:val="FootnoteText"/>
      </w:pPr>
      <w:r>
        <w:rPr>
          <w:rStyle w:val="FootnoteReference"/>
        </w:rPr>
        <w:footnoteRef/>
      </w:r>
      <w:r>
        <w:t xml:space="preserve"> Brettler &amp; Levine, Isaiah’s Suffering Servant, p.163.</w:t>
      </w:r>
    </w:p>
  </w:footnote>
  <w:footnote w:id="14">
    <w:p w:rsidR="00561CF2" w:rsidRDefault="00561CF2">
      <w:pPr>
        <w:pStyle w:val="FootnoteText"/>
      </w:pPr>
      <w:r>
        <w:rPr>
          <w:rStyle w:val="FootnoteReference"/>
        </w:rPr>
        <w:footnoteRef/>
      </w:r>
      <w:r>
        <w:t xml:space="preserve"> Brettler </w:t>
      </w:r>
      <w:r w:rsidR="00397859">
        <w:t xml:space="preserve">&amp; Levine, Isaiah’s Suffering Servant, pp. </w:t>
      </w:r>
      <w:r w:rsidR="002C11A4">
        <w:t xml:space="preserve">158, </w:t>
      </w:r>
      <w:r w:rsidR="00397859">
        <w:t>163-164</w:t>
      </w:r>
    </w:p>
  </w:footnote>
  <w:footnote w:id="15">
    <w:p w:rsidR="00397859" w:rsidRPr="00397859" w:rsidRDefault="00397859">
      <w:pPr>
        <w:pStyle w:val="FootnoteText"/>
      </w:pPr>
      <w:r>
        <w:rPr>
          <w:rStyle w:val="FootnoteReference"/>
        </w:rPr>
        <w:footnoteRef/>
      </w:r>
      <w:r>
        <w:t xml:space="preserve"> Allen Maller, ‘Isaiah’s Suffering Servant: A New View’, </w:t>
      </w:r>
      <w:r>
        <w:rPr>
          <w:i/>
        </w:rPr>
        <w:t>The Jewish Bible Quarterly</w:t>
      </w:r>
      <w:r>
        <w:t xml:space="preserve"> 37, 4 (2009), p. 243.</w:t>
      </w:r>
    </w:p>
  </w:footnote>
  <w:footnote w:id="16">
    <w:p w:rsidR="00397859" w:rsidRDefault="00397859">
      <w:pPr>
        <w:pStyle w:val="FootnoteText"/>
      </w:pPr>
      <w:r>
        <w:rPr>
          <w:rStyle w:val="FootnoteReference"/>
        </w:rPr>
        <w:footnoteRef/>
      </w:r>
      <w:r>
        <w:t xml:space="preserve"> Maller, Isaiah’s Suffering Servant, p. 244.</w:t>
      </w:r>
    </w:p>
  </w:footnote>
  <w:footnote w:id="17">
    <w:p w:rsidR="00D87D99" w:rsidRPr="006A1961" w:rsidRDefault="00D87D99">
      <w:pPr>
        <w:pStyle w:val="FootnoteText"/>
      </w:pPr>
      <w:r>
        <w:rPr>
          <w:rStyle w:val="FootnoteReference"/>
        </w:rPr>
        <w:footnoteRef/>
      </w:r>
      <w:r>
        <w:t xml:space="preserve"> Joseph Blenkinsopp, </w:t>
      </w:r>
      <w:r w:rsidR="006A1961">
        <w:rPr>
          <w:i/>
        </w:rPr>
        <w:t>Isaiah 40-55: A New Translation with Introduction and Commentary</w:t>
      </w:r>
      <w:r w:rsidR="006A1961">
        <w:t xml:space="preserve"> (Garden City: Doubleday, 2000), p. 344.</w:t>
      </w:r>
    </w:p>
  </w:footnote>
  <w:footnote w:id="18">
    <w:p w:rsidR="006A1961" w:rsidRDefault="006A1961">
      <w:pPr>
        <w:pStyle w:val="FootnoteText"/>
      </w:pPr>
      <w:r>
        <w:rPr>
          <w:rStyle w:val="FootnoteReference"/>
        </w:rPr>
        <w:footnoteRef/>
      </w:r>
      <w:r>
        <w:t xml:space="preserve"> Joseph Blenkinsopp, ‘The Sacrificial Life and Death of the Servant (Isaiah 52:13-53:12)’, </w:t>
      </w:r>
      <w:r>
        <w:rPr>
          <w:i/>
        </w:rPr>
        <w:t>Vetus Testamentum</w:t>
      </w:r>
      <w:r>
        <w:t xml:space="preserve"> 66, 1 (2016), </w:t>
      </w:r>
      <w:r w:rsidR="00731B4A">
        <w:t>p. 2.</w:t>
      </w:r>
      <w:r>
        <w:t xml:space="preserve"> </w:t>
      </w:r>
    </w:p>
  </w:footnote>
  <w:footnote w:id="19">
    <w:p w:rsidR="00731B4A" w:rsidRDefault="00731B4A">
      <w:pPr>
        <w:pStyle w:val="FootnoteText"/>
      </w:pPr>
      <w:r>
        <w:rPr>
          <w:rStyle w:val="FootnoteReference"/>
        </w:rPr>
        <w:footnoteRef/>
      </w:r>
      <w:r>
        <w:t xml:space="preserve"> Blenkinsopp, The Sacrificial Life and Death, p. 2.</w:t>
      </w:r>
    </w:p>
  </w:footnote>
  <w:footnote w:id="20">
    <w:p w:rsidR="00D33302" w:rsidRDefault="00D33302">
      <w:pPr>
        <w:pStyle w:val="FootnoteText"/>
      </w:pPr>
      <w:r>
        <w:rPr>
          <w:rStyle w:val="FootnoteReference"/>
        </w:rPr>
        <w:footnoteRef/>
      </w:r>
      <w:r>
        <w:t xml:space="preserve"> Maller, Isaiah’s Suffering Servant, p. 244.</w:t>
      </w:r>
    </w:p>
  </w:footnote>
  <w:footnote w:id="21">
    <w:p w:rsidR="00D33302" w:rsidRDefault="00D33302">
      <w:pPr>
        <w:pStyle w:val="FootnoteText"/>
      </w:pPr>
      <w:r>
        <w:rPr>
          <w:rStyle w:val="FootnoteReference"/>
        </w:rPr>
        <w:footnoteRef/>
      </w:r>
      <w:r>
        <w:t xml:space="preserve"> Sawyer, Isaiah, p. 57.</w:t>
      </w:r>
    </w:p>
  </w:footnote>
  <w:footnote w:id="22">
    <w:p w:rsidR="000B2817" w:rsidRDefault="000B2817">
      <w:pPr>
        <w:pStyle w:val="FootnoteText"/>
      </w:pPr>
      <w:r>
        <w:rPr>
          <w:rStyle w:val="FootnoteReference"/>
        </w:rPr>
        <w:footnoteRef/>
      </w:r>
      <w:r>
        <w:t xml:space="preserve"> Sawyer, Isaiah, p. 58</w:t>
      </w:r>
    </w:p>
  </w:footnote>
  <w:footnote w:id="23">
    <w:p w:rsidR="000B2817" w:rsidRPr="000B2817" w:rsidRDefault="000B2817">
      <w:pPr>
        <w:pStyle w:val="FootnoteText"/>
      </w:pPr>
      <w:r>
        <w:rPr>
          <w:rStyle w:val="FootnoteReference"/>
        </w:rPr>
        <w:footnoteRef/>
      </w:r>
      <w:r>
        <w:t xml:space="preserve"> Hugh Williamson, </w:t>
      </w:r>
      <w:r>
        <w:rPr>
          <w:i/>
        </w:rPr>
        <w:t>Variations on a Theme: King, Messiah and Servant in the Book of Isaiah</w:t>
      </w:r>
      <w:r w:rsidR="006C61C0">
        <w:t>, The Didsbury Lectures 1997 (Carlisle: Paternoster, 1997), pp. 117-119; Brettler &amp; Levine, Isaiah’s Suffering Servant, p. 160.</w:t>
      </w:r>
    </w:p>
  </w:footnote>
  <w:footnote w:id="24">
    <w:p w:rsidR="00E009D0" w:rsidRDefault="00E009D0">
      <w:pPr>
        <w:pStyle w:val="FootnoteText"/>
      </w:pPr>
      <w:r>
        <w:rPr>
          <w:rStyle w:val="FootnoteReference"/>
        </w:rPr>
        <w:footnoteRef/>
      </w:r>
      <w:r>
        <w:t xml:space="preserve"> Brettler &amp; Levine, Isa</w:t>
      </w:r>
      <w:r w:rsidR="009541CF">
        <w:t>iah’s Suffering Servant, p. 158;  Collins, A Messiah Before Jesus, p.29.</w:t>
      </w:r>
    </w:p>
  </w:footnote>
  <w:footnote w:id="25">
    <w:p w:rsidR="005D6E5E" w:rsidRDefault="005D6E5E">
      <w:pPr>
        <w:pStyle w:val="FootnoteText"/>
      </w:pPr>
      <w:r>
        <w:rPr>
          <w:rStyle w:val="FootnoteReference"/>
        </w:rPr>
        <w:footnoteRef/>
      </w:r>
      <w:r>
        <w:t xml:space="preserve"> Brettler &amp; Levine, Isaiah’s Suffering Servant, pp. 164-165.</w:t>
      </w:r>
    </w:p>
  </w:footnote>
  <w:footnote w:id="26">
    <w:p w:rsidR="005D6E5E" w:rsidRDefault="005D6E5E">
      <w:pPr>
        <w:pStyle w:val="FootnoteText"/>
      </w:pPr>
      <w:r>
        <w:rPr>
          <w:rStyle w:val="FootnoteReference"/>
        </w:rPr>
        <w:footnoteRef/>
      </w:r>
      <w:r>
        <w:t xml:space="preserve"> Israel Knohl, ‘The Suffering Servant: From Isaiah to the Dead Sea Scrolls’, in </w:t>
      </w:r>
      <w:r>
        <w:rPr>
          <w:i/>
        </w:rPr>
        <w:t>Scriptural Exegesis: The Shapes of Culture and the Religious Imagination: Essays in Honour of Michael Fishbane</w:t>
      </w:r>
      <w:r>
        <w:t xml:space="preserve">, eds. D.A. Green &amp; L.S. Lieber (Oxford: Oxford University Press, 2009), p. 95; John Collins, </w:t>
      </w:r>
      <w:r>
        <w:rPr>
          <w:i/>
        </w:rPr>
        <w:t>Dani</w:t>
      </w:r>
      <w:r w:rsidR="00F9322F">
        <w:rPr>
          <w:i/>
        </w:rPr>
        <w:t>el: A Commentary on the Book of</w:t>
      </w:r>
      <w:r>
        <w:rPr>
          <w:i/>
        </w:rPr>
        <w:t xml:space="preserve"> Daniel </w:t>
      </w:r>
      <w:r>
        <w:t>(Philadelphia: Fortress Press, 1994), pp. 385-393.</w:t>
      </w:r>
    </w:p>
  </w:footnote>
  <w:footnote w:id="27">
    <w:p w:rsidR="005D6E5E" w:rsidRPr="00C55722" w:rsidRDefault="005D6E5E" w:rsidP="005D6E5E">
      <w:pPr>
        <w:pStyle w:val="FootnoteText"/>
      </w:pPr>
      <w:r>
        <w:rPr>
          <w:rStyle w:val="FootnoteReference"/>
        </w:rPr>
        <w:footnoteRef/>
      </w:r>
      <w:r>
        <w:t xml:space="preserve"> Brettler &amp; Levine, Isaiah’s Suffering Servant, p. 165. </w:t>
      </w:r>
    </w:p>
  </w:footnote>
  <w:footnote w:id="28">
    <w:p w:rsidR="00BA5039" w:rsidRDefault="00BA5039" w:rsidP="00BA5039">
      <w:pPr>
        <w:pStyle w:val="FootnoteText"/>
      </w:pPr>
      <w:r>
        <w:rPr>
          <w:rStyle w:val="FootnoteReference"/>
        </w:rPr>
        <w:footnoteRef/>
      </w:r>
      <w:r>
        <w:t xml:space="preserve"> Blenkinsopp, Opening the Sealed Book, pp. 129-221; Sawyer, Isaiah, p. 61.</w:t>
      </w:r>
    </w:p>
  </w:footnote>
  <w:footnote w:id="29">
    <w:p w:rsidR="00BA5039" w:rsidRPr="00166D5B" w:rsidRDefault="00BA5039" w:rsidP="00BA5039">
      <w:pPr>
        <w:pStyle w:val="FootnoteText"/>
      </w:pPr>
      <w:r>
        <w:rPr>
          <w:rStyle w:val="FootnoteReference"/>
        </w:rPr>
        <w:footnoteRef/>
      </w:r>
      <w:r>
        <w:t xml:space="preserve"> Amy-Jill Levine, ‘Introduction’, in </w:t>
      </w:r>
      <w:r>
        <w:rPr>
          <w:i/>
        </w:rPr>
        <w:t>The Historical Jesus in Context</w:t>
      </w:r>
      <w:r>
        <w:t xml:space="preserve">, eds. A.-J. Levine, D.C. Allison &amp; J.D. Crossan (Princeton: Princeton University Press, 2006), </w:t>
      </w:r>
      <w:r w:rsidR="0034236E">
        <w:t>p. 22</w:t>
      </w:r>
      <w:r>
        <w:t>.</w:t>
      </w:r>
    </w:p>
  </w:footnote>
  <w:footnote w:id="30">
    <w:p w:rsidR="00BA5039" w:rsidRDefault="00BA5039" w:rsidP="00BA5039">
      <w:pPr>
        <w:pStyle w:val="FootnoteText"/>
      </w:pPr>
      <w:r>
        <w:rPr>
          <w:rStyle w:val="FootnoteReference"/>
        </w:rPr>
        <w:footnoteRef/>
      </w:r>
      <w:r>
        <w:t xml:space="preserve"> Brettler &amp; Levine, Isaiah’s Suffering Servant, pp.165-167.</w:t>
      </w:r>
    </w:p>
  </w:footnote>
  <w:footnote w:id="31">
    <w:p w:rsidR="00BA3D85" w:rsidRPr="00545962" w:rsidRDefault="00BA3D85" w:rsidP="00BA3D85">
      <w:pPr>
        <w:pStyle w:val="FootnoteText"/>
      </w:pPr>
      <w:r>
        <w:rPr>
          <w:rStyle w:val="FootnoteReference"/>
        </w:rPr>
        <w:footnoteRef/>
      </w:r>
      <w:r>
        <w:t xml:space="preserve"> Israel Knohl, </w:t>
      </w:r>
      <w:r>
        <w:rPr>
          <w:i/>
        </w:rPr>
        <w:t>The Messiah Before Jesus: The Suffering Servant of the Dead Sea Scrolls</w:t>
      </w:r>
      <w:r>
        <w:t>, trans. D. Maisel (Berkeley: University of California Press, 2000), p. 25.</w:t>
      </w:r>
    </w:p>
  </w:footnote>
  <w:footnote w:id="32">
    <w:p w:rsidR="00CF57AA" w:rsidRPr="00CF57AA" w:rsidRDefault="00CF57AA">
      <w:pPr>
        <w:pStyle w:val="FootnoteText"/>
      </w:pPr>
      <w:r>
        <w:rPr>
          <w:rStyle w:val="FootnoteReference"/>
        </w:rPr>
        <w:footnoteRef/>
      </w:r>
      <w:r>
        <w:t xml:space="preserve"> John Collins and Craig Evans, ‘Preface’, in </w:t>
      </w:r>
      <w:r>
        <w:rPr>
          <w:i/>
        </w:rPr>
        <w:t>Christian Beginnings and the Dead Sea Scrolls</w:t>
      </w:r>
      <w:r>
        <w:t>, eds. J.J. Collins &amp; C.A. Eva</w:t>
      </w:r>
      <w:r w:rsidR="00936E6A">
        <w:t>ns (Grand Rapids: Baker Academic</w:t>
      </w:r>
      <w:r>
        <w:t>, 2006), p.9; Collins, S</w:t>
      </w:r>
      <w:r w:rsidR="004D63AB">
        <w:t xml:space="preserve">criptures and Sectarianism, p.1; Geza Vermes, </w:t>
      </w:r>
      <w:r w:rsidR="004D63AB">
        <w:rPr>
          <w:i/>
        </w:rPr>
        <w:t>The Complete Dead Sea Scrolls in English</w:t>
      </w:r>
      <w:r w:rsidR="004D63AB">
        <w:t>. Rev. Edn. (London: Penguin Classics, 2011), p</w:t>
      </w:r>
      <w:r w:rsidR="00846289">
        <w:t>p</w:t>
      </w:r>
      <w:r w:rsidR="004D63AB">
        <w:t>.</w:t>
      </w:r>
      <w:r w:rsidR="00846289">
        <w:t xml:space="preserve"> 2-3, </w:t>
      </w:r>
      <w:r w:rsidR="004D63AB">
        <w:t>12</w:t>
      </w:r>
      <w:r w:rsidR="00405525">
        <w:t>, 21</w:t>
      </w:r>
      <w:r w:rsidR="004D63AB">
        <w:t>.</w:t>
      </w:r>
    </w:p>
  </w:footnote>
  <w:footnote w:id="33">
    <w:p w:rsidR="00FB15D9" w:rsidRDefault="00FB15D9" w:rsidP="00FB15D9">
      <w:pPr>
        <w:pStyle w:val="FootnoteText"/>
      </w:pPr>
      <w:r>
        <w:rPr>
          <w:rStyle w:val="FootnoteReference"/>
        </w:rPr>
        <w:footnoteRef/>
      </w:r>
      <w:r>
        <w:t xml:space="preserve"> Collins, Scriptures and Sectarianism, p. 119.</w:t>
      </w:r>
    </w:p>
  </w:footnote>
  <w:footnote w:id="34">
    <w:p w:rsidR="00BA0C84" w:rsidRPr="00BA0C84" w:rsidRDefault="00BA0C84">
      <w:pPr>
        <w:pStyle w:val="FootnoteText"/>
      </w:pPr>
      <w:r>
        <w:rPr>
          <w:rStyle w:val="FootnoteReference"/>
        </w:rPr>
        <w:footnoteRef/>
      </w:r>
      <w:r>
        <w:t xml:space="preserve"> John Collins, ‘A Messiah Before Jesus’, in </w:t>
      </w:r>
      <w:r>
        <w:rPr>
          <w:i/>
        </w:rPr>
        <w:t>Christian Beginnings and the Dead Sea Scrolls</w:t>
      </w:r>
      <w:r w:rsidRPr="00BA0C84">
        <w:t>, eds. J.J. Col</w:t>
      </w:r>
      <w:r>
        <w:t>l</w:t>
      </w:r>
      <w:r w:rsidRPr="00BA0C84">
        <w:t>ins &amp; C.A. Evans</w:t>
      </w:r>
      <w:r>
        <w:t xml:space="preserve"> (Grand Rapids: Baker Acade</w:t>
      </w:r>
      <w:r w:rsidR="00C95599">
        <w:t>mic 2006a), p. 15;</w:t>
      </w:r>
      <w:r>
        <w:t xml:space="preserve"> </w:t>
      </w:r>
      <w:r>
        <w:rPr>
          <w:i/>
        </w:rPr>
        <w:t xml:space="preserve">The Scepter and the Star: The Messiahs of the Dead Sea Scrolls and Other Ancient Literature </w:t>
      </w:r>
      <w:r>
        <w:t>(New York: Doubleday, 1995), p. 195-214.</w:t>
      </w:r>
    </w:p>
  </w:footnote>
  <w:footnote w:id="35">
    <w:p w:rsidR="00F05EFA" w:rsidRPr="00F05EFA" w:rsidRDefault="00F05EFA">
      <w:pPr>
        <w:pStyle w:val="FootnoteText"/>
      </w:pPr>
      <w:r>
        <w:rPr>
          <w:rStyle w:val="FootnoteReference"/>
        </w:rPr>
        <w:footnoteRef/>
      </w:r>
      <w:r>
        <w:t xml:space="preserve"> Michael Wise, ‘The Origins and History of the Teacher’s Movement’, in </w:t>
      </w:r>
      <w:r>
        <w:rPr>
          <w:i/>
        </w:rPr>
        <w:t>The Oxford Handbook of the Dead Sea Scrolls</w:t>
      </w:r>
      <w:r>
        <w:t>, eds. T.H. Lim &amp; J.J. Collins (Oxford: Oxford University Press, 2010), p. 92.</w:t>
      </w:r>
    </w:p>
  </w:footnote>
  <w:footnote w:id="36">
    <w:p w:rsidR="00294B2A" w:rsidRDefault="00294B2A" w:rsidP="00294B2A">
      <w:pPr>
        <w:pStyle w:val="FootnoteText"/>
      </w:pPr>
      <w:r>
        <w:rPr>
          <w:rStyle w:val="FootnoteReference"/>
        </w:rPr>
        <w:footnoteRef/>
      </w:r>
      <w:r>
        <w:t xml:space="preserve"> Knohl, The Messiah Before Jesus</w:t>
      </w:r>
      <w:r w:rsidR="00D23C8D">
        <w:t>, p.2.</w:t>
      </w:r>
      <w:r>
        <w:t xml:space="preserve"> </w:t>
      </w:r>
    </w:p>
  </w:footnote>
  <w:footnote w:id="37">
    <w:p w:rsidR="00B7353A" w:rsidRPr="00F8066D" w:rsidRDefault="00B7353A" w:rsidP="00B7353A">
      <w:pPr>
        <w:pStyle w:val="FootnoteText"/>
      </w:pPr>
      <w:r>
        <w:rPr>
          <w:rStyle w:val="FootnoteReference"/>
        </w:rPr>
        <w:footnoteRef/>
      </w:r>
      <w:r>
        <w:t xml:space="preserve"> Alex Jassen, ‘The Prophets in the Dead Sea Scrolls’, in </w:t>
      </w:r>
      <w:r>
        <w:rPr>
          <w:i/>
        </w:rPr>
        <w:t>The Oxford Handbook of the Dead Sea Scrolls</w:t>
      </w:r>
      <w:r>
        <w:t>, eds. T.H. Lim &amp; J.J. Collins (Oxford: Oxford University Press), p. 35; Wise, The Origins, p. 92-93.</w:t>
      </w:r>
    </w:p>
  </w:footnote>
  <w:footnote w:id="38">
    <w:p w:rsidR="00B7353A" w:rsidRPr="00F05EFA" w:rsidRDefault="00B7353A" w:rsidP="00B7353A">
      <w:pPr>
        <w:pStyle w:val="FootnoteText"/>
      </w:pPr>
      <w:r>
        <w:rPr>
          <w:rStyle w:val="FootnoteReference"/>
        </w:rPr>
        <w:footnoteRef/>
      </w:r>
      <w:r>
        <w:t xml:space="preserve"> Wise, The Origins, p. 92; Frank Cross, </w:t>
      </w:r>
      <w:r>
        <w:rPr>
          <w:i/>
        </w:rPr>
        <w:t>The Ancient Library of Qumran and Modern Biblical Studies</w:t>
      </w:r>
      <w:r>
        <w:t>, Garden City: Doubleday, 1958), pp. 107-60.</w:t>
      </w:r>
    </w:p>
  </w:footnote>
  <w:footnote w:id="39">
    <w:p w:rsidR="006D53B4" w:rsidRDefault="006D53B4" w:rsidP="006D53B4">
      <w:pPr>
        <w:pStyle w:val="FootnoteText"/>
      </w:pPr>
      <w:r>
        <w:rPr>
          <w:rStyle w:val="FootnoteReference"/>
        </w:rPr>
        <w:footnoteRef/>
      </w:r>
      <w:r>
        <w:t xml:space="preserve"> Collins, Scriptures and Sectarianism, p. 267.</w:t>
      </w:r>
    </w:p>
  </w:footnote>
  <w:footnote w:id="40">
    <w:p w:rsidR="00294B2A" w:rsidRPr="00B957EC" w:rsidRDefault="00294B2A" w:rsidP="00294B2A">
      <w:pPr>
        <w:pStyle w:val="FootnoteText"/>
      </w:pPr>
      <w:r>
        <w:rPr>
          <w:rStyle w:val="FootnoteReference"/>
        </w:rPr>
        <w:footnoteRef/>
      </w:r>
      <w:r>
        <w:t xml:space="preserve"> Vermes, Complete Dead Sea Scrolls.</w:t>
      </w:r>
    </w:p>
  </w:footnote>
  <w:footnote w:id="41">
    <w:p w:rsidR="00E10DD6" w:rsidRPr="00F9322F" w:rsidRDefault="00E10DD6">
      <w:pPr>
        <w:pStyle w:val="FootnoteText"/>
      </w:pPr>
      <w:r>
        <w:rPr>
          <w:rStyle w:val="FootnoteReference"/>
        </w:rPr>
        <w:footnoteRef/>
      </w:r>
      <w:r>
        <w:t xml:space="preserve"> Collins, A Messiah Before Jesus, pp. 21-23; Collins, Scriptures and Sectarianism, p</w:t>
      </w:r>
      <w:r w:rsidR="00F9322F">
        <w:t>p</w:t>
      </w:r>
      <w:r>
        <w:t>.264</w:t>
      </w:r>
      <w:r w:rsidR="00F9322F">
        <w:t>-267</w:t>
      </w:r>
      <w:r>
        <w:t>; Brettler &amp; Levine, Isaiah’s Suffering Servant, p.165; Andr</w:t>
      </w:r>
      <w:r>
        <w:rPr>
          <w:rFonts w:cstheme="minorHAnsi"/>
        </w:rPr>
        <w:t>é</w:t>
      </w:r>
      <w:r>
        <w:t xml:space="preserve"> Dupont-Sommer, </w:t>
      </w:r>
      <w:r>
        <w:rPr>
          <w:i/>
        </w:rPr>
        <w:t xml:space="preserve">The Essene Writings from Qumran </w:t>
      </w:r>
      <w:r>
        <w:t>(</w:t>
      </w:r>
      <w:r w:rsidR="00F9322F">
        <w:t xml:space="preserve">Gloucester: Smith, 1973), p.361; Michael Wise, </w:t>
      </w:r>
      <w:r w:rsidR="00F9322F">
        <w:rPr>
          <w:i/>
        </w:rPr>
        <w:t xml:space="preserve">The First Messiah: Investigating the Savior Before Jesus </w:t>
      </w:r>
      <w:r w:rsidR="00F9322F">
        <w:t>(San Francisco: Harper, 1999), p. 292).</w:t>
      </w:r>
    </w:p>
  </w:footnote>
  <w:footnote w:id="42">
    <w:p w:rsidR="004C1DF7" w:rsidRPr="004C1DF7" w:rsidRDefault="004C1DF7">
      <w:pPr>
        <w:pStyle w:val="FootnoteText"/>
      </w:pPr>
      <w:r>
        <w:rPr>
          <w:rStyle w:val="FootnoteReference"/>
        </w:rPr>
        <w:footnoteRef/>
      </w:r>
      <w:r>
        <w:t xml:space="preserve"> John Collins, </w:t>
      </w:r>
      <w:r>
        <w:rPr>
          <w:i/>
        </w:rPr>
        <w:t xml:space="preserve">Apocalypticism in the Dead Sea Scrolls </w:t>
      </w:r>
      <w:r>
        <w:t>(London: Routledge, 1997), p. 147, Scriptures and Sectarianism, p. 267; Knohl, The Suffering Servant, pp. 96-99.</w:t>
      </w:r>
    </w:p>
  </w:footnote>
  <w:footnote w:id="43">
    <w:p w:rsidR="00936E6A" w:rsidRDefault="00936E6A">
      <w:pPr>
        <w:pStyle w:val="FootnoteText"/>
      </w:pPr>
      <w:r>
        <w:rPr>
          <w:rStyle w:val="FootnoteReference"/>
        </w:rPr>
        <w:footnoteRef/>
      </w:r>
      <w:r>
        <w:t xml:space="preserve"> Knohl, The Suffering Servant, p.267.</w:t>
      </w:r>
    </w:p>
  </w:footnote>
  <w:footnote w:id="44">
    <w:p w:rsidR="00C95599" w:rsidRDefault="00C95599" w:rsidP="00C95599">
      <w:pPr>
        <w:pStyle w:val="FootnoteText"/>
      </w:pPr>
      <w:r>
        <w:rPr>
          <w:rStyle w:val="FootnoteReference"/>
        </w:rPr>
        <w:footnoteRef/>
      </w:r>
      <w:r>
        <w:t xml:space="preserve"> Collins, Scriptures and Sectarianism, p. 267;  A Messiah Before Jesus, pp. 21, 27-28;</w:t>
      </w:r>
    </w:p>
  </w:footnote>
  <w:footnote w:id="45">
    <w:p w:rsidR="0022677F" w:rsidRPr="0022677F" w:rsidRDefault="0022677F">
      <w:pPr>
        <w:pStyle w:val="FootnoteText"/>
        <w:rPr>
          <w:i/>
        </w:rPr>
      </w:pPr>
      <w:r>
        <w:rPr>
          <w:rStyle w:val="FootnoteReference"/>
        </w:rPr>
        <w:footnoteRef/>
      </w:r>
      <w:r>
        <w:t xml:space="preserve"> Wise, The First Messiah, p. 290; Collins, A Messiah Before Jesus, 22. 22-23.</w:t>
      </w:r>
      <w:r>
        <w:rPr>
          <w:i/>
        </w:rPr>
        <w:t xml:space="preserve"> </w:t>
      </w:r>
    </w:p>
  </w:footnote>
  <w:footnote w:id="46">
    <w:p w:rsidR="00000977" w:rsidRDefault="00000977">
      <w:pPr>
        <w:pStyle w:val="FootnoteText"/>
      </w:pPr>
      <w:r>
        <w:rPr>
          <w:rStyle w:val="FootnoteReference"/>
        </w:rPr>
        <w:footnoteRef/>
      </w:r>
      <w:r>
        <w:t xml:space="preserve"> Knohl, The Messiah Before Jesus, pp. 2-3, 75, 86.</w:t>
      </w:r>
    </w:p>
  </w:footnote>
  <w:footnote w:id="47">
    <w:p w:rsidR="00324A94" w:rsidRDefault="00324A94">
      <w:pPr>
        <w:pStyle w:val="FootnoteText"/>
      </w:pPr>
      <w:r>
        <w:rPr>
          <w:rStyle w:val="FootnoteReference"/>
        </w:rPr>
        <w:footnoteRef/>
      </w:r>
      <w:r>
        <w:t xml:space="preserve"> Knohl, The Messiah Before Jesus, p. 3.</w:t>
      </w:r>
    </w:p>
  </w:footnote>
  <w:footnote w:id="48">
    <w:p w:rsidR="00472098" w:rsidRDefault="00472098">
      <w:pPr>
        <w:pStyle w:val="FootnoteText"/>
      </w:pPr>
      <w:r>
        <w:rPr>
          <w:rStyle w:val="FootnoteReference"/>
        </w:rPr>
        <w:footnoteRef/>
      </w:r>
      <w:r>
        <w:t xml:space="preserve"> Wise, The First Messiah, p. 208.</w:t>
      </w:r>
    </w:p>
  </w:footnote>
  <w:footnote w:id="49">
    <w:p w:rsidR="00324A94" w:rsidRDefault="00324A94">
      <w:pPr>
        <w:pStyle w:val="FootnoteText"/>
      </w:pPr>
      <w:r>
        <w:rPr>
          <w:rStyle w:val="FootnoteReference"/>
        </w:rPr>
        <w:footnoteRef/>
      </w:r>
      <w:r>
        <w:t xml:space="preserve"> Collins, Scriptures and Sectarianism, p. 268.</w:t>
      </w:r>
    </w:p>
  </w:footnote>
  <w:footnote w:id="50">
    <w:p w:rsidR="00324A94" w:rsidRDefault="00324A94">
      <w:pPr>
        <w:pStyle w:val="FootnoteText"/>
      </w:pPr>
      <w:r>
        <w:rPr>
          <w:rStyle w:val="FootnoteReference"/>
        </w:rPr>
        <w:footnoteRef/>
      </w:r>
      <w:r>
        <w:t xml:space="preserve"> Brettler &amp; Levine, Isaiah’s Suffering Servant, p. 165.</w:t>
      </w:r>
    </w:p>
  </w:footnote>
  <w:footnote w:id="51">
    <w:p w:rsidR="00D23C8D" w:rsidRPr="00D23C8D" w:rsidRDefault="00D23C8D">
      <w:pPr>
        <w:pStyle w:val="FootnoteText"/>
      </w:pPr>
      <w:r>
        <w:rPr>
          <w:rStyle w:val="FootnoteReference"/>
        </w:rPr>
        <w:footnoteRef/>
      </w:r>
      <w:r>
        <w:t xml:space="preserve"> John Collins, ‘An Essene Messiah? Comments on Israel Knohl, </w:t>
      </w:r>
      <w:r>
        <w:rPr>
          <w:i/>
        </w:rPr>
        <w:t xml:space="preserve">The Messiah Before Jesus, </w:t>
      </w:r>
      <w:r>
        <w:t xml:space="preserve">in </w:t>
      </w:r>
      <w:r>
        <w:rPr>
          <w:i/>
        </w:rPr>
        <w:t>Christian Beginnings and the Dead Sea Scrolls</w:t>
      </w:r>
      <w:r>
        <w:t>, eds. J.J. Collins &amp; C.A. Evans (Grand Rapids: Baker Academic, 2006), pp. 20, 37-38, 42</w:t>
      </w:r>
    </w:p>
  </w:footnote>
  <w:footnote w:id="52">
    <w:p w:rsidR="00472098" w:rsidRDefault="00472098">
      <w:pPr>
        <w:pStyle w:val="FootnoteText"/>
      </w:pPr>
      <w:r>
        <w:rPr>
          <w:rStyle w:val="FootnoteReference"/>
        </w:rPr>
        <w:footnoteRef/>
      </w:r>
      <w:r>
        <w:t xml:space="preserve"> Matthew Novenson, </w:t>
      </w:r>
      <w:r>
        <w:rPr>
          <w:i/>
        </w:rPr>
        <w:t xml:space="preserve">The Grammar of Messianism: An Ancient Jewish Political Idiom and its Users </w:t>
      </w:r>
      <w:r>
        <w:t>(Oxford: Oxford University Press, 2017), pp. 175-176.</w:t>
      </w:r>
    </w:p>
  </w:footnote>
  <w:footnote w:id="53">
    <w:p w:rsidR="003564D2" w:rsidRPr="003564D2" w:rsidRDefault="003564D2">
      <w:pPr>
        <w:pStyle w:val="FootnoteText"/>
      </w:pPr>
      <w:r>
        <w:rPr>
          <w:rStyle w:val="FootnoteReference"/>
        </w:rPr>
        <w:footnoteRef/>
      </w:r>
      <w:r>
        <w:t xml:space="preserve"> </w:t>
      </w:r>
      <w:r w:rsidR="009541CF">
        <w:t>Novenson, The Grammar of Messianism, p. 169.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8449106"/>
      <w:docPartObj>
        <w:docPartGallery w:val="Page Numbers (Top of Page)"/>
        <w:docPartUnique/>
      </w:docPartObj>
    </w:sdtPr>
    <w:sdtEndPr>
      <w:rPr>
        <w:noProof/>
      </w:rPr>
    </w:sdtEndPr>
    <w:sdtContent>
      <w:p w:rsidR="00A92FD1" w:rsidRDefault="00A92FD1">
        <w:pPr>
          <w:pStyle w:val="Header"/>
          <w:jc w:val="right"/>
        </w:pPr>
        <w:r>
          <w:fldChar w:fldCharType="begin"/>
        </w:r>
        <w:r>
          <w:instrText xml:space="preserve"> PAGE   \* MERGEFORMAT </w:instrText>
        </w:r>
        <w:r>
          <w:fldChar w:fldCharType="separate"/>
        </w:r>
        <w:r w:rsidR="0034236E">
          <w:rPr>
            <w:noProof/>
          </w:rPr>
          <w:t>11</w:t>
        </w:r>
        <w:r>
          <w:rPr>
            <w:noProof/>
          </w:rPr>
          <w:fldChar w:fldCharType="end"/>
        </w:r>
      </w:p>
    </w:sdtContent>
  </w:sdt>
  <w:p w:rsidR="00A92FD1" w:rsidRDefault="00A92F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B2B"/>
    <w:rsid w:val="00000977"/>
    <w:rsid w:val="000264F8"/>
    <w:rsid w:val="00033A1A"/>
    <w:rsid w:val="00054C83"/>
    <w:rsid w:val="00060119"/>
    <w:rsid w:val="00067EEF"/>
    <w:rsid w:val="000A36C6"/>
    <w:rsid w:val="000A613B"/>
    <w:rsid w:val="000B2817"/>
    <w:rsid w:val="000E19E0"/>
    <w:rsid w:val="000F5245"/>
    <w:rsid w:val="00132298"/>
    <w:rsid w:val="001468CD"/>
    <w:rsid w:val="00154C63"/>
    <w:rsid w:val="00166D5B"/>
    <w:rsid w:val="00167700"/>
    <w:rsid w:val="001741BB"/>
    <w:rsid w:val="00177B4F"/>
    <w:rsid w:val="001F6881"/>
    <w:rsid w:val="002047ED"/>
    <w:rsid w:val="00216F21"/>
    <w:rsid w:val="0022677F"/>
    <w:rsid w:val="00294B2A"/>
    <w:rsid w:val="002A74E8"/>
    <w:rsid w:val="002C11A4"/>
    <w:rsid w:val="002C3272"/>
    <w:rsid w:val="00324A94"/>
    <w:rsid w:val="0034236E"/>
    <w:rsid w:val="003564D2"/>
    <w:rsid w:val="00397859"/>
    <w:rsid w:val="003B204C"/>
    <w:rsid w:val="003B39B2"/>
    <w:rsid w:val="003B68AF"/>
    <w:rsid w:val="003D5DF5"/>
    <w:rsid w:val="00405525"/>
    <w:rsid w:val="004173B1"/>
    <w:rsid w:val="004257CC"/>
    <w:rsid w:val="00472098"/>
    <w:rsid w:val="00484016"/>
    <w:rsid w:val="004B6C60"/>
    <w:rsid w:val="004C1DF7"/>
    <w:rsid w:val="004D63AB"/>
    <w:rsid w:val="004D708F"/>
    <w:rsid w:val="00545962"/>
    <w:rsid w:val="0054759A"/>
    <w:rsid w:val="00561CF2"/>
    <w:rsid w:val="00597D9E"/>
    <w:rsid w:val="005C0D29"/>
    <w:rsid w:val="005C7172"/>
    <w:rsid w:val="005D35AE"/>
    <w:rsid w:val="005D6E5E"/>
    <w:rsid w:val="00614D99"/>
    <w:rsid w:val="00624D16"/>
    <w:rsid w:val="0063400E"/>
    <w:rsid w:val="00663947"/>
    <w:rsid w:val="0067666C"/>
    <w:rsid w:val="00694C37"/>
    <w:rsid w:val="006A1961"/>
    <w:rsid w:val="006C61C0"/>
    <w:rsid w:val="006D53B4"/>
    <w:rsid w:val="006E089C"/>
    <w:rsid w:val="006E5378"/>
    <w:rsid w:val="006F0799"/>
    <w:rsid w:val="00707B2B"/>
    <w:rsid w:val="00731B4A"/>
    <w:rsid w:val="007A6BAE"/>
    <w:rsid w:val="007A7F77"/>
    <w:rsid w:val="007D3CA6"/>
    <w:rsid w:val="00800727"/>
    <w:rsid w:val="00844102"/>
    <w:rsid w:val="00846289"/>
    <w:rsid w:val="00847C57"/>
    <w:rsid w:val="008A0D93"/>
    <w:rsid w:val="008A6635"/>
    <w:rsid w:val="00927ACD"/>
    <w:rsid w:val="009301BF"/>
    <w:rsid w:val="00936E6A"/>
    <w:rsid w:val="00953C9D"/>
    <w:rsid w:val="009541CF"/>
    <w:rsid w:val="0098166B"/>
    <w:rsid w:val="009A12DD"/>
    <w:rsid w:val="009B16D8"/>
    <w:rsid w:val="009D2DFF"/>
    <w:rsid w:val="00A02FE7"/>
    <w:rsid w:val="00A11E27"/>
    <w:rsid w:val="00A262CB"/>
    <w:rsid w:val="00A50F77"/>
    <w:rsid w:val="00A6262C"/>
    <w:rsid w:val="00A92FD1"/>
    <w:rsid w:val="00A94BE4"/>
    <w:rsid w:val="00AE699E"/>
    <w:rsid w:val="00B2232B"/>
    <w:rsid w:val="00B60FBF"/>
    <w:rsid w:val="00B7353A"/>
    <w:rsid w:val="00B7532A"/>
    <w:rsid w:val="00B957EC"/>
    <w:rsid w:val="00BA0C84"/>
    <w:rsid w:val="00BA3D85"/>
    <w:rsid w:val="00BA4B05"/>
    <w:rsid w:val="00BA5039"/>
    <w:rsid w:val="00BD63CA"/>
    <w:rsid w:val="00BE132F"/>
    <w:rsid w:val="00C067D5"/>
    <w:rsid w:val="00C30952"/>
    <w:rsid w:val="00C53B11"/>
    <w:rsid w:val="00C55722"/>
    <w:rsid w:val="00C7434E"/>
    <w:rsid w:val="00C95599"/>
    <w:rsid w:val="00CB7C80"/>
    <w:rsid w:val="00CD39DD"/>
    <w:rsid w:val="00CF57AA"/>
    <w:rsid w:val="00D207FF"/>
    <w:rsid w:val="00D23C8D"/>
    <w:rsid w:val="00D3053F"/>
    <w:rsid w:val="00D33302"/>
    <w:rsid w:val="00D86A2B"/>
    <w:rsid w:val="00D87D99"/>
    <w:rsid w:val="00DA0785"/>
    <w:rsid w:val="00DD0B15"/>
    <w:rsid w:val="00DD2070"/>
    <w:rsid w:val="00DD6B03"/>
    <w:rsid w:val="00DF32E4"/>
    <w:rsid w:val="00E009D0"/>
    <w:rsid w:val="00E10DD6"/>
    <w:rsid w:val="00E456BB"/>
    <w:rsid w:val="00E478C4"/>
    <w:rsid w:val="00E85DD4"/>
    <w:rsid w:val="00F020D5"/>
    <w:rsid w:val="00F05EFA"/>
    <w:rsid w:val="00F1381D"/>
    <w:rsid w:val="00F20CC9"/>
    <w:rsid w:val="00F3176D"/>
    <w:rsid w:val="00F35035"/>
    <w:rsid w:val="00F45912"/>
    <w:rsid w:val="00F55BF3"/>
    <w:rsid w:val="00F8066D"/>
    <w:rsid w:val="00F9322F"/>
    <w:rsid w:val="00FA5219"/>
    <w:rsid w:val="00FB15D9"/>
    <w:rsid w:val="00FE469B"/>
    <w:rsid w:val="00FF6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7B2B"/>
  </w:style>
  <w:style w:type="paragraph" w:styleId="Heading1">
    <w:name w:val="heading 1"/>
    <w:basedOn w:val="Normal"/>
    <w:next w:val="Normal"/>
    <w:link w:val="Heading1Char"/>
    <w:uiPriority w:val="9"/>
    <w:qFormat/>
    <w:rsid w:val="00BA3D8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qFormat/>
    <w:rsid w:val="006E5378"/>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07B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7B2B"/>
    <w:rPr>
      <w:sz w:val="20"/>
      <w:szCs w:val="20"/>
    </w:rPr>
  </w:style>
  <w:style w:type="character" w:styleId="FootnoteReference">
    <w:name w:val="footnote reference"/>
    <w:basedOn w:val="DefaultParagraphFont"/>
    <w:uiPriority w:val="99"/>
    <w:semiHidden/>
    <w:unhideWhenUsed/>
    <w:rsid w:val="00707B2B"/>
    <w:rPr>
      <w:vertAlign w:val="superscript"/>
    </w:rPr>
  </w:style>
  <w:style w:type="paragraph" w:styleId="BalloonText">
    <w:name w:val="Balloon Text"/>
    <w:basedOn w:val="Normal"/>
    <w:link w:val="BalloonTextChar"/>
    <w:uiPriority w:val="99"/>
    <w:semiHidden/>
    <w:unhideWhenUsed/>
    <w:rsid w:val="000601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0119"/>
    <w:rPr>
      <w:rFonts w:ascii="Tahoma" w:hAnsi="Tahoma" w:cs="Tahoma"/>
      <w:sz w:val="16"/>
      <w:szCs w:val="16"/>
    </w:rPr>
  </w:style>
  <w:style w:type="paragraph" w:styleId="ListParagraph">
    <w:name w:val="List Paragraph"/>
    <w:basedOn w:val="Normal"/>
    <w:uiPriority w:val="34"/>
    <w:qFormat/>
    <w:rsid w:val="00060119"/>
    <w:pPr>
      <w:ind w:left="720"/>
      <w:contextualSpacing/>
    </w:pPr>
  </w:style>
  <w:style w:type="character" w:styleId="Hyperlink">
    <w:name w:val="Hyperlink"/>
    <w:basedOn w:val="DefaultParagraphFont"/>
    <w:uiPriority w:val="99"/>
    <w:unhideWhenUsed/>
    <w:rsid w:val="00060119"/>
    <w:rPr>
      <w:color w:val="0000FF" w:themeColor="hyperlink"/>
      <w:u w:val="single"/>
    </w:rPr>
  </w:style>
  <w:style w:type="paragraph" w:styleId="Header">
    <w:name w:val="header"/>
    <w:basedOn w:val="Normal"/>
    <w:link w:val="HeaderChar"/>
    <w:uiPriority w:val="99"/>
    <w:unhideWhenUsed/>
    <w:rsid w:val="00A92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FD1"/>
  </w:style>
  <w:style w:type="paragraph" w:styleId="Footer">
    <w:name w:val="footer"/>
    <w:basedOn w:val="Normal"/>
    <w:link w:val="FooterChar"/>
    <w:uiPriority w:val="99"/>
    <w:unhideWhenUsed/>
    <w:rsid w:val="00A92F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FD1"/>
  </w:style>
  <w:style w:type="character" w:customStyle="1" w:styleId="Heading1Char">
    <w:name w:val="Heading 1 Char"/>
    <w:basedOn w:val="DefaultParagraphFont"/>
    <w:link w:val="Heading1"/>
    <w:uiPriority w:val="9"/>
    <w:rsid w:val="00BA3D8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rsid w:val="006E5378"/>
    <w:rPr>
      <w:rFonts w:ascii="Tahoma" w:eastAsia="SimSun" w:hAnsi="Tahoma" w:cs="Tahoma"/>
      <w:b/>
      <w:bCs/>
      <w:sz w:val="20"/>
      <w:szCs w:val="20"/>
      <w:lang w:eastAsia="zh-CN"/>
    </w:rPr>
  </w:style>
  <w:style w:type="paragraph" w:styleId="NormalWeb">
    <w:name w:val="Normal (Web)"/>
    <w:basedOn w:val="Normal"/>
    <w:rsid w:val="006E5378"/>
    <w:pPr>
      <w:spacing w:before="100" w:beforeAutospacing="1" w:after="100" w:afterAutospacing="1" w:line="240" w:lineRule="auto"/>
    </w:pPr>
    <w:rPr>
      <w:rFonts w:ascii="Georgia" w:eastAsia="SimSun" w:hAnsi="Georgia" w:cs="Times New Roman"/>
      <w:color w:val="000000"/>
      <w:sz w:val="21"/>
      <w:szCs w:val="21"/>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7B2B"/>
  </w:style>
  <w:style w:type="paragraph" w:styleId="Heading1">
    <w:name w:val="heading 1"/>
    <w:basedOn w:val="Normal"/>
    <w:next w:val="Normal"/>
    <w:link w:val="Heading1Char"/>
    <w:uiPriority w:val="9"/>
    <w:qFormat/>
    <w:rsid w:val="00BA3D8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qFormat/>
    <w:rsid w:val="006E5378"/>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07B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7B2B"/>
    <w:rPr>
      <w:sz w:val="20"/>
      <w:szCs w:val="20"/>
    </w:rPr>
  </w:style>
  <w:style w:type="character" w:styleId="FootnoteReference">
    <w:name w:val="footnote reference"/>
    <w:basedOn w:val="DefaultParagraphFont"/>
    <w:uiPriority w:val="99"/>
    <w:semiHidden/>
    <w:unhideWhenUsed/>
    <w:rsid w:val="00707B2B"/>
    <w:rPr>
      <w:vertAlign w:val="superscript"/>
    </w:rPr>
  </w:style>
  <w:style w:type="paragraph" w:styleId="BalloonText">
    <w:name w:val="Balloon Text"/>
    <w:basedOn w:val="Normal"/>
    <w:link w:val="BalloonTextChar"/>
    <w:uiPriority w:val="99"/>
    <w:semiHidden/>
    <w:unhideWhenUsed/>
    <w:rsid w:val="000601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0119"/>
    <w:rPr>
      <w:rFonts w:ascii="Tahoma" w:hAnsi="Tahoma" w:cs="Tahoma"/>
      <w:sz w:val="16"/>
      <w:szCs w:val="16"/>
    </w:rPr>
  </w:style>
  <w:style w:type="paragraph" w:styleId="ListParagraph">
    <w:name w:val="List Paragraph"/>
    <w:basedOn w:val="Normal"/>
    <w:uiPriority w:val="34"/>
    <w:qFormat/>
    <w:rsid w:val="00060119"/>
    <w:pPr>
      <w:ind w:left="720"/>
      <w:contextualSpacing/>
    </w:pPr>
  </w:style>
  <w:style w:type="character" w:styleId="Hyperlink">
    <w:name w:val="Hyperlink"/>
    <w:basedOn w:val="DefaultParagraphFont"/>
    <w:uiPriority w:val="99"/>
    <w:unhideWhenUsed/>
    <w:rsid w:val="00060119"/>
    <w:rPr>
      <w:color w:val="0000FF" w:themeColor="hyperlink"/>
      <w:u w:val="single"/>
    </w:rPr>
  </w:style>
  <w:style w:type="paragraph" w:styleId="Header">
    <w:name w:val="header"/>
    <w:basedOn w:val="Normal"/>
    <w:link w:val="HeaderChar"/>
    <w:uiPriority w:val="99"/>
    <w:unhideWhenUsed/>
    <w:rsid w:val="00A92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FD1"/>
  </w:style>
  <w:style w:type="paragraph" w:styleId="Footer">
    <w:name w:val="footer"/>
    <w:basedOn w:val="Normal"/>
    <w:link w:val="FooterChar"/>
    <w:uiPriority w:val="99"/>
    <w:unhideWhenUsed/>
    <w:rsid w:val="00A92F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FD1"/>
  </w:style>
  <w:style w:type="character" w:customStyle="1" w:styleId="Heading1Char">
    <w:name w:val="Heading 1 Char"/>
    <w:basedOn w:val="DefaultParagraphFont"/>
    <w:link w:val="Heading1"/>
    <w:uiPriority w:val="9"/>
    <w:rsid w:val="00BA3D8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rsid w:val="006E5378"/>
    <w:rPr>
      <w:rFonts w:ascii="Tahoma" w:eastAsia="SimSun" w:hAnsi="Tahoma" w:cs="Tahoma"/>
      <w:b/>
      <w:bCs/>
      <w:sz w:val="20"/>
      <w:szCs w:val="20"/>
      <w:lang w:eastAsia="zh-CN"/>
    </w:rPr>
  </w:style>
  <w:style w:type="paragraph" w:styleId="NormalWeb">
    <w:name w:val="Normal (Web)"/>
    <w:basedOn w:val="Normal"/>
    <w:rsid w:val="006E5378"/>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orion.mscc.huji.ac.il/cave/megila4.shtml"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AC43C-212A-43A8-AF4C-D822B3FF9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3912</Words>
  <Characters>22304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dc:creator>
  <cp:lastModifiedBy>Diane</cp:lastModifiedBy>
  <cp:revision>2</cp:revision>
  <cp:lastPrinted>2021-08-15T14:10:00Z</cp:lastPrinted>
  <dcterms:created xsi:type="dcterms:W3CDTF">2021-08-17T11:18:00Z</dcterms:created>
  <dcterms:modified xsi:type="dcterms:W3CDTF">2021-08-17T11:18:00Z</dcterms:modified>
</cp:coreProperties>
</file>