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2BC9F" w14:textId="77777777" w:rsidR="00040E61" w:rsidRPr="00D212FD" w:rsidRDefault="00040E61" w:rsidP="00040E61">
      <w:pPr>
        <w:rPr>
          <w:color w:val="000000" w:themeColor="text1"/>
        </w:rPr>
      </w:pPr>
      <w:r w:rsidRPr="00D212FD">
        <w:rPr>
          <w:color w:val="000000" w:themeColor="text1"/>
        </w:rPr>
        <w:t xml:space="preserve">                   </w:t>
      </w:r>
    </w:p>
    <w:p w14:paraId="2C0B0BA9" w14:textId="77777777" w:rsidR="00040E61" w:rsidRPr="00D212FD" w:rsidRDefault="00040E61" w:rsidP="00040E61">
      <w:pPr>
        <w:jc w:val="center"/>
        <w:rPr>
          <w:color w:val="000000" w:themeColor="text1"/>
        </w:rPr>
      </w:pPr>
      <w:r w:rsidRPr="00D212FD">
        <w:rPr>
          <w:b/>
          <w:bCs/>
          <w:color w:val="000000" w:themeColor="text1"/>
          <w:u w:val="single"/>
        </w:rPr>
        <w:t>ASSIGNMENT 2</w:t>
      </w:r>
    </w:p>
    <w:p w14:paraId="3ECB1B73" w14:textId="165956F2" w:rsidR="00040E61" w:rsidRPr="00040E61" w:rsidRDefault="00040E61" w:rsidP="00040E61">
      <w:pPr>
        <w:jc w:val="center"/>
        <w:rPr>
          <w:b/>
          <w:bCs/>
          <w:color w:val="000000" w:themeColor="text1"/>
          <w:sz w:val="28"/>
          <w:szCs w:val="28"/>
        </w:rPr>
      </w:pPr>
      <w:r w:rsidRPr="00040E61">
        <w:rPr>
          <w:b/>
          <w:bCs/>
          <w:color w:val="000000" w:themeColor="text1"/>
          <w:sz w:val="28"/>
          <w:szCs w:val="28"/>
        </w:rPr>
        <w:t>Psychology in Health and Social Care</w:t>
      </w:r>
    </w:p>
    <w:p w14:paraId="10E8E871" w14:textId="77777777" w:rsidR="00040E61" w:rsidRPr="00D212FD" w:rsidRDefault="00040E61" w:rsidP="00040E61">
      <w:pPr>
        <w:rPr>
          <w:b/>
          <w:bCs/>
          <w:color w:val="000000" w:themeColor="text1"/>
          <w:u w:val="single"/>
        </w:rPr>
      </w:pPr>
    </w:p>
    <w:p w14:paraId="5229EC79" w14:textId="77777777" w:rsidR="00040E61" w:rsidRPr="00D212FD" w:rsidRDefault="00040E61" w:rsidP="00040E61">
      <w:pPr>
        <w:rPr>
          <w:b/>
          <w:bCs/>
          <w:color w:val="000000" w:themeColor="text1"/>
          <w:u w:val="single"/>
        </w:rPr>
      </w:pPr>
    </w:p>
    <w:p w14:paraId="2CB72372" w14:textId="77777777" w:rsidR="00040E61" w:rsidRPr="00D212FD" w:rsidRDefault="00040E61" w:rsidP="00040E61">
      <w:pPr>
        <w:rPr>
          <w:b/>
          <w:bCs/>
          <w:color w:val="000000" w:themeColor="text1"/>
          <w:u w:val="single"/>
        </w:rPr>
      </w:pPr>
    </w:p>
    <w:p w14:paraId="08D7A37C" w14:textId="77777777" w:rsidR="00040E61" w:rsidRPr="00D148A2" w:rsidRDefault="00040E61" w:rsidP="00040E61">
      <w:pPr>
        <w:rPr>
          <w:b/>
          <w:bCs/>
          <w:color w:val="000000" w:themeColor="text1"/>
        </w:rPr>
      </w:pPr>
      <w:r w:rsidRPr="00D212FD">
        <w:rPr>
          <w:b/>
          <w:bCs/>
          <w:color w:val="000000" w:themeColor="text1"/>
          <w:u w:val="single"/>
        </w:rPr>
        <w:t>Name of Student:</w:t>
      </w:r>
      <w:r>
        <w:rPr>
          <w:b/>
          <w:bCs/>
          <w:color w:val="000000" w:themeColor="text1"/>
          <w:u w:val="single"/>
        </w:rPr>
        <w:t xml:space="preserve"> </w:t>
      </w:r>
      <w:r>
        <w:rPr>
          <w:b/>
          <w:bCs/>
          <w:color w:val="000000" w:themeColor="text1"/>
        </w:rPr>
        <w:t>Yrlene Elie</w:t>
      </w:r>
    </w:p>
    <w:p w14:paraId="53A78212" w14:textId="77777777" w:rsidR="00040E61" w:rsidRPr="00D212FD" w:rsidRDefault="00040E61" w:rsidP="00040E61">
      <w:pPr>
        <w:rPr>
          <w:b/>
          <w:bCs/>
          <w:color w:val="000000" w:themeColor="text1"/>
          <w:u w:val="single"/>
        </w:rPr>
      </w:pPr>
    </w:p>
    <w:p w14:paraId="5C35C4F4" w14:textId="77777777" w:rsidR="00040E61" w:rsidRPr="00D212FD" w:rsidRDefault="00040E61" w:rsidP="00040E61">
      <w:pPr>
        <w:rPr>
          <w:b/>
          <w:bCs/>
          <w:color w:val="000000" w:themeColor="text1"/>
          <w:u w:val="single"/>
        </w:rPr>
      </w:pPr>
    </w:p>
    <w:p w14:paraId="15D1AB5F" w14:textId="77777777" w:rsidR="00040E61" w:rsidRPr="00D212FD" w:rsidRDefault="00040E61" w:rsidP="00040E61">
      <w:pPr>
        <w:rPr>
          <w:b/>
          <w:bCs/>
          <w:color w:val="000000" w:themeColor="text1"/>
          <w:u w:val="single"/>
        </w:rPr>
      </w:pPr>
    </w:p>
    <w:p w14:paraId="27A8101D" w14:textId="77777777" w:rsidR="00040E61" w:rsidRPr="00D212FD" w:rsidRDefault="00040E61" w:rsidP="00040E61">
      <w:pPr>
        <w:rPr>
          <w:b/>
          <w:bCs/>
          <w:color w:val="000000" w:themeColor="text1"/>
          <w:u w:val="single"/>
        </w:rPr>
      </w:pPr>
      <w:r w:rsidRPr="00D212FD">
        <w:rPr>
          <w:b/>
          <w:bCs/>
          <w:color w:val="000000" w:themeColor="text1"/>
          <w:u w:val="single"/>
        </w:rPr>
        <w:t>I.D. Number:</w:t>
      </w:r>
      <w:r w:rsidRPr="00DD1109">
        <w:rPr>
          <w:b/>
          <w:bCs/>
          <w:color w:val="000000" w:themeColor="text1"/>
        </w:rPr>
        <w:t>2430828</w:t>
      </w:r>
    </w:p>
    <w:p w14:paraId="757EEFA4" w14:textId="77777777" w:rsidR="00040E61" w:rsidRPr="00D212FD" w:rsidRDefault="00040E61" w:rsidP="00040E61">
      <w:pPr>
        <w:rPr>
          <w:b/>
          <w:bCs/>
          <w:color w:val="000000" w:themeColor="text1"/>
          <w:u w:val="single"/>
        </w:rPr>
      </w:pPr>
    </w:p>
    <w:p w14:paraId="21BC4EE1" w14:textId="77777777" w:rsidR="00040E61" w:rsidRPr="00D212FD" w:rsidRDefault="00040E61" w:rsidP="00040E61">
      <w:pPr>
        <w:rPr>
          <w:b/>
          <w:bCs/>
          <w:color w:val="000000" w:themeColor="text1"/>
          <w:u w:val="single"/>
        </w:rPr>
      </w:pPr>
    </w:p>
    <w:p w14:paraId="502AE195" w14:textId="77777777" w:rsidR="00040E61" w:rsidRPr="00D212FD" w:rsidRDefault="00040E61" w:rsidP="00040E61">
      <w:pPr>
        <w:rPr>
          <w:b/>
          <w:bCs/>
          <w:color w:val="000000" w:themeColor="text1"/>
          <w:u w:val="single"/>
        </w:rPr>
      </w:pPr>
    </w:p>
    <w:p w14:paraId="181CF4C9" w14:textId="1A4285F1" w:rsidR="00040E61" w:rsidRPr="00D148A2" w:rsidRDefault="00040E61" w:rsidP="00040E61">
      <w:pPr>
        <w:rPr>
          <w:b/>
          <w:bCs/>
          <w:color w:val="000000" w:themeColor="text1"/>
        </w:rPr>
      </w:pPr>
      <w:r w:rsidRPr="00D212FD">
        <w:rPr>
          <w:b/>
          <w:bCs/>
          <w:color w:val="000000" w:themeColor="text1"/>
          <w:u w:val="single"/>
        </w:rPr>
        <w:t>Name of Tutor:</w:t>
      </w:r>
      <w:r>
        <w:rPr>
          <w:b/>
          <w:bCs/>
          <w:color w:val="000000" w:themeColor="text1"/>
          <w:u w:val="single"/>
        </w:rPr>
        <w:t xml:space="preserve"> </w:t>
      </w:r>
      <w:r>
        <w:rPr>
          <w:b/>
          <w:bCs/>
          <w:color w:val="000000" w:themeColor="text1"/>
        </w:rPr>
        <w:t>Farah Wiita</w:t>
      </w:r>
      <w:r>
        <w:rPr>
          <w:b/>
          <w:bCs/>
          <w:color w:val="000000" w:themeColor="text1"/>
        </w:rPr>
        <w:t xml:space="preserve"> </w:t>
      </w:r>
    </w:p>
    <w:p w14:paraId="6B289490" w14:textId="77777777" w:rsidR="00040E61" w:rsidRDefault="00040E61" w:rsidP="00160C36">
      <w:pPr>
        <w:rPr>
          <w:rFonts w:ascii="Arial" w:hAnsi="Arial" w:cs="Arial"/>
          <w:b/>
          <w:bCs/>
          <w:sz w:val="28"/>
          <w:szCs w:val="28"/>
        </w:rPr>
      </w:pPr>
    </w:p>
    <w:p w14:paraId="1CAEB2F1" w14:textId="77777777" w:rsidR="00040E61" w:rsidRDefault="00040E61" w:rsidP="00160C36">
      <w:pPr>
        <w:rPr>
          <w:rFonts w:ascii="Arial" w:hAnsi="Arial" w:cs="Arial"/>
          <w:b/>
          <w:bCs/>
          <w:sz w:val="28"/>
          <w:szCs w:val="28"/>
        </w:rPr>
      </w:pPr>
    </w:p>
    <w:p w14:paraId="09381823" w14:textId="77777777" w:rsidR="00040E61" w:rsidRDefault="00040E61" w:rsidP="00160C36">
      <w:pPr>
        <w:rPr>
          <w:rFonts w:ascii="Arial" w:hAnsi="Arial" w:cs="Arial"/>
          <w:b/>
          <w:bCs/>
          <w:sz w:val="28"/>
          <w:szCs w:val="28"/>
        </w:rPr>
      </w:pPr>
    </w:p>
    <w:p w14:paraId="20F3F9DE" w14:textId="77777777" w:rsidR="00040E61" w:rsidRDefault="00040E61" w:rsidP="00160C36">
      <w:pPr>
        <w:rPr>
          <w:rFonts w:ascii="Arial" w:hAnsi="Arial" w:cs="Arial"/>
          <w:b/>
          <w:bCs/>
          <w:sz w:val="28"/>
          <w:szCs w:val="28"/>
        </w:rPr>
      </w:pPr>
    </w:p>
    <w:p w14:paraId="183C59A5" w14:textId="77777777" w:rsidR="00040E61" w:rsidRDefault="00040E61" w:rsidP="00160C36">
      <w:pPr>
        <w:rPr>
          <w:rFonts w:ascii="Arial" w:hAnsi="Arial" w:cs="Arial"/>
          <w:b/>
          <w:bCs/>
          <w:sz w:val="28"/>
          <w:szCs w:val="28"/>
        </w:rPr>
      </w:pPr>
    </w:p>
    <w:p w14:paraId="05784C54" w14:textId="77777777" w:rsidR="00040E61" w:rsidRDefault="00040E61" w:rsidP="00160C36">
      <w:pPr>
        <w:rPr>
          <w:rFonts w:ascii="Arial" w:hAnsi="Arial" w:cs="Arial"/>
          <w:b/>
          <w:bCs/>
          <w:sz w:val="28"/>
          <w:szCs w:val="28"/>
        </w:rPr>
      </w:pPr>
    </w:p>
    <w:p w14:paraId="015E0EC1" w14:textId="77777777" w:rsidR="00040E61" w:rsidRDefault="00040E61" w:rsidP="00160C36">
      <w:pPr>
        <w:rPr>
          <w:rFonts w:ascii="Arial" w:hAnsi="Arial" w:cs="Arial"/>
          <w:b/>
          <w:bCs/>
          <w:sz w:val="28"/>
          <w:szCs w:val="28"/>
        </w:rPr>
      </w:pPr>
    </w:p>
    <w:p w14:paraId="4BEF3F4A" w14:textId="77777777" w:rsidR="00040E61" w:rsidRDefault="00040E61" w:rsidP="00160C36">
      <w:pPr>
        <w:rPr>
          <w:rFonts w:ascii="Arial" w:hAnsi="Arial" w:cs="Arial"/>
          <w:b/>
          <w:bCs/>
          <w:sz w:val="28"/>
          <w:szCs w:val="28"/>
        </w:rPr>
      </w:pPr>
    </w:p>
    <w:p w14:paraId="4379DEFF" w14:textId="77777777" w:rsidR="00040E61" w:rsidRDefault="00040E61" w:rsidP="00160C36">
      <w:pPr>
        <w:rPr>
          <w:rFonts w:ascii="Arial" w:hAnsi="Arial" w:cs="Arial"/>
          <w:b/>
          <w:bCs/>
          <w:sz w:val="28"/>
          <w:szCs w:val="28"/>
        </w:rPr>
      </w:pPr>
    </w:p>
    <w:p w14:paraId="2861A3D2" w14:textId="77777777" w:rsidR="00040E61" w:rsidRDefault="00040E61" w:rsidP="00160C36">
      <w:pPr>
        <w:rPr>
          <w:rFonts w:ascii="Arial" w:hAnsi="Arial" w:cs="Arial"/>
          <w:b/>
          <w:bCs/>
          <w:sz w:val="28"/>
          <w:szCs w:val="28"/>
        </w:rPr>
      </w:pPr>
    </w:p>
    <w:p w14:paraId="70EAFB9D" w14:textId="77777777" w:rsidR="00040E61" w:rsidRDefault="00040E61" w:rsidP="00160C36">
      <w:pPr>
        <w:rPr>
          <w:rFonts w:ascii="Arial" w:hAnsi="Arial" w:cs="Arial"/>
          <w:b/>
          <w:bCs/>
          <w:sz w:val="28"/>
          <w:szCs w:val="28"/>
        </w:rPr>
      </w:pPr>
    </w:p>
    <w:p w14:paraId="483F416E" w14:textId="77777777" w:rsidR="00040E61" w:rsidRDefault="00040E61" w:rsidP="00160C36">
      <w:pPr>
        <w:rPr>
          <w:rFonts w:ascii="Arial" w:hAnsi="Arial" w:cs="Arial"/>
          <w:b/>
          <w:bCs/>
          <w:sz w:val="28"/>
          <w:szCs w:val="28"/>
        </w:rPr>
      </w:pPr>
    </w:p>
    <w:p w14:paraId="532F6DA6" w14:textId="77777777" w:rsidR="00040E61" w:rsidRPr="00D212FD" w:rsidRDefault="00040E61" w:rsidP="00040E61">
      <w:pPr>
        <w:rPr>
          <w:color w:val="000000" w:themeColor="text1"/>
        </w:rPr>
      </w:pPr>
    </w:p>
    <w:p w14:paraId="5D8E6DF7" w14:textId="22471833" w:rsidR="00040E61" w:rsidRPr="00040E61" w:rsidRDefault="00040E61" w:rsidP="00040E61">
      <w:pPr>
        <w:pStyle w:val="Title"/>
        <w:rPr>
          <w:color w:val="000000" w:themeColor="text1"/>
          <w:sz w:val="28"/>
          <w:szCs w:val="28"/>
        </w:rPr>
      </w:pPr>
      <w:r w:rsidRPr="00040E61">
        <w:rPr>
          <w:rFonts w:eastAsia="Verdana"/>
          <w:b/>
          <w:bCs/>
          <w:color w:val="000000" w:themeColor="text1"/>
          <w:sz w:val="28"/>
          <w:szCs w:val="28"/>
          <w:u w:val="single"/>
        </w:rPr>
        <w:t xml:space="preserve">Table of Contents  </w:t>
      </w:r>
      <w:r w:rsidRPr="00040E61">
        <w:rPr>
          <w:rFonts w:eastAsia="Verdana"/>
          <w:b/>
          <w:bCs/>
          <w:color w:val="000000" w:themeColor="text1"/>
          <w:sz w:val="28"/>
          <w:szCs w:val="28"/>
        </w:rPr>
        <w:t xml:space="preserve">                                                        </w:t>
      </w:r>
      <w:r>
        <w:rPr>
          <w:rFonts w:eastAsia="Verdana"/>
          <w:b/>
          <w:bCs/>
          <w:color w:val="000000" w:themeColor="text1"/>
          <w:sz w:val="28"/>
          <w:szCs w:val="28"/>
        </w:rPr>
        <w:t xml:space="preserve">                               </w:t>
      </w:r>
      <w:r w:rsidRPr="00040E61">
        <w:rPr>
          <w:rFonts w:eastAsia="Verdana"/>
          <w:b/>
          <w:bCs/>
          <w:color w:val="000000" w:themeColor="text1"/>
          <w:sz w:val="28"/>
          <w:szCs w:val="28"/>
          <w:u w:val="single"/>
        </w:rPr>
        <w:t>Page Number</w:t>
      </w:r>
    </w:p>
    <w:p w14:paraId="3AFEAC50" w14:textId="1C19B6C7" w:rsidR="00040E61" w:rsidRDefault="00040E61" w:rsidP="00160C36">
      <w:pPr>
        <w:rPr>
          <w:rFonts w:ascii="Arial" w:hAnsi="Arial" w:cs="Arial"/>
          <w:sz w:val="22"/>
          <w:szCs w:val="22"/>
        </w:rPr>
      </w:pPr>
      <w:r w:rsidRPr="00040E61">
        <w:rPr>
          <w:rFonts w:ascii="Arial" w:hAnsi="Arial" w:cs="Arial"/>
          <w:sz w:val="22"/>
          <w:szCs w:val="22"/>
        </w:rPr>
        <w:t>Part A: Bibliography</w:t>
      </w:r>
      <w:r>
        <w:rPr>
          <w:rFonts w:ascii="Arial" w:hAnsi="Arial" w:cs="Arial"/>
          <w:sz w:val="22"/>
          <w:szCs w:val="22"/>
        </w:rPr>
        <w:t>………………………………………………...3,4</w:t>
      </w:r>
    </w:p>
    <w:p w14:paraId="21E266CE" w14:textId="1EE88E3E" w:rsidR="00040E61" w:rsidRDefault="00040E61" w:rsidP="00160C36">
      <w:pPr>
        <w:rPr>
          <w:rFonts w:ascii="Arial" w:hAnsi="Arial" w:cs="Arial"/>
          <w:sz w:val="22"/>
          <w:szCs w:val="22"/>
        </w:rPr>
      </w:pPr>
      <w:r>
        <w:rPr>
          <w:rFonts w:ascii="Arial" w:hAnsi="Arial" w:cs="Arial"/>
          <w:sz w:val="22"/>
          <w:szCs w:val="22"/>
        </w:rPr>
        <w:t>Part B: Short Report………………………………………………...5,6</w:t>
      </w:r>
    </w:p>
    <w:p w14:paraId="69C19C81" w14:textId="2AD4E8CD" w:rsidR="00040E61" w:rsidRPr="00040E61" w:rsidRDefault="00040E61" w:rsidP="00160C36">
      <w:pPr>
        <w:rPr>
          <w:rFonts w:ascii="Arial" w:hAnsi="Arial" w:cs="Arial"/>
          <w:sz w:val="22"/>
          <w:szCs w:val="22"/>
        </w:rPr>
      </w:pPr>
      <w:r>
        <w:rPr>
          <w:rFonts w:ascii="Arial" w:hAnsi="Arial" w:cs="Arial"/>
          <w:sz w:val="22"/>
          <w:szCs w:val="22"/>
        </w:rPr>
        <w:t>References…………………………………………………………...7</w:t>
      </w:r>
    </w:p>
    <w:p w14:paraId="4C4C4C36" w14:textId="77777777" w:rsidR="00040E61" w:rsidRDefault="00040E61" w:rsidP="00040E61">
      <w:pPr>
        <w:rPr>
          <w:rFonts w:ascii="Arial" w:hAnsi="Arial" w:cs="Arial"/>
          <w:b/>
          <w:bCs/>
          <w:sz w:val="28"/>
          <w:szCs w:val="28"/>
        </w:rPr>
      </w:pPr>
    </w:p>
    <w:p w14:paraId="002434EB" w14:textId="77777777" w:rsidR="00040E61" w:rsidRDefault="00040E61" w:rsidP="00160C36">
      <w:pPr>
        <w:rPr>
          <w:rFonts w:ascii="Arial" w:hAnsi="Arial" w:cs="Arial"/>
          <w:b/>
          <w:bCs/>
          <w:sz w:val="28"/>
          <w:szCs w:val="28"/>
        </w:rPr>
      </w:pPr>
    </w:p>
    <w:p w14:paraId="3A47B656" w14:textId="77777777" w:rsidR="00040E61" w:rsidRDefault="00040E61" w:rsidP="00160C36">
      <w:pPr>
        <w:rPr>
          <w:rFonts w:ascii="Arial" w:hAnsi="Arial" w:cs="Arial"/>
          <w:b/>
          <w:bCs/>
          <w:sz w:val="28"/>
          <w:szCs w:val="28"/>
        </w:rPr>
      </w:pPr>
    </w:p>
    <w:p w14:paraId="406B8996" w14:textId="77777777" w:rsidR="00040E61" w:rsidRDefault="00040E61" w:rsidP="00160C36">
      <w:pPr>
        <w:rPr>
          <w:rFonts w:ascii="Arial" w:hAnsi="Arial" w:cs="Arial"/>
          <w:b/>
          <w:bCs/>
          <w:sz w:val="28"/>
          <w:szCs w:val="28"/>
        </w:rPr>
      </w:pPr>
    </w:p>
    <w:p w14:paraId="64932834" w14:textId="77777777" w:rsidR="00040E61" w:rsidRDefault="00040E61" w:rsidP="00160C36">
      <w:pPr>
        <w:rPr>
          <w:rFonts w:ascii="Arial" w:hAnsi="Arial" w:cs="Arial"/>
          <w:b/>
          <w:bCs/>
          <w:sz w:val="28"/>
          <w:szCs w:val="28"/>
        </w:rPr>
      </w:pPr>
    </w:p>
    <w:p w14:paraId="7B039AB3" w14:textId="77777777" w:rsidR="00040E61" w:rsidRDefault="00040E61" w:rsidP="00160C36">
      <w:pPr>
        <w:rPr>
          <w:rFonts w:ascii="Arial" w:hAnsi="Arial" w:cs="Arial"/>
          <w:b/>
          <w:bCs/>
          <w:sz w:val="28"/>
          <w:szCs w:val="28"/>
        </w:rPr>
      </w:pPr>
    </w:p>
    <w:p w14:paraId="04D2CC4A" w14:textId="77777777" w:rsidR="00040E61" w:rsidRDefault="00040E61" w:rsidP="00160C36">
      <w:pPr>
        <w:rPr>
          <w:rFonts w:ascii="Arial" w:hAnsi="Arial" w:cs="Arial"/>
          <w:b/>
          <w:bCs/>
          <w:sz w:val="28"/>
          <w:szCs w:val="28"/>
        </w:rPr>
      </w:pPr>
    </w:p>
    <w:p w14:paraId="1A0CBB42" w14:textId="77777777" w:rsidR="00040E61" w:rsidRDefault="00040E61" w:rsidP="00160C36">
      <w:pPr>
        <w:rPr>
          <w:rFonts w:ascii="Arial" w:hAnsi="Arial" w:cs="Arial"/>
          <w:b/>
          <w:bCs/>
          <w:sz w:val="28"/>
          <w:szCs w:val="28"/>
        </w:rPr>
      </w:pPr>
    </w:p>
    <w:p w14:paraId="2EA22118" w14:textId="77777777" w:rsidR="00040E61" w:rsidRDefault="00040E61" w:rsidP="00160C36">
      <w:pPr>
        <w:rPr>
          <w:rFonts w:ascii="Arial" w:hAnsi="Arial" w:cs="Arial"/>
          <w:b/>
          <w:bCs/>
          <w:sz w:val="28"/>
          <w:szCs w:val="28"/>
        </w:rPr>
      </w:pPr>
    </w:p>
    <w:p w14:paraId="4E9C9F09" w14:textId="77777777" w:rsidR="00040E61" w:rsidRDefault="00040E61" w:rsidP="00160C36">
      <w:pPr>
        <w:rPr>
          <w:rFonts w:ascii="Arial" w:hAnsi="Arial" w:cs="Arial"/>
          <w:b/>
          <w:bCs/>
          <w:sz w:val="28"/>
          <w:szCs w:val="28"/>
        </w:rPr>
      </w:pPr>
    </w:p>
    <w:p w14:paraId="07E20DEE" w14:textId="77777777" w:rsidR="00040E61" w:rsidRDefault="00040E61" w:rsidP="00160C36">
      <w:pPr>
        <w:rPr>
          <w:rFonts w:ascii="Arial" w:hAnsi="Arial" w:cs="Arial"/>
          <w:b/>
          <w:bCs/>
          <w:sz w:val="28"/>
          <w:szCs w:val="28"/>
        </w:rPr>
      </w:pPr>
    </w:p>
    <w:p w14:paraId="7335295F" w14:textId="77777777" w:rsidR="00040E61" w:rsidRDefault="00040E61" w:rsidP="00160C36">
      <w:pPr>
        <w:rPr>
          <w:rFonts w:ascii="Arial" w:hAnsi="Arial" w:cs="Arial"/>
          <w:b/>
          <w:bCs/>
          <w:sz w:val="28"/>
          <w:szCs w:val="28"/>
        </w:rPr>
      </w:pPr>
    </w:p>
    <w:p w14:paraId="47119C98" w14:textId="77777777" w:rsidR="00040E61" w:rsidRDefault="00040E61" w:rsidP="00160C36">
      <w:pPr>
        <w:rPr>
          <w:rFonts w:ascii="Arial" w:hAnsi="Arial" w:cs="Arial"/>
          <w:b/>
          <w:bCs/>
          <w:sz w:val="28"/>
          <w:szCs w:val="28"/>
        </w:rPr>
      </w:pPr>
    </w:p>
    <w:p w14:paraId="713C71C0" w14:textId="77777777" w:rsidR="00040E61" w:rsidRDefault="00040E61" w:rsidP="00160C36">
      <w:pPr>
        <w:rPr>
          <w:rFonts w:ascii="Arial" w:hAnsi="Arial" w:cs="Arial"/>
          <w:b/>
          <w:bCs/>
          <w:sz w:val="28"/>
          <w:szCs w:val="28"/>
        </w:rPr>
      </w:pPr>
    </w:p>
    <w:p w14:paraId="7F9DF914" w14:textId="77777777" w:rsidR="00040E61" w:rsidRDefault="00040E61" w:rsidP="00160C36">
      <w:pPr>
        <w:rPr>
          <w:rFonts w:ascii="Arial" w:hAnsi="Arial" w:cs="Arial"/>
          <w:b/>
          <w:bCs/>
          <w:sz w:val="28"/>
          <w:szCs w:val="28"/>
        </w:rPr>
      </w:pPr>
    </w:p>
    <w:p w14:paraId="6744B857" w14:textId="77777777" w:rsidR="00040E61" w:rsidRDefault="00040E61" w:rsidP="00160C36">
      <w:pPr>
        <w:rPr>
          <w:rFonts w:ascii="Arial" w:hAnsi="Arial" w:cs="Arial"/>
          <w:b/>
          <w:bCs/>
          <w:sz w:val="28"/>
          <w:szCs w:val="28"/>
        </w:rPr>
      </w:pPr>
    </w:p>
    <w:p w14:paraId="67F4C8B1" w14:textId="77777777" w:rsidR="00040E61" w:rsidRDefault="00040E61" w:rsidP="00160C36">
      <w:pPr>
        <w:rPr>
          <w:rFonts w:ascii="Arial" w:hAnsi="Arial" w:cs="Arial"/>
          <w:b/>
          <w:bCs/>
          <w:sz w:val="28"/>
          <w:szCs w:val="28"/>
        </w:rPr>
      </w:pPr>
    </w:p>
    <w:p w14:paraId="6119EBFF" w14:textId="77777777" w:rsidR="00040E61" w:rsidRDefault="00040E61" w:rsidP="00160C36">
      <w:pPr>
        <w:rPr>
          <w:rFonts w:ascii="Arial" w:hAnsi="Arial" w:cs="Arial"/>
          <w:b/>
          <w:bCs/>
          <w:sz w:val="28"/>
          <w:szCs w:val="28"/>
        </w:rPr>
      </w:pPr>
    </w:p>
    <w:p w14:paraId="4842F1B4" w14:textId="77777777" w:rsidR="00040E61" w:rsidRDefault="00040E61" w:rsidP="00160C36">
      <w:pPr>
        <w:rPr>
          <w:rFonts w:ascii="Arial" w:hAnsi="Arial" w:cs="Arial"/>
          <w:b/>
          <w:bCs/>
          <w:sz w:val="28"/>
          <w:szCs w:val="28"/>
        </w:rPr>
      </w:pPr>
    </w:p>
    <w:p w14:paraId="5B35D3C4" w14:textId="77777777" w:rsidR="00040E61" w:rsidRDefault="00040E61" w:rsidP="00160C36">
      <w:pPr>
        <w:rPr>
          <w:rFonts w:ascii="Arial" w:hAnsi="Arial" w:cs="Arial"/>
          <w:b/>
          <w:bCs/>
          <w:sz w:val="28"/>
          <w:szCs w:val="28"/>
        </w:rPr>
      </w:pPr>
    </w:p>
    <w:p w14:paraId="0668E636" w14:textId="77777777" w:rsidR="00040E61" w:rsidRDefault="00040E61" w:rsidP="00160C36">
      <w:pPr>
        <w:rPr>
          <w:rFonts w:ascii="Arial" w:hAnsi="Arial" w:cs="Arial"/>
          <w:b/>
          <w:bCs/>
          <w:sz w:val="28"/>
          <w:szCs w:val="28"/>
        </w:rPr>
      </w:pPr>
    </w:p>
    <w:p w14:paraId="1EB67F31" w14:textId="77777777" w:rsidR="00040E61" w:rsidRDefault="00040E61" w:rsidP="00160C36">
      <w:pPr>
        <w:rPr>
          <w:rFonts w:ascii="Arial" w:hAnsi="Arial" w:cs="Arial"/>
          <w:b/>
          <w:bCs/>
          <w:sz w:val="28"/>
          <w:szCs w:val="28"/>
        </w:rPr>
      </w:pPr>
    </w:p>
    <w:p w14:paraId="066FC710" w14:textId="77777777" w:rsidR="00040E61" w:rsidRDefault="00040E61" w:rsidP="00160C36">
      <w:pPr>
        <w:rPr>
          <w:rFonts w:ascii="Arial" w:hAnsi="Arial" w:cs="Arial"/>
          <w:b/>
          <w:bCs/>
          <w:sz w:val="28"/>
          <w:szCs w:val="28"/>
        </w:rPr>
      </w:pPr>
    </w:p>
    <w:p w14:paraId="3AE11214" w14:textId="77777777" w:rsidR="00040E61" w:rsidRDefault="00040E61" w:rsidP="00160C36">
      <w:pPr>
        <w:rPr>
          <w:rFonts w:ascii="Arial" w:hAnsi="Arial" w:cs="Arial"/>
          <w:b/>
          <w:bCs/>
          <w:sz w:val="28"/>
          <w:szCs w:val="28"/>
        </w:rPr>
      </w:pPr>
    </w:p>
    <w:p w14:paraId="0527D41F" w14:textId="77777777" w:rsidR="00040E61" w:rsidRDefault="00040E61" w:rsidP="00160C36">
      <w:pPr>
        <w:rPr>
          <w:rFonts w:ascii="Arial" w:hAnsi="Arial" w:cs="Arial"/>
          <w:b/>
          <w:bCs/>
          <w:sz w:val="28"/>
          <w:szCs w:val="28"/>
        </w:rPr>
      </w:pPr>
    </w:p>
    <w:p w14:paraId="3BC148B9" w14:textId="7314D5E1" w:rsidR="00160C36" w:rsidRPr="00160C36" w:rsidRDefault="00160C36" w:rsidP="00160C36">
      <w:pPr>
        <w:rPr>
          <w:rFonts w:ascii="Arial" w:hAnsi="Arial" w:cs="Arial"/>
          <w:b/>
          <w:bCs/>
          <w:sz w:val="28"/>
          <w:szCs w:val="28"/>
        </w:rPr>
      </w:pPr>
      <w:r w:rsidRPr="00160C36">
        <w:rPr>
          <w:rFonts w:ascii="Arial" w:hAnsi="Arial" w:cs="Arial"/>
          <w:b/>
          <w:bCs/>
          <w:sz w:val="28"/>
          <w:szCs w:val="28"/>
        </w:rPr>
        <w:t>PART A: Annotated Bibliography</w:t>
      </w:r>
    </w:p>
    <w:p w14:paraId="010FA732" w14:textId="77777777" w:rsidR="00160C36" w:rsidRPr="00160C36" w:rsidRDefault="00160C36" w:rsidP="00160C36">
      <w:pPr>
        <w:rPr>
          <w:rFonts w:ascii="Arial" w:hAnsi="Arial" w:cs="Arial"/>
          <w:sz w:val="22"/>
          <w:szCs w:val="22"/>
        </w:rPr>
      </w:pPr>
      <w:r w:rsidRPr="00160C36">
        <w:rPr>
          <w:rFonts w:ascii="Arial" w:hAnsi="Arial" w:cs="Arial"/>
          <w:b/>
          <w:bCs/>
          <w:sz w:val="22"/>
          <w:szCs w:val="22"/>
        </w:rPr>
        <w:t>Theories: Bowlby’s Attachment Theory &amp; Bandura’s Social Learning Theory</w:t>
      </w:r>
    </w:p>
    <w:p w14:paraId="508DCF4D" w14:textId="77777777" w:rsidR="00160C36" w:rsidRPr="00160C36" w:rsidRDefault="00160C36" w:rsidP="00160C36">
      <w:pPr>
        <w:rPr>
          <w:rFonts w:ascii="Arial" w:hAnsi="Arial" w:cs="Arial"/>
          <w:b/>
          <w:bCs/>
          <w:sz w:val="22"/>
          <w:szCs w:val="22"/>
        </w:rPr>
      </w:pPr>
      <w:r w:rsidRPr="00160C36">
        <w:rPr>
          <w:rFonts w:ascii="Arial" w:hAnsi="Arial" w:cs="Arial"/>
          <w:b/>
          <w:bCs/>
          <w:sz w:val="22"/>
          <w:szCs w:val="22"/>
        </w:rPr>
        <w:t>1. Bowlby’s Attachment Theory</w:t>
      </w:r>
    </w:p>
    <w:p w14:paraId="6B56A845" w14:textId="77777777" w:rsidR="00160C36" w:rsidRPr="00160C36" w:rsidRDefault="00160C36" w:rsidP="00160C36">
      <w:pPr>
        <w:rPr>
          <w:rFonts w:ascii="Arial" w:hAnsi="Arial" w:cs="Arial"/>
          <w:sz w:val="22"/>
          <w:szCs w:val="22"/>
        </w:rPr>
      </w:pPr>
      <w:r w:rsidRPr="00160C36">
        <w:rPr>
          <w:rFonts w:ascii="Arial" w:hAnsi="Arial" w:cs="Arial"/>
          <w:sz w:val="22"/>
          <w:szCs w:val="22"/>
        </w:rPr>
        <w:t xml:space="preserve">Austrian, S. (2015) </w:t>
      </w:r>
      <w:r w:rsidRPr="00160C36">
        <w:rPr>
          <w:rFonts w:ascii="Arial" w:hAnsi="Arial" w:cs="Arial"/>
          <w:i/>
          <w:iCs/>
          <w:sz w:val="22"/>
          <w:szCs w:val="22"/>
        </w:rPr>
        <w:t>Developmental Theories Through the Life Cycle</w:t>
      </w:r>
      <w:r w:rsidRPr="00160C36">
        <w:rPr>
          <w:rFonts w:ascii="Arial" w:hAnsi="Arial" w:cs="Arial"/>
          <w:sz w:val="22"/>
          <w:szCs w:val="22"/>
        </w:rPr>
        <w:t>. 3rd ed. Columbia University Press.</w:t>
      </w:r>
    </w:p>
    <w:p w14:paraId="76824890" w14:textId="77777777" w:rsidR="00160C36" w:rsidRDefault="00160C36" w:rsidP="00160C36">
      <w:pPr>
        <w:rPr>
          <w:rFonts w:ascii="Arial" w:hAnsi="Arial" w:cs="Arial"/>
          <w:sz w:val="22"/>
          <w:szCs w:val="22"/>
        </w:rPr>
      </w:pPr>
      <w:r w:rsidRPr="00160C36">
        <w:rPr>
          <w:rFonts w:ascii="Arial" w:hAnsi="Arial" w:cs="Arial"/>
          <w:b/>
          <w:bCs/>
          <w:sz w:val="22"/>
          <w:szCs w:val="22"/>
        </w:rPr>
        <w:t>Summary:</w:t>
      </w:r>
      <w:r w:rsidRPr="00160C36">
        <w:rPr>
          <w:rFonts w:ascii="Arial" w:hAnsi="Arial" w:cs="Arial"/>
          <w:sz w:val="22"/>
          <w:szCs w:val="22"/>
        </w:rPr>
        <w:t xml:space="preserve"> Austrian (2015) presents attachment as a lifelong psychological system that shapes how individuals regulate emotions, seek support, and form relationships. She explains Bowlby’s concepts of the secure base and internal working models, showing how early attachment experiences continue to influence behaviour well into older adulthood. The chapter highlights how transitions such as bereavement, illness, and moving into residential care can reactivate attachment needs. Austrian also emphasises that older adults may rely more heavily on caregivers when familiar relationships are disrupted.</w:t>
      </w:r>
    </w:p>
    <w:p w14:paraId="2ACE319E" w14:textId="4D29B2B2" w:rsidR="00160C36" w:rsidRDefault="00160C36" w:rsidP="00160C36">
      <w:pPr>
        <w:rPr>
          <w:rFonts w:ascii="Arial" w:hAnsi="Arial" w:cs="Arial"/>
          <w:sz w:val="22"/>
          <w:szCs w:val="22"/>
        </w:rPr>
      </w:pPr>
      <w:r w:rsidRPr="00160C36">
        <w:rPr>
          <w:rFonts w:ascii="Arial" w:hAnsi="Arial" w:cs="Arial"/>
          <w:b/>
          <w:bCs/>
          <w:sz w:val="22"/>
          <w:szCs w:val="22"/>
        </w:rPr>
        <w:t>Critical comment:</w:t>
      </w:r>
      <w:r w:rsidRPr="00160C36">
        <w:rPr>
          <w:rFonts w:ascii="Arial" w:hAnsi="Arial" w:cs="Arial"/>
          <w:sz w:val="22"/>
          <w:szCs w:val="22"/>
        </w:rPr>
        <w:t xml:space="preserve"> Austrian’s lifespan approach is particularly valuable for understanding older adults because it challenges the assumption that attachment only matters in childhood. Her work helps practitioners recognise that behaviours such as withdrawal, anxiety, or dependency may reflect underlying attachment patterns rather than difficult personalities. A strength of the text is its integration of theory with clinical observation, which supports reflective, compassionate practice. However, Austrian relies heavily on classical attachment research and gives limited attention to cultural variation or contemporary neurobiological findings. Despite this, the text provides a strong foundation for understanding how secure, consistent relationships in care settings can promote emotional safety and wellbeing.</w:t>
      </w:r>
    </w:p>
    <w:p w14:paraId="37E23332" w14:textId="77777777" w:rsidR="00160C36" w:rsidRPr="00160C36" w:rsidRDefault="00160C36" w:rsidP="00160C36">
      <w:pPr>
        <w:rPr>
          <w:rFonts w:ascii="Arial" w:hAnsi="Arial" w:cs="Arial"/>
          <w:b/>
          <w:bCs/>
          <w:sz w:val="22"/>
          <w:szCs w:val="22"/>
        </w:rPr>
      </w:pPr>
      <w:r w:rsidRPr="00160C36">
        <w:rPr>
          <w:rFonts w:ascii="Arial" w:hAnsi="Arial" w:cs="Arial"/>
          <w:b/>
          <w:bCs/>
          <w:sz w:val="22"/>
          <w:szCs w:val="22"/>
        </w:rPr>
        <w:t>2. Bowlby’s Attachment Theory</w:t>
      </w:r>
    </w:p>
    <w:p w14:paraId="7BD2E0DF" w14:textId="77777777" w:rsidR="00160C36" w:rsidRPr="00160C36" w:rsidRDefault="00160C36" w:rsidP="00160C36">
      <w:pPr>
        <w:rPr>
          <w:rFonts w:ascii="Arial" w:hAnsi="Arial" w:cs="Arial"/>
          <w:sz w:val="22"/>
          <w:szCs w:val="22"/>
        </w:rPr>
      </w:pPr>
      <w:r w:rsidRPr="00160C36">
        <w:rPr>
          <w:rFonts w:ascii="Arial" w:hAnsi="Arial" w:cs="Arial"/>
          <w:sz w:val="22"/>
          <w:szCs w:val="22"/>
        </w:rPr>
        <w:t xml:space="preserve">Thornton, S. (2020) </w:t>
      </w:r>
      <w:r w:rsidRPr="00160C36">
        <w:rPr>
          <w:rFonts w:ascii="Arial" w:hAnsi="Arial" w:cs="Arial"/>
          <w:i/>
          <w:iCs/>
          <w:sz w:val="22"/>
          <w:szCs w:val="22"/>
        </w:rPr>
        <w:t>Understanding Human Development</w:t>
      </w:r>
      <w:r w:rsidRPr="00160C36">
        <w:rPr>
          <w:rFonts w:ascii="Arial" w:hAnsi="Arial" w:cs="Arial"/>
          <w:sz w:val="22"/>
          <w:szCs w:val="22"/>
        </w:rPr>
        <w:t>. 2nd ed. Palgrave Macmillan.</w:t>
      </w:r>
    </w:p>
    <w:p w14:paraId="6409D7CD" w14:textId="15507D01" w:rsidR="00160C36" w:rsidRPr="00160C36" w:rsidRDefault="00160C36" w:rsidP="00160C36">
      <w:pPr>
        <w:rPr>
          <w:rFonts w:ascii="Arial" w:hAnsi="Arial" w:cs="Arial"/>
          <w:sz w:val="22"/>
          <w:szCs w:val="22"/>
        </w:rPr>
      </w:pPr>
      <w:r w:rsidRPr="00160C36">
        <w:rPr>
          <w:rFonts w:ascii="Arial" w:hAnsi="Arial" w:cs="Arial"/>
          <w:b/>
          <w:bCs/>
          <w:sz w:val="22"/>
          <w:szCs w:val="22"/>
        </w:rPr>
        <w:t>Summary:</w:t>
      </w:r>
      <w:r w:rsidRPr="00160C36">
        <w:rPr>
          <w:rFonts w:ascii="Arial" w:hAnsi="Arial" w:cs="Arial"/>
          <w:sz w:val="22"/>
          <w:szCs w:val="22"/>
        </w:rPr>
        <w:t xml:space="preserve"> Thornton (2020) offers a clear and accessible explanation of attachment across adulthood, emphasising how internal working models shape expectations of trust, autonomy, and emotional support. She highlights that older adults often face multiple transitions</w:t>
      </w:r>
      <w:r>
        <w:rPr>
          <w:rFonts w:ascii="Arial" w:hAnsi="Arial" w:cs="Arial"/>
          <w:sz w:val="22"/>
          <w:szCs w:val="22"/>
        </w:rPr>
        <w:t xml:space="preserve"> </w:t>
      </w:r>
      <w:r w:rsidRPr="00160C36">
        <w:rPr>
          <w:rFonts w:ascii="Arial" w:hAnsi="Arial" w:cs="Arial"/>
          <w:sz w:val="22"/>
          <w:szCs w:val="22"/>
        </w:rPr>
        <w:t>such as declining health, loss of independence, and relocation</w:t>
      </w:r>
      <w:r>
        <w:rPr>
          <w:rFonts w:ascii="Arial" w:hAnsi="Arial" w:cs="Arial"/>
          <w:sz w:val="22"/>
          <w:szCs w:val="22"/>
        </w:rPr>
        <w:t xml:space="preserve"> </w:t>
      </w:r>
      <w:r w:rsidRPr="00160C36">
        <w:rPr>
          <w:rFonts w:ascii="Arial" w:hAnsi="Arial" w:cs="Arial"/>
          <w:sz w:val="22"/>
          <w:szCs w:val="22"/>
        </w:rPr>
        <w:t>which can intensify attachment needs. Thornton also discusses how insecure attachment patterns may contribute to loneliness, anxiety, and difficulties adjusting to residential care. The text positions caregivers as potential attachment figures when family support is limited.</w:t>
      </w:r>
    </w:p>
    <w:p w14:paraId="68A8B900" w14:textId="246B58DA" w:rsidR="00160C36" w:rsidRDefault="00160C36" w:rsidP="00160C36">
      <w:pPr>
        <w:rPr>
          <w:rFonts w:ascii="Arial" w:hAnsi="Arial" w:cs="Arial"/>
          <w:sz w:val="22"/>
          <w:szCs w:val="22"/>
        </w:rPr>
      </w:pPr>
      <w:r w:rsidRPr="00160C36">
        <w:rPr>
          <w:rFonts w:ascii="Arial" w:hAnsi="Arial" w:cs="Arial"/>
          <w:b/>
          <w:bCs/>
          <w:sz w:val="22"/>
          <w:szCs w:val="22"/>
        </w:rPr>
        <w:t>Critical comment:</w:t>
      </w:r>
      <w:r w:rsidRPr="00160C36">
        <w:rPr>
          <w:rFonts w:ascii="Arial" w:hAnsi="Arial" w:cs="Arial"/>
          <w:sz w:val="22"/>
          <w:szCs w:val="22"/>
        </w:rPr>
        <w:t xml:space="preserve"> Thornton’s work is especially relevant to health and social care because it directly links attachment theory to the lived experiences of older adults. Her discussion encourages practitioners to interpret behaviour through an attachment lens, which can reduce stigma and promote empathy. A limitation is that the attachment section is relatively brief, as the book covers a wide range of theories. It also does not fully explore how organisational pressures</w:t>
      </w:r>
      <w:r>
        <w:rPr>
          <w:rFonts w:ascii="Arial" w:hAnsi="Arial" w:cs="Arial"/>
          <w:sz w:val="22"/>
          <w:szCs w:val="22"/>
        </w:rPr>
        <w:t xml:space="preserve"> </w:t>
      </w:r>
      <w:r w:rsidRPr="00160C36">
        <w:rPr>
          <w:rFonts w:ascii="Arial" w:hAnsi="Arial" w:cs="Arial"/>
          <w:sz w:val="22"/>
          <w:szCs w:val="22"/>
        </w:rPr>
        <w:t>such as staff turnover or time constraints</w:t>
      </w:r>
      <w:r>
        <w:rPr>
          <w:rFonts w:ascii="Arial" w:hAnsi="Arial" w:cs="Arial"/>
          <w:sz w:val="22"/>
          <w:szCs w:val="22"/>
        </w:rPr>
        <w:t xml:space="preserve"> </w:t>
      </w:r>
      <w:r w:rsidRPr="00160C36">
        <w:rPr>
          <w:rFonts w:ascii="Arial" w:hAnsi="Arial" w:cs="Arial"/>
          <w:sz w:val="22"/>
          <w:szCs w:val="22"/>
        </w:rPr>
        <w:t>an</w:t>
      </w:r>
      <w:r>
        <w:rPr>
          <w:rFonts w:ascii="Arial" w:hAnsi="Arial" w:cs="Arial"/>
          <w:sz w:val="22"/>
          <w:szCs w:val="22"/>
        </w:rPr>
        <w:t>d</w:t>
      </w:r>
      <w:r w:rsidRPr="00160C36">
        <w:rPr>
          <w:rFonts w:ascii="Arial" w:hAnsi="Arial" w:cs="Arial"/>
          <w:sz w:val="22"/>
          <w:szCs w:val="22"/>
        </w:rPr>
        <w:t xml:space="preserve"> disrupt the formation of secure relationships. Nevertheless, the text offers valuable insights into how trust</w:t>
      </w:r>
      <w:r w:rsidRPr="00160C36">
        <w:rPr>
          <w:rFonts w:ascii="Arial" w:hAnsi="Arial" w:cs="Arial"/>
          <w:sz w:val="22"/>
          <w:szCs w:val="22"/>
        </w:rPr>
        <w:noBreakHyphen/>
        <w:t xml:space="preserve">building, </w:t>
      </w:r>
      <w:r w:rsidRPr="00160C36">
        <w:rPr>
          <w:rFonts w:ascii="Arial" w:hAnsi="Arial" w:cs="Arial"/>
          <w:sz w:val="22"/>
          <w:szCs w:val="22"/>
        </w:rPr>
        <w:lastRenderedPageBreak/>
        <w:t xml:space="preserve">consistency, and emotional </w:t>
      </w:r>
      <w:r w:rsidR="00040E61" w:rsidRPr="00160C36">
        <w:rPr>
          <w:rFonts w:ascii="Arial" w:hAnsi="Arial" w:cs="Arial"/>
          <w:sz w:val="22"/>
          <w:szCs w:val="22"/>
        </w:rPr>
        <w:t>atonement</w:t>
      </w:r>
      <w:r w:rsidRPr="00160C36">
        <w:rPr>
          <w:rFonts w:ascii="Arial" w:hAnsi="Arial" w:cs="Arial"/>
          <w:sz w:val="22"/>
          <w:szCs w:val="22"/>
        </w:rPr>
        <w:t xml:space="preserve"> can support older adults’ wellbeing in residential settings.</w:t>
      </w:r>
    </w:p>
    <w:p w14:paraId="080E1DE8" w14:textId="77777777" w:rsidR="00040E61" w:rsidRPr="00040E61" w:rsidRDefault="00040E61" w:rsidP="00040E61">
      <w:pPr>
        <w:rPr>
          <w:rFonts w:ascii="Arial" w:hAnsi="Arial" w:cs="Arial"/>
          <w:b/>
          <w:bCs/>
          <w:sz w:val="22"/>
          <w:szCs w:val="22"/>
        </w:rPr>
      </w:pPr>
      <w:r w:rsidRPr="00040E61">
        <w:rPr>
          <w:rFonts w:ascii="Arial" w:hAnsi="Arial" w:cs="Arial"/>
          <w:b/>
          <w:bCs/>
          <w:sz w:val="22"/>
          <w:szCs w:val="22"/>
        </w:rPr>
        <w:t>3. Bandura’s Social Learning Theory</w:t>
      </w:r>
    </w:p>
    <w:p w14:paraId="209DFC57" w14:textId="77777777" w:rsidR="00040E61" w:rsidRPr="00040E61" w:rsidRDefault="00040E61" w:rsidP="00040E61">
      <w:pPr>
        <w:rPr>
          <w:rFonts w:ascii="Arial" w:hAnsi="Arial" w:cs="Arial"/>
          <w:sz w:val="22"/>
          <w:szCs w:val="22"/>
        </w:rPr>
      </w:pPr>
      <w:r w:rsidRPr="00040E61">
        <w:rPr>
          <w:rFonts w:ascii="Arial" w:hAnsi="Arial" w:cs="Arial"/>
          <w:sz w:val="22"/>
          <w:szCs w:val="22"/>
        </w:rPr>
        <w:t xml:space="preserve">Beckett, C. (2018) </w:t>
      </w:r>
      <w:r w:rsidRPr="00040E61">
        <w:rPr>
          <w:rFonts w:ascii="Arial" w:hAnsi="Arial" w:cs="Arial"/>
          <w:i/>
          <w:iCs/>
          <w:sz w:val="22"/>
          <w:szCs w:val="22"/>
        </w:rPr>
        <w:t>Human Growth and Development</w:t>
      </w:r>
      <w:r w:rsidRPr="00040E61">
        <w:rPr>
          <w:rFonts w:ascii="Arial" w:hAnsi="Arial" w:cs="Arial"/>
          <w:sz w:val="22"/>
          <w:szCs w:val="22"/>
        </w:rPr>
        <w:t>. 4th ed. Sage.</w:t>
      </w:r>
    </w:p>
    <w:p w14:paraId="67E64BC7" w14:textId="4D1BA23A" w:rsidR="00040E61" w:rsidRPr="00040E61" w:rsidRDefault="00040E61" w:rsidP="00040E61">
      <w:pPr>
        <w:rPr>
          <w:rFonts w:ascii="Arial" w:hAnsi="Arial" w:cs="Arial"/>
          <w:sz w:val="22"/>
          <w:szCs w:val="22"/>
        </w:rPr>
      </w:pPr>
      <w:r w:rsidRPr="00040E61">
        <w:rPr>
          <w:rFonts w:ascii="Arial" w:hAnsi="Arial" w:cs="Arial"/>
          <w:b/>
          <w:bCs/>
          <w:sz w:val="22"/>
          <w:szCs w:val="22"/>
        </w:rPr>
        <w:t>Summary:</w:t>
      </w:r>
      <w:r w:rsidRPr="00040E61">
        <w:rPr>
          <w:rFonts w:ascii="Arial" w:hAnsi="Arial" w:cs="Arial"/>
          <w:sz w:val="22"/>
          <w:szCs w:val="22"/>
        </w:rPr>
        <w:t xml:space="preserve"> Beckett (2018) provides a clear explanation of Social Learning Theory, emphasising that individuals learn by observing others and the consequences of their actions. He outlines Bandura’s four processes</w:t>
      </w:r>
      <w:r>
        <w:rPr>
          <w:rFonts w:ascii="Arial" w:hAnsi="Arial" w:cs="Arial"/>
          <w:sz w:val="22"/>
          <w:szCs w:val="22"/>
        </w:rPr>
        <w:t xml:space="preserve"> </w:t>
      </w:r>
      <w:r w:rsidRPr="00040E61">
        <w:rPr>
          <w:rFonts w:ascii="Arial" w:hAnsi="Arial" w:cs="Arial"/>
          <w:sz w:val="22"/>
          <w:szCs w:val="22"/>
        </w:rPr>
        <w:t>attention, retention, reproduction, and motivation</w:t>
      </w:r>
      <w:r>
        <w:rPr>
          <w:rFonts w:ascii="Arial" w:hAnsi="Arial" w:cs="Arial"/>
          <w:sz w:val="22"/>
          <w:szCs w:val="22"/>
        </w:rPr>
        <w:t xml:space="preserve"> </w:t>
      </w:r>
      <w:r w:rsidRPr="00040E61">
        <w:rPr>
          <w:rFonts w:ascii="Arial" w:hAnsi="Arial" w:cs="Arial"/>
          <w:sz w:val="22"/>
          <w:szCs w:val="22"/>
        </w:rPr>
        <w:t>and stresses that these mechanisms continue to operate throughout adulthood. Beckett highlights that adults, including older adults, are particularly influenced by social cues during periods of uncertainty or transition. He also notes that people can learn both helpful and unhelpful coping strategies from their environment.</w:t>
      </w:r>
    </w:p>
    <w:p w14:paraId="08F5F7A6" w14:textId="0EB72598" w:rsidR="00040E61" w:rsidRDefault="00040E61" w:rsidP="00040E61">
      <w:pPr>
        <w:rPr>
          <w:rFonts w:ascii="Arial" w:hAnsi="Arial" w:cs="Arial"/>
          <w:sz w:val="22"/>
          <w:szCs w:val="22"/>
        </w:rPr>
      </w:pPr>
      <w:r w:rsidRPr="00040E61">
        <w:rPr>
          <w:rFonts w:ascii="Arial" w:hAnsi="Arial" w:cs="Arial"/>
          <w:b/>
          <w:bCs/>
          <w:sz w:val="22"/>
          <w:szCs w:val="22"/>
        </w:rPr>
        <w:t>Critical comment:</w:t>
      </w:r>
      <w:r w:rsidRPr="00040E61">
        <w:rPr>
          <w:rFonts w:ascii="Arial" w:hAnsi="Arial" w:cs="Arial"/>
          <w:sz w:val="22"/>
          <w:szCs w:val="22"/>
        </w:rPr>
        <w:t xml:space="preserve"> Beckett’s explanation is highly applicable to residential care because it highlights how the care home environment becomes a powerful learning space. Residents observe how staff communicate, how peers engage in activities, and how others cope with distress. A strength of the text is its clarity, which makes the theory easy to apply in practice. However, it does not explore how institutional cultures or power dynamics shape what is modelled and who is seen as a credible role model. Even so, the text reinforces the idea that staff behaviour</w:t>
      </w:r>
      <w:r>
        <w:rPr>
          <w:rFonts w:ascii="Arial" w:hAnsi="Arial" w:cs="Arial"/>
          <w:sz w:val="22"/>
          <w:szCs w:val="22"/>
        </w:rPr>
        <w:t xml:space="preserve"> </w:t>
      </w:r>
      <w:r w:rsidRPr="00040E61">
        <w:rPr>
          <w:rFonts w:ascii="Arial" w:hAnsi="Arial" w:cs="Arial"/>
          <w:sz w:val="22"/>
          <w:szCs w:val="22"/>
        </w:rPr>
        <w:t>whether calm or rushed, inclusive or dismissive</w:t>
      </w:r>
      <w:r>
        <w:rPr>
          <w:rFonts w:ascii="Arial" w:hAnsi="Arial" w:cs="Arial"/>
          <w:sz w:val="22"/>
          <w:szCs w:val="22"/>
        </w:rPr>
        <w:t xml:space="preserve"> </w:t>
      </w:r>
      <w:r w:rsidRPr="00040E61">
        <w:rPr>
          <w:rFonts w:ascii="Arial" w:hAnsi="Arial" w:cs="Arial"/>
          <w:sz w:val="22"/>
          <w:szCs w:val="22"/>
        </w:rPr>
        <w:t>directly influences residents’ emotional responses and engagement.</w:t>
      </w:r>
    </w:p>
    <w:p w14:paraId="49F02A67" w14:textId="77777777" w:rsidR="00040E61" w:rsidRPr="00040E61" w:rsidRDefault="00040E61" w:rsidP="00040E61">
      <w:pPr>
        <w:rPr>
          <w:rFonts w:ascii="Arial" w:hAnsi="Arial" w:cs="Arial"/>
          <w:b/>
          <w:bCs/>
          <w:sz w:val="22"/>
          <w:szCs w:val="22"/>
        </w:rPr>
      </w:pPr>
      <w:r w:rsidRPr="00040E61">
        <w:rPr>
          <w:rFonts w:ascii="Arial" w:hAnsi="Arial" w:cs="Arial"/>
          <w:b/>
          <w:bCs/>
          <w:sz w:val="22"/>
          <w:szCs w:val="22"/>
        </w:rPr>
        <w:t>4. Bandura’s Social Learning Theory</w:t>
      </w:r>
    </w:p>
    <w:p w14:paraId="1D9786FD" w14:textId="77777777" w:rsidR="00040E61" w:rsidRPr="00040E61" w:rsidRDefault="00040E61" w:rsidP="00040E61">
      <w:pPr>
        <w:rPr>
          <w:rFonts w:ascii="Arial" w:hAnsi="Arial" w:cs="Arial"/>
          <w:sz w:val="22"/>
          <w:szCs w:val="22"/>
        </w:rPr>
      </w:pPr>
      <w:r w:rsidRPr="00040E61">
        <w:rPr>
          <w:rFonts w:ascii="Arial" w:hAnsi="Arial" w:cs="Arial"/>
          <w:sz w:val="22"/>
          <w:szCs w:val="22"/>
        </w:rPr>
        <w:t xml:space="preserve">Rogers, A. &amp; Horrocks, N. (2016) </w:t>
      </w:r>
      <w:r w:rsidRPr="00040E61">
        <w:rPr>
          <w:rFonts w:ascii="Arial" w:hAnsi="Arial" w:cs="Arial"/>
          <w:i/>
          <w:iCs/>
          <w:sz w:val="22"/>
          <w:szCs w:val="22"/>
        </w:rPr>
        <w:t>Adults Learning for Development</w:t>
      </w:r>
      <w:r w:rsidRPr="00040E61">
        <w:rPr>
          <w:rFonts w:ascii="Arial" w:hAnsi="Arial" w:cs="Arial"/>
          <w:sz w:val="22"/>
          <w:szCs w:val="22"/>
        </w:rPr>
        <w:t>. Cassell Education.</w:t>
      </w:r>
    </w:p>
    <w:p w14:paraId="59225C05" w14:textId="77777777" w:rsidR="00040E61" w:rsidRPr="00040E61" w:rsidRDefault="00040E61" w:rsidP="00040E61">
      <w:pPr>
        <w:rPr>
          <w:rFonts w:ascii="Arial" w:hAnsi="Arial" w:cs="Arial"/>
          <w:sz w:val="22"/>
          <w:szCs w:val="22"/>
        </w:rPr>
      </w:pPr>
      <w:r w:rsidRPr="00040E61">
        <w:rPr>
          <w:rFonts w:ascii="Arial" w:hAnsi="Arial" w:cs="Arial"/>
          <w:b/>
          <w:bCs/>
          <w:sz w:val="22"/>
          <w:szCs w:val="22"/>
        </w:rPr>
        <w:t>Summary:</w:t>
      </w:r>
      <w:r w:rsidRPr="00040E61">
        <w:rPr>
          <w:rFonts w:ascii="Arial" w:hAnsi="Arial" w:cs="Arial"/>
          <w:sz w:val="22"/>
          <w:szCs w:val="22"/>
        </w:rPr>
        <w:t xml:space="preserve"> Rogers and Horrocks (2016) explore how adults learn through observation, social interaction, and shared experience, drawing strongly on Bandura’s principles of modelling and reinforcement. They argue that adult learning is inherently social and shaped by the behaviours, expectations, and emotional tone of the surrounding environment. The authors highlight that adults are more likely to engage in new behaviours when they see others succeed, receive encouragement, or experience positive reinforcement. They also emphasise that learning is most effective when individuals feel psychologically safe and supported, particularly during periods of transition or uncertainty.</w:t>
      </w:r>
    </w:p>
    <w:p w14:paraId="163109EE" w14:textId="30A11BA0" w:rsidR="00040E61" w:rsidRDefault="00040E61" w:rsidP="00040E61">
      <w:pPr>
        <w:rPr>
          <w:rFonts w:ascii="Arial" w:hAnsi="Arial" w:cs="Arial"/>
          <w:sz w:val="22"/>
          <w:szCs w:val="22"/>
        </w:rPr>
      </w:pPr>
      <w:r w:rsidRPr="00040E61">
        <w:rPr>
          <w:rFonts w:ascii="Arial" w:hAnsi="Arial" w:cs="Arial"/>
          <w:b/>
          <w:bCs/>
          <w:sz w:val="22"/>
          <w:szCs w:val="22"/>
        </w:rPr>
        <w:t>Critical comment:</w:t>
      </w:r>
      <w:r w:rsidRPr="00040E61">
        <w:rPr>
          <w:rFonts w:ascii="Arial" w:hAnsi="Arial" w:cs="Arial"/>
          <w:sz w:val="22"/>
          <w:szCs w:val="22"/>
        </w:rPr>
        <w:t xml:space="preserve"> Although the text is primarily focused on adult education, its insights translate meaningfully into residential care settings. The authors’ emphasis on confidence</w:t>
      </w:r>
      <w:r w:rsidRPr="00040E61">
        <w:rPr>
          <w:rFonts w:ascii="Arial" w:hAnsi="Arial" w:cs="Arial"/>
          <w:sz w:val="22"/>
          <w:szCs w:val="22"/>
        </w:rPr>
        <w:noBreakHyphen/>
        <w:t>building, encouragement, and relational learning aligns closely with strengths</w:t>
      </w:r>
      <w:r w:rsidRPr="00040E61">
        <w:rPr>
          <w:rFonts w:ascii="Arial" w:hAnsi="Arial" w:cs="Arial"/>
          <w:sz w:val="22"/>
          <w:szCs w:val="22"/>
        </w:rPr>
        <w:noBreakHyphen/>
        <w:t>based and person</w:t>
      </w:r>
      <w:r w:rsidRPr="00040E61">
        <w:rPr>
          <w:rFonts w:ascii="Arial" w:hAnsi="Arial" w:cs="Arial"/>
          <w:sz w:val="22"/>
          <w:szCs w:val="22"/>
        </w:rPr>
        <w:noBreakHyphen/>
        <w:t>centred approaches in health and social care. A key strength of the text is its recognition that adults continue to learn and adapt throughout life, which challenges assumptions that older adults are resistant to change. However, the book does not fully address the complexities of ageing, such as cognitive decline, frailty, or institutional routines, meaning practitioners must adapt the concepts sensitively. Despite this limitation, the text offers valuable guidance on how positive modelling, supportive relationships, and shared participation can enhance older adult</w:t>
      </w:r>
      <w:r>
        <w:rPr>
          <w:rFonts w:ascii="Arial" w:hAnsi="Arial" w:cs="Arial"/>
          <w:sz w:val="22"/>
          <w:szCs w:val="22"/>
        </w:rPr>
        <w:t>’s</w:t>
      </w:r>
      <w:r w:rsidRPr="00040E61">
        <w:rPr>
          <w:rFonts w:ascii="Arial" w:hAnsi="Arial" w:cs="Arial"/>
          <w:sz w:val="22"/>
          <w:szCs w:val="22"/>
        </w:rPr>
        <w:t xml:space="preserve"> engagement, motivation, and emotional wellbeing.</w:t>
      </w:r>
    </w:p>
    <w:p w14:paraId="60C96FAA" w14:textId="77777777" w:rsidR="00040E61" w:rsidRDefault="00040E61" w:rsidP="00040E61">
      <w:pPr>
        <w:rPr>
          <w:rFonts w:ascii="Arial" w:hAnsi="Arial" w:cs="Arial"/>
          <w:sz w:val="22"/>
          <w:szCs w:val="22"/>
        </w:rPr>
      </w:pPr>
    </w:p>
    <w:p w14:paraId="32A77D46" w14:textId="77777777" w:rsidR="00040E61" w:rsidRDefault="00040E61" w:rsidP="00040E61">
      <w:pPr>
        <w:rPr>
          <w:rFonts w:ascii="Arial" w:hAnsi="Arial" w:cs="Arial"/>
          <w:sz w:val="22"/>
          <w:szCs w:val="22"/>
        </w:rPr>
      </w:pPr>
    </w:p>
    <w:p w14:paraId="1A0C3FD1" w14:textId="77777777" w:rsidR="00040E61" w:rsidRDefault="00040E61" w:rsidP="00040E61">
      <w:pPr>
        <w:rPr>
          <w:rFonts w:ascii="Arial" w:hAnsi="Arial" w:cs="Arial"/>
          <w:sz w:val="22"/>
          <w:szCs w:val="22"/>
        </w:rPr>
      </w:pPr>
    </w:p>
    <w:p w14:paraId="054882F1" w14:textId="77777777" w:rsidR="00040E61" w:rsidRDefault="00040E61" w:rsidP="00040E61">
      <w:pPr>
        <w:rPr>
          <w:rFonts w:ascii="Arial" w:hAnsi="Arial" w:cs="Arial"/>
          <w:sz w:val="22"/>
          <w:szCs w:val="22"/>
        </w:rPr>
      </w:pPr>
    </w:p>
    <w:p w14:paraId="2FED9676" w14:textId="77777777" w:rsidR="00040E61" w:rsidRDefault="00040E61" w:rsidP="00040E61">
      <w:pPr>
        <w:rPr>
          <w:rFonts w:ascii="Arial" w:hAnsi="Arial" w:cs="Arial"/>
          <w:sz w:val="22"/>
          <w:szCs w:val="22"/>
        </w:rPr>
      </w:pPr>
    </w:p>
    <w:p w14:paraId="47CB41A8" w14:textId="77777777" w:rsidR="00040E61" w:rsidRPr="00040E61" w:rsidRDefault="00040E61" w:rsidP="00040E61">
      <w:pPr>
        <w:rPr>
          <w:rFonts w:ascii="Arial" w:hAnsi="Arial" w:cs="Arial"/>
          <w:b/>
          <w:bCs/>
          <w:sz w:val="28"/>
          <w:szCs w:val="28"/>
        </w:rPr>
      </w:pPr>
      <w:r w:rsidRPr="00040E61">
        <w:rPr>
          <w:rFonts w:ascii="Arial" w:hAnsi="Arial" w:cs="Arial"/>
          <w:b/>
          <w:bCs/>
          <w:sz w:val="28"/>
          <w:szCs w:val="28"/>
        </w:rPr>
        <w:t>PART B: Short Report</w:t>
      </w:r>
    </w:p>
    <w:p w14:paraId="5BA295EF" w14:textId="77777777" w:rsidR="00040E61" w:rsidRPr="00040E61" w:rsidRDefault="00040E61" w:rsidP="00040E61">
      <w:pPr>
        <w:rPr>
          <w:rFonts w:ascii="Arial" w:hAnsi="Arial" w:cs="Arial"/>
          <w:sz w:val="22"/>
          <w:szCs w:val="22"/>
        </w:rPr>
      </w:pPr>
      <w:r w:rsidRPr="00040E61">
        <w:rPr>
          <w:rFonts w:ascii="Arial" w:hAnsi="Arial" w:cs="Arial"/>
          <w:b/>
          <w:bCs/>
          <w:sz w:val="22"/>
          <w:szCs w:val="22"/>
        </w:rPr>
        <w:t>Applying Bandura’s Social Learning Theory to Support Wellbeing in Residential Care</w:t>
      </w:r>
    </w:p>
    <w:p w14:paraId="075ECBBE" w14:textId="77777777" w:rsidR="00040E61" w:rsidRPr="00040E61" w:rsidRDefault="00040E61" w:rsidP="00040E61">
      <w:pPr>
        <w:rPr>
          <w:rFonts w:ascii="Arial" w:hAnsi="Arial" w:cs="Arial"/>
          <w:b/>
          <w:bCs/>
          <w:sz w:val="22"/>
          <w:szCs w:val="22"/>
        </w:rPr>
      </w:pPr>
      <w:r w:rsidRPr="00040E61">
        <w:rPr>
          <w:rFonts w:ascii="Arial" w:hAnsi="Arial" w:cs="Arial"/>
          <w:b/>
          <w:bCs/>
          <w:sz w:val="22"/>
          <w:szCs w:val="22"/>
        </w:rPr>
        <w:t>1. Introduction</w:t>
      </w:r>
    </w:p>
    <w:p w14:paraId="5ABAEA4D" w14:textId="77777777" w:rsidR="00040E61" w:rsidRPr="00040E61" w:rsidRDefault="00040E61" w:rsidP="00040E61">
      <w:pPr>
        <w:rPr>
          <w:rFonts w:ascii="Arial" w:hAnsi="Arial" w:cs="Arial"/>
          <w:sz w:val="22"/>
          <w:szCs w:val="22"/>
        </w:rPr>
      </w:pPr>
      <w:r w:rsidRPr="00040E61">
        <w:rPr>
          <w:rFonts w:ascii="Arial" w:hAnsi="Arial" w:cs="Arial"/>
          <w:sz w:val="22"/>
          <w:szCs w:val="22"/>
        </w:rPr>
        <w:t>This report examines how Bandura’s Social Learning Theory can be applied to enhance the psychological wellbeing of older adults living in residential care. The theory emphasises that individuals learn through observing others, interpreting social cues, and modelling behaviours that appear effective or socially rewarded (Bandura, 1977). These processes remain active throughout adulthood and can be particularly influential during periods of transition, such as moving into a care home. For many older adults, the residential environment represents a significant shift in routine, autonomy, and social networks, making the behaviour of staff and peers especially impactful. This report outlines the theory, demonstrates its relevance to residential care, and considers a challenge and strategy for effective implementation.</w:t>
      </w:r>
    </w:p>
    <w:p w14:paraId="4FBB613E" w14:textId="77777777" w:rsidR="00040E61" w:rsidRPr="00040E61" w:rsidRDefault="00040E61" w:rsidP="00040E61">
      <w:pPr>
        <w:rPr>
          <w:rFonts w:ascii="Arial" w:hAnsi="Arial" w:cs="Arial"/>
          <w:b/>
          <w:bCs/>
          <w:sz w:val="22"/>
          <w:szCs w:val="22"/>
        </w:rPr>
      </w:pPr>
      <w:r w:rsidRPr="00040E61">
        <w:rPr>
          <w:rFonts w:ascii="Arial" w:hAnsi="Arial" w:cs="Arial"/>
          <w:b/>
          <w:bCs/>
          <w:sz w:val="22"/>
          <w:szCs w:val="22"/>
        </w:rPr>
        <w:t>2. Explanation of Social Learning Theory</w:t>
      </w:r>
    </w:p>
    <w:p w14:paraId="628E561F" w14:textId="051FBA8C" w:rsidR="00040E61" w:rsidRPr="00040E61" w:rsidRDefault="00040E61" w:rsidP="00040E61">
      <w:pPr>
        <w:rPr>
          <w:rFonts w:ascii="Arial" w:hAnsi="Arial" w:cs="Arial"/>
          <w:sz w:val="22"/>
          <w:szCs w:val="22"/>
        </w:rPr>
      </w:pPr>
      <w:r w:rsidRPr="00040E61">
        <w:rPr>
          <w:rFonts w:ascii="Arial" w:hAnsi="Arial" w:cs="Arial"/>
          <w:sz w:val="22"/>
          <w:szCs w:val="22"/>
        </w:rPr>
        <w:t>Social Learning Theory proposes that behaviour is shaped not only by direct experience but also by observing the actions of others and the consequences that follow (Bandura, 1977). Bandura identified four key processes</w:t>
      </w:r>
      <w:r>
        <w:rPr>
          <w:rFonts w:ascii="Arial" w:hAnsi="Arial" w:cs="Arial"/>
          <w:sz w:val="22"/>
          <w:szCs w:val="22"/>
        </w:rPr>
        <w:t xml:space="preserve"> </w:t>
      </w:r>
      <w:r w:rsidRPr="00040E61">
        <w:rPr>
          <w:rFonts w:ascii="Arial" w:hAnsi="Arial" w:cs="Arial"/>
          <w:sz w:val="22"/>
          <w:szCs w:val="22"/>
        </w:rPr>
        <w:t>attention, retention, reproduction, and motivation</w:t>
      </w:r>
      <w:r>
        <w:rPr>
          <w:rFonts w:ascii="Arial" w:hAnsi="Arial" w:cs="Arial"/>
          <w:sz w:val="22"/>
          <w:szCs w:val="22"/>
        </w:rPr>
        <w:t xml:space="preserve"> </w:t>
      </w:r>
      <w:r w:rsidRPr="00040E61">
        <w:rPr>
          <w:rFonts w:ascii="Arial" w:hAnsi="Arial" w:cs="Arial"/>
          <w:sz w:val="22"/>
          <w:szCs w:val="22"/>
        </w:rPr>
        <w:t>that explain how individuals internalise and imitate observed behaviours. These processes continue to operate across the lifespan, meaning that adults and older adults remain responsive to social cues, particularly in unfamiliar or emotionally demanding environments (Beckett, 2018).</w:t>
      </w:r>
    </w:p>
    <w:p w14:paraId="098AD1DC" w14:textId="77777777" w:rsidR="00040E61" w:rsidRPr="00040E61" w:rsidRDefault="00040E61" w:rsidP="00040E61">
      <w:pPr>
        <w:rPr>
          <w:rFonts w:ascii="Arial" w:hAnsi="Arial" w:cs="Arial"/>
          <w:sz w:val="22"/>
          <w:szCs w:val="22"/>
        </w:rPr>
      </w:pPr>
      <w:r w:rsidRPr="00040E61">
        <w:rPr>
          <w:rFonts w:ascii="Arial" w:hAnsi="Arial" w:cs="Arial"/>
          <w:sz w:val="22"/>
          <w:szCs w:val="22"/>
        </w:rPr>
        <w:t>In residential care, older adults frequently observe how staff communicate, how peers participate in activities, and how others cope with challenges such as illness or loss. These observations can influence their own emotional responses, confidence, and willingness to engage. For example, witnessing calm, respectful communication from staff may model emotional regulation, while seeing peers participate in group activities may encourage hesitant residents to join in. Social Learning Theory is therefore highly relevant to later life, as older adults often rely on social information to navigate new routines, rebuild confidence, and form relationships within the care setting. The theory aligns closely with person</w:t>
      </w:r>
      <w:r w:rsidRPr="00040E61">
        <w:rPr>
          <w:rFonts w:ascii="Arial" w:hAnsi="Arial" w:cs="Arial"/>
          <w:sz w:val="22"/>
          <w:szCs w:val="22"/>
        </w:rPr>
        <w:noBreakHyphen/>
        <w:t>centred care, which emphasises relational practice, emotional safety, and supportive environments that promote autonomy and wellbeing (Rogers &amp; Horrocks, 2016).</w:t>
      </w:r>
    </w:p>
    <w:p w14:paraId="2DA19C4C" w14:textId="77777777" w:rsidR="00040E61" w:rsidRPr="00040E61" w:rsidRDefault="00040E61" w:rsidP="00040E61">
      <w:pPr>
        <w:rPr>
          <w:rFonts w:ascii="Arial" w:hAnsi="Arial" w:cs="Arial"/>
          <w:b/>
          <w:bCs/>
          <w:sz w:val="22"/>
          <w:szCs w:val="22"/>
        </w:rPr>
      </w:pPr>
      <w:r w:rsidRPr="00040E61">
        <w:rPr>
          <w:rFonts w:ascii="Arial" w:hAnsi="Arial" w:cs="Arial"/>
          <w:b/>
          <w:bCs/>
          <w:sz w:val="22"/>
          <w:szCs w:val="22"/>
        </w:rPr>
        <w:t>3. Application to Residential Care and Case Scenario</w:t>
      </w:r>
    </w:p>
    <w:p w14:paraId="2BF5CC01" w14:textId="77777777" w:rsidR="00040E61" w:rsidRPr="00040E61" w:rsidRDefault="00040E61" w:rsidP="00040E61">
      <w:pPr>
        <w:rPr>
          <w:rFonts w:ascii="Arial" w:hAnsi="Arial" w:cs="Arial"/>
          <w:sz w:val="22"/>
          <w:szCs w:val="22"/>
        </w:rPr>
      </w:pPr>
      <w:r w:rsidRPr="00040E61">
        <w:rPr>
          <w:rFonts w:ascii="Arial" w:hAnsi="Arial" w:cs="Arial"/>
          <w:sz w:val="22"/>
          <w:szCs w:val="22"/>
        </w:rPr>
        <w:t xml:space="preserve">In residential care, Social Learning Theory provides a practical framework for shaping positive behaviour and emotional wellbeing. Staff act as powerful role models, whether intentionally or not. When staff demonstrate empathy, patience, and active engagement, residents are more likely to mirror these behaviours. Conversely, inconsistent or rushed interactions may reinforce anxiety, withdrawal, or reluctance to participate. Creating an </w:t>
      </w:r>
      <w:r w:rsidRPr="00040E61">
        <w:rPr>
          <w:rFonts w:ascii="Arial" w:hAnsi="Arial" w:cs="Arial"/>
          <w:sz w:val="22"/>
          <w:szCs w:val="22"/>
        </w:rPr>
        <w:lastRenderedPageBreak/>
        <w:t>environment where positive behaviours are consistently modelled can therefore support residents’ confidence, social engagement, and sense of belonging (Beckett, 2018).</w:t>
      </w:r>
    </w:p>
    <w:p w14:paraId="0FA00547" w14:textId="77777777" w:rsidR="00040E61" w:rsidRPr="00040E61" w:rsidRDefault="00040E61" w:rsidP="00040E61">
      <w:pPr>
        <w:rPr>
          <w:rFonts w:ascii="Arial" w:hAnsi="Arial" w:cs="Arial"/>
          <w:sz w:val="22"/>
          <w:szCs w:val="22"/>
        </w:rPr>
      </w:pPr>
      <w:r w:rsidRPr="00040E61">
        <w:rPr>
          <w:rFonts w:ascii="Arial" w:hAnsi="Arial" w:cs="Arial"/>
          <w:sz w:val="22"/>
          <w:szCs w:val="22"/>
        </w:rPr>
        <w:t>Practical applications include staff participating in group activities to model enthusiasm, using calm communication during moments of distress, and highlighting positive peer behaviour to encourage others. Group</w:t>
      </w:r>
      <w:r w:rsidRPr="00040E61">
        <w:rPr>
          <w:rFonts w:ascii="Arial" w:hAnsi="Arial" w:cs="Arial"/>
          <w:sz w:val="22"/>
          <w:szCs w:val="22"/>
        </w:rPr>
        <w:noBreakHyphen/>
        <w:t>based activities are particularly effective because they allow residents to observe and learn from one another in a supportive, low</w:t>
      </w:r>
      <w:r w:rsidRPr="00040E61">
        <w:rPr>
          <w:rFonts w:ascii="Arial" w:hAnsi="Arial" w:cs="Arial"/>
          <w:sz w:val="22"/>
          <w:szCs w:val="22"/>
        </w:rPr>
        <w:noBreakHyphen/>
        <w:t>pressure environment.</w:t>
      </w:r>
    </w:p>
    <w:p w14:paraId="08F73024" w14:textId="77777777" w:rsidR="00040E61" w:rsidRPr="00040E61" w:rsidRDefault="00040E61" w:rsidP="00040E61">
      <w:pPr>
        <w:rPr>
          <w:rFonts w:ascii="Arial" w:hAnsi="Arial" w:cs="Arial"/>
          <w:b/>
          <w:bCs/>
          <w:sz w:val="22"/>
          <w:szCs w:val="22"/>
        </w:rPr>
      </w:pPr>
      <w:r w:rsidRPr="00040E61">
        <w:rPr>
          <w:rFonts w:ascii="Arial" w:hAnsi="Arial" w:cs="Arial"/>
          <w:b/>
          <w:bCs/>
          <w:sz w:val="22"/>
          <w:szCs w:val="22"/>
        </w:rPr>
        <w:t>Case Scenario</w:t>
      </w:r>
    </w:p>
    <w:p w14:paraId="0DFE832A" w14:textId="09F58CD7" w:rsidR="00040E61" w:rsidRPr="00040E61" w:rsidRDefault="00040E61" w:rsidP="00040E61">
      <w:pPr>
        <w:rPr>
          <w:rFonts w:ascii="Arial" w:hAnsi="Arial" w:cs="Arial"/>
          <w:sz w:val="22"/>
          <w:szCs w:val="22"/>
        </w:rPr>
      </w:pPr>
      <w:r w:rsidRPr="00040E61">
        <w:rPr>
          <w:rFonts w:ascii="Arial" w:hAnsi="Arial" w:cs="Arial"/>
          <w:sz w:val="22"/>
          <w:szCs w:val="22"/>
        </w:rPr>
        <w:t>Mrs A, aged 82, recently moved into a care home following a fall. She feels anxious, isolated, and reluctant to join group activities. Staff adopt a social learning approach: during morning exercise sessions, a care worker participates alongside residents, demonstrating enjoyment and offering gentle encouragement. Mrs A observes another resident</w:t>
      </w:r>
      <w:r>
        <w:rPr>
          <w:rFonts w:ascii="Arial" w:hAnsi="Arial" w:cs="Arial"/>
          <w:sz w:val="22"/>
          <w:szCs w:val="22"/>
        </w:rPr>
        <w:t xml:space="preserve"> </w:t>
      </w:r>
      <w:r w:rsidRPr="00040E61">
        <w:rPr>
          <w:rFonts w:ascii="Arial" w:hAnsi="Arial" w:cs="Arial"/>
          <w:sz w:val="22"/>
          <w:szCs w:val="22"/>
        </w:rPr>
        <w:t>similar in age and mobility</w:t>
      </w:r>
      <w:r>
        <w:rPr>
          <w:rFonts w:ascii="Arial" w:hAnsi="Arial" w:cs="Arial"/>
          <w:sz w:val="22"/>
          <w:szCs w:val="22"/>
        </w:rPr>
        <w:t xml:space="preserve"> </w:t>
      </w:r>
      <w:r w:rsidRPr="00040E61">
        <w:rPr>
          <w:rFonts w:ascii="Arial" w:hAnsi="Arial" w:cs="Arial"/>
          <w:sz w:val="22"/>
          <w:szCs w:val="22"/>
        </w:rPr>
        <w:t>taking part confidently. Over several days, she watches closely, gradually moving closer to the group. Eventually, she joins in for a few minutes, and within weeks she participates fully. She later reports feeling “more settled” and begins forming friendships. This scenario illustrates how consistent modelling can reduce anxiety, build confidence, and support emotional adjustment in older adults (Rogers &amp; Horrocks, 2016).</w:t>
      </w:r>
    </w:p>
    <w:p w14:paraId="77FA8A91" w14:textId="77777777" w:rsidR="00040E61" w:rsidRPr="00040E61" w:rsidRDefault="00040E61" w:rsidP="00040E61">
      <w:pPr>
        <w:rPr>
          <w:rFonts w:ascii="Arial" w:hAnsi="Arial" w:cs="Arial"/>
          <w:b/>
          <w:bCs/>
          <w:sz w:val="22"/>
          <w:szCs w:val="22"/>
        </w:rPr>
      </w:pPr>
      <w:r w:rsidRPr="00040E61">
        <w:rPr>
          <w:rFonts w:ascii="Arial" w:hAnsi="Arial" w:cs="Arial"/>
          <w:b/>
          <w:bCs/>
          <w:sz w:val="22"/>
          <w:szCs w:val="22"/>
        </w:rPr>
        <w:t>4. Challenge and Strategy</w:t>
      </w:r>
    </w:p>
    <w:p w14:paraId="61A2D23D" w14:textId="77777777" w:rsidR="00040E61" w:rsidRPr="00040E61" w:rsidRDefault="00040E61" w:rsidP="00040E61">
      <w:pPr>
        <w:rPr>
          <w:rFonts w:ascii="Arial" w:hAnsi="Arial" w:cs="Arial"/>
          <w:sz w:val="22"/>
          <w:szCs w:val="22"/>
        </w:rPr>
      </w:pPr>
      <w:r w:rsidRPr="00040E61">
        <w:rPr>
          <w:rFonts w:ascii="Arial" w:hAnsi="Arial" w:cs="Arial"/>
          <w:sz w:val="22"/>
          <w:szCs w:val="22"/>
        </w:rPr>
        <w:t>A significant challenge in applying Social Learning Theory is inconsistent modelling among staff. When some staff demonstrate warmth and patience while others appear rushed or disengaged, residents receive mixed messages. This inconsistency can undermine trust and reduce the effectiveness of observational learning, particularly for residents who rely heavily on social cues during periods of adjustment (Bandura, 1986).</w:t>
      </w:r>
    </w:p>
    <w:p w14:paraId="3E6847DA" w14:textId="2797EAC4" w:rsidR="00040E61" w:rsidRPr="00040E61" w:rsidRDefault="00040E61" w:rsidP="00040E61">
      <w:pPr>
        <w:rPr>
          <w:rFonts w:ascii="Arial" w:hAnsi="Arial" w:cs="Arial"/>
          <w:sz w:val="22"/>
          <w:szCs w:val="22"/>
        </w:rPr>
      </w:pPr>
      <w:r w:rsidRPr="00040E61">
        <w:rPr>
          <w:rFonts w:ascii="Arial" w:hAnsi="Arial" w:cs="Arial"/>
          <w:sz w:val="22"/>
          <w:szCs w:val="22"/>
        </w:rPr>
        <w:t>A practical strategy is to adopt a whole</w:t>
      </w:r>
      <w:r w:rsidRPr="00040E61">
        <w:rPr>
          <w:rFonts w:ascii="Arial" w:hAnsi="Arial" w:cs="Arial"/>
          <w:sz w:val="22"/>
          <w:szCs w:val="22"/>
        </w:rPr>
        <w:noBreakHyphen/>
        <w:t>team approach that prioritises consistent communication and behaviour. Regular training, reflective practice sessions, and shared standards can help ensure that all staff model the same positive behaviours. Evidence suggests that predictable, emotionally safe environments support better outcomes for older adults, particularly those experiencing anxiety or cognitive decline (Springer, 2017). Embedding role</w:t>
      </w:r>
      <w:r w:rsidRPr="00040E61">
        <w:rPr>
          <w:rFonts w:ascii="Arial" w:hAnsi="Arial" w:cs="Arial"/>
          <w:sz w:val="22"/>
          <w:szCs w:val="22"/>
        </w:rPr>
        <w:noBreakHyphen/>
        <w:t>modelling into supervision</w:t>
      </w:r>
      <w:r>
        <w:rPr>
          <w:rFonts w:ascii="Arial" w:hAnsi="Arial" w:cs="Arial"/>
          <w:sz w:val="22"/>
          <w:szCs w:val="22"/>
        </w:rPr>
        <w:t xml:space="preserve"> </w:t>
      </w:r>
      <w:r w:rsidRPr="00040E61">
        <w:rPr>
          <w:rFonts w:ascii="Arial" w:hAnsi="Arial" w:cs="Arial"/>
          <w:sz w:val="22"/>
          <w:szCs w:val="22"/>
        </w:rPr>
        <w:t>where senior staff demonstrate best practice</w:t>
      </w:r>
      <w:r>
        <w:rPr>
          <w:rFonts w:ascii="Arial" w:hAnsi="Arial" w:cs="Arial"/>
          <w:sz w:val="22"/>
          <w:szCs w:val="22"/>
        </w:rPr>
        <w:t xml:space="preserve"> </w:t>
      </w:r>
      <w:r w:rsidRPr="00040E61">
        <w:rPr>
          <w:rFonts w:ascii="Arial" w:hAnsi="Arial" w:cs="Arial"/>
          <w:sz w:val="22"/>
          <w:szCs w:val="22"/>
        </w:rPr>
        <w:t>can further strengthen consistency across the team.</w:t>
      </w:r>
    </w:p>
    <w:p w14:paraId="419939EE" w14:textId="77777777" w:rsidR="00040E61" w:rsidRPr="00040E61" w:rsidRDefault="00040E61" w:rsidP="00040E61">
      <w:pPr>
        <w:rPr>
          <w:rFonts w:ascii="Arial" w:hAnsi="Arial" w:cs="Arial"/>
          <w:b/>
          <w:bCs/>
          <w:sz w:val="22"/>
          <w:szCs w:val="22"/>
        </w:rPr>
      </w:pPr>
      <w:r w:rsidRPr="00040E61">
        <w:rPr>
          <w:rFonts w:ascii="Arial" w:hAnsi="Arial" w:cs="Arial"/>
          <w:b/>
          <w:bCs/>
          <w:sz w:val="22"/>
          <w:szCs w:val="22"/>
        </w:rPr>
        <w:t>5. Conclusion</w:t>
      </w:r>
    </w:p>
    <w:p w14:paraId="2E504118" w14:textId="77777777" w:rsidR="00040E61" w:rsidRPr="00040E61" w:rsidRDefault="00040E61" w:rsidP="00040E61">
      <w:pPr>
        <w:rPr>
          <w:rFonts w:ascii="Arial" w:hAnsi="Arial" w:cs="Arial"/>
          <w:sz w:val="22"/>
          <w:szCs w:val="22"/>
        </w:rPr>
      </w:pPr>
      <w:r w:rsidRPr="00040E61">
        <w:rPr>
          <w:rFonts w:ascii="Arial" w:hAnsi="Arial" w:cs="Arial"/>
          <w:sz w:val="22"/>
          <w:szCs w:val="22"/>
        </w:rPr>
        <w:t>Social Learning Theory offers a valuable framework for supporting wellbeing in residential care. By modelling positive behaviours consistently, staff can help residents build confidence, engage socially, and adjust more smoothly to their environment. When applied effectively, the theory enhances person</w:t>
      </w:r>
      <w:r w:rsidRPr="00040E61">
        <w:rPr>
          <w:rFonts w:ascii="Arial" w:hAnsi="Arial" w:cs="Arial"/>
          <w:sz w:val="22"/>
          <w:szCs w:val="22"/>
        </w:rPr>
        <w:noBreakHyphen/>
        <w:t>centred care and promotes meaningful, emotionally supportive experiences for older adults.</w:t>
      </w:r>
    </w:p>
    <w:p w14:paraId="6D70C530" w14:textId="77777777" w:rsidR="00040E61" w:rsidRDefault="00040E61" w:rsidP="00040E61">
      <w:pPr>
        <w:rPr>
          <w:rFonts w:ascii="Arial" w:hAnsi="Arial" w:cs="Arial"/>
          <w:sz w:val="22"/>
          <w:szCs w:val="22"/>
        </w:rPr>
      </w:pPr>
    </w:p>
    <w:p w14:paraId="0F77029B" w14:textId="77777777" w:rsidR="00040E61" w:rsidRDefault="00040E61" w:rsidP="00040E61">
      <w:pPr>
        <w:rPr>
          <w:rFonts w:ascii="Arial" w:hAnsi="Arial" w:cs="Arial"/>
          <w:sz w:val="22"/>
          <w:szCs w:val="22"/>
        </w:rPr>
      </w:pPr>
    </w:p>
    <w:p w14:paraId="4C6A4F04" w14:textId="77777777" w:rsidR="00040E61" w:rsidRDefault="00040E61" w:rsidP="00040E61">
      <w:pPr>
        <w:rPr>
          <w:rFonts w:ascii="Arial" w:hAnsi="Arial" w:cs="Arial"/>
          <w:sz w:val="22"/>
          <w:szCs w:val="22"/>
        </w:rPr>
      </w:pPr>
    </w:p>
    <w:p w14:paraId="5D7E3E65" w14:textId="77777777" w:rsidR="00040E61" w:rsidRDefault="00040E61" w:rsidP="00040E61">
      <w:pPr>
        <w:rPr>
          <w:rFonts w:ascii="Arial" w:hAnsi="Arial" w:cs="Arial"/>
          <w:sz w:val="22"/>
          <w:szCs w:val="22"/>
        </w:rPr>
      </w:pPr>
    </w:p>
    <w:p w14:paraId="7D4182EA" w14:textId="77777777" w:rsidR="00040E61" w:rsidRDefault="00040E61" w:rsidP="00040E61">
      <w:pPr>
        <w:rPr>
          <w:rFonts w:ascii="Arial" w:hAnsi="Arial" w:cs="Arial"/>
          <w:sz w:val="22"/>
          <w:szCs w:val="22"/>
        </w:rPr>
      </w:pPr>
    </w:p>
    <w:p w14:paraId="514C2A6F" w14:textId="77777777" w:rsidR="00040E61" w:rsidRDefault="00040E61" w:rsidP="00040E61">
      <w:pPr>
        <w:rPr>
          <w:rFonts w:ascii="Arial" w:hAnsi="Arial" w:cs="Arial"/>
          <w:sz w:val="22"/>
          <w:szCs w:val="22"/>
        </w:rPr>
      </w:pPr>
    </w:p>
    <w:p w14:paraId="3A5C4A4D" w14:textId="77777777" w:rsidR="00040E61" w:rsidRDefault="00040E61" w:rsidP="00040E61">
      <w:pPr>
        <w:rPr>
          <w:rFonts w:ascii="Arial" w:hAnsi="Arial" w:cs="Arial"/>
          <w:sz w:val="22"/>
          <w:szCs w:val="22"/>
        </w:rPr>
      </w:pPr>
    </w:p>
    <w:p w14:paraId="3D78C6BC" w14:textId="77777777" w:rsidR="00040E61" w:rsidRDefault="00040E61" w:rsidP="00040E61">
      <w:pPr>
        <w:rPr>
          <w:rFonts w:ascii="Arial" w:hAnsi="Arial" w:cs="Arial"/>
          <w:sz w:val="22"/>
          <w:szCs w:val="22"/>
        </w:rPr>
      </w:pPr>
    </w:p>
    <w:p w14:paraId="7400C869" w14:textId="7B8FE7F5" w:rsidR="00040E61" w:rsidRPr="00040E61" w:rsidRDefault="00040E61" w:rsidP="00040E61">
      <w:pPr>
        <w:rPr>
          <w:rFonts w:ascii="Arial" w:hAnsi="Arial" w:cs="Arial"/>
          <w:b/>
          <w:bCs/>
          <w:sz w:val="22"/>
          <w:szCs w:val="22"/>
        </w:rPr>
      </w:pPr>
      <w:r w:rsidRPr="00040E61">
        <w:rPr>
          <w:rFonts w:ascii="Arial" w:hAnsi="Arial" w:cs="Arial"/>
          <w:b/>
          <w:bCs/>
          <w:sz w:val="22"/>
          <w:szCs w:val="22"/>
        </w:rPr>
        <w:t xml:space="preserve">References </w:t>
      </w:r>
    </w:p>
    <w:p w14:paraId="0956FCE0" w14:textId="77777777" w:rsidR="00040E61" w:rsidRPr="00040E61" w:rsidRDefault="00040E61" w:rsidP="00040E61">
      <w:pPr>
        <w:rPr>
          <w:rFonts w:ascii="Arial" w:hAnsi="Arial" w:cs="Arial"/>
          <w:sz w:val="22"/>
          <w:szCs w:val="22"/>
        </w:rPr>
      </w:pPr>
      <w:r w:rsidRPr="00040E61">
        <w:rPr>
          <w:rFonts w:ascii="Arial" w:hAnsi="Arial" w:cs="Arial"/>
          <w:sz w:val="22"/>
          <w:szCs w:val="22"/>
        </w:rPr>
        <w:t xml:space="preserve">Austrian, S. (2015) </w:t>
      </w:r>
      <w:r w:rsidRPr="00040E61">
        <w:rPr>
          <w:rFonts w:ascii="Arial" w:hAnsi="Arial" w:cs="Arial"/>
          <w:i/>
          <w:iCs/>
          <w:sz w:val="22"/>
          <w:szCs w:val="22"/>
        </w:rPr>
        <w:t>Developmental Theories Through the Life Cycle</w:t>
      </w:r>
      <w:r w:rsidRPr="00040E61">
        <w:rPr>
          <w:rFonts w:ascii="Arial" w:hAnsi="Arial" w:cs="Arial"/>
          <w:sz w:val="22"/>
          <w:szCs w:val="22"/>
        </w:rPr>
        <w:t xml:space="preserve">. 3rd </w:t>
      </w:r>
      <w:proofErr w:type="spellStart"/>
      <w:r w:rsidRPr="00040E61">
        <w:rPr>
          <w:rFonts w:ascii="Arial" w:hAnsi="Arial" w:cs="Arial"/>
          <w:sz w:val="22"/>
          <w:szCs w:val="22"/>
        </w:rPr>
        <w:t>edn</w:t>
      </w:r>
      <w:proofErr w:type="spellEnd"/>
      <w:r w:rsidRPr="00040E61">
        <w:rPr>
          <w:rFonts w:ascii="Arial" w:hAnsi="Arial" w:cs="Arial"/>
          <w:sz w:val="22"/>
          <w:szCs w:val="22"/>
        </w:rPr>
        <w:t>. New York: Columbia University Press.</w:t>
      </w:r>
    </w:p>
    <w:p w14:paraId="692FC6F5" w14:textId="77777777" w:rsidR="00040E61" w:rsidRPr="00040E61" w:rsidRDefault="00040E61" w:rsidP="00040E61">
      <w:pPr>
        <w:rPr>
          <w:rFonts w:ascii="Arial" w:hAnsi="Arial" w:cs="Arial"/>
          <w:sz w:val="22"/>
          <w:szCs w:val="22"/>
        </w:rPr>
      </w:pPr>
      <w:r w:rsidRPr="00040E61">
        <w:rPr>
          <w:rFonts w:ascii="Arial" w:hAnsi="Arial" w:cs="Arial"/>
          <w:sz w:val="22"/>
          <w:szCs w:val="22"/>
        </w:rPr>
        <w:t xml:space="preserve">Bandura, A. (1977) </w:t>
      </w:r>
      <w:r w:rsidRPr="00040E61">
        <w:rPr>
          <w:rFonts w:ascii="Arial" w:hAnsi="Arial" w:cs="Arial"/>
          <w:i/>
          <w:iCs/>
          <w:sz w:val="22"/>
          <w:szCs w:val="22"/>
        </w:rPr>
        <w:t>Social Learning Theory</w:t>
      </w:r>
      <w:r w:rsidRPr="00040E61">
        <w:rPr>
          <w:rFonts w:ascii="Arial" w:hAnsi="Arial" w:cs="Arial"/>
          <w:sz w:val="22"/>
          <w:szCs w:val="22"/>
        </w:rPr>
        <w:t>. Englewood Cliffs, NJ: Prentice Hall.</w:t>
      </w:r>
    </w:p>
    <w:p w14:paraId="68F09DF0" w14:textId="77777777" w:rsidR="00040E61" w:rsidRPr="00040E61" w:rsidRDefault="00040E61" w:rsidP="00040E61">
      <w:pPr>
        <w:rPr>
          <w:rFonts w:ascii="Arial" w:hAnsi="Arial" w:cs="Arial"/>
          <w:sz w:val="22"/>
          <w:szCs w:val="22"/>
        </w:rPr>
      </w:pPr>
      <w:r w:rsidRPr="00040E61">
        <w:rPr>
          <w:rFonts w:ascii="Arial" w:hAnsi="Arial" w:cs="Arial"/>
          <w:sz w:val="22"/>
          <w:szCs w:val="22"/>
        </w:rPr>
        <w:t xml:space="preserve">Bandura, A. (1986) </w:t>
      </w:r>
      <w:r w:rsidRPr="00040E61">
        <w:rPr>
          <w:rFonts w:ascii="Arial" w:hAnsi="Arial" w:cs="Arial"/>
          <w:i/>
          <w:iCs/>
          <w:sz w:val="22"/>
          <w:szCs w:val="22"/>
        </w:rPr>
        <w:t>Social Foundations of Thought and Action: A Social Cognitive Theory</w:t>
      </w:r>
      <w:r w:rsidRPr="00040E61">
        <w:rPr>
          <w:rFonts w:ascii="Arial" w:hAnsi="Arial" w:cs="Arial"/>
          <w:sz w:val="22"/>
          <w:szCs w:val="22"/>
        </w:rPr>
        <w:t>. Englewood Cliffs, NJ: Prentice Hall.</w:t>
      </w:r>
    </w:p>
    <w:p w14:paraId="71E7E078" w14:textId="77777777" w:rsidR="00040E61" w:rsidRPr="00040E61" w:rsidRDefault="00040E61" w:rsidP="00040E61">
      <w:pPr>
        <w:rPr>
          <w:rFonts w:ascii="Arial" w:hAnsi="Arial" w:cs="Arial"/>
          <w:sz w:val="22"/>
          <w:szCs w:val="22"/>
        </w:rPr>
      </w:pPr>
      <w:r w:rsidRPr="00040E61">
        <w:rPr>
          <w:rFonts w:ascii="Arial" w:hAnsi="Arial" w:cs="Arial"/>
          <w:sz w:val="22"/>
          <w:szCs w:val="22"/>
        </w:rPr>
        <w:t xml:space="preserve">Beckett, C. (2018) </w:t>
      </w:r>
      <w:r w:rsidRPr="00040E61">
        <w:rPr>
          <w:rFonts w:ascii="Arial" w:hAnsi="Arial" w:cs="Arial"/>
          <w:i/>
          <w:iCs/>
          <w:sz w:val="22"/>
          <w:szCs w:val="22"/>
        </w:rPr>
        <w:t>Human Growth and Development</w:t>
      </w:r>
      <w:r w:rsidRPr="00040E61">
        <w:rPr>
          <w:rFonts w:ascii="Arial" w:hAnsi="Arial" w:cs="Arial"/>
          <w:sz w:val="22"/>
          <w:szCs w:val="22"/>
        </w:rPr>
        <w:t xml:space="preserve">. 4th </w:t>
      </w:r>
      <w:proofErr w:type="spellStart"/>
      <w:r w:rsidRPr="00040E61">
        <w:rPr>
          <w:rFonts w:ascii="Arial" w:hAnsi="Arial" w:cs="Arial"/>
          <w:sz w:val="22"/>
          <w:szCs w:val="22"/>
        </w:rPr>
        <w:t>edn</w:t>
      </w:r>
      <w:proofErr w:type="spellEnd"/>
      <w:r w:rsidRPr="00040E61">
        <w:rPr>
          <w:rFonts w:ascii="Arial" w:hAnsi="Arial" w:cs="Arial"/>
          <w:sz w:val="22"/>
          <w:szCs w:val="22"/>
        </w:rPr>
        <w:t>. London: Sage.</w:t>
      </w:r>
    </w:p>
    <w:p w14:paraId="679B4517" w14:textId="77777777" w:rsidR="00040E61" w:rsidRPr="00040E61" w:rsidRDefault="00040E61" w:rsidP="00040E61">
      <w:pPr>
        <w:rPr>
          <w:rFonts w:ascii="Arial" w:hAnsi="Arial" w:cs="Arial"/>
          <w:sz w:val="22"/>
          <w:szCs w:val="22"/>
        </w:rPr>
      </w:pPr>
      <w:r w:rsidRPr="00040E61">
        <w:rPr>
          <w:rFonts w:ascii="Arial" w:hAnsi="Arial" w:cs="Arial"/>
          <w:sz w:val="22"/>
          <w:szCs w:val="22"/>
        </w:rPr>
        <w:t xml:space="preserve">Rogers, A. and Horrocks, N. (2016) </w:t>
      </w:r>
      <w:r w:rsidRPr="00040E61">
        <w:rPr>
          <w:rFonts w:ascii="Arial" w:hAnsi="Arial" w:cs="Arial"/>
          <w:i/>
          <w:iCs/>
          <w:sz w:val="22"/>
          <w:szCs w:val="22"/>
        </w:rPr>
        <w:t>Adults Learning for Development</w:t>
      </w:r>
      <w:r w:rsidRPr="00040E61">
        <w:rPr>
          <w:rFonts w:ascii="Arial" w:hAnsi="Arial" w:cs="Arial"/>
          <w:sz w:val="22"/>
          <w:szCs w:val="22"/>
        </w:rPr>
        <w:t>. London: Cassell Education.</w:t>
      </w:r>
    </w:p>
    <w:p w14:paraId="4AB679F7" w14:textId="77777777" w:rsidR="00040E61" w:rsidRPr="00040E61" w:rsidRDefault="00040E61" w:rsidP="00040E61">
      <w:pPr>
        <w:rPr>
          <w:rFonts w:ascii="Arial" w:hAnsi="Arial" w:cs="Arial"/>
          <w:sz w:val="22"/>
          <w:szCs w:val="22"/>
        </w:rPr>
      </w:pPr>
      <w:r w:rsidRPr="00040E61">
        <w:rPr>
          <w:rFonts w:ascii="Arial" w:hAnsi="Arial" w:cs="Arial"/>
          <w:sz w:val="22"/>
          <w:szCs w:val="22"/>
        </w:rPr>
        <w:t xml:space="preserve">Springer, P. (2017) </w:t>
      </w:r>
      <w:r w:rsidRPr="00040E61">
        <w:rPr>
          <w:rFonts w:ascii="Arial" w:hAnsi="Arial" w:cs="Arial"/>
          <w:i/>
          <w:iCs/>
          <w:sz w:val="22"/>
          <w:szCs w:val="22"/>
        </w:rPr>
        <w:t>Person</w:t>
      </w:r>
      <w:r w:rsidRPr="00040E61">
        <w:rPr>
          <w:rFonts w:ascii="Arial" w:hAnsi="Arial" w:cs="Arial"/>
          <w:i/>
          <w:iCs/>
          <w:sz w:val="22"/>
          <w:szCs w:val="22"/>
        </w:rPr>
        <w:noBreakHyphen/>
        <w:t>centred Approaches in Adult Care</w:t>
      </w:r>
      <w:r w:rsidRPr="00040E61">
        <w:rPr>
          <w:rFonts w:ascii="Arial" w:hAnsi="Arial" w:cs="Arial"/>
          <w:sz w:val="22"/>
          <w:szCs w:val="22"/>
        </w:rPr>
        <w:t>. London: Routledge.</w:t>
      </w:r>
    </w:p>
    <w:p w14:paraId="5571E72C" w14:textId="77777777" w:rsidR="00040E61" w:rsidRPr="00040E61" w:rsidRDefault="00040E61" w:rsidP="00040E61">
      <w:pPr>
        <w:rPr>
          <w:rFonts w:ascii="Arial" w:hAnsi="Arial" w:cs="Arial"/>
          <w:sz w:val="22"/>
          <w:szCs w:val="22"/>
        </w:rPr>
      </w:pPr>
      <w:r w:rsidRPr="00040E61">
        <w:rPr>
          <w:rFonts w:ascii="Arial" w:hAnsi="Arial" w:cs="Arial"/>
          <w:sz w:val="22"/>
          <w:szCs w:val="22"/>
        </w:rPr>
        <w:t xml:space="preserve">Thornton, S. (2020) </w:t>
      </w:r>
      <w:r w:rsidRPr="00040E61">
        <w:rPr>
          <w:rFonts w:ascii="Arial" w:hAnsi="Arial" w:cs="Arial"/>
          <w:i/>
          <w:iCs/>
          <w:sz w:val="22"/>
          <w:szCs w:val="22"/>
        </w:rPr>
        <w:t>Understanding Human Development</w:t>
      </w:r>
      <w:r w:rsidRPr="00040E61">
        <w:rPr>
          <w:rFonts w:ascii="Arial" w:hAnsi="Arial" w:cs="Arial"/>
          <w:sz w:val="22"/>
          <w:szCs w:val="22"/>
        </w:rPr>
        <w:t xml:space="preserve">. 2nd </w:t>
      </w:r>
      <w:proofErr w:type="spellStart"/>
      <w:r w:rsidRPr="00040E61">
        <w:rPr>
          <w:rFonts w:ascii="Arial" w:hAnsi="Arial" w:cs="Arial"/>
          <w:sz w:val="22"/>
          <w:szCs w:val="22"/>
        </w:rPr>
        <w:t>edn</w:t>
      </w:r>
      <w:proofErr w:type="spellEnd"/>
      <w:r w:rsidRPr="00040E61">
        <w:rPr>
          <w:rFonts w:ascii="Arial" w:hAnsi="Arial" w:cs="Arial"/>
          <w:sz w:val="22"/>
          <w:szCs w:val="22"/>
        </w:rPr>
        <w:t>. London: Palgrave Macmillan.</w:t>
      </w:r>
    </w:p>
    <w:p w14:paraId="775A027C" w14:textId="77777777" w:rsidR="00040E61" w:rsidRPr="00040E61" w:rsidRDefault="00040E61" w:rsidP="00040E61">
      <w:pPr>
        <w:rPr>
          <w:rFonts w:ascii="Arial" w:hAnsi="Arial" w:cs="Arial"/>
          <w:sz w:val="22"/>
          <w:szCs w:val="22"/>
        </w:rPr>
      </w:pPr>
    </w:p>
    <w:p w14:paraId="1AC53785" w14:textId="77777777" w:rsidR="00040E61" w:rsidRPr="00040E61" w:rsidRDefault="00040E61" w:rsidP="00040E61">
      <w:pPr>
        <w:rPr>
          <w:rFonts w:ascii="Arial" w:hAnsi="Arial" w:cs="Arial"/>
          <w:sz w:val="22"/>
          <w:szCs w:val="22"/>
        </w:rPr>
      </w:pPr>
    </w:p>
    <w:p w14:paraId="3A95EAF6" w14:textId="77777777" w:rsidR="00040E61" w:rsidRPr="00160C36" w:rsidRDefault="00040E61" w:rsidP="00160C36">
      <w:pPr>
        <w:rPr>
          <w:rFonts w:ascii="Arial" w:hAnsi="Arial" w:cs="Arial"/>
          <w:sz w:val="22"/>
          <w:szCs w:val="22"/>
        </w:rPr>
      </w:pPr>
    </w:p>
    <w:p w14:paraId="00FFA821" w14:textId="77777777" w:rsidR="00160C36" w:rsidRPr="00160C36" w:rsidRDefault="00160C36" w:rsidP="00160C36">
      <w:pPr>
        <w:rPr>
          <w:rFonts w:ascii="Arial" w:hAnsi="Arial" w:cs="Arial"/>
          <w:sz w:val="22"/>
          <w:szCs w:val="22"/>
        </w:rPr>
      </w:pPr>
    </w:p>
    <w:p w14:paraId="56830E24" w14:textId="77777777" w:rsidR="008100FB" w:rsidRDefault="008100FB"/>
    <w:sectPr w:rsidR="008100F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49022" w14:textId="77777777" w:rsidR="005D0D1E" w:rsidRDefault="005D0D1E" w:rsidP="00040E61">
      <w:pPr>
        <w:spacing w:after="0" w:line="240" w:lineRule="auto"/>
      </w:pPr>
      <w:r>
        <w:separator/>
      </w:r>
    </w:p>
  </w:endnote>
  <w:endnote w:type="continuationSeparator" w:id="0">
    <w:p w14:paraId="417EB48B" w14:textId="77777777" w:rsidR="005D0D1E" w:rsidRDefault="005D0D1E" w:rsidP="00040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4787864"/>
      <w:docPartObj>
        <w:docPartGallery w:val="Page Numbers (Bottom of Page)"/>
        <w:docPartUnique/>
      </w:docPartObj>
    </w:sdtPr>
    <w:sdtContent>
      <w:p w14:paraId="40316BFB" w14:textId="6A7C5649" w:rsidR="00040E61" w:rsidRDefault="00040E61">
        <w:pPr>
          <w:pStyle w:val="Footer"/>
          <w:jc w:val="right"/>
        </w:pPr>
        <w:r>
          <w:fldChar w:fldCharType="begin"/>
        </w:r>
        <w:r>
          <w:instrText>PAGE   \* MERGEFORMAT</w:instrText>
        </w:r>
        <w:r>
          <w:fldChar w:fldCharType="separate"/>
        </w:r>
        <w:r>
          <w:t>2</w:t>
        </w:r>
        <w:r>
          <w:fldChar w:fldCharType="end"/>
        </w:r>
      </w:p>
    </w:sdtContent>
  </w:sdt>
  <w:p w14:paraId="1AD6F125" w14:textId="77777777" w:rsidR="00040E61" w:rsidRDefault="00040E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87D26" w14:textId="77777777" w:rsidR="005D0D1E" w:rsidRDefault="005D0D1E" w:rsidP="00040E61">
      <w:pPr>
        <w:spacing w:after="0" w:line="240" w:lineRule="auto"/>
      </w:pPr>
      <w:r>
        <w:separator/>
      </w:r>
    </w:p>
  </w:footnote>
  <w:footnote w:type="continuationSeparator" w:id="0">
    <w:p w14:paraId="28E817D2" w14:textId="77777777" w:rsidR="005D0D1E" w:rsidRDefault="005D0D1E" w:rsidP="00040E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7882"/>
    <w:multiLevelType w:val="multilevel"/>
    <w:tmpl w:val="D794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83F80"/>
    <w:multiLevelType w:val="multilevel"/>
    <w:tmpl w:val="B644F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B3404"/>
    <w:multiLevelType w:val="multilevel"/>
    <w:tmpl w:val="6444F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8E3BFE"/>
    <w:multiLevelType w:val="multilevel"/>
    <w:tmpl w:val="9B7C5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A2D0B"/>
    <w:multiLevelType w:val="multilevel"/>
    <w:tmpl w:val="566E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5F2A3C"/>
    <w:multiLevelType w:val="multilevel"/>
    <w:tmpl w:val="CF602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741B58"/>
    <w:multiLevelType w:val="multilevel"/>
    <w:tmpl w:val="7E60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3211EF"/>
    <w:multiLevelType w:val="multilevel"/>
    <w:tmpl w:val="78F61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613612"/>
    <w:multiLevelType w:val="multilevel"/>
    <w:tmpl w:val="08805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E87672"/>
    <w:multiLevelType w:val="multilevel"/>
    <w:tmpl w:val="6C7C3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EC48BC"/>
    <w:multiLevelType w:val="multilevel"/>
    <w:tmpl w:val="36A6D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191DD0"/>
    <w:multiLevelType w:val="multilevel"/>
    <w:tmpl w:val="C2560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623E44"/>
    <w:multiLevelType w:val="multilevel"/>
    <w:tmpl w:val="EAA2E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614D37"/>
    <w:multiLevelType w:val="multilevel"/>
    <w:tmpl w:val="EF9A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B0588F"/>
    <w:multiLevelType w:val="multilevel"/>
    <w:tmpl w:val="6D747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5B373B"/>
    <w:multiLevelType w:val="multilevel"/>
    <w:tmpl w:val="09E4E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A919DA"/>
    <w:multiLevelType w:val="multilevel"/>
    <w:tmpl w:val="0B864D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026FBE"/>
    <w:multiLevelType w:val="multilevel"/>
    <w:tmpl w:val="1DC8E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2D47ED"/>
    <w:multiLevelType w:val="multilevel"/>
    <w:tmpl w:val="08342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DF1EEB"/>
    <w:multiLevelType w:val="multilevel"/>
    <w:tmpl w:val="A820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826905"/>
    <w:multiLevelType w:val="multilevel"/>
    <w:tmpl w:val="73FC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E37C67"/>
    <w:multiLevelType w:val="multilevel"/>
    <w:tmpl w:val="98CAE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A62ED5"/>
    <w:multiLevelType w:val="multilevel"/>
    <w:tmpl w:val="D598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486737"/>
    <w:multiLevelType w:val="multilevel"/>
    <w:tmpl w:val="DA767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6E3725"/>
    <w:multiLevelType w:val="multilevel"/>
    <w:tmpl w:val="75522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68025D"/>
    <w:multiLevelType w:val="multilevel"/>
    <w:tmpl w:val="AD8EC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420945"/>
    <w:multiLevelType w:val="multilevel"/>
    <w:tmpl w:val="BFA49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8851A1"/>
    <w:multiLevelType w:val="multilevel"/>
    <w:tmpl w:val="9ACC0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145389"/>
    <w:multiLevelType w:val="multilevel"/>
    <w:tmpl w:val="E28C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5E7182"/>
    <w:multiLevelType w:val="multilevel"/>
    <w:tmpl w:val="A856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6A0FCE"/>
    <w:multiLevelType w:val="multilevel"/>
    <w:tmpl w:val="F64A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8C34FF"/>
    <w:multiLevelType w:val="multilevel"/>
    <w:tmpl w:val="A31CD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A60647"/>
    <w:multiLevelType w:val="multilevel"/>
    <w:tmpl w:val="0F8A6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D920EC"/>
    <w:multiLevelType w:val="multilevel"/>
    <w:tmpl w:val="6F629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CA1E6A"/>
    <w:multiLevelType w:val="multilevel"/>
    <w:tmpl w:val="0AF8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832FDE"/>
    <w:multiLevelType w:val="multilevel"/>
    <w:tmpl w:val="212C0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A422F2"/>
    <w:multiLevelType w:val="multilevel"/>
    <w:tmpl w:val="9634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40717A"/>
    <w:multiLevelType w:val="multilevel"/>
    <w:tmpl w:val="44026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885734"/>
    <w:multiLevelType w:val="multilevel"/>
    <w:tmpl w:val="59882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185683"/>
    <w:multiLevelType w:val="multilevel"/>
    <w:tmpl w:val="352E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1B6E4D"/>
    <w:multiLevelType w:val="multilevel"/>
    <w:tmpl w:val="B6985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48398D"/>
    <w:multiLevelType w:val="multilevel"/>
    <w:tmpl w:val="3A789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745567"/>
    <w:multiLevelType w:val="multilevel"/>
    <w:tmpl w:val="4AFE6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9B08C3"/>
    <w:multiLevelType w:val="multilevel"/>
    <w:tmpl w:val="840A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5C5B5B"/>
    <w:multiLevelType w:val="multilevel"/>
    <w:tmpl w:val="038EE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F353A3"/>
    <w:multiLevelType w:val="multilevel"/>
    <w:tmpl w:val="90C0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3595500">
    <w:abstractNumId w:val="32"/>
  </w:num>
  <w:num w:numId="2" w16cid:durableId="1062021252">
    <w:abstractNumId w:val="14"/>
  </w:num>
  <w:num w:numId="3" w16cid:durableId="543831833">
    <w:abstractNumId w:val="43"/>
  </w:num>
  <w:num w:numId="4" w16cid:durableId="707723466">
    <w:abstractNumId w:val="45"/>
  </w:num>
  <w:num w:numId="5" w16cid:durableId="476920213">
    <w:abstractNumId w:val="38"/>
  </w:num>
  <w:num w:numId="6" w16cid:durableId="48694400">
    <w:abstractNumId w:val="26"/>
  </w:num>
  <w:num w:numId="7" w16cid:durableId="1168326310">
    <w:abstractNumId w:val="27"/>
  </w:num>
  <w:num w:numId="8" w16cid:durableId="760103256">
    <w:abstractNumId w:val="10"/>
  </w:num>
  <w:num w:numId="9" w16cid:durableId="1467971711">
    <w:abstractNumId w:val="6"/>
  </w:num>
  <w:num w:numId="10" w16cid:durableId="100077387">
    <w:abstractNumId w:val="33"/>
  </w:num>
  <w:num w:numId="11" w16cid:durableId="1790395524">
    <w:abstractNumId w:val="29"/>
  </w:num>
  <w:num w:numId="12" w16cid:durableId="847518858">
    <w:abstractNumId w:val="25"/>
  </w:num>
  <w:num w:numId="13" w16cid:durableId="284821393">
    <w:abstractNumId w:val="3"/>
  </w:num>
  <w:num w:numId="14" w16cid:durableId="721908650">
    <w:abstractNumId w:val="41"/>
  </w:num>
  <w:num w:numId="15" w16cid:durableId="744451417">
    <w:abstractNumId w:val="7"/>
  </w:num>
  <w:num w:numId="16" w16cid:durableId="1216895026">
    <w:abstractNumId w:val="19"/>
  </w:num>
  <w:num w:numId="17" w16cid:durableId="2143883741">
    <w:abstractNumId w:val="18"/>
  </w:num>
  <w:num w:numId="18" w16cid:durableId="299457592">
    <w:abstractNumId w:val="40"/>
  </w:num>
  <w:num w:numId="19" w16cid:durableId="402143998">
    <w:abstractNumId w:val="9"/>
  </w:num>
  <w:num w:numId="20" w16cid:durableId="1539317420">
    <w:abstractNumId w:val="36"/>
  </w:num>
  <w:num w:numId="21" w16cid:durableId="314993351">
    <w:abstractNumId w:val="31"/>
  </w:num>
  <w:num w:numId="22" w16cid:durableId="638458430">
    <w:abstractNumId w:val="8"/>
  </w:num>
  <w:num w:numId="23" w16cid:durableId="1729573838">
    <w:abstractNumId w:val="2"/>
  </w:num>
  <w:num w:numId="24" w16cid:durableId="945766753">
    <w:abstractNumId w:val="13"/>
  </w:num>
  <w:num w:numId="25" w16cid:durableId="372734381">
    <w:abstractNumId w:val="37"/>
  </w:num>
  <w:num w:numId="26" w16cid:durableId="13457391">
    <w:abstractNumId w:val="15"/>
  </w:num>
  <w:num w:numId="27" w16cid:durableId="276185357">
    <w:abstractNumId w:val="16"/>
  </w:num>
  <w:num w:numId="28" w16cid:durableId="1147631043">
    <w:abstractNumId w:val="23"/>
  </w:num>
  <w:num w:numId="29" w16cid:durableId="1253275439">
    <w:abstractNumId w:val="42"/>
  </w:num>
  <w:num w:numId="30" w16cid:durableId="1255015992">
    <w:abstractNumId w:val="11"/>
  </w:num>
  <w:num w:numId="31" w16cid:durableId="1152135450">
    <w:abstractNumId w:val="20"/>
  </w:num>
  <w:num w:numId="32" w16cid:durableId="1423451909">
    <w:abstractNumId w:val="34"/>
  </w:num>
  <w:num w:numId="33" w16cid:durableId="734820526">
    <w:abstractNumId w:val="17"/>
  </w:num>
  <w:num w:numId="34" w16cid:durableId="1497379959">
    <w:abstractNumId w:val="39"/>
  </w:num>
  <w:num w:numId="35" w16cid:durableId="937561256">
    <w:abstractNumId w:val="35"/>
  </w:num>
  <w:num w:numId="36" w16cid:durableId="857473081">
    <w:abstractNumId w:val="22"/>
  </w:num>
  <w:num w:numId="37" w16cid:durableId="1103764951">
    <w:abstractNumId w:val="12"/>
  </w:num>
  <w:num w:numId="38" w16cid:durableId="1388912207">
    <w:abstractNumId w:val="4"/>
  </w:num>
  <w:num w:numId="39" w16cid:durableId="754087232">
    <w:abstractNumId w:val="0"/>
  </w:num>
  <w:num w:numId="40" w16cid:durableId="847402860">
    <w:abstractNumId w:val="28"/>
  </w:num>
  <w:num w:numId="41" w16cid:durableId="759716272">
    <w:abstractNumId w:val="5"/>
  </w:num>
  <w:num w:numId="42" w16cid:durableId="814879567">
    <w:abstractNumId w:val="44"/>
  </w:num>
  <w:num w:numId="43" w16cid:durableId="1074820579">
    <w:abstractNumId w:val="1"/>
  </w:num>
  <w:num w:numId="44" w16cid:durableId="1115559585">
    <w:abstractNumId w:val="21"/>
  </w:num>
  <w:num w:numId="45" w16cid:durableId="644626353">
    <w:abstractNumId w:val="30"/>
  </w:num>
  <w:num w:numId="46" w16cid:durableId="195798070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0FB"/>
    <w:rsid w:val="00040E61"/>
    <w:rsid w:val="00160C36"/>
    <w:rsid w:val="005D0D1E"/>
    <w:rsid w:val="00726AE9"/>
    <w:rsid w:val="008100FB"/>
    <w:rsid w:val="008A1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CE9D4"/>
  <w15:chartTrackingRefBased/>
  <w15:docId w15:val="{AD8D95E2-72F1-4F7E-8905-21326B061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0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0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0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0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0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0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0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0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0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0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0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0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0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0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0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0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0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0FB"/>
    <w:rPr>
      <w:rFonts w:eastAsiaTheme="majorEastAsia" w:cstheme="majorBidi"/>
      <w:color w:val="272727" w:themeColor="text1" w:themeTint="D8"/>
    </w:rPr>
  </w:style>
  <w:style w:type="paragraph" w:styleId="Title">
    <w:name w:val="Title"/>
    <w:basedOn w:val="Normal"/>
    <w:next w:val="Normal"/>
    <w:link w:val="TitleChar"/>
    <w:uiPriority w:val="10"/>
    <w:qFormat/>
    <w:rsid w:val="008100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0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0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0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0FB"/>
    <w:pPr>
      <w:spacing w:before="160"/>
      <w:jc w:val="center"/>
    </w:pPr>
    <w:rPr>
      <w:i/>
      <w:iCs/>
      <w:color w:val="404040" w:themeColor="text1" w:themeTint="BF"/>
    </w:rPr>
  </w:style>
  <w:style w:type="character" w:customStyle="1" w:styleId="QuoteChar">
    <w:name w:val="Quote Char"/>
    <w:basedOn w:val="DefaultParagraphFont"/>
    <w:link w:val="Quote"/>
    <w:uiPriority w:val="29"/>
    <w:rsid w:val="008100FB"/>
    <w:rPr>
      <w:i/>
      <w:iCs/>
      <w:color w:val="404040" w:themeColor="text1" w:themeTint="BF"/>
    </w:rPr>
  </w:style>
  <w:style w:type="paragraph" w:styleId="ListParagraph">
    <w:name w:val="List Paragraph"/>
    <w:basedOn w:val="Normal"/>
    <w:uiPriority w:val="34"/>
    <w:qFormat/>
    <w:rsid w:val="008100FB"/>
    <w:pPr>
      <w:ind w:left="720"/>
      <w:contextualSpacing/>
    </w:pPr>
  </w:style>
  <w:style w:type="character" w:styleId="IntenseEmphasis">
    <w:name w:val="Intense Emphasis"/>
    <w:basedOn w:val="DefaultParagraphFont"/>
    <w:uiPriority w:val="21"/>
    <w:qFormat/>
    <w:rsid w:val="008100FB"/>
    <w:rPr>
      <w:i/>
      <w:iCs/>
      <w:color w:val="0F4761" w:themeColor="accent1" w:themeShade="BF"/>
    </w:rPr>
  </w:style>
  <w:style w:type="paragraph" w:styleId="IntenseQuote">
    <w:name w:val="Intense Quote"/>
    <w:basedOn w:val="Normal"/>
    <w:next w:val="Normal"/>
    <w:link w:val="IntenseQuoteChar"/>
    <w:uiPriority w:val="30"/>
    <w:qFormat/>
    <w:rsid w:val="008100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0FB"/>
    <w:rPr>
      <w:i/>
      <w:iCs/>
      <w:color w:val="0F4761" w:themeColor="accent1" w:themeShade="BF"/>
    </w:rPr>
  </w:style>
  <w:style w:type="character" w:styleId="IntenseReference">
    <w:name w:val="Intense Reference"/>
    <w:basedOn w:val="DefaultParagraphFont"/>
    <w:uiPriority w:val="32"/>
    <w:qFormat/>
    <w:rsid w:val="008100FB"/>
    <w:rPr>
      <w:b/>
      <w:bCs/>
      <w:smallCaps/>
      <w:color w:val="0F4761" w:themeColor="accent1" w:themeShade="BF"/>
      <w:spacing w:val="5"/>
    </w:rPr>
  </w:style>
  <w:style w:type="paragraph" w:styleId="Header">
    <w:name w:val="header"/>
    <w:basedOn w:val="Normal"/>
    <w:link w:val="HeaderChar"/>
    <w:uiPriority w:val="99"/>
    <w:unhideWhenUsed/>
    <w:rsid w:val="00040E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E61"/>
  </w:style>
  <w:style w:type="paragraph" w:styleId="Footer">
    <w:name w:val="footer"/>
    <w:basedOn w:val="Normal"/>
    <w:link w:val="FooterChar"/>
    <w:uiPriority w:val="99"/>
    <w:unhideWhenUsed/>
    <w:rsid w:val="00040E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E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123</TotalTime>
  <Pages>7</Pages>
  <Words>1939</Words>
  <Characters>11058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yrlene elie</dc:creator>
  <cp:keywords/>
  <dc:description/>
  <cp:lastModifiedBy>yrlene elie</cp:lastModifiedBy>
  <cp:revision>2</cp:revision>
  <dcterms:created xsi:type="dcterms:W3CDTF">2026-04-15T18:24:00Z</dcterms:created>
  <dcterms:modified xsi:type="dcterms:W3CDTF">2026-04-15T21:15:00Z</dcterms:modified>
</cp:coreProperties>
</file>