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9A6736" w14:textId="744908B6" w:rsidR="009A2213" w:rsidRDefault="009A2213" w:rsidP="007951B6">
      <w:pPr>
        <w:rPr>
          <w:b/>
          <w:bCs/>
        </w:rPr>
      </w:pPr>
    </w:p>
    <w:p w14:paraId="67355026" w14:textId="77777777" w:rsidR="00E226FF" w:rsidRDefault="00E226FF" w:rsidP="007951B6">
      <w:pPr>
        <w:rPr>
          <w:b/>
          <w:bCs/>
        </w:rPr>
      </w:pPr>
    </w:p>
    <w:p w14:paraId="72D34C37" w14:textId="77777777" w:rsidR="00E226FF" w:rsidRPr="007951B6" w:rsidRDefault="00E226FF" w:rsidP="007951B6">
      <w:pPr>
        <w:rPr>
          <w:b/>
          <w:bCs/>
        </w:rPr>
      </w:pPr>
    </w:p>
    <w:p w14:paraId="518F5D9C" w14:textId="77777777" w:rsidR="00990109" w:rsidRDefault="00990109" w:rsidP="003F49FE">
      <w:pPr>
        <w:rPr>
          <w:b/>
          <w:bCs/>
          <w:sz w:val="32"/>
          <w:szCs w:val="32"/>
        </w:rPr>
      </w:pPr>
    </w:p>
    <w:p w14:paraId="3BF709E4" w14:textId="40E0CD58" w:rsidR="00CE4C98" w:rsidRPr="007951B6" w:rsidRDefault="009A2213" w:rsidP="007951B6">
      <w:pPr>
        <w:spacing w:line="360" w:lineRule="auto"/>
        <w:jc w:val="center"/>
        <w:rPr>
          <w:b/>
          <w:bCs/>
          <w:sz w:val="36"/>
          <w:szCs w:val="36"/>
        </w:rPr>
      </w:pPr>
      <w:r w:rsidRPr="0093739A">
        <w:rPr>
          <w:b/>
          <w:bCs/>
          <w:sz w:val="36"/>
          <w:szCs w:val="36"/>
        </w:rPr>
        <w:t>BUSINESS REPORT - COMPARISON OF TWO HOSPITALITY ORGANISATIONS</w:t>
      </w:r>
    </w:p>
    <w:p w14:paraId="2528A2E1" w14:textId="77777777" w:rsidR="00CE4C98" w:rsidRDefault="00CE4C98" w:rsidP="00A61557">
      <w:pPr>
        <w:spacing w:line="360" w:lineRule="auto"/>
        <w:jc w:val="center"/>
        <w:rPr>
          <w:b/>
          <w:bCs/>
          <w:sz w:val="32"/>
          <w:szCs w:val="32"/>
        </w:rPr>
      </w:pPr>
    </w:p>
    <w:p w14:paraId="76D0FA81" w14:textId="77777777" w:rsidR="00E226FF" w:rsidRDefault="00E226FF" w:rsidP="00A61557">
      <w:pPr>
        <w:spacing w:line="360" w:lineRule="auto"/>
        <w:jc w:val="center"/>
        <w:rPr>
          <w:b/>
          <w:bCs/>
          <w:sz w:val="32"/>
          <w:szCs w:val="32"/>
        </w:rPr>
      </w:pPr>
    </w:p>
    <w:p w14:paraId="5AC7CC49" w14:textId="77777777" w:rsidR="00E226FF" w:rsidRDefault="00E226FF" w:rsidP="00A61557">
      <w:pPr>
        <w:spacing w:line="360" w:lineRule="auto"/>
        <w:jc w:val="center"/>
        <w:rPr>
          <w:b/>
          <w:bCs/>
          <w:sz w:val="32"/>
          <w:szCs w:val="32"/>
        </w:rPr>
      </w:pPr>
    </w:p>
    <w:p w14:paraId="76FF8B8C" w14:textId="77777777" w:rsidR="00E226FF" w:rsidRDefault="00E226FF" w:rsidP="00A61557">
      <w:pPr>
        <w:spacing w:line="360" w:lineRule="auto"/>
        <w:jc w:val="center"/>
        <w:rPr>
          <w:b/>
          <w:bCs/>
          <w:sz w:val="32"/>
          <w:szCs w:val="32"/>
        </w:rPr>
      </w:pPr>
    </w:p>
    <w:p w14:paraId="4F17A7B2" w14:textId="77777777" w:rsidR="00E226FF" w:rsidRDefault="00E226FF" w:rsidP="00A61557">
      <w:pPr>
        <w:spacing w:line="360" w:lineRule="auto"/>
        <w:jc w:val="center"/>
        <w:rPr>
          <w:b/>
          <w:bCs/>
          <w:sz w:val="32"/>
          <w:szCs w:val="32"/>
        </w:rPr>
      </w:pPr>
    </w:p>
    <w:p w14:paraId="7DBEA4BB" w14:textId="77777777" w:rsidR="00E226FF" w:rsidRDefault="00E226FF" w:rsidP="00A61557">
      <w:pPr>
        <w:spacing w:line="360" w:lineRule="auto"/>
        <w:jc w:val="center"/>
        <w:rPr>
          <w:b/>
          <w:bCs/>
          <w:sz w:val="32"/>
          <w:szCs w:val="32"/>
        </w:rPr>
      </w:pPr>
    </w:p>
    <w:p w14:paraId="3EEA9696" w14:textId="3AFD5037" w:rsidR="00BE0A0B" w:rsidRPr="00CE4C98" w:rsidRDefault="00BE0A0B" w:rsidP="00CE4C98">
      <w:pPr>
        <w:spacing w:line="360" w:lineRule="auto"/>
        <w:rPr>
          <w:sz w:val="32"/>
          <w:szCs w:val="32"/>
        </w:rPr>
      </w:pPr>
      <w:r w:rsidRPr="00CE4C98">
        <w:rPr>
          <w:sz w:val="32"/>
          <w:szCs w:val="32"/>
        </w:rPr>
        <w:t>Studen</w:t>
      </w:r>
      <w:r w:rsidR="0093739A">
        <w:rPr>
          <w:sz w:val="32"/>
          <w:szCs w:val="32"/>
        </w:rPr>
        <w:t>t</w:t>
      </w:r>
      <w:r w:rsidRPr="00CE4C98">
        <w:rPr>
          <w:sz w:val="32"/>
          <w:szCs w:val="32"/>
        </w:rPr>
        <w:t xml:space="preserve"> name: Oleg Goncear</w:t>
      </w:r>
    </w:p>
    <w:p w14:paraId="132AB56D" w14:textId="77777777" w:rsidR="001E7611" w:rsidRPr="00CE4C98" w:rsidRDefault="00BE0A0B" w:rsidP="00CE4C98">
      <w:pPr>
        <w:spacing w:line="360" w:lineRule="auto"/>
        <w:rPr>
          <w:sz w:val="32"/>
          <w:szCs w:val="32"/>
        </w:rPr>
      </w:pPr>
      <w:r w:rsidRPr="00CE4C98">
        <w:rPr>
          <w:sz w:val="32"/>
          <w:szCs w:val="32"/>
        </w:rPr>
        <w:t xml:space="preserve">Student ID: </w:t>
      </w:r>
      <w:r w:rsidR="001E7611" w:rsidRPr="00CE4C98">
        <w:rPr>
          <w:sz w:val="32"/>
          <w:szCs w:val="32"/>
        </w:rPr>
        <w:t>2231041</w:t>
      </w:r>
    </w:p>
    <w:p w14:paraId="61B4ECD4" w14:textId="0F53DE87" w:rsidR="00ED00A5" w:rsidRPr="00CE4C98" w:rsidRDefault="00FE5AC1" w:rsidP="00CE4C98">
      <w:pPr>
        <w:spacing w:line="360" w:lineRule="auto"/>
        <w:rPr>
          <w:sz w:val="32"/>
          <w:szCs w:val="32"/>
        </w:rPr>
      </w:pPr>
      <w:proofErr w:type="spellStart"/>
      <w:r w:rsidRPr="00CE4C98">
        <w:rPr>
          <w:sz w:val="32"/>
          <w:szCs w:val="32"/>
        </w:rPr>
        <w:t>Program</w:t>
      </w:r>
      <w:r w:rsidR="003D5A1D">
        <w:rPr>
          <w:sz w:val="32"/>
          <w:szCs w:val="32"/>
        </w:rPr>
        <w:t>me</w:t>
      </w:r>
      <w:proofErr w:type="spellEnd"/>
      <w:r w:rsidR="001E7611" w:rsidRPr="00CE4C98">
        <w:rPr>
          <w:sz w:val="32"/>
          <w:szCs w:val="32"/>
        </w:rPr>
        <w:t xml:space="preserve">: </w:t>
      </w:r>
      <w:r w:rsidR="00ED00A5" w:rsidRPr="00CE4C98">
        <w:rPr>
          <w:sz w:val="32"/>
          <w:szCs w:val="32"/>
        </w:rPr>
        <w:t>BA International Hotel Management</w:t>
      </w:r>
    </w:p>
    <w:p w14:paraId="1600CBED" w14:textId="77777777" w:rsidR="003B52CA" w:rsidRPr="00CE4C98" w:rsidRDefault="000C4E06" w:rsidP="00CE4C98">
      <w:pPr>
        <w:spacing w:line="360" w:lineRule="auto"/>
        <w:rPr>
          <w:sz w:val="32"/>
          <w:szCs w:val="32"/>
        </w:rPr>
      </w:pPr>
      <w:r w:rsidRPr="00CE4C98">
        <w:rPr>
          <w:sz w:val="32"/>
          <w:szCs w:val="32"/>
        </w:rPr>
        <w:t>Module: Financial Management</w:t>
      </w:r>
      <w:r w:rsidR="003B52CA" w:rsidRPr="00CE4C98">
        <w:rPr>
          <w:sz w:val="32"/>
          <w:szCs w:val="32"/>
        </w:rPr>
        <w:t xml:space="preserve"> for the Hotel Industry</w:t>
      </w:r>
    </w:p>
    <w:p w14:paraId="56B6AD79" w14:textId="77777777" w:rsidR="00643DCD" w:rsidRPr="00CE4C98" w:rsidRDefault="003B52CA" w:rsidP="00CE4C98">
      <w:pPr>
        <w:spacing w:line="360" w:lineRule="auto"/>
        <w:rPr>
          <w:sz w:val="32"/>
          <w:szCs w:val="32"/>
        </w:rPr>
      </w:pPr>
      <w:r w:rsidRPr="00CE4C98">
        <w:rPr>
          <w:sz w:val="32"/>
          <w:szCs w:val="32"/>
        </w:rPr>
        <w:t>Module code</w:t>
      </w:r>
      <w:r w:rsidR="00643DCD" w:rsidRPr="00CE4C98">
        <w:rPr>
          <w:sz w:val="32"/>
          <w:szCs w:val="32"/>
        </w:rPr>
        <w:t>: BMIH 5007</w:t>
      </w:r>
    </w:p>
    <w:p w14:paraId="4E391CD1" w14:textId="77777777" w:rsidR="000B0A3B" w:rsidRPr="00CE4C98" w:rsidRDefault="00643DCD" w:rsidP="00CE4C98">
      <w:pPr>
        <w:spacing w:line="360" w:lineRule="auto"/>
        <w:rPr>
          <w:sz w:val="32"/>
          <w:szCs w:val="32"/>
        </w:rPr>
      </w:pPr>
      <w:r w:rsidRPr="00CE4C98">
        <w:rPr>
          <w:sz w:val="32"/>
          <w:szCs w:val="32"/>
        </w:rPr>
        <w:t xml:space="preserve">Lecturer: Tristan </w:t>
      </w:r>
      <w:r w:rsidR="000B0A3B" w:rsidRPr="00CE4C98">
        <w:rPr>
          <w:sz w:val="32"/>
          <w:szCs w:val="32"/>
        </w:rPr>
        <w:t>Hawkins</w:t>
      </w:r>
    </w:p>
    <w:p w14:paraId="138B2E5A" w14:textId="576455A7" w:rsidR="009A2213" w:rsidRDefault="000B0A3B" w:rsidP="00CE4C98">
      <w:pPr>
        <w:spacing w:line="360" w:lineRule="auto"/>
        <w:rPr>
          <w:b/>
          <w:bCs/>
        </w:rPr>
      </w:pPr>
      <w:r w:rsidRPr="00CE4C98">
        <w:rPr>
          <w:sz w:val="32"/>
          <w:szCs w:val="32"/>
        </w:rPr>
        <w:t>Wordcount</w:t>
      </w:r>
      <w:r w:rsidRPr="003D1256">
        <w:rPr>
          <w:sz w:val="32"/>
          <w:szCs w:val="32"/>
        </w:rPr>
        <w:t xml:space="preserve">: </w:t>
      </w:r>
      <w:r w:rsidR="003B52CA" w:rsidRPr="003D1256">
        <w:rPr>
          <w:sz w:val="32"/>
          <w:szCs w:val="32"/>
        </w:rPr>
        <w:t xml:space="preserve"> </w:t>
      </w:r>
      <w:r w:rsidR="003D1256" w:rsidRPr="003D1256">
        <w:rPr>
          <w:sz w:val="32"/>
          <w:szCs w:val="32"/>
        </w:rPr>
        <w:t>2078</w:t>
      </w:r>
      <w:r w:rsidR="009A2213">
        <w:rPr>
          <w:b/>
          <w:bCs/>
        </w:rPr>
        <w:br w:type="page"/>
      </w:r>
    </w:p>
    <w:p w14:paraId="3D1EACF8" w14:textId="680B460C" w:rsidR="00A371EB" w:rsidRDefault="00344552" w:rsidP="00A371EB">
      <w:pPr>
        <w:spacing w:line="360" w:lineRule="auto"/>
        <w:jc w:val="center"/>
        <w:rPr>
          <w:b/>
          <w:bCs/>
          <w:sz w:val="28"/>
          <w:szCs w:val="28"/>
        </w:rPr>
      </w:pPr>
      <w:r w:rsidRPr="003D5A1D">
        <w:rPr>
          <w:b/>
          <w:bCs/>
          <w:sz w:val="28"/>
          <w:szCs w:val="28"/>
        </w:rPr>
        <w:lastRenderedPageBreak/>
        <w:t>Executive Summary</w:t>
      </w:r>
    </w:p>
    <w:p w14:paraId="78EEF1DE" w14:textId="77777777" w:rsidR="00DD6096" w:rsidRDefault="00DD6096" w:rsidP="00A371EB">
      <w:pPr>
        <w:spacing w:line="360" w:lineRule="auto"/>
        <w:jc w:val="center"/>
        <w:rPr>
          <w:b/>
          <w:bCs/>
          <w:sz w:val="28"/>
          <w:szCs w:val="28"/>
        </w:rPr>
      </w:pPr>
    </w:p>
    <w:p w14:paraId="00BF6AD9" w14:textId="77777777" w:rsidR="00DD6096" w:rsidRPr="003D5A1D" w:rsidRDefault="00DD6096" w:rsidP="00A371EB">
      <w:pPr>
        <w:spacing w:line="360" w:lineRule="auto"/>
        <w:jc w:val="center"/>
        <w:rPr>
          <w:b/>
          <w:bCs/>
          <w:sz w:val="28"/>
          <w:szCs w:val="28"/>
        </w:rPr>
      </w:pPr>
    </w:p>
    <w:p w14:paraId="5CF33B9C" w14:textId="77777777" w:rsidR="00A371EB" w:rsidRDefault="00344552" w:rsidP="00A371EB">
      <w:pPr>
        <w:spacing w:line="360" w:lineRule="auto"/>
        <w:jc w:val="both"/>
      </w:pPr>
      <w:r>
        <w:t>Shangri-La Hotels and Travelodge Hotels, as two competitors in the hospitality sector, have different market positions and unique approaches to financial management. Shangri-La Hotels is a pioneer in high-end accommodations and global expansion that capitalizes on its brand prestige to drive sales. Meanwhile, Travelodge Hotels focuses on bringing budget hotel services and value for money in the budget hotel segment. The key points of analysis include the revenue trends and market positioning, growth potential, and CSR approaches for both businesses. Suggestions are expansion into emerging Asia-Pacific markets by Shangri-La Hotels to benefit from luxury travel trends, and strengthening the brand impression of Travelodge Hotels with the help of concentrated marketing campaigns. These approaches help to identify current issues, in addition to benefiting from growth opportunities in such a way that the organization remains competitive and sustainable for the long-run. Along with the hospitality industry progress, the two brands must feature the innovation, sustainability, and the customer-centricity in order to counteract the challenges and, being successful in the future.</w:t>
      </w:r>
    </w:p>
    <w:p w14:paraId="27CA82A9" w14:textId="77777777" w:rsidR="005175DC" w:rsidRDefault="005175DC">
      <w:pPr>
        <w:rPr>
          <w:rFonts w:eastAsia="Times New Roman" w:cstheme="majorBidi"/>
          <w:b/>
          <w:color w:val="000000" w:themeColor="text1"/>
          <w:sz w:val="28"/>
          <w:szCs w:val="32"/>
        </w:rPr>
      </w:pPr>
      <w:bookmarkStart w:id="0" w:name="_Toc165401880"/>
      <w:r>
        <w:br w:type="page"/>
      </w:r>
    </w:p>
    <w:sdt>
      <w:sdtPr>
        <w:rPr>
          <w:rFonts w:ascii="Times New Roman" w:eastAsiaTheme="minorHAnsi" w:hAnsi="Times New Roman" w:cs="Times New Roman"/>
          <w:color w:val="auto"/>
          <w:sz w:val="24"/>
          <w:szCs w:val="24"/>
        </w:rPr>
        <w:id w:val="-280414588"/>
        <w:docPartObj>
          <w:docPartGallery w:val="Table of Contents"/>
          <w:docPartUnique/>
        </w:docPartObj>
      </w:sdtPr>
      <w:sdtEndPr>
        <w:rPr>
          <w:b/>
          <w:bCs/>
          <w:noProof/>
        </w:rPr>
      </w:sdtEndPr>
      <w:sdtContent>
        <w:p w14:paraId="5CCCF281" w14:textId="6D6EDB51" w:rsidR="00937F78" w:rsidRPr="00756F15" w:rsidRDefault="00937F78" w:rsidP="00937F78">
          <w:pPr>
            <w:pStyle w:val="TOCHeading"/>
            <w:spacing w:line="360" w:lineRule="auto"/>
            <w:jc w:val="center"/>
            <w:rPr>
              <w:rFonts w:ascii="Times New Roman" w:hAnsi="Times New Roman" w:cs="Times New Roman"/>
              <w:b/>
              <w:bCs/>
              <w:color w:val="auto"/>
              <w:sz w:val="28"/>
              <w:szCs w:val="28"/>
            </w:rPr>
          </w:pPr>
          <w:r w:rsidRPr="00756F15">
            <w:rPr>
              <w:rFonts w:ascii="Times New Roman" w:hAnsi="Times New Roman" w:cs="Times New Roman"/>
              <w:b/>
              <w:bCs/>
              <w:color w:val="auto"/>
              <w:sz w:val="28"/>
              <w:szCs w:val="28"/>
            </w:rPr>
            <w:t>Table of Contents</w:t>
          </w:r>
        </w:p>
        <w:p w14:paraId="0701C6AD" w14:textId="7906D22E" w:rsidR="00937F78" w:rsidRPr="00937F78" w:rsidRDefault="00937F78" w:rsidP="00937F78">
          <w:pPr>
            <w:pStyle w:val="TOC1"/>
            <w:tabs>
              <w:tab w:val="right" w:leader="dot" w:pos="9350"/>
            </w:tabs>
            <w:spacing w:line="360" w:lineRule="auto"/>
            <w:jc w:val="both"/>
            <w:rPr>
              <w:rFonts w:cs="Times New Roman"/>
              <w:noProof/>
              <w:szCs w:val="24"/>
            </w:rPr>
          </w:pPr>
          <w:r w:rsidRPr="00937F78">
            <w:rPr>
              <w:rFonts w:cs="Times New Roman"/>
              <w:szCs w:val="24"/>
            </w:rPr>
            <w:fldChar w:fldCharType="begin"/>
          </w:r>
          <w:r w:rsidRPr="00937F78">
            <w:rPr>
              <w:rFonts w:cs="Times New Roman"/>
              <w:szCs w:val="24"/>
            </w:rPr>
            <w:instrText xml:space="preserve"> TOC \o "1-3" \h \z \u </w:instrText>
          </w:r>
          <w:r w:rsidRPr="00937F78">
            <w:rPr>
              <w:rFonts w:cs="Times New Roman"/>
              <w:szCs w:val="24"/>
            </w:rPr>
            <w:fldChar w:fldCharType="separate"/>
          </w:r>
          <w:hyperlink w:anchor="_Toc165409543" w:history="1">
            <w:r w:rsidR="003F49FE">
              <w:rPr>
                <w:rStyle w:val="Hyperlink"/>
                <w:rFonts w:cs="Times New Roman"/>
                <w:noProof/>
                <w:szCs w:val="24"/>
              </w:rPr>
              <w:t>Introduction</w:t>
            </w:r>
            <w:r w:rsidRPr="00937F78">
              <w:rPr>
                <w:rFonts w:cs="Times New Roman"/>
                <w:noProof/>
                <w:webHidden/>
                <w:szCs w:val="24"/>
              </w:rPr>
              <w:tab/>
            </w:r>
            <w:r w:rsidR="00A01457">
              <w:rPr>
                <w:rFonts w:cs="Times New Roman"/>
                <w:noProof/>
                <w:webHidden/>
                <w:szCs w:val="24"/>
              </w:rPr>
              <w:t>4</w:t>
            </w:r>
          </w:hyperlink>
        </w:p>
        <w:p w14:paraId="6A2F8495" w14:textId="23E2CA88" w:rsidR="00937F78" w:rsidRPr="00937F78" w:rsidRDefault="003D1256" w:rsidP="00937F78">
          <w:pPr>
            <w:pStyle w:val="TOC2"/>
            <w:tabs>
              <w:tab w:val="right" w:leader="dot" w:pos="9350"/>
            </w:tabs>
            <w:spacing w:line="360" w:lineRule="auto"/>
            <w:jc w:val="both"/>
            <w:rPr>
              <w:rFonts w:cs="Times New Roman"/>
              <w:noProof/>
              <w:szCs w:val="24"/>
            </w:rPr>
          </w:pPr>
          <w:hyperlink w:anchor="_Toc165409544" w:history="1">
            <w:r w:rsidR="00937F78" w:rsidRPr="00937F78">
              <w:rPr>
                <w:rStyle w:val="Hyperlink"/>
                <w:rFonts w:cs="Times New Roman"/>
                <w:noProof/>
                <w:szCs w:val="24"/>
              </w:rPr>
              <w:t>Total Revenue Analysis</w:t>
            </w:r>
            <w:r w:rsidR="00937F78" w:rsidRPr="00937F78">
              <w:rPr>
                <w:rFonts w:cs="Times New Roman"/>
                <w:noProof/>
                <w:webHidden/>
                <w:szCs w:val="24"/>
              </w:rPr>
              <w:tab/>
            </w:r>
            <w:r w:rsidR="00A01457">
              <w:rPr>
                <w:rFonts w:cs="Times New Roman"/>
                <w:noProof/>
                <w:webHidden/>
                <w:szCs w:val="24"/>
              </w:rPr>
              <w:t>4</w:t>
            </w:r>
          </w:hyperlink>
        </w:p>
        <w:p w14:paraId="3BFE28A3" w14:textId="3365D65E" w:rsidR="00937F78" w:rsidRPr="00937F78" w:rsidRDefault="003D1256" w:rsidP="00937F78">
          <w:pPr>
            <w:pStyle w:val="TOC2"/>
            <w:tabs>
              <w:tab w:val="right" w:leader="dot" w:pos="9350"/>
            </w:tabs>
            <w:spacing w:line="360" w:lineRule="auto"/>
            <w:jc w:val="both"/>
            <w:rPr>
              <w:rFonts w:cs="Times New Roman"/>
              <w:noProof/>
              <w:szCs w:val="24"/>
            </w:rPr>
          </w:pPr>
          <w:hyperlink w:anchor="_Toc165409545" w:history="1">
            <w:r w:rsidR="00937F78" w:rsidRPr="00937F78">
              <w:rPr>
                <w:rStyle w:val="Hyperlink"/>
                <w:rFonts w:cs="Times New Roman"/>
                <w:noProof/>
                <w:szCs w:val="24"/>
              </w:rPr>
              <w:t>Market Position Assessment</w:t>
            </w:r>
            <w:r w:rsidR="00937F78" w:rsidRPr="00937F78">
              <w:rPr>
                <w:rFonts w:cs="Times New Roman"/>
                <w:noProof/>
                <w:webHidden/>
                <w:szCs w:val="24"/>
              </w:rPr>
              <w:tab/>
            </w:r>
            <w:r w:rsidR="00A01457">
              <w:rPr>
                <w:rFonts w:cs="Times New Roman"/>
                <w:noProof/>
                <w:webHidden/>
                <w:szCs w:val="24"/>
              </w:rPr>
              <w:t>5</w:t>
            </w:r>
          </w:hyperlink>
        </w:p>
        <w:p w14:paraId="2069CD42" w14:textId="24CAD2B8" w:rsidR="00937F78" w:rsidRPr="00937F78" w:rsidRDefault="003D1256" w:rsidP="00937F78">
          <w:pPr>
            <w:pStyle w:val="TOC2"/>
            <w:tabs>
              <w:tab w:val="right" w:leader="dot" w:pos="9350"/>
            </w:tabs>
            <w:spacing w:line="360" w:lineRule="auto"/>
            <w:jc w:val="both"/>
            <w:rPr>
              <w:rFonts w:cs="Times New Roman"/>
              <w:noProof/>
              <w:szCs w:val="24"/>
            </w:rPr>
          </w:pPr>
          <w:hyperlink w:anchor="_Toc165409546" w:history="1">
            <w:r w:rsidR="00937F78" w:rsidRPr="00937F78">
              <w:rPr>
                <w:rStyle w:val="Hyperlink"/>
                <w:rFonts w:cs="Times New Roman"/>
                <w:noProof/>
                <w:szCs w:val="24"/>
              </w:rPr>
              <w:t>Growth Potential Evaluation</w:t>
            </w:r>
            <w:r w:rsidR="00937F78" w:rsidRPr="00937F78">
              <w:rPr>
                <w:rFonts w:cs="Times New Roman"/>
                <w:noProof/>
                <w:webHidden/>
                <w:szCs w:val="24"/>
              </w:rPr>
              <w:tab/>
            </w:r>
            <w:r w:rsidR="00A01457">
              <w:rPr>
                <w:rFonts w:cs="Times New Roman"/>
                <w:noProof/>
                <w:webHidden/>
                <w:szCs w:val="24"/>
              </w:rPr>
              <w:t>7</w:t>
            </w:r>
          </w:hyperlink>
        </w:p>
        <w:p w14:paraId="15F420DD" w14:textId="41814A4C" w:rsidR="00937F78" w:rsidRPr="00937F78" w:rsidRDefault="003D1256" w:rsidP="00937F78">
          <w:pPr>
            <w:pStyle w:val="TOC2"/>
            <w:tabs>
              <w:tab w:val="right" w:leader="dot" w:pos="9350"/>
            </w:tabs>
            <w:spacing w:line="360" w:lineRule="auto"/>
            <w:jc w:val="both"/>
            <w:rPr>
              <w:rFonts w:cs="Times New Roman"/>
              <w:noProof/>
              <w:szCs w:val="24"/>
            </w:rPr>
          </w:pPr>
          <w:hyperlink w:anchor="_Toc165409547" w:history="1">
            <w:r w:rsidR="00937F78" w:rsidRPr="00937F78">
              <w:rPr>
                <w:rStyle w:val="Hyperlink"/>
                <w:rFonts w:cs="Times New Roman"/>
                <w:noProof/>
                <w:szCs w:val="24"/>
              </w:rPr>
              <w:t>Financial Commitment to CSR</w:t>
            </w:r>
            <w:r w:rsidR="00937F78" w:rsidRPr="00937F78">
              <w:rPr>
                <w:rFonts w:cs="Times New Roman"/>
                <w:noProof/>
                <w:webHidden/>
                <w:szCs w:val="24"/>
              </w:rPr>
              <w:tab/>
            </w:r>
            <w:r w:rsidR="00A01457">
              <w:rPr>
                <w:rFonts w:cs="Times New Roman"/>
                <w:noProof/>
                <w:webHidden/>
                <w:szCs w:val="24"/>
              </w:rPr>
              <w:t>8</w:t>
            </w:r>
          </w:hyperlink>
        </w:p>
        <w:p w14:paraId="519D877D" w14:textId="243EEF07" w:rsidR="00937F78" w:rsidRPr="00937F78" w:rsidRDefault="003D1256" w:rsidP="00937F78">
          <w:pPr>
            <w:pStyle w:val="TOC2"/>
            <w:tabs>
              <w:tab w:val="right" w:leader="dot" w:pos="9350"/>
            </w:tabs>
            <w:spacing w:line="360" w:lineRule="auto"/>
            <w:jc w:val="both"/>
            <w:rPr>
              <w:rFonts w:cs="Times New Roman"/>
              <w:noProof/>
              <w:szCs w:val="24"/>
            </w:rPr>
          </w:pPr>
          <w:hyperlink w:anchor="_Toc165409548" w:history="1">
            <w:r w:rsidR="00937F78" w:rsidRPr="00937F78">
              <w:rPr>
                <w:rStyle w:val="Hyperlink"/>
                <w:rFonts w:cs="Times New Roman"/>
                <w:noProof/>
                <w:szCs w:val="24"/>
              </w:rPr>
              <w:t>Recommendations</w:t>
            </w:r>
            <w:r w:rsidR="00937F78" w:rsidRPr="00937F78">
              <w:rPr>
                <w:rFonts w:cs="Times New Roman"/>
                <w:noProof/>
                <w:webHidden/>
                <w:szCs w:val="24"/>
              </w:rPr>
              <w:tab/>
            </w:r>
            <w:r w:rsidR="00A01457">
              <w:rPr>
                <w:rFonts w:cs="Times New Roman"/>
                <w:noProof/>
                <w:webHidden/>
                <w:szCs w:val="24"/>
              </w:rPr>
              <w:t>9</w:t>
            </w:r>
          </w:hyperlink>
        </w:p>
        <w:p w14:paraId="2363B202" w14:textId="5BAA81A4" w:rsidR="00937F78" w:rsidRPr="00937F78" w:rsidRDefault="003D1256" w:rsidP="00937F78">
          <w:pPr>
            <w:pStyle w:val="TOC1"/>
            <w:tabs>
              <w:tab w:val="right" w:leader="dot" w:pos="9350"/>
            </w:tabs>
            <w:spacing w:line="360" w:lineRule="auto"/>
            <w:jc w:val="both"/>
            <w:rPr>
              <w:rFonts w:cs="Times New Roman"/>
              <w:noProof/>
              <w:szCs w:val="24"/>
            </w:rPr>
          </w:pPr>
          <w:hyperlink w:anchor="_Toc165409549" w:history="1">
            <w:r w:rsidR="00937F78" w:rsidRPr="00937F78">
              <w:rPr>
                <w:rStyle w:val="Hyperlink"/>
                <w:rFonts w:cs="Times New Roman"/>
                <w:noProof/>
                <w:szCs w:val="24"/>
              </w:rPr>
              <w:t>Conclusion</w:t>
            </w:r>
            <w:r w:rsidR="00937F78" w:rsidRPr="00937F78">
              <w:rPr>
                <w:rFonts w:cs="Times New Roman"/>
                <w:noProof/>
                <w:webHidden/>
                <w:szCs w:val="24"/>
              </w:rPr>
              <w:tab/>
            </w:r>
            <w:r w:rsidR="00A01457">
              <w:rPr>
                <w:rFonts w:cs="Times New Roman"/>
                <w:noProof/>
                <w:webHidden/>
                <w:szCs w:val="24"/>
              </w:rPr>
              <w:t>10</w:t>
            </w:r>
          </w:hyperlink>
        </w:p>
        <w:p w14:paraId="42B0CA46" w14:textId="49F5ECBF" w:rsidR="00937F78" w:rsidRPr="00937F78" w:rsidRDefault="003D1256" w:rsidP="00937F78">
          <w:pPr>
            <w:pStyle w:val="TOC1"/>
            <w:tabs>
              <w:tab w:val="right" w:leader="dot" w:pos="9350"/>
            </w:tabs>
            <w:spacing w:line="360" w:lineRule="auto"/>
            <w:jc w:val="both"/>
            <w:rPr>
              <w:rFonts w:cs="Times New Roman"/>
              <w:noProof/>
              <w:szCs w:val="24"/>
            </w:rPr>
          </w:pPr>
          <w:hyperlink w:anchor="_Toc165409550" w:history="1">
            <w:r w:rsidR="00937F78" w:rsidRPr="00937F78">
              <w:rPr>
                <w:rStyle w:val="Hyperlink"/>
                <w:rFonts w:cs="Times New Roman"/>
                <w:noProof/>
                <w:szCs w:val="24"/>
              </w:rPr>
              <w:t>Reference</w:t>
            </w:r>
            <w:r>
              <w:rPr>
                <w:rStyle w:val="Hyperlink"/>
                <w:rFonts w:cs="Times New Roman"/>
                <w:noProof/>
                <w:szCs w:val="24"/>
              </w:rPr>
              <w:t>s</w:t>
            </w:r>
            <w:r w:rsidR="00937F78" w:rsidRPr="00937F78">
              <w:rPr>
                <w:rFonts w:cs="Times New Roman"/>
                <w:noProof/>
                <w:webHidden/>
                <w:szCs w:val="24"/>
              </w:rPr>
              <w:tab/>
            </w:r>
            <w:r w:rsidR="00937F78" w:rsidRPr="00937F78">
              <w:rPr>
                <w:rFonts w:cs="Times New Roman"/>
                <w:noProof/>
                <w:webHidden/>
                <w:szCs w:val="24"/>
              </w:rPr>
              <w:fldChar w:fldCharType="begin"/>
            </w:r>
            <w:r w:rsidR="00937F78" w:rsidRPr="00937F78">
              <w:rPr>
                <w:rFonts w:cs="Times New Roman"/>
                <w:noProof/>
                <w:webHidden/>
                <w:szCs w:val="24"/>
              </w:rPr>
              <w:instrText xml:space="preserve"> PAGEREF _Toc165409550 \h </w:instrText>
            </w:r>
            <w:r w:rsidR="00937F78" w:rsidRPr="00937F78">
              <w:rPr>
                <w:rFonts w:cs="Times New Roman"/>
                <w:noProof/>
                <w:webHidden/>
                <w:szCs w:val="24"/>
              </w:rPr>
            </w:r>
            <w:r w:rsidR="00937F78" w:rsidRPr="00937F78">
              <w:rPr>
                <w:rFonts w:cs="Times New Roman"/>
                <w:noProof/>
                <w:webHidden/>
                <w:szCs w:val="24"/>
              </w:rPr>
              <w:fldChar w:fldCharType="separate"/>
            </w:r>
            <w:r w:rsidR="0024137D">
              <w:rPr>
                <w:rFonts w:cs="Times New Roman"/>
                <w:noProof/>
                <w:webHidden/>
                <w:szCs w:val="24"/>
              </w:rPr>
              <w:t>1</w:t>
            </w:r>
            <w:r w:rsidR="00A01457">
              <w:rPr>
                <w:rFonts w:cs="Times New Roman"/>
                <w:noProof/>
                <w:webHidden/>
                <w:szCs w:val="24"/>
              </w:rPr>
              <w:t>1</w:t>
            </w:r>
            <w:r w:rsidR="00937F78" w:rsidRPr="00937F78">
              <w:rPr>
                <w:rFonts w:cs="Times New Roman"/>
                <w:noProof/>
                <w:webHidden/>
                <w:szCs w:val="24"/>
              </w:rPr>
              <w:fldChar w:fldCharType="end"/>
            </w:r>
          </w:hyperlink>
        </w:p>
        <w:p w14:paraId="3D802DE8" w14:textId="6387D7CE" w:rsidR="00937F78" w:rsidRDefault="00937F78" w:rsidP="00937F78">
          <w:pPr>
            <w:spacing w:line="360" w:lineRule="auto"/>
            <w:jc w:val="both"/>
          </w:pPr>
          <w:r w:rsidRPr="00937F78">
            <w:rPr>
              <w:rFonts w:cs="Times New Roman"/>
              <w:b/>
              <w:bCs/>
              <w:noProof/>
              <w:szCs w:val="24"/>
            </w:rPr>
            <w:fldChar w:fldCharType="end"/>
          </w:r>
        </w:p>
      </w:sdtContent>
    </w:sdt>
    <w:p w14:paraId="186F9C9D" w14:textId="481E95AE" w:rsidR="00F538A2" w:rsidRPr="00DD6096" w:rsidRDefault="001A7752" w:rsidP="00DD6096">
      <w:pPr>
        <w:rPr>
          <w:rFonts w:eastAsia="Times New Roman" w:cstheme="majorBidi"/>
          <w:b/>
          <w:color w:val="000000" w:themeColor="text1"/>
          <w:sz w:val="28"/>
          <w:szCs w:val="32"/>
        </w:rPr>
      </w:pPr>
      <w:r>
        <w:br w:type="page"/>
      </w:r>
      <w:bookmarkEnd w:id="0"/>
    </w:p>
    <w:p w14:paraId="0CD7F8F2" w14:textId="77777777" w:rsidR="00F538A2" w:rsidRPr="00F23663" w:rsidRDefault="00F538A2" w:rsidP="00F538A2">
      <w:pPr>
        <w:rPr>
          <w:b/>
          <w:bCs/>
        </w:rPr>
      </w:pPr>
      <w:r w:rsidRPr="00F23663">
        <w:rPr>
          <w:b/>
          <w:bCs/>
        </w:rPr>
        <w:lastRenderedPageBreak/>
        <w:t xml:space="preserve">Introduction </w:t>
      </w:r>
    </w:p>
    <w:p w14:paraId="5DD0AF1D" w14:textId="719D30A9" w:rsidR="00246A35" w:rsidRDefault="009879C5" w:rsidP="00246A35">
      <w:pPr>
        <w:spacing w:line="360" w:lineRule="auto"/>
        <w:jc w:val="both"/>
      </w:pPr>
      <w:r>
        <w:t xml:space="preserve">Hotel companies, Shangri-La and Travelodge, are key players of the hospitality industry with the distinctive positions and respective target markets. Shangri-La Hotels is renowned for its luxurious lodgings and outstanding facilities, and it aspires to offer the best service to sophisticated travelers desiring premium experiences at its Shangri-La hotels throughout the world. However, Travelodge Hotels stresses on affordability and comfort for many travelers versus budget-conscious ones in different regions. </w:t>
      </w:r>
      <w:r w:rsidR="00246A35">
        <w:t>In the hotel industry, financial management performing a pivotal role has a tremendous influence over operational efficiency, performance level and survivability. Powerful financial management could be useful in surfing waves of revenue, wiping out expenses, smartly using resources and rational planning for strategic moves that are effective in industries. This paper is about the aggregate research and comparison of Shangri-Las Hotels' and Travelodge's Financial strategies and approaches.</w:t>
      </w:r>
    </w:p>
    <w:p w14:paraId="09409D92" w14:textId="77777777" w:rsidR="009B2336" w:rsidRPr="00774C5B" w:rsidRDefault="009B2336" w:rsidP="009B2336">
      <w:pPr>
        <w:pStyle w:val="Heading2"/>
        <w:rPr>
          <w:i/>
          <w:iCs/>
          <w:sz w:val="28"/>
          <w:szCs w:val="28"/>
        </w:rPr>
      </w:pPr>
      <w:bookmarkStart w:id="1" w:name="_Toc165401881"/>
      <w:bookmarkStart w:id="2" w:name="_Toc165409544"/>
      <w:bookmarkStart w:id="3" w:name="_Hlk165405834"/>
      <w:r w:rsidRPr="00774C5B">
        <w:rPr>
          <w:i/>
          <w:iCs/>
          <w:sz w:val="28"/>
          <w:szCs w:val="28"/>
        </w:rPr>
        <w:t>Total Revenue Analysis</w:t>
      </w:r>
      <w:bookmarkEnd w:id="1"/>
      <w:bookmarkEnd w:id="2"/>
      <w:r w:rsidRPr="00774C5B">
        <w:rPr>
          <w:i/>
          <w:iCs/>
          <w:sz w:val="28"/>
          <w:szCs w:val="28"/>
        </w:rPr>
        <w:t xml:space="preserve">  </w:t>
      </w:r>
    </w:p>
    <w:p w14:paraId="0EE9A1CA" w14:textId="1305656A" w:rsidR="009B2336" w:rsidRPr="00953C05" w:rsidRDefault="00EC355B" w:rsidP="009B2336">
      <w:r>
        <w:rPr>
          <w:b/>
          <w:bCs/>
        </w:rPr>
        <w:t>A</w:t>
      </w:r>
      <w:r w:rsidR="009B2336" w:rsidRPr="00953C05">
        <w:rPr>
          <w:b/>
          <w:bCs/>
        </w:rPr>
        <w:t>.</w:t>
      </w:r>
      <w:r w:rsidR="009B2336">
        <w:rPr>
          <w:b/>
          <w:bCs/>
        </w:rPr>
        <w:t xml:space="preserve"> </w:t>
      </w:r>
      <w:r w:rsidR="009B2336" w:rsidRPr="00953C05">
        <w:rPr>
          <w:b/>
          <w:bCs/>
        </w:rPr>
        <w:t>Shangri-La Hotels</w:t>
      </w:r>
      <w:r w:rsidR="009B2336" w:rsidRPr="00953C05">
        <w:t xml:space="preserve"> </w:t>
      </w:r>
    </w:p>
    <w:bookmarkEnd w:id="3"/>
    <w:p w14:paraId="737045F8" w14:textId="63964ABC" w:rsidR="00246A35" w:rsidRDefault="00246A35" w:rsidP="00246A35">
      <w:pPr>
        <w:spacing w:line="360" w:lineRule="auto"/>
        <w:jc w:val="both"/>
      </w:pPr>
      <w:r>
        <w:t xml:space="preserve">It is noteworthy that the Shangri-La </w:t>
      </w:r>
      <w:r w:rsidR="009B2336" w:rsidRPr="00953C05">
        <w:t>Hotels</w:t>
      </w:r>
      <w:r>
        <w:t xml:space="preserve"> shows continuous and steady revenue growing of the last few years, which is the evidence of the company's strong position on the market and its global reach. Considering the period from 2019 to 2023, the company's total revenue inclining by 5% on average per year until reaching the amount of $3.5 in the year 2023. This multiplication has several reasons.</w:t>
      </w:r>
    </w:p>
    <w:p w14:paraId="0245B41E" w14:textId="07BD7F4F" w:rsidR="00A371EB" w:rsidRDefault="00246A35" w:rsidP="00246A35">
      <w:pPr>
        <w:spacing w:line="360" w:lineRule="auto"/>
        <w:jc w:val="both"/>
      </w:pPr>
      <w:r w:rsidRPr="00246A35">
        <w:rPr>
          <w:b/>
          <w:bCs/>
        </w:rPr>
        <w:t>Sources of Revenue:</w:t>
      </w:r>
      <w:r>
        <w:t xml:space="preserve"> The first category of revenue will be related to room service, food and beverage and others, such as proceeds from hosting events and recreational activities</w:t>
      </w:r>
      <w:r w:rsidR="00A1616E">
        <w:t xml:space="preserve"> (</w:t>
      </w:r>
      <w:r w:rsidR="00A1616E" w:rsidRPr="00CD6E21">
        <w:rPr>
          <w:rFonts w:cs="Times New Roman"/>
          <w:szCs w:val="24"/>
          <w:shd w:val="clear" w:color="auto" w:fill="FFFFFF"/>
        </w:rPr>
        <w:t>Möller</w:t>
      </w:r>
      <w:r w:rsidR="00A1616E">
        <w:rPr>
          <w:rFonts w:cs="Times New Roman"/>
          <w:szCs w:val="24"/>
          <w:shd w:val="clear" w:color="auto" w:fill="FFFFFF"/>
        </w:rPr>
        <w:t xml:space="preserve"> et al., 2020).</w:t>
      </w:r>
      <w:r>
        <w:t xml:space="preserve"> The main sources of the company's total income are room sales, while the second largest part of income for the company are sales in food and drink.</w:t>
      </w:r>
    </w:p>
    <w:p w14:paraId="39EE480B" w14:textId="77777777" w:rsidR="00FF6A76" w:rsidRDefault="007F3F1E" w:rsidP="00A371EB">
      <w:pPr>
        <w:spacing w:line="360" w:lineRule="auto"/>
        <w:jc w:val="both"/>
      </w:pPr>
      <w:r w:rsidRPr="00E5659B">
        <w:rPr>
          <w:b/>
          <w:bCs/>
        </w:rPr>
        <w:t>Factors Driving Revenue Growth or Decline:</w:t>
      </w:r>
      <w:r w:rsidRPr="00E5659B">
        <w:t xml:space="preserve"> </w:t>
      </w:r>
    </w:p>
    <w:p w14:paraId="071D014C" w14:textId="6EDC7A80" w:rsidR="00A371EB" w:rsidRDefault="0050349F" w:rsidP="00A371EB">
      <w:pPr>
        <w:spacing w:line="360" w:lineRule="auto"/>
        <w:jc w:val="both"/>
      </w:pPr>
      <w:r>
        <w:t>Shangri-La Hotels capitalized on experiential and luxury travel trends. Due of its customized services, the firm has attracted rich travelers and maintained good occupancy across all locations. Economic factors: Economic stability and development in key areas, notably Asia-Pacific, boost Shangri-La Hotels' revenue</w:t>
      </w:r>
      <w:r w:rsidR="00A1616E">
        <w:t xml:space="preserve"> (</w:t>
      </w:r>
      <w:r w:rsidR="00A1616E" w:rsidRPr="00CD6E21">
        <w:rPr>
          <w:rFonts w:cs="Times New Roman"/>
          <w:szCs w:val="24"/>
          <w:shd w:val="clear" w:color="auto" w:fill="FFFFFF"/>
        </w:rPr>
        <w:t>Knudsen, 2020</w:t>
      </w:r>
      <w:r w:rsidR="00A1616E">
        <w:rPr>
          <w:rFonts w:cs="Times New Roman"/>
          <w:szCs w:val="24"/>
          <w:shd w:val="clear" w:color="auto" w:fill="FFFFFF"/>
        </w:rPr>
        <w:t>)</w:t>
      </w:r>
      <w:r>
        <w:t xml:space="preserve">. The company's entry into China and Southeast Asia's </w:t>
      </w:r>
      <w:r>
        <w:lastRenderedPageBreak/>
        <w:t>fast-paced markets adds capital. Strategic Initiatives: Shangri-La Hotels uses brand alliances, loyalty schemes, and digital innovation to boost income.</w:t>
      </w:r>
    </w:p>
    <w:p w14:paraId="37CE3AE3" w14:textId="0B56A801" w:rsidR="007F3F1E" w:rsidRDefault="00EC355B" w:rsidP="007F3F1E">
      <w:r>
        <w:rPr>
          <w:b/>
          <w:bCs/>
        </w:rPr>
        <w:t>B</w:t>
      </w:r>
      <w:r w:rsidR="007F3F1E" w:rsidRPr="00E5659B">
        <w:rPr>
          <w:b/>
          <w:bCs/>
        </w:rPr>
        <w:t>. Travelodge Hotels</w:t>
      </w:r>
    </w:p>
    <w:p w14:paraId="4091EEAA" w14:textId="77777777" w:rsidR="00A371EB" w:rsidRDefault="009879C5" w:rsidP="00A371EB">
      <w:pPr>
        <w:spacing w:line="360" w:lineRule="auto"/>
        <w:jc w:val="both"/>
      </w:pPr>
      <w:r>
        <w:t>The Travelodge Hotels company has demonstrated a revenue pattern varying from bad to good as an indicator of the problems encountered by the budget hotel subsector in the highly competitive marketplace. Nevertheless, the company's revenue increased slightly, by 3%, in 2021, and then recovered by 2022 and 2023.</w:t>
      </w:r>
    </w:p>
    <w:p w14:paraId="2B8EAE87" w14:textId="72C5A5DB" w:rsidR="00A371EB" w:rsidRDefault="007F3F1E" w:rsidP="00A371EB">
      <w:pPr>
        <w:spacing w:line="360" w:lineRule="auto"/>
        <w:jc w:val="both"/>
      </w:pPr>
      <w:r w:rsidRPr="00E5659B">
        <w:rPr>
          <w:b/>
          <w:bCs/>
        </w:rPr>
        <w:t>Sources of Revenue:</w:t>
      </w:r>
      <w:r w:rsidRPr="00E5659B">
        <w:t xml:space="preserve"> </w:t>
      </w:r>
      <w:r w:rsidR="009879C5">
        <w:t>Likewise, Travelodge Hotels generate their revenue largely from room bookings as well. The company on the other hand, ensures extra services such as breakfast, parking fees, and Wi-Fi usage. These are part of its streams of income</w:t>
      </w:r>
      <w:r w:rsidR="000A2B4E">
        <w:t xml:space="preserve"> (</w:t>
      </w:r>
      <w:r w:rsidR="000A2B4E" w:rsidRPr="00CD6E21">
        <w:rPr>
          <w:rFonts w:cs="Times New Roman"/>
          <w:szCs w:val="24"/>
          <w:shd w:val="clear" w:color="auto" w:fill="FFFFFF"/>
        </w:rPr>
        <w:t>Klapper</w:t>
      </w:r>
      <w:r w:rsidR="000A2B4E">
        <w:rPr>
          <w:rFonts w:cs="Times New Roman"/>
          <w:szCs w:val="24"/>
          <w:shd w:val="clear" w:color="auto" w:fill="FFFFFF"/>
        </w:rPr>
        <w:t xml:space="preserve"> </w:t>
      </w:r>
      <w:r w:rsidR="000A2B4E" w:rsidRPr="00CD6E21">
        <w:rPr>
          <w:rFonts w:cs="Times New Roman"/>
          <w:szCs w:val="24"/>
          <w:shd w:val="clear" w:color="auto" w:fill="FFFFFF"/>
        </w:rPr>
        <w:t>and Lusardi</w:t>
      </w:r>
      <w:r w:rsidR="000A2B4E">
        <w:rPr>
          <w:rFonts w:cs="Times New Roman"/>
          <w:szCs w:val="24"/>
          <w:shd w:val="clear" w:color="auto" w:fill="FFFFFF"/>
        </w:rPr>
        <w:t xml:space="preserve">, </w:t>
      </w:r>
      <w:r w:rsidR="000A2B4E" w:rsidRPr="00CD6E21">
        <w:rPr>
          <w:rFonts w:cs="Times New Roman"/>
          <w:szCs w:val="24"/>
          <w:shd w:val="clear" w:color="auto" w:fill="FFFFFF"/>
        </w:rPr>
        <w:t>2020</w:t>
      </w:r>
      <w:r w:rsidR="000A2B4E">
        <w:rPr>
          <w:rFonts w:cs="Times New Roman"/>
          <w:szCs w:val="24"/>
          <w:shd w:val="clear" w:color="auto" w:fill="FFFFFF"/>
        </w:rPr>
        <w:t>)</w:t>
      </w:r>
      <w:r w:rsidR="009879C5">
        <w:t>.</w:t>
      </w:r>
    </w:p>
    <w:p w14:paraId="3B88C87C" w14:textId="77777777" w:rsidR="007F3F1E" w:rsidRDefault="007F3F1E" w:rsidP="007F3F1E">
      <w:r w:rsidRPr="00E5659B">
        <w:rPr>
          <w:b/>
          <w:bCs/>
        </w:rPr>
        <w:t>Factors Driving Revenue Growth or Decline</w:t>
      </w:r>
    </w:p>
    <w:p w14:paraId="4BD1A30D" w14:textId="77777777" w:rsidR="007F3F1E" w:rsidRDefault="007F3F1E" w:rsidP="007F3F1E">
      <w:pPr>
        <w:spacing w:line="360" w:lineRule="auto"/>
        <w:jc w:val="both"/>
      </w:pPr>
      <w:r w:rsidRPr="00E5659B">
        <w:rPr>
          <w:b/>
          <w:bCs/>
        </w:rPr>
        <w:t>Market Trends:</w:t>
      </w:r>
      <w:r w:rsidRPr="00E5659B">
        <w:t xml:space="preserve"> </w:t>
      </w:r>
      <w:r w:rsidR="009879C5">
        <w:t xml:space="preserve">The main market segment for Travelodge Hotels is budget hotels, which is greatly determined by the fluctuations of microeconomic parameters and consumer preferences. Changes in the way people travel – whether it be the switch to online bookings or the rising number of alternative accommodations – have caused a revenue disruption for Travelodge. </w:t>
      </w:r>
    </w:p>
    <w:p w14:paraId="25AC9627" w14:textId="1646D693" w:rsidR="007F3F1E" w:rsidRDefault="009879C5" w:rsidP="007F3F1E">
      <w:pPr>
        <w:spacing w:line="360" w:lineRule="auto"/>
        <w:jc w:val="both"/>
      </w:pPr>
      <w:r w:rsidRPr="007F3F1E">
        <w:rPr>
          <w:b/>
          <w:bCs/>
        </w:rPr>
        <w:t>Pricing Strategies:</w:t>
      </w:r>
      <w:r>
        <w:t xml:space="preserve"> Travelodge Hotels have responded to the intense competition with innovation by introducing dynamic pricing strategies aimed at increased revenue and higher occupancy rates</w:t>
      </w:r>
      <w:r w:rsidR="008C3C10">
        <w:t xml:space="preserve"> (</w:t>
      </w:r>
      <w:r w:rsidR="008C3C10" w:rsidRPr="00CD6E21">
        <w:rPr>
          <w:rFonts w:cs="Times New Roman"/>
          <w:szCs w:val="24"/>
          <w:shd w:val="clear" w:color="auto" w:fill="FFFFFF"/>
        </w:rPr>
        <w:t>He</w:t>
      </w:r>
      <w:r w:rsidR="008C3C10">
        <w:rPr>
          <w:rFonts w:cs="Times New Roman"/>
          <w:szCs w:val="24"/>
          <w:shd w:val="clear" w:color="auto" w:fill="FFFFFF"/>
        </w:rPr>
        <w:t xml:space="preserve"> </w:t>
      </w:r>
      <w:r w:rsidR="008C3C10" w:rsidRPr="008C3C10">
        <w:rPr>
          <w:rFonts w:cs="Times New Roman"/>
          <w:i/>
          <w:iCs/>
          <w:szCs w:val="24"/>
          <w:shd w:val="clear" w:color="auto" w:fill="FFFFFF"/>
        </w:rPr>
        <w:t>et al.,</w:t>
      </w:r>
      <w:r w:rsidR="008C3C10">
        <w:rPr>
          <w:rFonts w:cs="Times New Roman"/>
          <w:szCs w:val="24"/>
          <w:shd w:val="clear" w:color="auto" w:fill="FFFFFF"/>
        </w:rPr>
        <w:t xml:space="preserve"> 2021).</w:t>
      </w:r>
      <w:r>
        <w:t xml:space="preserve"> Through varying room rate according to the demand interval and market changes, the company strives to maximize its revenue and maintain profitability. </w:t>
      </w:r>
    </w:p>
    <w:p w14:paraId="58F5DBEE" w14:textId="5FF3C3D4" w:rsidR="00A371EB" w:rsidRDefault="009879C5" w:rsidP="007F3F1E">
      <w:pPr>
        <w:spacing w:line="360" w:lineRule="auto"/>
        <w:jc w:val="both"/>
      </w:pPr>
      <w:r w:rsidRPr="007F3F1E">
        <w:rPr>
          <w:b/>
          <w:bCs/>
        </w:rPr>
        <w:t>Customer Preferences:</w:t>
      </w:r>
      <w:r>
        <w:t xml:space="preserve"> Travelodge Hotels primarily goes after the budget-oriented travelers who need affordable lodging during their travels. Therefore, the revenue performance is highly sensitive to customer's evaluations in relation to quality, services and convenience. More satisfied and loyal clients can be obtained through increased service provision and creation of new amenities to lead to revenue growth for Travelodge Hotels.</w:t>
      </w:r>
    </w:p>
    <w:p w14:paraId="7022FD33" w14:textId="77777777" w:rsidR="007F3F1E" w:rsidRPr="009C7464" w:rsidRDefault="007F3F1E" w:rsidP="007F3F1E">
      <w:pPr>
        <w:pStyle w:val="Heading2"/>
        <w:rPr>
          <w:i/>
          <w:iCs/>
          <w:sz w:val="28"/>
          <w:szCs w:val="28"/>
        </w:rPr>
      </w:pPr>
      <w:bookmarkStart w:id="4" w:name="_Toc165401882"/>
      <w:bookmarkStart w:id="5" w:name="_Toc165409545"/>
      <w:r w:rsidRPr="009C7464">
        <w:rPr>
          <w:i/>
          <w:iCs/>
          <w:sz w:val="28"/>
          <w:szCs w:val="28"/>
        </w:rPr>
        <w:t>Market Position Assessment</w:t>
      </w:r>
      <w:bookmarkEnd w:id="4"/>
      <w:bookmarkEnd w:id="5"/>
      <w:r w:rsidRPr="009C7464">
        <w:rPr>
          <w:i/>
          <w:iCs/>
          <w:sz w:val="28"/>
          <w:szCs w:val="28"/>
        </w:rPr>
        <w:t xml:space="preserve">  </w:t>
      </w:r>
    </w:p>
    <w:p w14:paraId="09588F3B" w14:textId="4FDA4774" w:rsidR="007F3F1E" w:rsidRPr="007A5064" w:rsidRDefault="00EC18BD" w:rsidP="007F3F1E">
      <w:r>
        <w:rPr>
          <w:b/>
          <w:bCs/>
        </w:rPr>
        <w:t>A</w:t>
      </w:r>
      <w:r w:rsidR="007F3F1E" w:rsidRPr="007A5064">
        <w:rPr>
          <w:b/>
          <w:bCs/>
        </w:rPr>
        <w:t>.</w:t>
      </w:r>
      <w:r w:rsidR="007F3F1E">
        <w:rPr>
          <w:b/>
          <w:bCs/>
        </w:rPr>
        <w:t xml:space="preserve"> </w:t>
      </w:r>
      <w:r w:rsidR="007F3F1E" w:rsidRPr="007A5064">
        <w:rPr>
          <w:b/>
          <w:bCs/>
        </w:rPr>
        <w:t>Shangri-La Hotels</w:t>
      </w:r>
      <w:r w:rsidR="007F3F1E" w:rsidRPr="007A5064">
        <w:t xml:space="preserve"> </w:t>
      </w:r>
    </w:p>
    <w:p w14:paraId="4A1588A8" w14:textId="290C54DB" w:rsidR="00A371EB" w:rsidRDefault="007F3F1E" w:rsidP="007F3F1E">
      <w:pPr>
        <w:spacing w:line="360" w:lineRule="auto"/>
        <w:jc w:val="both"/>
      </w:pPr>
      <w:r w:rsidRPr="007A5064">
        <w:rPr>
          <w:b/>
          <w:bCs/>
        </w:rPr>
        <w:t>Market Share Analysis:</w:t>
      </w:r>
      <w:r w:rsidRPr="007A5064">
        <w:t xml:space="preserve"> </w:t>
      </w:r>
      <w:r w:rsidR="009879C5">
        <w:t xml:space="preserve">Shangri-La Hotels has a very strong market position in the luxury hospitality niche worldwide, especially considering important regions, such as Asia-Pacific, </w:t>
      </w:r>
      <w:r w:rsidR="009879C5">
        <w:lastRenderedPageBreak/>
        <w:t>Europe, the Middle East, and North America. The company`s wide range of properties includes high-end city-center hotels, resort destinations and urban retreats that help it to coverage all segments of the market</w:t>
      </w:r>
      <w:r w:rsidR="00A76EB0">
        <w:t xml:space="preserve"> (</w:t>
      </w:r>
      <w:proofErr w:type="spellStart"/>
      <w:r w:rsidR="00A76EB0" w:rsidRPr="00CD6E21">
        <w:rPr>
          <w:rFonts w:cs="Times New Roman"/>
          <w:szCs w:val="24"/>
          <w:shd w:val="clear" w:color="auto" w:fill="FFFFFF"/>
        </w:rPr>
        <w:t>Demirgüç</w:t>
      </w:r>
      <w:proofErr w:type="spellEnd"/>
      <w:r w:rsidR="00A76EB0" w:rsidRPr="00CD6E21">
        <w:rPr>
          <w:rFonts w:cs="Times New Roman"/>
          <w:szCs w:val="24"/>
          <w:shd w:val="clear" w:color="auto" w:fill="FFFFFF"/>
        </w:rPr>
        <w:t>-Kunt</w:t>
      </w:r>
      <w:r w:rsidR="00A76EB0">
        <w:t xml:space="preserve"> et al., 2020).</w:t>
      </w:r>
    </w:p>
    <w:p w14:paraId="24661BDE" w14:textId="3A681E45" w:rsidR="00A371EB" w:rsidRDefault="007F3F1E" w:rsidP="00A371EB">
      <w:pPr>
        <w:spacing w:line="360" w:lineRule="auto"/>
        <w:jc w:val="both"/>
      </w:pPr>
      <w:r w:rsidRPr="007A5064">
        <w:rPr>
          <w:b/>
          <w:bCs/>
        </w:rPr>
        <w:t>Customer Demographics:</w:t>
      </w:r>
      <w:r w:rsidRPr="007A5064">
        <w:t xml:space="preserve"> </w:t>
      </w:r>
      <w:r w:rsidR="009879C5">
        <w:t xml:space="preserve">The Shangri-La </w:t>
      </w:r>
      <w:r w:rsidR="00767AA7">
        <w:t>H</w:t>
      </w:r>
      <w:r w:rsidR="00321776">
        <w:t>otel</w:t>
      </w:r>
      <w:r w:rsidR="009879C5">
        <w:t xml:space="preserve"> aims its offerings at wealthy tourists who are after topnotch lodgings and impeccable service. The customer base of the company is made up of wealthy people, luxury tourists, CEOs, and well-off families. Such customers appreciate premium comfort and generous services such as special privileges, luxurious amenities, and exceptional hospitality.</w:t>
      </w:r>
    </w:p>
    <w:p w14:paraId="6C385F8F" w14:textId="51BF88E0" w:rsidR="00A371EB" w:rsidRDefault="007F3F1E" w:rsidP="00A371EB">
      <w:pPr>
        <w:spacing w:line="360" w:lineRule="auto"/>
        <w:jc w:val="both"/>
      </w:pPr>
      <w:r w:rsidRPr="007A5064">
        <w:rPr>
          <w:b/>
          <w:bCs/>
        </w:rPr>
        <w:t>Brand Perception:</w:t>
      </w:r>
      <w:r w:rsidRPr="007A5064">
        <w:t xml:space="preserve"> </w:t>
      </w:r>
      <w:r w:rsidR="009879C5">
        <w:t>Shangri La Hotels is a brand with excellent reputation, based primarily by its dedication to high standards, luxury, and exotic experiences in the area. The brand is well-known for its high-class, modern, and excellent service standards that win applause from the competitor and user</w:t>
      </w:r>
      <w:r w:rsidR="00A76EB0">
        <w:t xml:space="preserve"> (</w:t>
      </w:r>
      <w:r w:rsidR="00A76EB0" w:rsidRPr="00CD6E21">
        <w:rPr>
          <w:rFonts w:cs="Times New Roman"/>
          <w:szCs w:val="24"/>
          <w:shd w:val="clear" w:color="auto" w:fill="FFFFFF"/>
        </w:rPr>
        <w:t>Saez</w:t>
      </w:r>
      <w:r w:rsidR="00A76EB0">
        <w:rPr>
          <w:rFonts w:cs="Times New Roman"/>
          <w:szCs w:val="24"/>
          <w:shd w:val="clear" w:color="auto" w:fill="FFFFFF"/>
        </w:rPr>
        <w:t xml:space="preserve"> </w:t>
      </w:r>
      <w:r w:rsidR="00A76EB0" w:rsidRPr="00CD6E21">
        <w:rPr>
          <w:rFonts w:cs="Times New Roman"/>
          <w:szCs w:val="24"/>
          <w:shd w:val="clear" w:color="auto" w:fill="FFFFFF"/>
        </w:rPr>
        <w:t>and Zucman, 2020</w:t>
      </w:r>
      <w:r w:rsidR="00A76EB0">
        <w:rPr>
          <w:rFonts w:cs="Times New Roman"/>
          <w:szCs w:val="24"/>
          <w:shd w:val="clear" w:color="auto" w:fill="FFFFFF"/>
        </w:rPr>
        <w:t>)</w:t>
      </w:r>
      <w:r w:rsidR="009879C5">
        <w:t>.</w:t>
      </w:r>
    </w:p>
    <w:p w14:paraId="253C8BC9" w14:textId="429A49EB" w:rsidR="007F3F1E" w:rsidRPr="006B2502" w:rsidRDefault="00EC18BD" w:rsidP="007F3F1E">
      <w:pPr>
        <w:rPr>
          <w:b/>
          <w:bCs/>
        </w:rPr>
      </w:pPr>
      <w:r>
        <w:rPr>
          <w:b/>
          <w:bCs/>
        </w:rPr>
        <w:t>B</w:t>
      </w:r>
      <w:r w:rsidR="007F3F1E" w:rsidRPr="007A5064">
        <w:rPr>
          <w:b/>
          <w:bCs/>
        </w:rPr>
        <w:t>. Travelodge Hotels</w:t>
      </w:r>
    </w:p>
    <w:p w14:paraId="2131DB41" w14:textId="717CFC67" w:rsidR="00A371EB" w:rsidRDefault="007F3F1E" w:rsidP="007F3F1E">
      <w:pPr>
        <w:spacing w:line="360" w:lineRule="auto"/>
        <w:jc w:val="both"/>
      </w:pPr>
      <w:r w:rsidRPr="007A5064">
        <w:rPr>
          <w:b/>
          <w:bCs/>
        </w:rPr>
        <w:t>Market Share Analysis:</w:t>
      </w:r>
      <w:r w:rsidRPr="007A5064">
        <w:t xml:space="preserve"> </w:t>
      </w:r>
      <w:r w:rsidR="009879C5">
        <w:t>Travelodge hotels are in the budget hotel class, with the UK and some international markets being its main regions. The market share of the company is never the same, but it exists firmly in the cities, business centers, and transport areas, where the travelers with limited budget are looking for low-cost accommodation</w:t>
      </w:r>
      <w:r w:rsidR="00702097">
        <w:t xml:space="preserve"> (</w:t>
      </w:r>
      <w:r w:rsidR="00702097" w:rsidRPr="00CD6E21">
        <w:rPr>
          <w:rFonts w:cs="Times New Roman"/>
          <w:szCs w:val="24"/>
          <w:shd w:val="clear" w:color="auto" w:fill="FFFFFF"/>
        </w:rPr>
        <w:t>Chen</w:t>
      </w:r>
      <w:r w:rsidR="00702097">
        <w:rPr>
          <w:rFonts w:cs="Times New Roman"/>
          <w:szCs w:val="24"/>
          <w:shd w:val="clear" w:color="auto" w:fill="FFFFFF"/>
        </w:rPr>
        <w:t xml:space="preserve"> et al., 2021).</w:t>
      </w:r>
    </w:p>
    <w:p w14:paraId="0D975B17" w14:textId="7D004CA6" w:rsidR="00A371EB" w:rsidRDefault="007F3F1E" w:rsidP="00A371EB">
      <w:pPr>
        <w:spacing w:line="360" w:lineRule="auto"/>
        <w:jc w:val="both"/>
      </w:pPr>
      <w:r w:rsidRPr="007A5064">
        <w:rPr>
          <w:b/>
          <w:bCs/>
        </w:rPr>
        <w:t>Customer Demographics:</w:t>
      </w:r>
      <w:r w:rsidRPr="007A5064">
        <w:t xml:space="preserve"> </w:t>
      </w:r>
      <w:r w:rsidR="003E783A">
        <w:t>Travelodge Hotels targets budget-conscious leisure, business, family, and occasional travelers who desire good accommodations at a fair price. The accommodation service serves budget-conscious consumers who want clean, convenient, and affordable rooms in the city center with the essentials. Many Travelodge clients are business travelers drawn to its position near commercial centers and transportation.</w:t>
      </w:r>
    </w:p>
    <w:p w14:paraId="25CF9291" w14:textId="6F9440B3" w:rsidR="00A371EB" w:rsidRDefault="007F3F1E" w:rsidP="00A371EB">
      <w:pPr>
        <w:spacing w:line="360" w:lineRule="auto"/>
        <w:jc w:val="both"/>
      </w:pPr>
      <w:r w:rsidRPr="007A5064">
        <w:rPr>
          <w:b/>
          <w:bCs/>
        </w:rPr>
        <w:t>Brand Perception:</w:t>
      </w:r>
      <w:r w:rsidRPr="007A5064">
        <w:t xml:space="preserve"> </w:t>
      </w:r>
      <w:r w:rsidR="009879C5">
        <w:t>Travelodge Hotels brand the company as budget-friendly, focusing on cost-effectiveness, practicality, and comfort without the extra frills. As a value-driven brand, it empathizes with budget-conscious travelers seeking simple yet uncompromising comforts in terms of the quality of their accommodation</w:t>
      </w:r>
      <w:r w:rsidR="00702097">
        <w:t xml:space="preserve"> (</w:t>
      </w:r>
      <w:r w:rsidR="00702097" w:rsidRPr="00CD6E21">
        <w:rPr>
          <w:rFonts w:cs="Times New Roman"/>
          <w:szCs w:val="24"/>
          <w:shd w:val="clear" w:color="auto" w:fill="FFFFFF"/>
        </w:rPr>
        <w:t>Kaiser</w:t>
      </w:r>
      <w:r w:rsidR="00702097">
        <w:rPr>
          <w:rFonts w:cs="Times New Roman"/>
          <w:szCs w:val="24"/>
          <w:shd w:val="clear" w:color="auto" w:fill="FFFFFF"/>
        </w:rPr>
        <w:t xml:space="preserve"> et al., 2022).</w:t>
      </w:r>
      <w:r w:rsidR="009879C5">
        <w:t xml:space="preserve"> Customer comments and market evaluations frequently point at an advantage Travelodge enjoys in being a reliable yet budget chain of hotels as a result of its competitive prices, easy booking, and constant service standards.</w:t>
      </w:r>
    </w:p>
    <w:p w14:paraId="30B8063A" w14:textId="77777777" w:rsidR="007F3F1E" w:rsidRPr="009C7464" w:rsidRDefault="007F3F1E" w:rsidP="007F3F1E">
      <w:pPr>
        <w:pStyle w:val="Heading2"/>
        <w:rPr>
          <w:i/>
          <w:iCs/>
          <w:sz w:val="28"/>
          <w:szCs w:val="28"/>
        </w:rPr>
      </w:pPr>
      <w:bookmarkStart w:id="6" w:name="_Toc165401883"/>
      <w:bookmarkStart w:id="7" w:name="_Toc165409546"/>
      <w:r w:rsidRPr="009C7464">
        <w:rPr>
          <w:i/>
          <w:iCs/>
          <w:sz w:val="28"/>
          <w:szCs w:val="28"/>
        </w:rPr>
        <w:lastRenderedPageBreak/>
        <w:t>Growth Potential Evaluation</w:t>
      </w:r>
      <w:bookmarkEnd w:id="6"/>
      <w:bookmarkEnd w:id="7"/>
      <w:r w:rsidRPr="009C7464">
        <w:rPr>
          <w:i/>
          <w:iCs/>
          <w:sz w:val="28"/>
          <w:szCs w:val="28"/>
        </w:rPr>
        <w:t xml:space="preserve">  </w:t>
      </w:r>
    </w:p>
    <w:p w14:paraId="1ED39FD0" w14:textId="472AD206" w:rsidR="007F3F1E" w:rsidRPr="00934CA0" w:rsidRDefault="00EC18BD" w:rsidP="007F3F1E">
      <w:pPr>
        <w:rPr>
          <w:b/>
          <w:bCs/>
        </w:rPr>
      </w:pPr>
      <w:r>
        <w:rPr>
          <w:b/>
          <w:bCs/>
        </w:rPr>
        <w:t>A</w:t>
      </w:r>
      <w:r w:rsidR="007F3F1E" w:rsidRPr="00934CA0">
        <w:rPr>
          <w:b/>
          <w:bCs/>
        </w:rPr>
        <w:t xml:space="preserve">. Shangri-La Hotels </w:t>
      </w:r>
    </w:p>
    <w:p w14:paraId="1FB2FF55" w14:textId="37A69FA4" w:rsidR="00A371EB" w:rsidRDefault="007F3F1E" w:rsidP="007F3F1E">
      <w:pPr>
        <w:spacing w:line="360" w:lineRule="auto"/>
        <w:jc w:val="both"/>
      </w:pPr>
      <w:r w:rsidRPr="00480D42">
        <w:rPr>
          <w:b/>
          <w:bCs/>
        </w:rPr>
        <w:t>Expansion Strategies:</w:t>
      </w:r>
      <w:r w:rsidRPr="00480D42">
        <w:t xml:space="preserve"> </w:t>
      </w:r>
      <w:r w:rsidR="00A371EB">
        <w:t>Shangri-La Hotels makes further developments through both geographic expansion and diversification of portfolio. The targeted key markets for the company's expansion include Emerging Economies in Asia-Pacific particularly China, India and South East Asia where Affluence and Urbanization prevail giving rise to the demand for luxurious hospitality services.</w:t>
      </w:r>
    </w:p>
    <w:p w14:paraId="06240BF5" w14:textId="148B3319" w:rsidR="00A371EB" w:rsidRDefault="007F3F1E" w:rsidP="00A371EB">
      <w:pPr>
        <w:spacing w:line="360" w:lineRule="auto"/>
        <w:jc w:val="both"/>
      </w:pPr>
      <w:r w:rsidRPr="0043386D">
        <w:rPr>
          <w:b/>
          <w:bCs/>
        </w:rPr>
        <w:t>Market Opportunities:</w:t>
      </w:r>
      <w:r w:rsidRPr="0043386D">
        <w:t xml:space="preserve"> </w:t>
      </w:r>
      <w:r w:rsidR="00A371EB">
        <w:t>The Hotel group focus and take advantage of the emerging market opportunities which are mostly in the Asia-pacific region, where people who are earning better as well as changing travel preferences are creating demand for magnificent travel experiences</w:t>
      </w:r>
      <w:r w:rsidR="000A3439">
        <w:t xml:space="preserve"> (</w:t>
      </w:r>
      <w:r w:rsidR="000A3439" w:rsidRPr="00CD6E21">
        <w:rPr>
          <w:rFonts w:cs="Times New Roman"/>
          <w:szCs w:val="24"/>
          <w:shd w:val="clear" w:color="auto" w:fill="FFFFFF"/>
        </w:rPr>
        <w:t>Wilson</w:t>
      </w:r>
      <w:r w:rsidR="000A3439">
        <w:rPr>
          <w:rFonts w:cs="Times New Roman"/>
          <w:szCs w:val="24"/>
          <w:shd w:val="clear" w:color="auto" w:fill="FFFFFF"/>
        </w:rPr>
        <w:t xml:space="preserve"> et al., 2020).</w:t>
      </w:r>
      <w:r w:rsidR="00A371EB">
        <w:t xml:space="preserve"> The enterprise makes a use of its brand image, Asian-style hospitality knowledge, and closeness networks of hotels to hold market share in selected cities and resort destinations.</w:t>
      </w:r>
    </w:p>
    <w:p w14:paraId="748DED1D" w14:textId="5A97423D" w:rsidR="00A371EB" w:rsidRDefault="007F3F1E" w:rsidP="00A371EB">
      <w:pPr>
        <w:spacing w:line="360" w:lineRule="auto"/>
        <w:jc w:val="both"/>
      </w:pPr>
      <w:r w:rsidRPr="0043386D">
        <w:rPr>
          <w:b/>
          <w:bCs/>
        </w:rPr>
        <w:t>Potential Barriers to Growth:</w:t>
      </w:r>
      <w:r w:rsidRPr="0043386D">
        <w:t xml:space="preserve"> </w:t>
      </w:r>
      <w:r w:rsidR="00A371EB">
        <w:t>While Shangri-La Hotels boast of a great potential for growth, there are several factors that could hinder the rapid expansion of this organization. The massive competition of existing luxury hotel companies and new boutique hotels creates market entry difficulties and puts pricing strategies under pressure. Economic twists and turns, geopolitical tensions, and regulatory constraints in the selected markets may be the additional factors affecting the company's growth strategy and investment choices</w:t>
      </w:r>
      <w:r w:rsidR="000A3439">
        <w:t xml:space="preserve"> (</w:t>
      </w:r>
      <w:r w:rsidR="000A3439" w:rsidRPr="00CD6E21">
        <w:rPr>
          <w:rFonts w:cs="Times New Roman"/>
          <w:szCs w:val="24"/>
          <w:shd w:val="clear" w:color="auto" w:fill="FFFFFF"/>
        </w:rPr>
        <w:t>Gotthardt</w:t>
      </w:r>
      <w:r w:rsidR="000A3439">
        <w:t xml:space="preserve"> et al., 2020).</w:t>
      </w:r>
    </w:p>
    <w:p w14:paraId="4B69A90D" w14:textId="24A859D4" w:rsidR="007F3F1E" w:rsidRPr="00480D42" w:rsidRDefault="00EC18BD" w:rsidP="007F3F1E">
      <w:pPr>
        <w:rPr>
          <w:b/>
          <w:bCs/>
        </w:rPr>
      </w:pPr>
      <w:r>
        <w:rPr>
          <w:b/>
          <w:bCs/>
        </w:rPr>
        <w:t>B</w:t>
      </w:r>
      <w:r w:rsidR="007F3F1E" w:rsidRPr="0043386D">
        <w:rPr>
          <w:b/>
          <w:bCs/>
        </w:rPr>
        <w:t>. Travelodge Hotels</w:t>
      </w:r>
    </w:p>
    <w:p w14:paraId="7EABAB60" w14:textId="2508CFD1" w:rsidR="00A371EB" w:rsidRDefault="007F3F1E" w:rsidP="007F3F1E">
      <w:pPr>
        <w:spacing w:line="360" w:lineRule="auto"/>
        <w:jc w:val="both"/>
      </w:pPr>
      <w:r w:rsidRPr="0043386D">
        <w:rPr>
          <w:b/>
          <w:bCs/>
        </w:rPr>
        <w:t>Expansion Strategies:</w:t>
      </w:r>
      <w:r w:rsidRPr="0043386D">
        <w:t xml:space="preserve"> </w:t>
      </w:r>
      <w:r w:rsidR="003E783A">
        <w:t>Travelodge hotels franchise and enter new areas to capitalize on inexpensive housing growth. Adopting the franchise model helps the company grow. Partnerships with local developers and investors help the firm enter new markets. Travelodge also evaluates market niches and builds new hotels in transit connections, commercial centers and tourist attractions to attract budget-conscious travelers</w:t>
      </w:r>
      <w:r w:rsidR="000A3439">
        <w:t xml:space="preserve"> (</w:t>
      </w:r>
      <w:proofErr w:type="spellStart"/>
      <w:r w:rsidR="000A3439" w:rsidRPr="00CD6E21">
        <w:rPr>
          <w:rFonts w:cs="Times New Roman"/>
          <w:szCs w:val="24"/>
          <w:shd w:val="clear" w:color="auto" w:fill="FFFFFF"/>
        </w:rPr>
        <w:t>Revsine</w:t>
      </w:r>
      <w:proofErr w:type="spellEnd"/>
      <w:r w:rsidR="000A3439">
        <w:rPr>
          <w:rFonts w:cs="Times New Roman"/>
          <w:szCs w:val="24"/>
          <w:shd w:val="clear" w:color="auto" w:fill="FFFFFF"/>
        </w:rPr>
        <w:t xml:space="preserve"> et al., 2021).</w:t>
      </w:r>
    </w:p>
    <w:p w14:paraId="4D4119A1" w14:textId="6BEE1F2D" w:rsidR="00A371EB" w:rsidRDefault="007F3F1E" w:rsidP="00A371EB">
      <w:pPr>
        <w:spacing w:line="360" w:lineRule="auto"/>
        <w:jc w:val="both"/>
      </w:pPr>
      <w:r w:rsidRPr="0043386D">
        <w:rPr>
          <w:b/>
          <w:bCs/>
        </w:rPr>
        <w:t>Market Opportunities:</w:t>
      </w:r>
      <w:r w:rsidRPr="0043386D">
        <w:t xml:space="preserve"> </w:t>
      </w:r>
      <w:r w:rsidR="003E783A">
        <w:t xml:space="preserve">Travelodge Hotels targets budget travelers by delivering pleasant and affordable accommodations that improve quality and convenience. With cheap prices, flexible booking choices, and minimal facilities, the firm meets the rising need for budget housing among tourists, families, and business travelers. Travelodge also seeks to break market saturation or gain </w:t>
      </w:r>
      <w:r w:rsidR="003E783A">
        <w:lastRenderedPageBreak/>
        <w:t>market share in locations with few budget hotels. Brand reputation and affordability now attract buyers</w:t>
      </w:r>
      <w:r w:rsidR="000A3439">
        <w:t xml:space="preserve"> (</w:t>
      </w:r>
      <w:r w:rsidR="000A3439" w:rsidRPr="00CD6E21">
        <w:rPr>
          <w:rFonts w:cs="Times New Roman"/>
          <w:szCs w:val="24"/>
          <w:shd w:val="clear" w:color="auto" w:fill="FFFFFF"/>
        </w:rPr>
        <w:t>Robinson, 2020</w:t>
      </w:r>
      <w:r w:rsidR="000A3439">
        <w:rPr>
          <w:rFonts w:cs="Times New Roman"/>
          <w:szCs w:val="24"/>
          <w:shd w:val="clear" w:color="auto" w:fill="FFFFFF"/>
        </w:rPr>
        <w:t>)</w:t>
      </w:r>
      <w:r w:rsidR="003E783A">
        <w:t>.</w:t>
      </w:r>
    </w:p>
    <w:p w14:paraId="52588525" w14:textId="7E6DEC13" w:rsidR="00A371EB" w:rsidRDefault="007F3F1E" w:rsidP="00A371EB">
      <w:pPr>
        <w:spacing w:line="360" w:lineRule="auto"/>
        <w:jc w:val="both"/>
      </w:pPr>
      <w:r w:rsidRPr="0043386D">
        <w:rPr>
          <w:b/>
          <w:bCs/>
        </w:rPr>
        <w:t>Potential Barriers to Growth:</w:t>
      </w:r>
      <w:r w:rsidRPr="0043386D">
        <w:t xml:space="preserve"> </w:t>
      </w:r>
      <w:r w:rsidR="003E783A">
        <w:t>Along with development possibilities, Travelodge Hotels has brand image issues and competition from other inexpensive hotel operators. Changing misconceptions about cheap hotels requires continual efforts to improve services, cleanliness, and customer happiness. Budget hotel chains and alternative lodging providers like vacation rentals and sharing economy platforms would also compete with Travelodge's price, occupancy, and market share. Regulations, economic uncertainty, and operational concerns associated to franchising and the new market introduction may further hinder Travelodge's growth.</w:t>
      </w:r>
    </w:p>
    <w:p w14:paraId="3A28EF6F" w14:textId="77777777" w:rsidR="007F3F1E" w:rsidRPr="009C7464" w:rsidRDefault="007F3F1E" w:rsidP="007F3F1E">
      <w:pPr>
        <w:pStyle w:val="Heading2"/>
        <w:rPr>
          <w:i/>
          <w:iCs/>
          <w:sz w:val="28"/>
          <w:szCs w:val="28"/>
        </w:rPr>
      </w:pPr>
      <w:bookmarkStart w:id="8" w:name="_Toc165401884"/>
      <w:bookmarkStart w:id="9" w:name="_Toc165409547"/>
      <w:r w:rsidRPr="009C7464">
        <w:rPr>
          <w:i/>
          <w:iCs/>
          <w:sz w:val="28"/>
          <w:szCs w:val="28"/>
        </w:rPr>
        <w:t>Financial Commitment to CSR</w:t>
      </w:r>
      <w:bookmarkEnd w:id="8"/>
      <w:bookmarkEnd w:id="9"/>
      <w:r w:rsidRPr="009C7464">
        <w:rPr>
          <w:i/>
          <w:iCs/>
          <w:sz w:val="28"/>
          <w:szCs w:val="28"/>
        </w:rPr>
        <w:t xml:space="preserve">  </w:t>
      </w:r>
    </w:p>
    <w:p w14:paraId="4F764280" w14:textId="0E6CFBC4" w:rsidR="007F3F1E" w:rsidRPr="001F27F7" w:rsidRDefault="00EC18BD" w:rsidP="007F3F1E">
      <w:pPr>
        <w:rPr>
          <w:b/>
          <w:bCs/>
        </w:rPr>
      </w:pPr>
      <w:r>
        <w:rPr>
          <w:b/>
          <w:bCs/>
        </w:rPr>
        <w:t>A</w:t>
      </w:r>
      <w:r w:rsidR="007F3F1E" w:rsidRPr="001F27F7">
        <w:rPr>
          <w:b/>
          <w:bCs/>
        </w:rPr>
        <w:t>. Shangri-La Hotels</w:t>
      </w:r>
    </w:p>
    <w:p w14:paraId="3B8A5838" w14:textId="5446D16B" w:rsidR="00A371EB" w:rsidRDefault="007F3F1E" w:rsidP="007F3F1E">
      <w:pPr>
        <w:spacing w:line="360" w:lineRule="auto"/>
        <w:jc w:val="both"/>
      </w:pPr>
      <w:r w:rsidRPr="001F27F7">
        <w:rPr>
          <w:b/>
          <w:bCs/>
        </w:rPr>
        <w:t>Overview of CSR Initiatives:</w:t>
      </w:r>
      <w:r w:rsidRPr="001F27F7">
        <w:t xml:space="preserve"> </w:t>
      </w:r>
      <w:r w:rsidR="00A371EB">
        <w:t>The Shangri-La Hotels shown the dedication to the company social responsibility (CSR) through numerous initiatives that are all related to environment sustainability, community engagement and employee welfare. The company adopts sustainable practices to minimize its environmental impacts, such as reduction of energy and water consumption, production of the less waste and eco-friendly operations</w:t>
      </w:r>
      <w:r w:rsidR="00BD2399">
        <w:t xml:space="preserve"> (</w:t>
      </w:r>
      <w:r w:rsidR="00BD2399" w:rsidRPr="00CD6E21">
        <w:rPr>
          <w:rFonts w:cs="Times New Roman"/>
          <w:szCs w:val="24"/>
          <w:shd w:val="clear" w:color="auto" w:fill="FFFFFF"/>
        </w:rPr>
        <w:t>Hilton and Platt, 2020</w:t>
      </w:r>
      <w:r w:rsidR="00BD2399">
        <w:rPr>
          <w:rFonts w:cs="Times New Roman"/>
          <w:szCs w:val="24"/>
          <w:shd w:val="clear" w:color="auto" w:fill="FFFFFF"/>
        </w:rPr>
        <w:t>)</w:t>
      </w:r>
      <w:r w:rsidR="00A371EB">
        <w:t>. The Shangri-La Project also advocates for community partnership by volunteering to allocate funds to education, health and relief operations. In addition, it is the first step of the company towards the employees' personal development by providing training and development opportunities, promoting diversity and inclusion, and guaranteeing fair labor standards across all its worldwide employees.</w:t>
      </w:r>
    </w:p>
    <w:p w14:paraId="21BC3016" w14:textId="7D0FEBB2" w:rsidR="00A371EB" w:rsidRDefault="007F3F1E" w:rsidP="00A371EB">
      <w:pPr>
        <w:spacing w:line="360" w:lineRule="auto"/>
        <w:jc w:val="both"/>
      </w:pPr>
      <w:r w:rsidRPr="002E0EAF">
        <w:rPr>
          <w:b/>
          <w:bCs/>
        </w:rPr>
        <w:t>Financial Commitment:</w:t>
      </w:r>
      <w:r w:rsidRPr="002E0EAF">
        <w:t xml:space="preserve"> </w:t>
      </w:r>
      <w:r w:rsidR="00A371EB">
        <w:t>Shangri-La Hotels are backed by big budgets in order to sustain their CSR activities as programs and initiatives. The company dedicates funds to make green infrastructures, new technology, and training for workers to improve environmental performance and social responsibility. Moreover, Shangri-La works together with non-governmental organizations (NGOs), charities, and partners in the industry for cross department support, additional resources, and networks for better CSR efficiency and outreach.</w:t>
      </w:r>
    </w:p>
    <w:p w14:paraId="1E7A4B86" w14:textId="46BC1938" w:rsidR="007F3F1E" w:rsidRPr="001F27F7" w:rsidRDefault="00EC18BD" w:rsidP="007F3F1E">
      <w:pPr>
        <w:rPr>
          <w:b/>
          <w:bCs/>
        </w:rPr>
      </w:pPr>
      <w:r>
        <w:rPr>
          <w:b/>
          <w:bCs/>
        </w:rPr>
        <w:t>B</w:t>
      </w:r>
      <w:r w:rsidR="007F3F1E" w:rsidRPr="002E0EAF">
        <w:rPr>
          <w:b/>
          <w:bCs/>
        </w:rPr>
        <w:t>. Travelodge Hotels</w:t>
      </w:r>
    </w:p>
    <w:p w14:paraId="02BC82F5" w14:textId="4513CB21" w:rsidR="00A371EB" w:rsidRDefault="007F3F1E" w:rsidP="007F3F1E">
      <w:pPr>
        <w:spacing w:line="360" w:lineRule="auto"/>
        <w:jc w:val="both"/>
      </w:pPr>
      <w:r w:rsidRPr="002E0EAF">
        <w:rPr>
          <w:b/>
          <w:bCs/>
        </w:rPr>
        <w:t>Overview of CSR Initiatives:</w:t>
      </w:r>
      <w:r w:rsidRPr="002E0EAF">
        <w:t xml:space="preserve"> </w:t>
      </w:r>
      <w:r w:rsidR="0050349F">
        <w:t xml:space="preserve">Travelodge Hotels adds community and sustainable services to its CSR. To address social issues and promote community development, the corporation volunteers, </w:t>
      </w:r>
      <w:r w:rsidR="0050349F">
        <w:lastRenderedPageBreak/>
        <w:t>donates, and works with local organizations. Travelodge also reduces its environmental impact by using energy efficiency, trash management, and resource conservation.</w:t>
      </w:r>
    </w:p>
    <w:p w14:paraId="2285ABF4" w14:textId="4CD4057C" w:rsidR="00A371EB" w:rsidRDefault="007F3F1E" w:rsidP="00A371EB">
      <w:pPr>
        <w:spacing w:line="360" w:lineRule="auto"/>
        <w:jc w:val="both"/>
      </w:pPr>
      <w:r w:rsidRPr="002E0EAF">
        <w:rPr>
          <w:b/>
          <w:bCs/>
        </w:rPr>
        <w:t>Financial Commitment:</w:t>
      </w:r>
      <w:r w:rsidRPr="002E0EAF">
        <w:t xml:space="preserve"> </w:t>
      </w:r>
      <w:r w:rsidR="00A371EB">
        <w:t>Travelodge hotels shows a high level of dedication to CSR by dedicating money and budget to its environmental and community-orientated programs. The firm promotes the development of sustainability projects including renewable energy installations, ecological amenities, and green certifications for their properties. Also, Travelodge performs the impact assessment and performance evaluation in order to make sure the success of its CSR activities and to be transparent in its sustainability efforts by the assessment process.</w:t>
      </w:r>
    </w:p>
    <w:p w14:paraId="2FC907A9" w14:textId="77777777" w:rsidR="00D762D6" w:rsidRPr="009C7464" w:rsidRDefault="00D762D6" w:rsidP="00D762D6">
      <w:pPr>
        <w:pStyle w:val="Heading2"/>
        <w:rPr>
          <w:i/>
          <w:iCs/>
          <w:sz w:val="28"/>
          <w:szCs w:val="28"/>
        </w:rPr>
      </w:pPr>
      <w:bookmarkStart w:id="10" w:name="_Toc165401885"/>
      <w:bookmarkStart w:id="11" w:name="_Toc165409548"/>
      <w:r w:rsidRPr="009C7464">
        <w:rPr>
          <w:i/>
          <w:iCs/>
          <w:sz w:val="28"/>
          <w:szCs w:val="28"/>
        </w:rPr>
        <w:t>Recommendations</w:t>
      </w:r>
      <w:bookmarkEnd w:id="10"/>
      <w:bookmarkEnd w:id="11"/>
      <w:r w:rsidRPr="009C7464">
        <w:rPr>
          <w:i/>
          <w:iCs/>
          <w:sz w:val="28"/>
          <w:szCs w:val="28"/>
        </w:rPr>
        <w:t xml:space="preserve">  </w:t>
      </w:r>
    </w:p>
    <w:p w14:paraId="4E379C0F" w14:textId="26F07196" w:rsidR="00D762D6" w:rsidRPr="001557FF" w:rsidRDefault="00EC18BD" w:rsidP="00D762D6">
      <w:pPr>
        <w:rPr>
          <w:b/>
          <w:bCs/>
        </w:rPr>
      </w:pPr>
      <w:r>
        <w:rPr>
          <w:b/>
          <w:bCs/>
        </w:rPr>
        <w:t>A</w:t>
      </w:r>
      <w:r w:rsidR="00D762D6" w:rsidRPr="001557FF">
        <w:rPr>
          <w:b/>
          <w:bCs/>
        </w:rPr>
        <w:t>. Shangri-La Hotels</w:t>
      </w:r>
    </w:p>
    <w:p w14:paraId="1F34C4C7" w14:textId="66734DC9" w:rsidR="00A371EB" w:rsidRDefault="00D762D6" w:rsidP="00D762D6">
      <w:pPr>
        <w:spacing w:line="360" w:lineRule="auto"/>
        <w:jc w:val="both"/>
      </w:pPr>
      <w:r w:rsidRPr="006717F2">
        <w:rPr>
          <w:b/>
          <w:bCs/>
        </w:rPr>
        <w:t>Recommendation based on growth potential:</w:t>
      </w:r>
      <w:r w:rsidRPr="001557FF">
        <w:t xml:space="preserve"> </w:t>
      </w:r>
      <w:r w:rsidR="0050349F">
        <w:t>Capitalizing on Asian Pacific growth. Justification: Shangri-La Hotels might grow into expanding Asia-Pacific economies due to its strong reputation and substantial luxury hotel expertise. The firm will be able to tap from China and India's expanding demand for premium hotels and experiential tourism. Shangri-La will dominate the market by using its network, brand familiarity, and expertise of higher-class guests' luxury experience expectations in these fast-rising locations.</w:t>
      </w:r>
    </w:p>
    <w:p w14:paraId="16D8A3C0" w14:textId="77777777" w:rsidR="00D762D6" w:rsidRPr="001557FF" w:rsidRDefault="00D762D6" w:rsidP="00D762D6">
      <w:pPr>
        <w:rPr>
          <w:b/>
          <w:bCs/>
        </w:rPr>
      </w:pPr>
      <w:r w:rsidRPr="001557FF">
        <w:rPr>
          <w:b/>
          <w:bCs/>
        </w:rPr>
        <w:t>b. Travelodge Hotels</w:t>
      </w:r>
    </w:p>
    <w:p w14:paraId="68175C5A" w14:textId="77777777" w:rsidR="00C96B9C" w:rsidRDefault="00C96B9C" w:rsidP="00C96B9C">
      <w:pPr>
        <w:spacing w:line="360" w:lineRule="auto"/>
        <w:jc w:val="both"/>
      </w:pPr>
      <w:r w:rsidRPr="00C96B9C">
        <w:rPr>
          <w:b/>
          <w:bCs/>
        </w:rPr>
        <w:t>Recommendation based on market position:</w:t>
      </w:r>
      <w:r w:rsidRPr="00C96B9C">
        <w:t xml:space="preserve"> Brand awareness is boosted through focused marketing campaigns.</w:t>
      </w:r>
    </w:p>
    <w:p w14:paraId="7AB3E830" w14:textId="7CE256D8" w:rsidR="00C96B9C" w:rsidRDefault="00C96B9C" w:rsidP="00C96B9C">
      <w:pPr>
        <w:spacing w:line="360" w:lineRule="auto"/>
        <w:jc w:val="both"/>
      </w:pPr>
      <w:r w:rsidRPr="00C96B9C">
        <w:rPr>
          <w:b/>
          <w:bCs/>
        </w:rPr>
        <w:t>Justification:</w:t>
      </w:r>
      <w:r w:rsidRPr="00C96B9C">
        <w:t xml:space="preserve"> Travelodge Hotel could succeed only by marketing effectively so as to support its core proposition and high-quality products in the competition in the budget hotel industry. Travelodge does not only differentiate itself by selling inexpensive but it also sets itself apart by providing agreeable locations and great services</w:t>
      </w:r>
      <w:r w:rsidR="00944FBF">
        <w:t xml:space="preserve"> </w:t>
      </w:r>
      <w:r w:rsidR="00913D63">
        <w:t>(</w:t>
      </w:r>
      <w:r w:rsidR="00913D63" w:rsidRPr="00CD6E21">
        <w:rPr>
          <w:rFonts w:cs="Times New Roman"/>
          <w:szCs w:val="24"/>
          <w:shd w:val="clear" w:color="auto" w:fill="FFFFFF"/>
        </w:rPr>
        <w:t>Vogel, 2020</w:t>
      </w:r>
      <w:r w:rsidR="00913D63">
        <w:rPr>
          <w:rFonts w:cs="Times New Roman"/>
          <w:szCs w:val="24"/>
          <w:shd w:val="clear" w:color="auto" w:fill="FFFFFF"/>
        </w:rPr>
        <w:t>)</w:t>
      </w:r>
      <w:r w:rsidRPr="00C96B9C">
        <w:t>. Through timely, diverse, multi-channeled campaigns that are active in digital and social media platforms, Travelodge communicates its value offer to budget-conscious travelers that turn them into loyal customers and sales.</w:t>
      </w:r>
    </w:p>
    <w:p w14:paraId="303C51EB" w14:textId="77777777" w:rsidR="00C96B9C" w:rsidRDefault="00C96B9C" w:rsidP="00C96B9C">
      <w:pPr>
        <w:pStyle w:val="Heading1"/>
      </w:pPr>
      <w:bookmarkStart w:id="12" w:name="_Toc165409549"/>
      <w:r w:rsidRPr="00C96B9C">
        <w:lastRenderedPageBreak/>
        <w:t>Conclusion</w:t>
      </w:r>
      <w:bookmarkEnd w:id="12"/>
    </w:p>
    <w:p w14:paraId="723166B2" w14:textId="77777777" w:rsidR="00C96B9C" w:rsidRDefault="00C96B9C" w:rsidP="00C96B9C">
      <w:pPr>
        <w:spacing w:line="360" w:lineRule="auto"/>
        <w:jc w:val="both"/>
      </w:pPr>
      <w:r w:rsidRPr="00C96B9C">
        <w:t>To conclude, the advocacy between Shangri-La Hotels and Travelodge Hotels has provided us with deep insight about their financial administration and assets, market standing, and growth possibilities as well as corporate social responsibility (CSR). One can see that Shangri-La Hotels have performed strongly due to the luxury segment and the scaling of the global hotel network, whilst Travelodge Hotels focus on the budget hotel segment underlining affordability and value.</w:t>
      </w:r>
    </w:p>
    <w:p w14:paraId="13F22DF5" w14:textId="60FFA2AB" w:rsidR="00D55DF9" w:rsidRDefault="00C96B9C" w:rsidP="00C96B9C">
      <w:pPr>
        <w:spacing w:line="360" w:lineRule="auto"/>
        <w:jc w:val="both"/>
      </w:pPr>
      <w:r w:rsidRPr="00C96B9C">
        <w:t>The ramifications of an organization’s financial and strategic management concerns Shangri La Hotels' attempt to create growth in the new markets and Travelodge Hotels' aim to enhance brand image via powerful marketing tools. Sustainability should be the basis of two companies as they strive for their competitiveness, and at the same time for meeting the needs of customers. In the future, Shangri-La Hotels have good chances for expanding their business through entrance into developing markets and strengthening its brand leadership in the high-end hotel segment while Travelodge Hotels can consolidate on its position by competitively diversifying itself in the highly competitive budget hotel sector. Only if they do the right thing by having a forward-looking technology and innovations as well as their customers’ needs and tastes will these companies succeed.</w:t>
      </w:r>
    </w:p>
    <w:p w14:paraId="4A106365" w14:textId="77777777" w:rsidR="00D55DF9" w:rsidRDefault="00D55DF9">
      <w:r>
        <w:br w:type="page"/>
      </w:r>
    </w:p>
    <w:p w14:paraId="0BA8ACF3" w14:textId="53CB766A" w:rsidR="00C96B9C" w:rsidRDefault="00D55DF9" w:rsidP="00093681">
      <w:pPr>
        <w:pStyle w:val="Heading1"/>
      </w:pPr>
      <w:bookmarkStart w:id="13" w:name="_Toc165409550"/>
      <w:r>
        <w:lastRenderedPageBreak/>
        <w:t>Referenc</w:t>
      </w:r>
      <w:bookmarkEnd w:id="13"/>
      <w:r w:rsidR="003F49FE">
        <w:t>es</w:t>
      </w:r>
    </w:p>
    <w:p w14:paraId="1AA9FCA3" w14:textId="54E8F451" w:rsidR="005C12F0" w:rsidRPr="006641C9" w:rsidRDefault="005C12F0" w:rsidP="006641C9">
      <w:pPr>
        <w:pStyle w:val="ListParagraph"/>
        <w:numPr>
          <w:ilvl w:val="0"/>
          <w:numId w:val="1"/>
        </w:numPr>
        <w:spacing w:line="360" w:lineRule="auto"/>
        <w:jc w:val="both"/>
        <w:rPr>
          <w:rFonts w:cs="Times New Roman"/>
          <w:szCs w:val="24"/>
          <w:shd w:val="clear" w:color="auto" w:fill="FFFFFF"/>
        </w:rPr>
      </w:pPr>
      <w:r w:rsidRPr="006641C9">
        <w:rPr>
          <w:rFonts w:cs="Times New Roman"/>
          <w:szCs w:val="24"/>
          <w:shd w:val="clear" w:color="auto" w:fill="FFFFFF"/>
        </w:rPr>
        <w:t xml:space="preserve">Chen, Y., Kumara, E.K. and Sivakumar, V., 2021. </w:t>
      </w:r>
      <w:proofErr w:type="spellStart"/>
      <w:r w:rsidRPr="006641C9">
        <w:rPr>
          <w:rFonts w:cs="Times New Roman"/>
          <w:szCs w:val="24"/>
          <w:shd w:val="clear" w:color="auto" w:fill="FFFFFF"/>
        </w:rPr>
        <w:t>Invesitigation</w:t>
      </w:r>
      <w:proofErr w:type="spellEnd"/>
      <w:r w:rsidRPr="006641C9">
        <w:rPr>
          <w:rFonts w:cs="Times New Roman"/>
          <w:szCs w:val="24"/>
          <w:shd w:val="clear" w:color="auto" w:fill="FFFFFF"/>
        </w:rPr>
        <w:t xml:space="preserve"> of finance industry on risk awareness model and digital economic growth. </w:t>
      </w:r>
      <w:r w:rsidRPr="006641C9">
        <w:rPr>
          <w:rFonts w:cs="Times New Roman"/>
          <w:i/>
          <w:iCs/>
          <w:szCs w:val="24"/>
          <w:shd w:val="clear" w:color="auto" w:fill="FFFFFF"/>
        </w:rPr>
        <w:t>Annals of Operations Research</w:t>
      </w:r>
      <w:r w:rsidRPr="006641C9">
        <w:rPr>
          <w:rFonts w:cs="Times New Roman"/>
          <w:szCs w:val="24"/>
          <w:shd w:val="clear" w:color="auto" w:fill="FFFFFF"/>
        </w:rPr>
        <w:t>, pp.1-22.</w:t>
      </w:r>
    </w:p>
    <w:p w14:paraId="064DB696" w14:textId="1C7402E7" w:rsidR="005C12F0" w:rsidRPr="006641C9" w:rsidRDefault="005C12F0" w:rsidP="006641C9">
      <w:pPr>
        <w:pStyle w:val="ListParagraph"/>
        <w:numPr>
          <w:ilvl w:val="0"/>
          <w:numId w:val="1"/>
        </w:numPr>
        <w:spacing w:line="360" w:lineRule="auto"/>
        <w:jc w:val="both"/>
        <w:rPr>
          <w:rFonts w:cs="Times New Roman"/>
          <w:szCs w:val="24"/>
          <w:shd w:val="clear" w:color="auto" w:fill="FFFFFF"/>
        </w:rPr>
      </w:pPr>
      <w:proofErr w:type="spellStart"/>
      <w:r w:rsidRPr="006641C9">
        <w:rPr>
          <w:rFonts w:cs="Times New Roman"/>
          <w:szCs w:val="24"/>
          <w:shd w:val="clear" w:color="auto" w:fill="FFFFFF"/>
        </w:rPr>
        <w:t>Demirgüç</w:t>
      </w:r>
      <w:proofErr w:type="spellEnd"/>
      <w:r w:rsidRPr="006641C9">
        <w:rPr>
          <w:rFonts w:cs="Times New Roman"/>
          <w:szCs w:val="24"/>
          <w:shd w:val="clear" w:color="auto" w:fill="FFFFFF"/>
        </w:rPr>
        <w:t>-Kunt, A., Klapper, L., Singer, D., Ansar, S. and Hess, J., 2020. The Global Findex Database 2017: Measuring financial inclusion and opportunities to expand access to and use of financial services. </w:t>
      </w:r>
      <w:r w:rsidRPr="006641C9">
        <w:rPr>
          <w:rFonts w:cs="Times New Roman"/>
          <w:i/>
          <w:iCs/>
          <w:szCs w:val="24"/>
          <w:shd w:val="clear" w:color="auto" w:fill="FFFFFF"/>
        </w:rPr>
        <w:t>The World Bank Economic Review</w:t>
      </w:r>
      <w:r w:rsidRPr="006641C9">
        <w:rPr>
          <w:rFonts w:cs="Times New Roman"/>
          <w:szCs w:val="24"/>
          <w:shd w:val="clear" w:color="auto" w:fill="FFFFFF"/>
        </w:rPr>
        <w:t>, </w:t>
      </w:r>
      <w:r w:rsidRPr="006641C9">
        <w:rPr>
          <w:rFonts w:cs="Times New Roman"/>
          <w:i/>
          <w:iCs/>
          <w:szCs w:val="24"/>
          <w:shd w:val="clear" w:color="auto" w:fill="FFFFFF"/>
        </w:rPr>
        <w:t>34</w:t>
      </w:r>
      <w:r w:rsidRPr="006641C9">
        <w:rPr>
          <w:rFonts w:cs="Times New Roman"/>
          <w:szCs w:val="24"/>
          <w:shd w:val="clear" w:color="auto" w:fill="FFFFFF"/>
        </w:rPr>
        <w:t xml:space="preserve">(Supplement_1), </w:t>
      </w:r>
      <w:proofErr w:type="gramStart"/>
      <w:r w:rsidRPr="006641C9">
        <w:rPr>
          <w:rFonts w:cs="Times New Roman"/>
          <w:szCs w:val="24"/>
          <w:shd w:val="clear" w:color="auto" w:fill="FFFFFF"/>
        </w:rPr>
        <w:t>pp.S</w:t>
      </w:r>
      <w:proofErr w:type="gramEnd"/>
      <w:r w:rsidRPr="006641C9">
        <w:rPr>
          <w:rFonts w:cs="Times New Roman"/>
          <w:szCs w:val="24"/>
          <w:shd w:val="clear" w:color="auto" w:fill="FFFFFF"/>
        </w:rPr>
        <w:t>2-S8.</w:t>
      </w:r>
    </w:p>
    <w:p w14:paraId="6E6242E6" w14:textId="74817194" w:rsidR="005C12F0" w:rsidRPr="006641C9" w:rsidRDefault="005C12F0" w:rsidP="006641C9">
      <w:pPr>
        <w:pStyle w:val="ListParagraph"/>
        <w:numPr>
          <w:ilvl w:val="0"/>
          <w:numId w:val="1"/>
        </w:numPr>
        <w:spacing w:line="360" w:lineRule="auto"/>
        <w:jc w:val="both"/>
        <w:rPr>
          <w:rFonts w:cs="Times New Roman"/>
          <w:szCs w:val="24"/>
          <w:shd w:val="clear" w:color="auto" w:fill="FFFFFF"/>
        </w:rPr>
      </w:pPr>
      <w:r w:rsidRPr="006641C9">
        <w:rPr>
          <w:rFonts w:cs="Times New Roman"/>
          <w:szCs w:val="24"/>
          <w:shd w:val="clear" w:color="auto" w:fill="FFFFFF"/>
        </w:rPr>
        <w:t xml:space="preserve">Gotthardt, M., </w:t>
      </w:r>
      <w:proofErr w:type="spellStart"/>
      <w:r w:rsidRPr="006641C9">
        <w:rPr>
          <w:rFonts w:cs="Times New Roman"/>
          <w:szCs w:val="24"/>
          <w:shd w:val="clear" w:color="auto" w:fill="FFFFFF"/>
        </w:rPr>
        <w:t>Koivulaakso</w:t>
      </w:r>
      <w:proofErr w:type="spellEnd"/>
      <w:r w:rsidRPr="006641C9">
        <w:rPr>
          <w:rFonts w:cs="Times New Roman"/>
          <w:szCs w:val="24"/>
          <w:shd w:val="clear" w:color="auto" w:fill="FFFFFF"/>
        </w:rPr>
        <w:t xml:space="preserve">, D., </w:t>
      </w:r>
      <w:proofErr w:type="spellStart"/>
      <w:r w:rsidRPr="006641C9">
        <w:rPr>
          <w:rFonts w:cs="Times New Roman"/>
          <w:szCs w:val="24"/>
          <w:shd w:val="clear" w:color="auto" w:fill="FFFFFF"/>
        </w:rPr>
        <w:t>Paksoy</w:t>
      </w:r>
      <w:proofErr w:type="spellEnd"/>
      <w:r w:rsidRPr="006641C9">
        <w:rPr>
          <w:rFonts w:cs="Times New Roman"/>
          <w:szCs w:val="24"/>
          <w:shd w:val="clear" w:color="auto" w:fill="FFFFFF"/>
        </w:rPr>
        <w:t xml:space="preserve">, O., </w:t>
      </w:r>
      <w:proofErr w:type="spellStart"/>
      <w:r w:rsidRPr="006641C9">
        <w:rPr>
          <w:rFonts w:cs="Times New Roman"/>
          <w:szCs w:val="24"/>
          <w:shd w:val="clear" w:color="auto" w:fill="FFFFFF"/>
        </w:rPr>
        <w:t>Saramo</w:t>
      </w:r>
      <w:proofErr w:type="spellEnd"/>
      <w:r w:rsidRPr="006641C9">
        <w:rPr>
          <w:rFonts w:cs="Times New Roman"/>
          <w:szCs w:val="24"/>
          <w:shd w:val="clear" w:color="auto" w:fill="FFFFFF"/>
        </w:rPr>
        <w:t>, C., Martikainen, M. and Lehner, O., 2020. Current state and challenges in the implementation of smart robotic process automation in accounting and auditing. </w:t>
      </w:r>
      <w:r w:rsidRPr="006641C9">
        <w:rPr>
          <w:rFonts w:cs="Times New Roman"/>
          <w:i/>
          <w:iCs/>
          <w:szCs w:val="24"/>
          <w:shd w:val="clear" w:color="auto" w:fill="FFFFFF"/>
        </w:rPr>
        <w:t>ACRN Journal of Finance and Risk Perspectives</w:t>
      </w:r>
      <w:r w:rsidRPr="006641C9">
        <w:rPr>
          <w:rFonts w:cs="Times New Roman"/>
          <w:szCs w:val="24"/>
          <w:shd w:val="clear" w:color="auto" w:fill="FFFFFF"/>
        </w:rPr>
        <w:t>.</w:t>
      </w:r>
    </w:p>
    <w:p w14:paraId="4AAD6A6A" w14:textId="39D14A01" w:rsidR="005C12F0" w:rsidRPr="006641C9" w:rsidRDefault="005C12F0" w:rsidP="006641C9">
      <w:pPr>
        <w:pStyle w:val="ListParagraph"/>
        <w:numPr>
          <w:ilvl w:val="0"/>
          <w:numId w:val="1"/>
        </w:numPr>
        <w:spacing w:line="360" w:lineRule="auto"/>
        <w:jc w:val="both"/>
        <w:rPr>
          <w:rFonts w:cs="Times New Roman"/>
          <w:szCs w:val="24"/>
          <w:shd w:val="clear" w:color="auto" w:fill="FFFFFF"/>
        </w:rPr>
      </w:pPr>
      <w:r w:rsidRPr="006641C9">
        <w:rPr>
          <w:rFonts w:cs="Times New Roman"/>
          <w:szCs w:val="24"/>
          <w:shd w:val="clear" w:color="auto" w:fill="FFFFFF"/>
        </w:rPr>
        <w:t>He, P., Niu, H., Sun, Z. and Li, T., 2021. Accounting index of COVID-19 impact on Chinese industries: A case study using big data portrait analysis. In </w:t>
      </w:r>
      <w:r w:rsidRPr="006641C9">
        <w:rPr>
          <w:rFonts w:cs="Times New Roman"/>
          <w:i/>
          <w:iCs/>
          <w:szCs w:val="24"/>
          <w:shd w:val="clear" w:color="auto" w:fill="FFFFFF"/>
        </w:rPr>
        <w:t>Research on Pandemics</w:t>
      </w:r>
      <w:r w:rsidRPr="006641C9">
        <w:rPr>
          <w:rFonts w:cs="Times New Roman"/>
          <w:szCs w:val="24"/>
          <w:shd w:val="clear" w:color="auto" w:fill="FFFFFF"/>
        </w:rPr>
        <w:t> (pp. 200-217). Routledge.</w:t>
      </w:r>
    </w:p>
    <w:p w14:paraId="79D83DE5" w14:textId="09924C62" w:rsidR="005C12F0" w:rsidRPr="006641C9" w:rsidRDefault="005C12F0" w:rsidP="006641C9">
      <w:pPr>
        <w:pStyle w:val="ListParagraph"/>
        <w:numPr>
          <w:ilvl w:val="0"/>
          <w:numId w:val="1"/>
        </w:numPr>
        <w:spacing w:line="360" w:lineRule="auto"/>
        <w:jc w:val="both"/>
        <w:rPr>
          <w:rFonts w:cs="Times New Roman"/>
          <w:szCs w:val="24"/>
          <w:shd w:val="clear" w:color="auto" w:fill="FFFFFF"/>
        </w:rPr>
      </w:pPr>
      <w:r w:rsidRPr="006641C9">
        <w:rPr>
          <w:rFonts w:cs="Times New Roman"/>
          <w:szCs w:val="24"/>
          <w:shd w:val="clear" w:color="auto" w:fill="FFFFFF"/>
        </w:rPr>
        <w:t xml:space="preserve">Hilton, </w:t>
      </w:r>
      <w:proofErr w:type="gramStart"/>
      <w:r w:rsidRPr="006641C9">
        <w:rPr>
          <w:rFonts w:cs="Times New Roman"/>
          <w:szCs w:val="24"/>
          <w:shd w:val="clear" w:color="auto" w:fill="FFFFFF"/>
        </w:rPr>
        <w:t>R.W.</w:t>
      </w:r>
      <w:proofErr w:type="gramEnd"/>
      <w:r w:rsidRPr="006641C9">
        <w:rPr>
          <w:rFonts w:cs="Times New Roman"/>
          <w:szCs w:val="24"/>
          <w:shd w:val="clear" w:color="auto" w:fill="FFFFFF"/>
        </w:rPr>
        <w:t xml:space="preserve"> and Platt, D.E., 2020. </w:t>
      </w:r>
      <w:r w:rsidRPr="006641C9">
        <w:rPr>
          <w:rFonts w:cs="Times New Roman"/>
          <w:i/>
          <w:iCs/>
          <w:szCs w:val="24"/>
          <w:shd w:val="clear" w:color="auto" w:fill="FFFFFF"/>
        </w:rPr>
        <w:t>Managerial accounting: creating value in a dynamic business environment</w:t>
      </w:r>
      <w:r w:rsidRPr="006641C9">
        <w:rPr>
          <w:rFonts w:cs="Times New Roman"/>
          <w:szCs w:val="24"/>
          <w:shd w:val="clear" w:color="auto" w:fill="FFFFFF"/>
        </w:rPr>
        <w:t>. McGraw-Hill.</w:t>
      </w:r>
    </w:p>
    <w:p w14:paraId="77CB6EC7" w14:textId="29DF2D83" w:rsidR="005C12F0" w:rsidRPr="006641C9" w:rsidRDefault="005C12F0" w:rsidP="006641C9">
      <w:pPr>
        <w:pStyle w:val="ListParagraph"/>
        <w:numPr>
          <w:ilvl w:val="0"/>
          <w:numId w:val="1"/>
        </w:numPr>
        <w:spacing w:line="360" w:lineRule="auto"/>
        <w:jc w:val="both"/>
        <w:rPr>
          <w:rFonts w:cs="Times New Roman"/>
          <w:szCs w:val="24"/>
          <w:shd w:val="clear" w:color="auto" w:fill="FFFFFF"/>
        </w:rPr>
      </w:pPr>
      <w:r w:rsidRPr="006641C9">
        <w:rPr>
          <w:rFonts w:cs="Times New Roman"/>
          <w:szCs w:val="24"/>
          <w:shd w:val="clear" w:color="auto" w:fill="FFFFFF"/>
        </w:rPr>
        <w:t xml:space="preserve">Kaiser, T., Lusardi, A., </w:t>
      </w:r>
      <w:proofErr w:type="spellStart"/>
      <w:r w:rsidRPr="006641C9">
        <w:rPr>
          <w:rFonts w:cs="Times New Roman"/>
          <w:szCs w:val="24"/>
          <w:shd w:val="clear" w:color="auto" w:fill="FFFFFF"/>
        </w:rPr>
        <w:t>Menkhoff</w:t>
      </w:r>
      <w:proofErr w:type="spellEnd"/>
      <w:r w:rsidRPr="006641C9">
        <w:rPr>
          <w:rFonts w:cs="Times New Roman"/>
          <w:szCs w:val="24"/>
          <w:shd w:val="clear" w:color="auto" w:fill="FFFFFF"/>
        </w:rPr>
        <w:t>, L. and Urban, C., 2022. Financial education affects financial knowledge and downstream behaviors. </w:t>
      </w:r>
      <w:r w:rsidRPr="006641C9">
        <w:rPr>
          <w:rFonts w:cs="Times New Roman"/>
          <w:i/>
          <w:iCs/>
          <w:szCs w:val="24"/>
          <w:shd w:val="clear" w:color="auto" w:fill="FFFFFF"/>
        </w:rPr>
        <w:t>Journal of Financial Economics</w:t>
      </w:r>
      <w:r w:rsidRPr="006641C9">
        <w:rPr>
          <w:rFonts w:cs="Times New Roman"/>
          <w:szCs w:val="24"/>
          <w:shd w:val="clear" w:color="auto" w:fill="FFFFFF"/>
        </w:rPr>
        <w:t>, </w:t>
      </w:r>
      <w:r w:rsidRPr="006641C9">
        <w:rPr>
          <w:rFonts w:cs="Times New Roman"/>
          <w:i/>
          <w:iCs/>
          <w:szCs w:val="24"/>
          <w:shd w:val="clear" w:color="auto" w:fill="FFFFFF"/>
        </w:rPr>
        <w:t>145</w:t>
      </w:r>
      <w:r w:rsidRPr="006641C9">
        <w:rPr>
          <w:rFonts w:cs="Times New Roman"/>
          <w:szCs w:val="24"/>
          <w:shd w:val="clear" w:color="auto" w:fill="FFFFFF"/>
        </w:rPr>
        <w:t>(2), pp.255-272.</w:t>
      </w:r>
    </w:p>
    <w:p w14:paraId="5265BA68" w14:textId="24974CF4" w:rsidR="005C12F0" w:rsidRPr="006641C9" w:rsidRDefault="005C12F0" w:rsidP="006641C9">
      <w:pPr>
        <w:pStyle w:val="ListParagraph"/>
        <w:numPr>
          <w:ilvl w:val="0"/>
          <w:numId w:val="1"/>
        </w:numPr>
        <w:spacing w:line="360" w:lineRule="auto"/>
        <w:jc w:val="both"/>
        <w:rPr>
          <w:rFonts w:cs="Times New Roman"/>
          <w:szCs w:val="24"/>
          <w:shd w:val="clear" w:color="auto" w:fill="FFFFFF"/>
        </w:rPr>
      </w:pPr>
      <w:r w:rsidRPr="006641C9">
        <w:rPr>
          <w:rFonts w:cs="Times New Roman"/>
          <w:szCs w:val="24"/>
          <w:shd w:val="clear" w:color="auto" w:fill="FFFFFF"/>
        </w:rPr>
        <w:t>Klapper, L. and Lusardi, A., 2020. Financial literacy and financial resilience: Evidence from around the world. </w:t>
      </w:r>
      <w:r w:rsidRPr="006641C9">
        <w:rPr>
          <w:rFonts w:cs="Times New Roman"/>
          <w:i/>
          <w:iCs/>
          <w:szCs w:val="24"/>
          <w:shd w:val="clear" w:color="auto" w:fill="FFFFFF"/>
        </w:rPr>
        <w:t>Financial Management</w:t>
      </w:r>
      <w:r w:rsidRPr="006641C9">
        <w:rPr>
          <w:rFonts w:cs="Times New Roman"/>
          <w:szCs w:val="24"/>
          <w:shd w:val="clear" w:color="auto" w:fill="FFFFFF"/>
        </w:rPr>
        <w:t>, </w:t>
      </w:r>
      <w:r w:rsidRPr="006641C9">
        <w:rPr>
          <w:rFonts w:cs="Times New Roman"/>
          <w:i/>
          <w:iCs/>
          <w:szCs w:val="24"/>
          <w:shd w:val="clear" w:color="auto" w:fill="FFFFFF"/>
        </w:rPr>
        <w:t>49</w:t>
      </w:r>
      <w:r w:rsidRPr="006641C9">
        <w:rPr>
          <w:rFonts w:cs="Times New Roman"/>
          <w:szCs w:val="24"/>
          <w:shd w:val="clear" w:color="auto" w:fill="FFFFFF"/>
        </w:rPr>
        <w:t>(3), pp.589-614.</w:t>
      </w:r>
    </w:p>
    <w:p w14:paraId="23AD1A33" w14:textId="3A69E316" w:rsidR="005C12F0" w:rsidRPr="006641C9" w:rsidRDefault="005C12F0" w:rsidP="006641C9">
      <w:pPr>
        <w:pStyle w:val="ListParagraph"/>
        <w:numPr>
          <w:ilvl w:val="0"/>
          <w:numId w:val="1"/>
        </w:numPr>
        <w:spacing w:line="360" w:lineRule="auto"/>
        <w:jc w:val="both"/>
        <w:rPr>
          <w:rFonts w:cs="Times New Roman"/>
          <w:szCs w:val="24"/>
          <w:shd w:val="clear" w:color="auto" w:fill="FFFFFF"/>
        </w:rPr>
      </w:pPr>
      <w:r w:rsidRPr="006641C9">
        <w:rPr>
          <w:rFonts w:cs="Times New Roman"/>
          <w:szCs w:val="24"/>
          <w:shd w:val="clear" w:color="auto" w:fill="FFFFFF"/>
        </w:rPr>
        <w:t>Knudsen, D.R., 2020. Elusive boundaries, power relations, and knowledge production: A systematic review of the literature on digitalization in accounting. </w:t>
      </w:r>
      <w:r w:rsidRPr="006641C9">
        <w:rPr>
          <w:rFonts w:cs="Times New Roman"/>
          <w:i/>
          <w:iCs/>
          <w:szCs w:val="24"/>
          <w:shd w:val="clear" w:color="auto" w:fill="FFFFFF"/>
        </w:rPr>
        <w:t>International Journal of Accounting Information Systems</w:t>
      </w:r>
      <w:r w:rsidRPr="006641C9">
        <w:rPr>
          <w:rFonts w:cs="Times New Roman"/>
          <w:szCs w:val="24"/>
          <w:shd w:val="clear" w:color="auto" w:fill="FFFFFF"/>
        </w:rPr>
        <w:t>, </w:t>
      </w:r>
      <w:r w:rsidRPr="006641C9">
        <w:rPr>
          <w:rFonts w:cs="Times New Roman"/>
          <w:i/>
          <w:iCs/>
          <w:szCs w:val="24"/>
          <w:shd w:val="clear" w:color="auto" w:fill="FFFFFF"/>
        </w:rPr>
        <w:t>36</w:t>
      </w:r>
      <w:r w:rsidRPr="006641C9">
        <w:rPr>
          <w:rFonts w:cs="Times New Roman"/>
          <w:szCs w:val="24"/>
          <w:shd w:val="clear" w:color="auto" w:fill="FFFFFF"/>
        </w:rPr>
        <w:t>, p.100441.</w:t>
      </w:r>
    </w:p>
    <w:p w14:paraId="42D2D804" w14:textId="4B333D62" w:rsidR="005C12F0" w:rsidRPr="006641C9" w:rsidRDefault="005C12F0" w:rsidP="006641C9">
      <w:pPr>
        <w:pStyle w:val="ListParagraph"/>
        <w:numPr>
          <w:ilvl w:val="0"/>
          <w:numId w:val="1"/>
        </w:numPr>
        <w:spacing w:line="360" w:lineRule="auto"/>
        <w:jc w:val="both"/>
        <w:rPr>
          <w:rFonts w:cs="Times New Roman"/>
          <w:szCs w:val="24"/>
          <w:shd w:val="clear" w:color="auto" w:fill="FFFFFF"/>
        </w:rPr>
      </w:pPr>
      <w:r w:rsidRPr="006641C9">
        <w:rPr>
          <w:rFonts w:cs="Times New Roman"/>
          <w:szCs w:val="24"/>
          <w:shd w:val="clear" w:color="auto" w:fill="FFFFFF"/>
        </w:rPr>
        <w:t xml:space="preserve">Möller, K., Schäffer, U. and </w:t>
      </w:r>
      <w:proofErr w:type="spellStart"/>
      <w:r w:rsidRPr="006641C9">
        <w:rPr>
          <w:rFonts w:cs="Times New Roman"/>
          <w:szCs w:val="24"/>
          <w:shd w:val="clear" w:color="auto" w:fill="FFFFFF"/>
        </w:rPr>
        <w:t>Verbeeten</w:t>
      </w:r>
      <w:proofErr w:type="spellEnd"/>
      <w:r w:rsidRPr="006641C9">
        <w:rPr>
          <w:rFonts w:cs="Times New Roman"/>
          <w:szCs w:val="24"/>
          <w:shd w:val="clear" w:color="auto" w:fill="FFFFFF"/>
        </w:rPr>
        <w:t>, F., 2020. Digitalization in management accounting and control: an editorial. </w:t>
      </w:r>
      <w:r w:rsidRPr="006641C9">
        <w:rPr>
          <w:rFonts w:cs="Times New Roman"/>
          <w:i/>
          <w:iCs/>
          <w:szCs w:val="24"/>
          <w:shd w:val="clear" w:color="auto" w:fill="FFFFFF"/>
        </w:rPr>
        <w:t>Journal of Management Control</w:t>
      </w:r>
      <w:r w:rsidRPr="006641C9">
        <w:rPr>
          <w:rFonts w:cs="Times New Roman"/>
          <w:szCs w:val="24"/>
          <w:shd w:val="clear" w:color="auto" w:fill="FFFFFF"/>
        </w:rPr>
        <w:t>, </w:t>
      </w:r>
      <w:r w:rsidRPr="006641C9">
        <w:rPr>
          <w:rFonts w:cs="Times New Roman"/>
          <w:i/>
          <w:iCs/>
          <w:szCs w:val="24"/>
          <w:shd w:val="clear" w:color="auto" w:fill="FFFFFF"/>
        </w:rPr>
        <w:t>31</w:t>
      </w:r>
      <w:r w:rsidRPr="006641C9">
        <w:rPr>
          <w:rFonts w:cs="Times New Roman"/>
          <w:szCs w:val="24"/>
          <w:shd w:val="clear" w:color="auto" w:fill="FFFFFF"/>
        </w:rPr>
        <w:t>(1), pp.1-8.</w:t>
      </w:r>
    </w:p>
    <w:p w14:paraId="2DB5E1DA" w14:textId="267CDA48" w:rsidR="005C12F0" w:rsidRPr="006641C9" w:rsidRDefault="005C12F0" w:rsidP="006641C9">
      <w:pPr>
        <w:pStyle w:val="ListParagraph"/>
        <w:numPr>
          <w:ilvl w:val="0"/>
          <w:numId w:val="1"/>
        </w:numPr>
        <w:spacing w:line="360" w:lineRule="auto"/>
        <w:jc w:val="both"/>
        <w:rPr>
          <w:rFonts w:cs="Times New Roman"/>
          <w:szCs w:val="24"/>
          <w:shd w:val="clear" w:color="auto" w:fill="FFFFFF"/>
        </w:rPr>
      </w:pPr>
      <w:proofErr w:type="spellStart"/>
      <w:r w:rsidRPr="006641C9">
        <w:rPr>
          <w:rFonts w:cs="Times New Roman"/>
          <w:szCs w:val="24"/>
          <w:shd w:val="clear" w:color="auto" w:fill="FFFFFF"/>
        </w:rPr>
        <w:t>Revsine</w:t>
      </w:r>
      <w:proofErr w:type="spellEnd"/>
      <w:r w:rsidRPr="006641C9">
        <w:rPr>
          <w:rFonts w:cs="Times New Roman"/>
          <w:szCs w:val="24"/>
          <w:shd w:val="clear" w:color="auto" w:fill="FFFFFF"/>
        </w:rPr>
        <w:t>, L., Collins, D.W. and Johnson, W.B., 2021. </w:t>
      </w:r>
      <w:r w:rsidRPr="006641C9">
        <w:rPr>
          <w:rFonts w:cs="Times New Roman"/>
          <w:i/>
          <w:iCs/>
          <w:szCs w:val="24"/>
          <w:shd w:val="clear" w:color="auto" w:fill="FFFFFF"/>
        </w:rPr>
        <w:t>Financial reporting &amp; analysis</w:t>
      </w:r>
      <w:r w:rsidRPr="006641C9">
        <w:rPr>
          <w:rFonts w:cs="Times New Roman"/>
          <w:szCs w:val="24"/>
          <w:shd w:val="clear" w:color="auto" w:fill="FFFFFF"/>
        </w:rPr>
        <w:t>. McGraw-Hill.</w:t>
      </w:r>
    </w:p>
    <w:p w14:paraId="7E212225" w14:textId="77777777" w:rsidR="002745F1" w:rsidRDefault="005C12F0" w:rsidP="00D55DF9">
      <w:pPr>
        <w:pStyle w:val="ListParagraph"/>
        <w:numPr>
          <w:ilvl w:val="0"/>
          <w:numId w:val="1"/>
        </w:numPr>
        <w:spacing w:line="360" w:lineRule="auto"/>
        <w:jc w:val="both"/>
        <w:rPr>
          <w:rFonts w:cs="Times New Roman"/>
          <w:szCs w:val="24"/>
          <w:shd w:val="clear" w:color="auto" w:fill="FFFFFF"/>
        </w:rPr>
      </w:pPr>
      <w:r w:rsidRPr="006641C9">
        <w:rPr>
          <w:rFonts w:cs="Times New Roman"/>
          <w:szCs w:val="24"/>
          <w:shd w:val="clear" w:color="auto" w:fill="FFFFFF"/>
        </w:rPr>
        <w:t>Robinson, T.R., 2020. </w:t>
      </w:r>
      <w:r w:rsidRPr="006641C9">
        <w:rPr>
          <w:rFonts w:cs="Times New Roman"/>
          <w:i/>
          <w:iCs/>
          <w:szCs w:val="24"/>
          <w:shd w:val="clear" w:color="auto" w:fill="FFFFFF"/>
        </w:rPr>
        <w:t>International financial statement analysis</w:t>
      </w:r>
      <w:r w:rsidRPr="006641C9">
        <w:rPr>
          <w:rFonts w:cs="Times New Roman"/>
          <w:szCs w:val="24"/>
          <w:shd w:val="clear" w:color="auto" w:fill="FFFFFF"/>
        </w:rPr>
        <w:t>.</w:t>
      </w:r>
    </w:p>
    <w:p w14:paraId="45AD8B89" w14:textId="7C48563B" w:rsidR="005C12F0" w:rsidRPr="002745F1" w:rsidRDefault="005C12F0" w:rsidP="00D55DF9">
      <w:pPr>
        <w:pStyle w:val="ListParagraph"/>
        <w:numPr>
          <w:ilvl w:val="0"/>
          <w:numId w:val="1"/>
        </w:numPr>
        <w:spacing w:line="360" w:lineRule="auto"/>
        <w:jc w:val="both"/>
        <w:rPr>
          <w:rFonts w:cs="Times New Roman"/>
          <w:szCs w:val="24"/>
          <w:shd w:val="clear" w:color="auto" w:fill="FFFFFF"/>
        </w:rPr>
      </w:pPr>
      <w:r w:rsidRPr="006641C9">
        <w:rPr>
          <w:rFonts w:cs="Times New Roman"/>
          <w:szCs w:val="24"/>
          <w:shd w:val="clear" w:color="auto" w:fill="FFFFFF"/>
        </w:rPr>
        <w:lastRenderedPageBreak/>
        <w:t xml:space="preserve"> John Wiley &amp; </w:t>
      </w:r>
      <w:proofErr w:type="spellStart"/>
      <w:r w:rsidRPr="006641C9">
        <w:rPr>
          <w:rFonts w:cs="Times New Roman"/>
          <w:szCs w:val="24"/>
          <w:shd w:val="clear" w:color="auto" w:fill="FFFFFF"/>
        </w:rPr>
        <w:t>Sons.</w:t>
      </w:r>
      <w:r w:rsidRPr="002745F1">
        <w:rPr>
          <w:rFonts w:cs="Times New Roman"/>
          <w:szCs w:val="24"/>
          <w:shd w:val="clear" w:color="auto" w:fill="FFFFFF"/>
        </w:rPr>
        <w:t>Saez</w:t>
      </w:r>
      <w:proofErr w:type="spellEnd"/>
      <w:r w:rsidRPr="002745F1">
        <w:rPr>
          <w:rFonts w:cs="Times New Roman"/>
          <w:szCs w:val="24"/>
          <w:shd w:val="clear" w:color="auto" w:fill="FFFFFF"/>
        </w:rPr>
        <w:t>, E. and Zucman, G., 2020. The rise of income and wealth inequality in America: Evidence from distributional macroeconomic accounts. </w:t>
      </w:r>
      <w:r w:rsidRPr="002745F1">
        <w:rPr>
          <w:rFonts w:cs="Times New Roman"/>
          <w:i/>
          <w:iCs/>
          <w:szCs w:val="24"/>
          <w:shd w:val="clear" w:color="auto" w:fill="FFFFFF"/>
        </w:rPr>
        <w:t>Journal of Economic Perspectives</w:t>
      </w:r>
      <w:r w:rsidRPr="002745F1">
        <w:rPr>
          <w:rFonts w:cs="Times New Roman"/>
          <w:szCs w:val="24"/>
          <w:shd w:val="clear" w:color="auto" w:fill="FFFFFF"/>
        </w:rPr>
        <w:t>, </w:t>
      </w:r>
      <w:r w:rsidRPr="002745F1">
        <w:rPr>
          <w:rFonts w:cs="Times New Roman"/>
          <w:i/>
          <w:iCs/>
          <w:szCs w:val="24"/>
          <w:shd w:val="clear" w:color="auto" w:fill="FFFFFF"/>
        </w:rPr>
        <w:t>34</w:t>
      </w:r>
      <w:r w:rsidRPr="002745F1">
        <w:rPr>
          <w:rFonts w:cs="Times New Roman"/>
          <w:szCs w:val="24"/>
          <w:shd w:val="clear" w:color="auto" w:fill="FFFFFF"/>
        </w:rPr>
        <w:t>(4), pp.3-26.</w:t>
      </w:r>
    </w:p>
    <w:p w14:paraId="2DCEF285" w14:textId="42FE0F3F" w:rsidR="005C12F0" w:rsidRPr="002745F1" w:rsidRDefault="005C12F0" w:rsidP="002745F1">
      <w:pPr>
        <w:pStyle w:val="ListParagraph"/>
        <w:numPr>
          <w:ilvl w:val="0"/>
          <w:numId w:val="1"/>
        </w:numPr>
        <w:spacing w:line="360" w:lineRule="auto"/>
        <w:jc w:val="both"/>
        <w:rPr>
          <w:rFonts w:cs="Times New Roman"/>
          <w:szCs w:val="24"/>
          <w:shd w:val="clear" w:color="auto" w:fill="FFFFFF"/>
        </w:rPr>
      </w:pPr>
      <w:r w:rsidRPr="002745F1">
        <w:rPr>
          <w:rFonts w:cs="Times New Roman"/>
          <w:szCs w:val="24"/>
          <w:shd w:val="clear" w:color="auto" w:fill="FFFFFF"/>
        </w:rPr>
        <w:t>Vogel, H.L., 2020. </w:t>
      </w:r>
      <w:r w:rsidRPr="002745F1">
        <w:rPr>
          <w:rFonts w:cs="Times New Roman"/>
          <w:i/>
          <w:iCs/>
          <w:szCs w:val="24"/>
          <w:shd w:val="clear" w:color="auto" w:fill="FFFFFF"/>
        </w:rPr>
        <w:t>Entertainment industry economics: A guide for financial analysis</w:t>
      </w:r>
      <w:r w:rsidRPr="002745F1">
        <w:rPr>
          <w:rFonts w:cs="Times New Roman"/>
          <w:szCs w:val="24"/>
          <w:shd w:val="clear" w:color="auto" w:fill="FFFFFF"/>
        </w:rPr>
        <w:t>. Cambridge University Press.</w:t>
      </w:r>
    </w:p>
    <w:p w14:paraId="773A936F" w14:textId="7E6467DE" w:rsidR="005C12F0" w:rsidRPr="002745F1" w:rsidRDefault="005C12F0" w:rsidP="002745F1">
      <w:pPr>
        <w:pStyle w:val="ListParagraph"/>
        <w:numPr>
          <w:ilvl w:val="0"/>
          <w:numId w:val="1"/>
        </w:numPr>
        <w:spacing w:line="360" w:lineRule="auto"/>
        <w:jc w:val="both"/>
        <w:rPr>
          <w:rFonts w:cs="Times New Roman"/>
          <w:szCs w:val="24"/>
          <w:shd w:val="clear" w:color="auto" w:fill="FFFFFF"/>
        </w:rPr>
      </w:pPr>
      <w:r w:rsidRPr="002745F1">
        <w:rPr>
          <w:rFonts w:cs="Times New Roman"/>
          <w:szCs w:val="24"/>
          <w:shd w:val="clear" w:color="auto" w:fill="FFFFFF"/>
        </w:rPr>
        <w:t>Wilson, J.M., Lee, J., Fitzgerald, H.N., Oosterhoff, B., Sevi, B. and Shook, N.J., 2020. Job insecurity and financial concern during the COVID-19 pandemic are associated with worse mental health. </w:t>
      </w:r>
      <w:r w:rsidRPr="002745F1">
        <w:rPr>
          <w:rFonts w:cs="Times New Roman"/>
          <w:i/>
          <w:iCs/>
          <w:szCs w:val="24"/>
          <w:shd w:val="clear" w:color="auto" w:fill="FFFFFF"/>
        </w:rPr>
        <w:t>Journal of occupational and environmental medicine</w:t>
      </w:r>
      <w:r w:rsidRPr="002745F1">
        <w:rPr>
          <w:rFonts w:cs="Times New Roman"/>
          <w:szCs w:val="24"/>
          <w:shd w:val="clear" w:color="auto" w:fill="FFFFFF"/>
        </w:rPr>
        <w:t>, </w:t>
      </w:r>
      <w:r w:rsidRPr="002745F1">
        <w:rPr>
          <w:rFonts w:cs="Times New Roman"/>
          <w:i/>
          <w:iCs/>
          <w:szCs w:val="24"/>
          <w:shd w:val="clear" w:color="auto" w:fill="FFFFFF"/>
        </w:rPr>
        <w:t>62</w:t>
      </w:r>
      <w:r w:rsidRPr="002745F1">
        <w:rPr>
          <w:rFonts w:cs="Times New Roman"/>
          <w:szCs w:val="24"/>
          <w:shd w:val="clear" w:color="auto" w:fill="FFFFFF"/>
        </w:rPr>
        <w:t>(9), pp.686-691.</w:t>
      </w:r>
    </w:p>
    <w:p w14:paraId="4CD9CD12" w14:textId="77777777" w:rsidR="00C96B9C" w:rsidRDefault="00C96B9C" w:rsidP="00A371EB">
      <w:pPr>
        <w:spacing w:line="360" w:lineRule="auto"/>
        <w:jc w:val="both"/>
      </w:pPr>
    </w:p>
    <w:p w14:paraId="4CB71497" w14:textId="6EE72D91" w:rsidR="003578E6" w:rsidRDefault="003578E6" w:rsidP="00A371EB">
      <w:pPr>
        <w:spacing w:line="360" w:lineRule="auto"/>
        <w:jc w:val="both"/>
      </w:pPr>
    </w:p>
    <w:sectPr w:rsidR="003578E6" w:rsidSect="00F050DD">
      <w:footerReference w:type="default" r:id="rId8"/>
      <w:headerReference w:type="firs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A3E2FD" w14:textId="77777777" w:rsidR="00F050DD" w:rsidRDefault="00F050DD" w:rsidP="0024137D">
      <w:pPr>
        <w:spacing w:after="0" w:line="240" w:lineRule="auto"/>
      </w:pPr>
      <w:r>
        <w:separator/>
      </w:r>
    </w:p>
  </w:endnote>
  <w:endnote w:type="continuationSeparator" w:id="0">
    <w:p w14:paraId="702FCAA3" w14:textId="77777777" w:rsidR="00F050DD" w:rsidRDefault="00F050DD" w:rsidP="002413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0"/>
        <w:szCs w:val="20"/>
      </w:rPr>
      <w:id w:val="-2018683443"/>
      <w:docPartObj>
        <w:docPartGallery w:val="Page Numbers (Bottom of Page)"/>
        <w:docPartUnique/>
      </w:docPartObj>
    </w:sdtPr>
    <w:sdtEndPr>
      <w:rPr>
        <w:noProof/>
      </w:rPr>
    </w:sdtEndPr>
    <w:sdtContent>
      <w:p w14:paraId="36F5FB0D" w14:textId="29412938" w:rsidR="0024137D" w:rsidRPr="0024137D" w:rsidRDefault="0024137D" w:rsidP="0024137D">
        <w:pPr>
          <w:pStyle w:val="Footer"/>
          <w:spacing w:line="360" w:lineRule="auto"/>
          <w:jc w:val="right"/>
          <w:rPr>
            <w:sz w:val="20"/>
            <w:szCs w:val="20"/>
          </w:rPr>
        </w:pPr>
        <w:r w:rsidRPr="0024137D">
          <w:rPr>
            <w:sz w:val="20"/>
            <w:szCs w:val="20"/>
          </w:rPr>
          <w:fldChar w:fldCharType="begin"/>
        </w:r>
        <w:r w:rsidRPr="0024137D">
          <w:rPr>
            <w:sz w:val="20"/>
            <w:szCs w:val="20"/>
          </w:rPr>
          <w:instrText xml:space="preserve"> PAGE   \* MERGEFORMAT </w:instrText>
        </w:r>
        <w:r w:rsidRPr="0024137D">
          <w:rPr>
            <w:sz w:val="20"/>
            <w:szCs w:val="20"/>
          </w:rPr>
          <w:fldChar w:fldCharType="separate"/>
        </w:r>
        <w:r w:rsidRPr="0024137D">
          <w:rPr>
            <w:noProof/>
            <w:sz w:val="20"/>
            <w:szCs w:val="20"/>
          </w:rPr>
          <w:t>2</w:t>
        </w:r>
        <w:r w:rsidRPr="0024137D">
          <w:rPr>
            <w:noProof/>
            <w:sz w:val="20"/>
            <w:szCs w:val="20"/>
          </w:rPr>
          <w:fldChar w:fldCharType="end"/>
        </w:r>
      </w:p>
    </w:sdtContent>
  </w:sdt>
  <w:p w14:paraId="4F24E93A" w14:textId="77777777" w:rsidR="0024137D" w:rsidRDefault="002413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E69A1A" w14:textId="77777777" w:rsidR="00F050DD" w:rsidRDefault="00F050DD" w:rsidP="0024137D">
      <w:pPr>
        <w:spacing w:after="0" w:line="240" w:lineRule="auto"/>
      </w:pPr>
      <w:r>
        <w:separator/>
      </w:r>
    </w:p>
  </w:footnote>
  <w:footnote w:type="continuationSeparator" w:id="0">
    <w:p w14:paraId="05E26ED0" w14:textId="77777777" w:rsidR="00F050DD" w:rsidRDefault="00F050DD" w:rsidP="002413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D1CA63" w14:textId="44A604B4" w:rsidR="00DF2A8C" w:rsidRDefault="00DF2A8C">
    <w:pPr>
      <w:pStyle w:val="Header"/>
    </w:pPr>
    <w:r w:rsidRPr="00AA2113">
      <w:rPr>
        <w:noProof/>
      </w:rPr>
      <w:drawing>
        <wp:inline distT="0" distB="0" distL="0" distR="0" wp14:anchorId="300F55EB" wp14:editId="575FDAC2">
          <wp:extent cx="1546860" cy="648951"/>
          <wp:effectExtent l="0" t="0" r="0" b="0"/>
          <wp:docPr id="460224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224109" name=""/>
                  <pic:cNvPicPr/>
                </pic:nvPicPr>
                <pic:blipFill>
                  <a:blip r:embed="rId1"/>
                  <a:stretch>
                    <a:fillRect/>
                  </a:stretch>
                </pic:blipFill>
                <pic:spPr>
                  <a:xfrm>
                    <a:off x="0" y="0"/>
                    <a:ext cx="1561464" cy="65507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B04F10"/>
    <w:multiLevelType w:val="hybridMultilevel"/>
    <w:tmpl w:val="AC189D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80156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9C5"/>
    <w:rsid w:val="00093681"/>
    <w:rsid w:val="000A2B4E"/>
    <w:rsid w:val="000A3439"/>
    <w:rsid w:val="000B0A3B"/>
    <w:rsid w:val="000C4E06"/>
    <w:rsid w:val="001A7752"/>
    <w:rsid w:val="001E7611"/>
    <w:rsid w:val="0024137D"/>
    <w:rsid w:val="00246A35"/>
    <w:rsid w:val="002745F1"/>
    <w:rsid w:val="002B628C"/>
    <w:rsid w:val="00302DF8"/>
    <w:rsid w:val="00321776"/>
    <w:rsid w:val="00344552"/>
    <w:rsid w:val="003578E6"/>
    <w:rsid w:val="003B52CA"/>
    <w:rsid w:val="003D1256"/>
    <w:rsid w:val="003D5A1D"/>
    <w:rsid w:val="003E783A"/>
    <w:rsid w:val="003F49FE"/>
    <w:rsid w:val="0050349F"/>
    <w:rsid w:val="005175DC"/>
    <w:rsid w:val="005C12F0"/>
    <w:rsid w:val="00643DCD"/>
    <w:rsid w:val="006641C9"/>
    <w:rsid w:val="00702097"/>
    <w:rsid w:val="00756F15"/>
    <w:rsid w:val="00767AA7"/>
    <w:rsid w:val="00774C5B"/>
    <w:rsid w:val="007951B6"/>
    <w:rsid w:val="007F3F1E"/>
    <w:rsid w:val="00831160"/>
    <w:rsid w:val="008B33C2"/>
    <w:rsid w:val="008C3C10"/>
    <w:rsid w:val="008D3515"/>
    <w:rsid w:val="00913D63"/>
    <w:rsid w:val="00934CA0"/>
    <w:rsid w:val="0093739A"/>
    <w:rsid w:val="00937F78"/>
    <w:rsid w:val="00944FBF"/>
    <w:rsid w:val="009879C5"/>
    <w:rsid w:val="00990109"/>
    <w:rsid w:val="009A2213"/>
    <w:rsid w:val="009B2336"/>
    <w:rsid w:val="009B3633"/>
    <w:rsid w:val="009C7464"/>
    <w:rsid w:val="00A01457"/>
    <w:rsid w:val="00A1616E"/>
    <w:rsid w:val="00A371EB"/>
    <w:rsid w:val="00A61557"/>
    <w:rsid w:val="00A76EB0"/>
    <w:rsid w:val="00BD2399"/>
    <w:rsid w:val="00BE0A0B"/>
    <w:rsid w:val="00BF6CFD"/>
    <w:rsid w:val="00C8230A"/>
    <w:rsid w:val="00C96B9C"/>
    <w:rsid w:val="00CE4C98"/>
    <w:rsid w:val="00D55DF9"/>
    <w:rsid w:val="00D762D6"/>
    <w:rsid w:val="00DD6096"/>
    <w:rsid w:val="00DF2A8C"/>
    <w:rsid w:val="00E226FF"/>
    <w:rsid w:val="00E3121B"/>
    <w:rsid w:val="00E80130"/>
    <w:rsid w:val="00EC18BD"/>
    <w:rsid w:val="00EC355B"/>
    <w:rsid w:val="00ED00A5"/>
    <w:rsid w:val="00F050DD"/>
    <w:rsid w:val="00F538A2"/>
    <w:rsid w:val="00FE0CF4"/>
    <w:rsid w:val="00FE5AC1"/>
    <w:rsid w:val="00FF6A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35824"/>
  <w15:chartTrackingRefBased/>
  <w15:docId w15:val="{32E1B299-AC07-43E1-95C4-591286698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21B"/>
    <w:rPr>
      <w:rFonts w:ascii="Times New Roman" w:hAnsi="Times New Roman"/>
      <w:sz w:val="24"/>
    </w:rPr>
  </w:style>
  <w:style w:type="paragraph" w:styleId="Heading1">
    <w:name w:val="heading 1"/>
    <w:basedOn w:val="Normal"/>
    <w:next w:val="Normal"/>
    <w:link w:val="Heading1Char"/>
    <w:autoRedefine/>
    <w:uiPriority w:val="9"/>
    <w:qFormat/>
    <w:rsid w:val="00BF6CFD"/>
    <w:pPr>
      <w:keepNext/>
      <w:keepLines/>
      <w:spacing w:before="240" w:after="0" w:line="360" w:lineRule="auto"/>
      <w:jc w:val="both"/>
      <w:outlineLvl w:val="0"/>
    </w:pPr>
    <w:rPr>
      <w:rFonts w:eastAsia="Times New Roman" w:cstheme="majorBidi"/>
      <w:b/>
      <w:color w:val="000000" w:themeColor="text1"/>
      <w:sz w:val="28"/>
      <w:szCs w:val="32"/>
    </w:rPr>
  </w:style>
  <w:style w:type="paragraph" w:styleId="Heading2">
    <w:name w:val="heading 2"/>
    <w:basedOn w:val="Normal"/>
    <w:next w:val="Normal"/>
    <w:link w:val="Heading2Char"/>
    <w:uiPriority w:val="9"/>
    <w:semiHidden/>
    <w:unhideWhenUsed/>
    <w:qFormat/>
    <w:rsid w:val="00E80130"/>
    <w:pPr>
      <w:keepNext/>
      <w:keepLines/>
      <w:spacing w:before="120" w:after="120" w:line="360" w:lineRule="auto"/>
      <w:jc w:val="both"/>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CFD"/>
    <w:rPr>
      <w:rFonts w:ascii="Times New Roman" w:eastAsia="Times New Roman" w:hAnsi="Times New Roman" w:cstheme="majorBidi"/>
      <w:b/>
      <w:color w:val="000000" w:themeColor="text1"/>
      <w:sz w:val="28"/>
      <w:szCs w:val="32"/>
    </w:rPr>
  </w:style>
  <w:style w:type="paragraph" w:styleId="ListParagraph">
    <w:name w:val="List Paragraph"/>
    <w:basedOn w:val="Normal"/>
    <w:uiPriority w:val="34"/>
    <w:qFormat/>
    <w:rsid w:val="00FE0CF4"/>
    <w:pPr>
      <w:ind w:left="720"/>
      <w:contextualSpacing/>
    </w:pPr>
  </w:style>
  <w:style w:type="character" w:customStyle="1" w:styleId="Heading2Char">
    <w:name w:val="Heading 2 Char"/>
    <w:basedOn w:val="DefaultParagraphFont"/>
    <w:link w:val="Heading2"/>
    <w:uiPriority w:val="9"/>
    <w:semiHidden/>
    <w:rsid w:val="00E80130"/>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937F78"/>
    <w:pPr>
      <w:spacing w:line="259" w:lineRule="auto"/>
      <w:jc w:val="left"/>
      <w:outlineLvl w:val="9"/>
    </w:pPr>
    <w:rPr>
      <w:rFonts w:asciiTheme="majorHAnsi" w:eastAsiaTheme="majorEastAsia" w:hAnsiTheme="majorHAnsi"/>
      <w:b w:val="0"/>
      <w:color w:val="2E74B5" w:themeColor="accent1" w:themeShade="BF"/>
      <w:sz w:val="32"/>
    </w:rPr>
  </w:style>
  <w:style w:type="paragraph" w:styleId="TOC1">
    <w:name w:val="toc 1"/>
    <w:basedOn w:val="Normal"/>
    <w:next w:val="Normal"/>
    <w:autoRedefine/>
    <w:uiPriority w:val="39"/>
    <w:unhideWhenUsed/>
    <w:rsid w:val="00937F78"/>
    <w:pPr>
      <w:spacing w:after="100"/>
    </w:pPr>
  </w:style>
  <w:style w:type="paragraph" w:styleId="TOC2">
    <w:name w:val="toc 2"/>
    <w:basedOn w:val="Normal"/>
    <w:next w:val="Normal"/>
    <w:autoRedefine/>
    <w:uiPriority w:val="39"/>
    <w:unhideWhenUsed/>
    <w:rsid w:val="00937F78"/>
    <w:pPr>
      <w:spacing w:after="100"/>
      <w:ind w:left="240"/>
    </w:pPr>
  </w:style>
  <w:style w:type="character" w:styleId="Hyperlink">
    <w:name w:val="Hyperlink"/>
    <w:basedOn w:val="DefaultParagraphFont"/>
    <w:uiPriority w:val="99"/>
    <w:unhideWhenUsed/>
    <w:rsid w:val="00937F78"/>
    <w:rPr>
      <w:color w:val="0563C1" w:themeColor="hyperlink"/>
      <w:u w:val="single"/>
    </w:rPr>
  </w:style>
  <w:style w:type="paragraph" w:styleId="Header">
    <w:name w:val="header"/>
    <w:basedOn w:val="Normal"/>
    <w:link w:val="HeaderChar"/>
    <w:uiPriority w:val="99"/>
    <w:unhideWhenUsed/>
    <w:rsid w:val="002413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137D"/>
    <w:rPr>
      <w:rFonts w:ascii="Times New Roman" w:hAnsi="Times New Roman"/>
      <w:sz w:val="24"/>
    </w:rPr>
  </w:style>
  <w:style w:type="paragraph" w:styleId="Footer">
    <w:name w:val="footer"/>
    <w:basedOn w:val="Normal"/>
    <w:link w:val="FooterChar"/>
    <w:uiPriority w:val="99"/>
    <w:unhideWhenUsed/>
    <w:rsid w:val="002413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137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3868958">
      <w:bodyDiv w:val="1"/>
      <w:marLeft w:val="0"/>
      <w:marRight w:val="0"/>
      <w:marTop w:val="0"/>
      <w:marBottom w:val="0"/>
      <w:divBdr>
        <w:top w:val="none" w:sz="0" w:space="0" w:color="auto"/>
        <w:left w:val="none" w:sz="0" w:space="0" w:color="auto"/>
        <w:bottom w:val="none" w:sz="0" w:space="0" w:color="auto"/>
        <w:right w:val="none" w:sz="0" w:space="0" w:color="auto"/>
      </w:divBdr>
      <w:divsChild>
        <w:div w:id="1054501317">
          <w:marLeft w:val="0"/>
          <w:marRight w:val="0"/>
          <w:marTop w:val="0"/>
          <w:marBottom w:val="0"/>
          <w:divBdr>
            <w:top w:val="single" w:sz="6" w:space="0" w:color="auto"/>
            <w:left w:val="single" w:sz="6" w:space="0" w:color="auto"/>
            <w:bottom w:val="single" w:sz="6" w:space="0" w:color="auto"/>
            <w:right w:val="single" w:sz="6" w:space="0" w:color="auto"/>
          </w:divBdr>
        </w:div>
      </w:divsChild>
    </w:div>
    <w:div w:id="847907747">
      <w:bodyDiv w:val="1"/>
      <w:marLeft w:val="0"/>
      <w:marRight w:val="0"/>
      <w:marTop w:val="0"/>
      <w:marBottom w:val="0"/>
      <w:divBdr>
        <w:top w:val="none" w:sz="0" w:space="0" w:color="auto"/>
        <w:left w:val="none" w:sz="0" w:space="0" w:color="auto"/>
        <w:bottom w:val="none" w:sz="0" w:space="0" w:color="auto"/>
        <w:right w:val="none" w:sz="0" w:space="0" w:color="auto"/>
      </w:divBdr>
      <w:divsChild>
        <w:div w:id="1380205187">
          <w:marLeft w:val="0"/>
          <w:marRight w:val="0"/>
          <w:marTop w:val="0"/>
          <w:marBottom w:val="0"/>
          <w:divBdr>
            <w:top w:val="single" w:sz="6" w:space="0" w:color="auto"/>
            <w:left w:val="single" w:sz="6" w:space="0" w:color="auto"/>
            <w:bottom w:val="single" w:sz="6" w:space="0" w:color="auto"/>
            <w:right w:val="single" w:sz="6" w:space="0" w:color="auto"/>
          </w:divBdr>
        </w:div>
      </w:divsChild>
    </w:div>
    <w:div w:id="858474602">
      <w:bodyDiv w:val="1"/>
      <w:marLeft w:val="0"/>
      <w:marRight w:val="0"/>
      <w:marTop w:val="0"/>
      <w:marBottom w:val="0"/>
      <w:divBdr>
        <w:top w:val="none" w:sz="0" w:space="0" w:color="auto"/>
        <w:left w:val="none" w:sz="0" w:space="0" w:color="auto"/>
        <w:bottom w:val="none" w:sz="0" w:space="0" w:color="auto"/>
        <w:right w:val="none" w:sz="0" w:space="0" w:color="auto"/>
      </w:divBdr>
      <w:divsChild>
        <w:div w:id="501627085">
          <w:marLeft w:val="0"/>
          <w:marRight w:val="0"/>
          <w:marTop w:val="0"/>
          <w:marBottom w:val="0"/>
          <w:divBdr>
            <w:top w:val="single" w:sz="6" w:space="0" w:color="auto"/>
            <w:left w:val="single" w:sz="6" w:space="0" w:color="auto"/>
            <w:bottom w:val="single" w:sz="6" w:space="0" w:color="auto"/>
            <w:right w:val="single" w:sz="6" w:space="0" w:color="auto"/>
          </w:divBdr>
        </w:div>
      </w:divsChild>
    </w:div>
    <w:div w:id="1023435655">
      <w:bodyDiv w:val="1"/>
      <w:marLeft w:val="0"/>
      <w:marRight w:val="0"/>
      <w:marTop w:val="0"/>
      <w:marBottom w:val="0"/>
      <w:divBdr>
        <w:top w:val="none" w:sz="0" w:space="0" w:color="auto"/>
        <w:left w:val="none" w:sz="0" w:space="0" w:color="auto"/>
        <w:bottom w:val="none" w:sz="0" w:space="0" w:color="auto"/>
        <w:right w:val="none" w:sz="0" w:space="0" w:color="auto"/>
      </w:divBdr>
      <w:divsChild>
        <w:div w:id="1475221493">
          <w:marLeft w:val="0"/>
          <w:marRight w:val="0"/>
          <w:marTop w:val="0"/>
          <w:marBottom w:val="0"/>
          <w:divBdr>
            <w:top w:val="single" w:sz="6" w:space="0" w:color="auto"/>
            <w:left w:val="single" w:sz="6" w:space="0" w:color="auto"/>
            <w:bottom w:val="single" w:sz="6" w:space="0" w:color="auto"/>
            <w:right w:val="single" w:sz="6" w:space="0" w:color="auto"/>
          </w:divBdr>
        </w:div>
      </w:divsChild>
    </w:div>
    <w:div w:id="1182091613">
      <w:bodyDiv w:val="1"/>
      <w:marLeft w:val="0"/>
      <w:marRight w:val="0"/>
      <w:marTop w:val="0"/>
      <w:marBottom w:val="0"/>
      <w:divBdr>
        <w:top w:val="none" w:sz="0" w:space="0" w:color="auto"/>
        <w:left w:val="none" w:sz="0" w:space="0" w:color="auto"/>
        <w:bottom w:val="none" w:sz="0" w:space="0" w:color="auto"/>
        <w:right w:val="none" w:sz="0" w:space="0" w:color="auto"/>
      </w:divBdr>
      <w:divsChild>
        <w:div w:id="1714381985">
          <w:marLeft w:val="0"/>
          <w:marRight w:val="0"/>
          <w:marTop w:val="0"/>
          <w:marBottom w:val="0"/>
          <w:divBdr>
            <w:top w:val="single" w:sz="6" w:space="0" w:color="auto"/>
            <w:left w:val="single" w:sz="6" w:space="0" w:color="auto"/>
            <w:bottom w:val="single" w:sz="6" w:space="0" w:color="auto"/>
            <w:right w:val="single" w:sz="6" w:space="0" w:color="auto"/>
          </w:divBdr>
        </w:div>
      </w:divsChild>
    </w:div>
    <w:div w:id="1380130188">
      <w:bodyDiv w:val="1"/>
      <w:marLeft w:val="0"/>
      <w:marRight w:val="0"/>
      <w:marTop w:val="0"/>
      <w:marBottom w:val="0"/>
      <w:divBdr>
        <w:top w:val="none" w:sz="0" w:space="0" w:color="auto"/>
        <w:left w:val="none" w:sz="0" w:space="0" w:color="auto"/>
        <w:bottom w:val="none" w:sz="0" w:space="0" w:color="auto"/>
        <w:right w:val="none" w:sz="0" w:space="0" w:color="auto"/>
      </w:divBdr>
      <w:divsChild>
        <w:div w:id="1223907439">
          <w:marLeft w:val="0"/>
          <w:marRight w:val="0"/>
          <w:marTop w:val="0"/>
          <w:marBottom w:val="0"/>
          <w:divBdr>
            <w:top w:val="single" w:sz="6" w:space="0" w:color="auto"/>
            <w:left w:val="single" w:sz="6" w:space="0" w:color="auto"/>
            <w:bottom w:val="single" w:sz="6" w:space="0" w:color="auto"/>
            <w:right w:val="single" w:sz="6" w:space="0" w:color="auto"/>
          </w:divBdr>
        </w:div>
      </w:divsChild>
    </w:div>
    <w:div w:id="1799100826">
      <w:bodyDiv w:val="1"/>
      <w:marLeft w:val="0"/>
      <w:marRight w:val="0"/>
      <w:marTop w:val="0"/>
      <w:marBottom w:val="0"/>
      <w:divBdr>
        <w:top w:val="none" w:sz="0" w:space="0" w:color="auto"/>
        <w:left w:val="none" w:sz="0" w:space="0" w:color="auto"/>
        <w:bottom w:val="none" w:sz="0" w:space="0" w:color="auto"/>
        <w:right w:val="none" w:sz="0" w:space="0" w:color="auto"/>
      </w:divBdr>
      <w:divsChild>
        <w:div w:id="1154837156">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42"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F2E0837-64EB-4B1F-9EF0-FC52060A84C3}">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CC447E5D-63DB-4476-8F7E-7D88E8710E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12</Pages>
  <Words>2886</Words>
  <Characters>16455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Oleg Goncear</cp:lastModifiedBy>
  <cp:revision>64</cp:revision>
  <dcterms:created xsi:type="dcterms:W3CDTF">2024-04-30T16:09:00Z</dcterms:created>
  <dcterms:modified xsi:type="dcterms:W3CDTF">2024-05-09T23:11:00Z</dcterms:modified>
</cp:coreProperties>
</file>