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pStyle w:val="Title"/>
        <w:jc w:val="center"/>
      </w:pPr>
    </w:p>
    <w:p w:rsidR="00EC29DC" w:rsidRPr="00EC29DC" w:rsidRDefault="00EC29DC" w:rsidP="00EC29DC">
      <w:pPr>
        <w:pStyle w:val="Title"/>
        <w:jc w:val="center"/>
      </w:pPr>
      <w:r w:rsidRPr="00EC29DC">
        <w:t>Strategic Management &amp; Sustainability</w:t>
      </w:r>
    </w:p>
    <w:p w:rsidR="00EC29DC" w:rsidRDefault="00EC29DC" w:rsidP="00EC29DC">
      <w:pPr>
        <w:pStyle w:val="Title"/>
        <w:jc w:val="center"/>
      </w:pPr>
      <w:r>
        <w:t>Written Report</w:t>
      </w: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p>
    <w:p w:rsidR="00EC29DC" w:rsidRDefault="00EC29DC" w:rsidP="00EC29DC">
      <w:pPr>
        <w:spacing w:line="360" w:lineRule="auto"/>
        <w:jc w:val="both"/>
        <w:rPr>
          <w:rFonts w:ascii="Times New Roman" w:hAnsi="Times New Roman" w:cs="Times New Roman"/>
          <w:sz w:val="24"/>
        </w:rPr>
      </w:pPr>
      <w:r>
        <w:rPr>
          <w:rFonts w:ascii="Times New Roman" w:hAnsi="Times New Roman" w:cs="Times New Roman"/>
          <w:sz w:val="24"/>
        </w:rPr>
        <w:t xml:space="preserve">Name: </w:t>
      </w:r>
      <w:r w:rsidRPr="00EC29DC">
        <w:rPr>
          <w:rFonts w:ascii="Times New Roman" w:hAnsi="Times New Roman" w:cs="Times New Roman"/>
          <w:sz w:val="24"/>
        </w:rPr>
        <w:t>Ovidiu Guzi</w:t>
      </w:r>
    </w:p>
    <w:p w:rsidR="00B82494" w:rsidRDefault="00B82494" w:rsidP="00EC29DC">
      <w:pPr>
        <w:spacing w:line="360" w:lineRule="auto"/>
        <w:jc w:val="both"/>
        <w:rPr>
          <w:rFonts w:ascii="Times New Roman" w:hAnsi="Times New Roman" w:cs="Times New Roman"/>
          <w:sz w:val="24"/>
        </w:rPr>
      </w:pPr>
    </w:p>
    <w:sdt>
      <w:sdtPr>
        <w:rPr>
          <w:rFonts w:asciiTheme="minorHAnsi" w:eastAsiaTheme="minorHAnsi" w:hAnsiTheme="minorHAnsi" w:cstheme="minorBidi"/>
          <w:color w:val="auto"/>
          <w:sz w:val="22"/>
          <w:szCs w:val="22"/>
          <w:lang w:val="ro-RO"/>
        </w:rPr>
        <w:id w:val="1928537621"/>
        <w:docPartObj>
          <w:docPartGallery w:val="Table of Contents"/>
          <w:docPartUnique/>
        </w:docPartObj>
      </w:sdtPr>
      <w:sdtEndPr>
        <w:rPr>
          <w:b/>
          <w:bCs/>
          <w:noProof/>
        </w:rPr>
      </w:sdtEndPr>
      <w:sdtContent>
        <w:p w:rsidR="00B82494" w:rsidRDefault="00B82494">
          <w:pPr>
            <w:pStyle w:val="TOCHeading"/>
          </w:pPr>
          <w:r>
            <w:t>Table of Contents</w:t>
          </w:r>
        </w:p>
        <w:p w:rsidR="00B82494" w:rsidRDefault="00B82494">
          <w:pPr>
            <w:pStyle w:val="TOC1"/>
            <w:tabs>
              <w:tab w:val="right" w:leader="dot" w:pos="9062"/>
            </w:tabs>
            <w:rPr>
              <w:noProof/>
            </w:rPr>
          </w:pPr>
          <w:r>
            <w:fldChar w:fldCharType="begin"/>
          </w:r>
          <w:r>
            <w:instrText xml:space="preserve"> TOC \o "1-3" \h \z \u </w:instrText>
          </w:r>
          <w:r>
            <w:fldChar w:fldCharType="separate"/>
          </w:r>
          <w:hyperlink w:anchor="_Toc164589268" w:history="1">
            <w:r w:rsidRPr="009730C0">
              <w:rPr>
                <w:rStyle w:val="Hyperlink"/>
                <w:noProof/>
              </w:rPr>
              <w:t>Introduction</w:t>
            </w:r>
            <w:r>
              <w:rPr>
                <w:noProof/>
                <w:webHidden/>
              </w:rPr>
              <w:tab/>
            </w:r>
            <w:r>
              <w:rPr>
                <w:noProof/>
                <w:webHidden/>
              </w:rPr>
              <w:fldChar w:fldCharType="begin"/>
            </w:r>
            <w:r>
              <w:rPr>
                <w:noProof/>
                <w:webHidden/>
              </w:rPr>
              <w:instrText xml:space="preserve"> PAGEREF _Toc164589268 \h </w:instrText>
            </w:r>
            <w:r>
              <w:rPr>
                <w:noProof/>
                <w:webHidden/>
              </w:rPr>
            </w:r>
            <w:r>
              <w:rPr>
                <w:noProof/>
                <w:webHidden/>
              </w:rPr>
              <w:fldChar w:fldCharType="separate"/>
            </w:r>
            <w:r>
              <w:rPr>
                <w:noProof/>
                <w:webHidden/>
              </w:rPr>
              <w:t>2</w:t>
            </w:r>
            <w:r>
              <w:rPr>
                <w:noProof/>
                <w:webHidden/>
              </w:rPr>
              <w:fldChar w:fldCharType="end"/>
            </w:r>
          </w:hyperlink>
        </w:p>
        <w:p w:rsidR="00B82494" w:rsidRDefault="00364D93">
          <w:pPr>
            <w:pStyle w:val="TOC1"/>
            <w:tabs>
              <w:tab w:val="right" w:leader="dot" w:pos="9062"/>
            </w:tabs>
            <w:rPr>
              <w:noProof/>
            </w:rPr>
          </w:pPr>
          <w:hyperlink w:anchor="_Toc164589269" w:history="1">
            <w:r w:rsidR="00B82494" w:rsidRPr="009730C0">
              <w:rPr>
                <w:rStyle w:val="Hyperlink"/>
                <w:noProof/>
              </w:rPr>
              <w:t>Company Background</w:t>
            </w:r>
            <w:r w:rsidR="00B82494">
              <w:rPr>
                <w:noProof/>
                <w:webHidden/>
              </w:rPr>
              <w:tab/>
            </w:r>
            <w:r w:rsidR="00B82494">
              <w:rPr>
                <w:noProof/>
                <w:webHidden/>
              </w:rPr>
              <w:fldChar w:fldCharType="begin"/>
            </w:r>
            <w:r w:rsidR="00B82494">
              <w:rPr>
                <w:noProof/>
                <w:webHidden/>
              </w:rPr>
              <w:instrText xml:space="preserve"> PAGEREF _Toc164589269 \h </w:instrText>
            </w:r>
            <w:r w:rsidR="00B82494">
              <w:rPr>
                <w:noProof/>
                <w:webHidden/>
              </w:rPr>
            </w:r>
            <w:r w:rsidR="00B82494">
              <w:rPr>
                <w:noProof/>
                <w:webHidden/>
              </w:rPr>
              <w:fldChar w:fldCharType="separate"/>
            </w:r>
            <w:r w:rsidR="00B82494">
              <w:rPr>
                <w:noProof/>
                <w:webHidden/>
              </w:rPr>
              <w:t>2</w:t>
            </w:r>
            <w:r w:rsidR="00B82494">
              <w:rPr>
                <w:noProof/>
                <w:webHidden/>
              </w:rPr>
              <w:fldChar w:fldCharType="end"/>
            </w:r>
          </w:hyperlink>
        </w:p>
        <w:p w:rsidR="00B82494" w:rsidRDefault="00364D93">
          <w:pPr>
            <w:pStyle w:val="TOC1"/>
            <w:tabs>
              <w:tab w:val="right" w:leader="dot" w:pos="9062"/>
            </w:tabs>
            <w:rPr>
              <w:noProof/>
            </w:rPr>
          </w:pPr>
          <w:hyperlink w:anchor="_Toc164589270" w:history="1">
            <w:r w:rsidR="00B82494" w:rsidRPr="009730C0">
              <w:rPr>
                <w:rStyle w:val="Hyperlink"/>
                <w:noProof/>
              </w:rPr>
              <w:t>Identifying key business and corporate strategies (Strategic Choices)</w:t>
            </w:r>
            <w:r w:rsidR="00B82494">
              <w:rPr>
                <w:noProof/>
                <w:webHidden/>
              </w:rPr>
              <w:tab/>
            </w:r>
            <w:r w:rsidR="00B82494">
              <w:rPr>
                <w:noProof/>
                <w:webHidden/>
              </w:rPr>
              <w:fldChar w:fldCharType="begin"/>
            </w:r>
            <w:r w:rsidR="00B82494">
              <w:rPr>
                <w:noProof/>
                <w:webHidden/>
              </w:rPr>
              <w:instrText xml:space="preserve"> PAGEREF _Toc164589270 \h </w:instrText>
            </w:r>
            <w:r w:rsidR="00B82494">
              <w:rPr>
                <w:noProof/>
                <w:webHidden/>
              </w:rPr>
            </w:r>
            <w:r w:rsidR="00B82494">
              <w:rPr>
                <w:noProof/>
                <w:webHidden/>
              </w:rPr>
              <w:fldChar w:fldCharType="separate"/>
            </w:r>
            <w:r w:rsidR="00B82494">
              <w:rPr>
                <w:noProof/>
                <w:webHidden/>
              </w:rPr>
              <w:t>2</w:t>
            </w:r>
            <w:r w:rsidR="00B82494">
              <w:rPr>
                <w:noProof/>
                <w:webHidden/>
              </w:rPr>
              <w:fldChar w:fldCharType="end"/>
            </w:r>
          </w:hyperlink>
        </w:p>
        <w:p w:rsidR="00B82494" w:rsidRDefault="00364D93">
          <w:pPr>
            <w:pStyle w:val="TOC2"/>
            <w:tabs>
              <w:tab w:val="right" w:leader="dot" w:pos="9062"/>
            </w:tabs>
            <w:rPr>
              <w:noProof/>
            </w:rPr>
          </w:pPr>
          <w:hyperlink w:anchor="_Toc164589271" w:history="1">
            <w:r w:rsidR="00B82494" w:rsidRPr="009730C0">
              <w:rPr>
                <w:rStyle w:val="Hyperlink"/>
                <w:noProof/>
              </w:rPr>
              <w:t>Porter’s Generic Strategies</w:t>
            </w:r>
            <w:r w:rsidR="00B82494">
              <w:rPr>
                <w:noProof/>
                <w:webHidden/>
              </w:rPr>
              <w:tab/>
            </w:r>
            <w:r w:rsidR="00B82494">
              <w:rPr>
                <w:noProof/>
                <w:webHidden/>
              </w:rPr>
              <w:fldChar w:fldCharType="begin"/>
            </w:r>
            <w:r w:rsidR="00B82494">
              <w:rPr>
                <w:noProof/>
                <w:webHidden/>
              </w:rPr>
              <w:instrText xml:space="preserve"> PAGEREF _Toc164589271 \h </w:instrText>
            </w:r>
            <w:r w:rsidR="00B82494">
              <w:rPr>
                <w:noProof/>
                <w:webHidden/>
              </w:rPr>
            </w:r>
            <w:r w:rsidR="00B82494">
              <w:rPr>
                <w:noProof/>
                <w:webHidden/>
              </w:rPr>
              <w:fldChar w:fldCharType="separate"/>
            </w:r>
            <w:r w:rsidR="00B82494">
              <w:rPr>
                <w:noProof/>
                <w:webHidden/>
              </w:rPr>
              <w:t>2</w:t>
            </w:r>
            <w:r w:rsidR="00B82494">
              <w:rPr>
                <w:noProof/>
                <w:webHidden/>
              </w:rPr>
              <w:fldChar w:fldCharType="end"/>
            </w:r>
          </w:hyperlink>
        </w:p>
        <w:p w:rsidR="00B82494" w:rsidRDefault="00364D93">
          <w:pPr>
            <w:pStyle w:val="TOC2"/>
            <w:tabs>
              <w:tab w:val="right" w:leader="dot" w:pos="9062"/>
            </w:tabs>
            <w:rPr>
              <w:noProof/>
            </w:rPr>
          </w:pPr>
          <w:hyperlink w:anchor="_Toc164589272" w:history="1">
            <w:r w:rsidR="00B82494" w:rsidRPr="009730C0">
              <w:rPr>
                <w:rStyle w:val="Hyperlink"/>
                <w:noProof/>
              </w:rPr>
              <w:t>Ansoff Matrix</w:t>
            </w:r>
            <w:r w:rsidR="00B82494">
              <w:rPr>
                <w:noProof/>
                <w:webHidden/>
              </w:rPr>
              <w:tab/>
            </w:r>
            <w:r w:rsidR="00B82494">
              <w:rPr>
                <w:noProof/>
                <w:webHidden/>
              </w:rPr>
              <w:fldChar w:fldCharType="begin"/>
            </w:r>
            <w:r w:rsidR="00B82494">
              <w:rPr>
                <w:noProof/>
                <w:webHidden/>
              </w:rPr>
              <w:instrText xml:space="preserve"> PAGEREF _Toc164589272 \h </w:instrText>
            </w:r>
            <w:r w:rsidR="00B82494">
              <w:rPr>
                <w:noProof/>
                <w:webHidden/>
              </w:rPr>
            </w:r>
            <w:r w:rsidR="00B82494">
              <w:rPr>
                <w:noProof/>
                <w:webHidden/>
              </w:rPr>
              <w:fldChar w:fldCharType="separate"/>
            </w:r>
            <w:r w:rsidR="00B82494">
              <w:rPr>
                <w:noProof/>
                <w:webHidden/>
              </w:rPr>
              <w:t>3</w:t>
            </w:r>
            <w:r w:rsidR="00B82494">
              <w:rPr>
                <w:noProof/>
                <w:webHidden/>
              </w:rPr>
              <w:fldChar w:fldCharType="end"/>
            </w:r>
          </w:hyperlink>
        </w:p>
        <w:p w:rsidR="00B82494" w:rsidRDefault="00364D93">
          <w:pPr>
            <w:pStyle w:val="TOC1"/>
            <w:tabs>
              <w:tab w:val="right" w:leader="dot" w:pos="9062"/>
            </w:tabs>
            <w:rPr>
              <w:noProof/>
            </w:rPr>
          </w:pPr>
          <w:hyperlink w:anchor="_Toc164589273" w:history="1">
            <w:r w:rsidR="00B82494" w:rsidRPr="009730C0">
              <w:rPr>
                <w:rStyle w:val="Hyperlink"/>
                <w:noProof/>
              </w:rPr>
              <w:t>Analyzing resources and capabilities (Alignment to Strategy)</w:t>
            </w:r>
            <w:r w:rsidR="00B82494">
              <w:rPr>
                <w:noProof/>
                <w:webHidden/>
              </w:rPr>
              <w:tab/>
            </w:r>
            <w:r w:rsidR="00B82494">
              <w:rPr>
                <w:noProof/>
                <w:webHidden/>
              </w:rPr>
              <w:fldChar w:fldCharType="begin"/>
            </w:r>
            <w:r w:rsidR="00B82494">
              <w:rPr>
                <w:noProof/>
                <w:webHidden/>
              </w:rPr>
              <w:instrText xml:space="preserve"> PAGEREF _Toc164589273 \h </w:instrText>
            </w:r>
            <w:r w:rsidR="00B82494">
              <w:rPr>
                <w:noProof/>
                <w:webHidden/>
              </w:rPr>
            </w:r>
            <w:r w:rsidR="00B82494">
              <w:rPr>
                <w:noProof/>
                <w:webHidden/>
              </w:rPr>
              <w:fldChar w:fldCharType="separate"/>
            </w:r>
            <w:r w:rsidR="00B82494">
              <w:rPr>
                <w:noProof/>
                <w:webHidden/>
              </w:rPr>
              <w:t>3</w:t>
            </w:r>
            <w:r w:rsidR="00B82494">
              <w:rPr>
                <w:noProof/>
                <w:webHidden/>
              </w:rPr>
              <w:fldChar w:fldCharType="end"/>
            </w:r>
          </w:hyperlink>
        </w:p>
        <w:p w:rsidR="00B82494" w:rsidRDefault="00364D93">
          <w:pPr>
            <w:pStyle w:val="TOC2"/>
            <w:tabs>
              <w:tab w:val="right" w:leader="dot" w:pos="9062"/>
            </w:tabs>
            <w:rPr>
              <w:noProof/>
            </w:rPr>
          </w:pPr>
          <w:hyperlink w:anchor="_Toc164589274" w:history="1">
            <w:r w:rsidR="00B82494" w:rsidRPr="009730C0">
              <w:rPr>
                <w:rStyle w:val="Hyperlink"/>
                <w:noProof/>
              </w:rPr>
              <w:t>Analysis of Value Chains and Value Systems</w:t>
            </w:r>
            <w:r w:rsidR="00B82494">
              <w:rPr>
                <w:noProof/>
                <w:webHidden/>
              </w:rPr>
              <w:tab/>
            </w:r>
            <w:r w:rsidR="00B82494">
              <w:rPr>
                <w:noProof/>
                <w:webHidden/>
              </w:rPr>
              <w:fldChar w:fldCharType="begin"/>
            </w:r>
            <w:r w:rsidR="00B82494">
              <w:rPr>
                <w:noProof/>
                <w:webHidden/>
              </w:rPr>
              <w:instrText xml:space="preserve"> PAGEREF _Toc164589274 \h </w:instrText>
            </w:r>
            <w:r w:rsidR="00B82494">
              <w:rPr>
                <w:noProof/>
                <w:webHidden/>
              </w:rPr>
            </w:r>
            <w:r w:rsidR="00B82494">
              <w:rPr>
                <w:noProof/>
                <w:webHidden/>
              </w:rPr>
              <w:fldChar w:fldCharType="separate"/>
            </w:r>
            <w:r w:rsidR="00B82494">
              <w:rPr>
                <w:noProof/>
                <w:webHidden/>
              </w:rPr>
              <w:t>3</w:t>
            </w:r>
            <w:r w:rsidR="00B82494">
              <w:rPr>
                <w:noProof/>
                <w:webHidden/>
              </w:rPr>
              <w:fldChar w:fldCharType="end"/>
            </w:r>
          </w:hyperlink>
        </w:p>
        <w:p w:rsidR="00B82494" w:rsidRDefault="00364D93">
          <w:pPr>
            <w:pStyle w:val="TOC1"/>
            <w:tabs>
              <w:tab w:val="right" w:leader="dot" w:pos="9062"/>
            </w:tabs>
            <w:rPr>
              <w:noProof/>
            </w:rPr>
          </w:pPr>
          <w:hyperlink w:anchor="_Toc164589275" w:history="1">
            <w:r w:rsidR="00B82494" w:rsidRPr="009730C0">
              <w:rPr>
                <w:rStyle w:val="Hyperlink"/>
                <w:noProof/>
              </w:rPr>
              <w:t>Evaluating Strategy in Action</w:t>
            </w:r>
            <w:r w:rsidR="00B82494">
              <w:rPr>
                <w:noProof/>
                <w:webHidden/>
              </w:rPr>
              <w:tab/>
            </w:r>
            <w:r w:rsidR="00B82494">
              <w:rPr>
                <w:noProof/>
                <w:webHidden/>
              </w:rPr>
              <w:fldChar w:fldCharType="begin"/>
            </w:r>
            <w:r w:rsidR="00B82494">
              <w:rPr>
                <w:noProof/>
                <w:webHidden/>
              </w:rPr>
              <w:instrText xml:space="preserve"> PAGEREF _Toc164589275 \h </w:instrText>
            </w:r>
            <w:r w:rsidR="00B82494">
              <w:rPr>
                <w:noProof/>
                <w:webHidden/>
              </w:rPr>
            </w:r>
            <w:r w:rsidR="00B82494">
              <w:rPr>
                <w:noProof/>
                <w:webHidden/>
              </w:rPr>
              <w:fldChar w:fldCharType="separate"/>
            </w:r>
            <w:r w:rsidR="00B82494">
              <w:rPr>
                <w:noProof/>
                <w:webHidden/>
              </w:rPr>
              <w:t>4</w:t>
            </w:r>
            <w:r w:rsidR="00B82494">
              <w:rPr>
                <w:noProof/>
                <w:webHidden/>
              </w:rPr>
              <w:fldChar w:fldCharType="end"/>
            </w:r>
          </w:hyperlink>
        </w:p>
        <w:p w:rsidR="00B82494" w:rsidRDefault="00364D93">
          <w:pPr>
            <w:pStyle w:val="TOC1"/>
            <w:tabs>
              <w:tab w:val="right" w:leader="dot" w:pos="9062"/>
            </w:tabs>
            <w:rPr>
              <w:noProof/>
            </w:rPr>
          </w:pPr>
          <w:hyperlink w:anchor="_Toc164589276" w:history="1">
            <w:r w:rsidR="00B82494" w:rsidRPr="009730C0">
              <w:rPr>
                <w:rStyle w:val="Hyperlink"/>
                <w:noProof/>
              </w:rPr>
              <w:t>Evidence of Strategy Execution</w:t>
            </w:r>
            <w:r w:rsidR="00B82494">
              <w:rPr>
                <w:noProof/>
                <w:webHidden/>
              </w:rPr>
              <w:tab/>
            </w:r>
            <w:r w:rsidR="00B82494">
              <w:rPr>
                <w:noProof/>
                <w:webHidden/>
              </w:rPr>
              <w:fldChar w:fldCharType="begin"/>
            </w:r>
            <w:r w:rsidR="00B82494">
              <w:rPr>
                <w:noProof/>
                <w:webHidden/>
              </w:rPr>
              <w:instrText xml:space="preserve"> PAGEREF _Toc164589276 \h </w:instrText>
            </w:r>
            <w:r w:rsidR="00B82494">
              <w:rPr>
                <w:noProof/>
                <w:webHidden/>
              </w:rPr>
            </w:r>
            <w:r w:rsidR="00B82494">
              <w:rPr>
                <w:noProof/>
                <w:webHidden/>
              </w:rPr>
              <w:fldChar w:fldCharType="separate"/>
            </w:r>
            <w:r w:rsidR="00B82494">
              <w:rPr>
                <w:noProof/>
                <w:webHidden/>
              </w:rPr>
              <w:t>5</w:t>
            </w:r>
            <w:r w:rsidR="00B82494">
              <w:rPr>
                <w:noProof/>
                <w:webHidden/>
              </w:rPr>
              <w:fldChar w:fldCharType="end"/>
            </w:r>
          </w:hyperlink>
        </w:p>
        <w:p w:rsidR="00B82494" w:rsidRDefault="00364D93">
          <w:pPr>
            <w:pStyle w:val="TOC1"/>
            <w:tabs>
              <w:tab w:val="right" w:leader="dot" w:pos="9062"/>
            </w:tabs>
            <w:rPr>
              <w:noProof/>
            </w:rPr>
          </w:pPr>
          <w:hyperlink w:anchor="_Toc164589277" w:history="1">
            <w:r w:rsidR="00B82494" w:rsidRPr="009730C0">
              <w:rPr>
                <w:rStyle w:val="Hyperlink"/>
                <w:noProof/>
              </w:rPr>
              <w:t>Evaluation of Sustainability Efforts</w:t>
            </w:r>
            <w:r w:rsidR="00B82494">
              <w:rPr>
                <w:noProof/>
                <w:webHidden/>
              </w:rPr>
              <w:tab/>
            </w:r>
            <w:r w:rsidR="00B82494">
              <w:rPr>
                <w:noProof/>
                <w:webHidden/>
              </w:rPr>
              <w:fldChar w:fldCharType="begin"/>
            </w:r>
            <w:r w:rsidR="00B82494">
              <w:rPr>
                <w:noProof/>
                <w:webHidden/>
              </w:rPr>
              <w:instrText xml:space="preserve"> PAGEREF _Toc164589277 \h </w:instrText>
            </w:r>
            <w:r w:rsidR="00B82494">
              <w:rPr>
                <w:noProof/>
                <w:webHidden/>
              </w:rPr>
            </w:r>
            <w:r w:rsidR="00B82494">
              <w:rPr>
                <w:noProof/>
                <w:webHidden/>
              </w:rPr>
              <w:fldChar w:fldCharType="separate"/>
            </w:r>
            <w:r w:rsidR="00B82494">
              <w:rPr>
                <w:noProof/>
                <w:webHidden/>
              </w:rPr>
              <w:t>6</w:t>
            </w:r>
            <w:r w:rsidR="00B82494">
              <w:rPr>
                <w:noProof/>
                <w:webHidden/>
              </w:rPr>
              <w:fldChar w:fldCharType="end"/>
            </w:r>
          </w:hyperlink>
        </w:p>
        <w:p w:rsidR="00B82494" w:rsidRDefault="00364D93">
          <w:pPr>
            <w:pStyle w:val="TOC2"/>
            <w:tabs>
              <w:tab w:val="right" w:leader="dot" w:pos="9062"/>
            </w:tabs>
            <w:rPr>
              <w:noProof/>
            </w:rPr>
          </w:pPr>
          <w:hyperlink w:anchor="_Toc164589278" w:history="1">
            <w:r w:rsidR="00B82494" w:rsidRPr="009730C0">
              <w:rPr>
                <w:rStyle w:val="Hyperlink"/>
                <w:noProof/>
              </w:rPr>
              <w:t>Sustainability Goals</w:t>
            </w:r>
            <w:r w:rsidR="00B82494">
              <w:rPr>
                <w:noProof/>
                <w:webHidden/>
              </w:rPr>
              <w:tab/>
            </w:r>
            <w:r w:rsidR="00B82494">
              <w:rPr>
                <w:noProof/>
                <w:webHidden/>
              </w:rPr>
              <w:fldChar w:fldCharType="begin"/>
            </w:r>
            <w:r w:rsidR="00B82494">
              <w:rPr>
                <w:noProof/>
                <w:webHidden/>
              </w:rPr>
              <w:instrText xml:space="preserve"> PAGEREF _Toc164589278 \h </w:instrText>
            </w:r>
            <w:r w:rsidR="00B82494">
              <w:rPr>
                <w:noProof/>
                <w:webHidden/>
              </w:rPr>
            </w:r>
            <w:r w:rsidR="00B82494">
              <w:rPr>
                <w:noProof/>
                <w:webHidden/>
              </w:rPr>
              <w:fldChar w:fldCharType="separate"/>
            </w:r>
            <w:r w:rsidR="00B82494">
              <w:rPr>
                <w:noProof/>
                <w:webHidden/>
              </w:rPr>
              <w:t>6</w:t>
            </w:r>
            <w:r w:rsidR="00B82494">
              <w:rPr>
                <w:noProof/>
                <w:webHidden/>
              </w:rPr>
              <w:fldChar w:fldCharType="end"/>
            </w:r>
          </w:hyperlink>
        </w:p>
        <w:p w:rsidR="00B82494" w:rsidRDefault="00364D93">
          <w:pPr>
            <w:pStyle w:val="TOC1"/>
            <w:tabs>
              <w:tab w:val="right" w:leader="dot" w:pos="9062"/>
            </w:tabs>
            <w:rPr>
              <w:noProof/>
            </w:rPr>
          </w:pPr>
          <w:hyperlink w:anchor="_Toc164589279" w:history="1">
            <w:r w:rsidR="00B82494" w:rsidRPr="009730C0">
              <w:rPr>
                <w:rStyle w:val="Hyperlink"/>
                <w:noProof/>
              </w:rPr>
              <w:t>Alignment to Corporate Strategy</w:t>
            </w:r>
            <w:r w:rsidR="00B82494">
              <w:rPr>
                <w:noProof/>
                <w:webHidden/>
              </w:rPr>
              <w:tab/>
            </w:r>
            <w:r w:rsidR="00B82494">
              <w:rPr>
                <w:noProof/>
                <w:webHidden/>
              </w:rPr>
              <w:fldChar w:fldCharType="begin"/>
            </w:r>
            <w:r w:rsidR="00B82494">
              <w:rPr>
                <w:noProof/>
                <w:webHidden/>
              </w:rPr>
              <w:instrText xml:space="preserve"> PAGEREF _Toc164589279 \h </w:instrText>
            </w:r>
            <w:r w:rsidR="00B82494">
              <w:rPr>
                <w:noProof/>
                <w:webHidden/>
              </w:rPr>
            </w:r>
            <w:r w:rsidR="00B82494">
              <w:rPr>
                <w:noProof/>
                <w:webHidden/>
              </w:rPr>
              <w:fldChar w:fldCharType="separate"/>
            </w:r>
            <w:r w:rsidR="00B82494">
              <w:rPr>
                <w:noProof/>
                <w:webHidden/>
              </w:rPr>
              <w:t>7</w:t>
            </w:r>
            <w:r w:rsidR="00B82494">
              <w:rPr>
                <w:noProof/>
                <w:webHidden/>
              </w:rPr>
              <w:fldChar w:fldCharType="end"/>
            </w:r>
          </w:hyperlink>
        </w:p>
        <w:p w:rsidR="00B82494" w:rsidRDefault="00364D93">
          <w:pPr>
            <w:pStyle w:val="TOC1"/>
            <w:tabs>
              <w:tab w:val="right" w:leader="dot" w:pos="9062"/>
            </w:tabs>
            <w:rPr>
              <w:noProof/>
            </w:rPr>
          </w:pPr>
          <w:hyperlink w:anchor="_Toc164589280" w:history="1">
            <w:r w:rsidR="00B82494" w:rsidRPr="009730C0">
              <w:rPr>
                <w:rStyle w:val="Hyperlink"/>
                <w:noProof/>
              </w:rPr>
              <w:t>Future Strategic Directions and Recommendations</w:t>
            </w:r>
            <w:r w:rsidR="00B82494">
              <w:rPr>
                <w:noProof/>
                <w:webHidden/>
              </w:rPr>
              <w:tab/>
            </w:r>
            <w:r w:rsidR="00B82494">
              <w:rPr>
                <w:noProof/>
                <w:webHidden/>
              </w:rPr>
              <w:fldChar w:fldCharType="begin"/>
            </w:r>
            <w:r w:rsidR="00B82494">
              <w:rPr>
                <w:noProof/>
                <w:webHidden/>
              </w:rPr>
              <w:instrText xml:space="preserve"> PAGEREF _Toc164589280 \h </w:instrText>
            </w:r>
            <w:r w:rsidR="00B82494">
              <w:rPr>
                <w:noProof/>
                <w:webHidden/>
              </w:rPr>
            </w:r>
            <w:r w:rsidR="00B82494">
              <w:rPr>
                <w:noProof/>
                <w:webHidden/>
              </w:rPr>
              <w:fldChar w:fldCharType="separate"/>
            </w:r>
            <w:r w:rsidR="00B82494">
              <w:rPr>
                <w:noProof/>
                <w:webHidden/>
              </w:rPr>
              <w:t>7</w:t>
            </w:r>
            <w:r w:rsidR="00B82494">
              <w:rPr>
                <w:noProof/>
                <w:webHidden/>
              </w:rPr>
              <w:fldChar w:fldCharType="end"/>
            </w:r>
          </w:hyperlink>
        </w:p>
        <w:p w:rsidR="00B82494" w:rsidRDefault="00364D93">
          <w:pPr>
            <w:pStyle w:val="TOC1"/>
            <w:tabs>
              <w:tab w:val="right" w:leader="dot" w:pos="9062"/>
            </w:tabs>
            <w:rPr>
              <w:noProof/>
            </w:rPr>
          </w:pPr>
          <w:hyperlink w:anchor="_Toc164589281" w:history="1">
            <w:r w:rsidR="00B82494" w:rsidRPr="009730C0">
              <w:rPr>
                <w:rStyle w:val="Hyperlink"/>
                <w:noProof/>
              </w:rPr>
              <w:t>References</w:t>
            </w:r>
            <w:r w:rsidR="00B82494">
              <w:rPr>
                <w:noProof/>
                <w:webHidden/>
              </w:rPr>
              <w:tab/>
            </w:r>
            <w:r w:rsidR="00B82494">
              <w:rPr>
                <w:noProof/>
                <w:webHidden/>
              </w:rPr>
              <w:fldChar w:fldCharType="begin"/>
            </w:r>
            <w:r w:rsidR="00B82494">
              <w:rPr>
                <w:noProof/>
                <w:webHidden/>
              </w:rPr>
              <w:instrText xml:space="preserve"> PAGEREF _Toc164589281 \h </w:instrText>
            </w:r>
            <w:r w:rsidR="00B82494">
              <w:rPr>
                <w:noProof/>
                <w:webHidden/>
              </w:rPr>
            </w:r>
            <w:r w:rsidR="00B82494">
              <w:rPr>
                <w:noProof/>
                <w:webHidden/>
              </w:rPr>
              <w:fldChar w:fldCharType="separate"/>
            </w:r>
            <w:r w:rsidR="00B82494">
              <w:rPr>
                <w:noProof/>
                <w:webHidden/>
              </w:rPr>
              <w:t>9</w:t>
            </w:r>
            <w:r w:rsidR="00B82494">
              <w:rPr>
                <w:noProof/>
                <w:webHidden/>
              </w:rPr>
              <w:fldChar w:fldCharType="end"/>
            </w:r>
          </w:hyperlink>
        </w:p>
        <w:p w:rsidR="00B82494" w:rsidRDefault="00B82494">
          <w:r>
            <w:rPr>
              <w:b/>
              <w:bCs/>
              <w:noProof/>
            </w:rPr>
            <w:fldChar w:fldCharType="end"/>
          </w:r>
        </w:p>
      </w:sdtContent>
    </w:sdt>
    <w:p w:rsidR="00EC29DC" w:rsidRDefault="00EC29DC"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B82494" w:rsidRDefault="00B82494" w:rsidP="00EC29DC">
      <w:pPr>
        <w:spacing w:line="360" w:lineRule="auto"/>
        <w:jc w:val="both"/>
        <w:rPr>
          <w:rFonts w:ascii="Times New Roman" w:hAnsi="Times New Roman" w:cs="Times New Roman"/>
          <w:sz w:val="24"/>
        </w:rPr>
      </w:pPr>
    </w:p>
    <w:p w:rsidR="00EC29DC" w:rsidRPr="00EC29DC" w:rsidRDefault="00EC29DC" w:rsidP="00EC29DC">
      <w:pPr>
        <w:pStyle w:val="Heading1"/>
      </w:pPr>
      <w:bookmarkStart w:id="0" w:name="_Toc164589268"/>
      <w:r w:rsidRPr="00EC29DC">
        <w:t>Introduction</w:t>
      </w:r>
      <w:bookmarkEnd w:id="0"/>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This report provides a strategic overview of GlaxoSmithKline plc, a British multinational pharmaceutical listed </w:t>
      </w:r>
      <w:r>
        <w:rPr>
          <w:rFonts w:ascii="Times New Roman" w:hAnsi="Times New Roman" w:cs="Times New Roman"/>
          <w:sz w:val="24"/>
        </w:rPr>
        <w:t>on</w:t>
      </w:r>
      <w:r w:rsidRPr="00EC29DC">
        <w:rPr>
          <w:rFonts w:ascii="Times New Roman" w:hAnsi="Times New Roman" w:cs="Times New Roman"/>
          <w:sz w:val="24"/>
        </w:rPr>
        <w:t xml:space="preserve"> the London Stock Exchange. GSK's competitiveness and direction will be assessed by examining its strategic choices, </w:t>
      </w:r>
      <w:r>
        <w:rPr>
          <w:rFonts w:ascii="Times New Roman" w:hAnsi="Times New Roman" w:cs="Times New Roman"/>
          <w:sz w:val="24"/>
        </w:rPr>
        <w:t>resource</w:t>
      </w:r>
      <w:r w:rsidRPr="00EC29DC">
        <w:rPr>
          <w:rFonts w:ascii="Times New Roman" w:hAnsi="Times New Roman" w:cs="Times New Roman"/>
          <w:sz w:val="24"/>
        </w:rPr>
        <w:t xml:space="preserve"> allocation, implementation of strategy, and sustainability initiatives. This analysis will use a variety of strategic frameworks and instruments to gain insights into GSK’s performance and its potential to create sustainable competitive advantages. The report will explore future strategic directions, and make recommendations to enhance GSK's ability to compete through sustainable practices.</w:t>
      </w:r>
    </w:p>
    <w:p w:rsidR="00EC29DC" w:rsidRPr="00EC29DC" w:rsidRDefault="00EC29DC" w:rsidP="00EC29DC">
      <w:pPr>
        <w:pStyle w:val="Heading1"/>
      </w:pPr>
      <w:bookmarkStart w:id="1" w:name="_Toc164589269"/>
      <w:r w:rsidRPr="00EC29DC">
        <w:t>Company Background</w:t>
      </w:r>
      <w:bookmarkEnd w:id="1"/>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GlaxoSmithKline plc, a global healthcare provider, is engaged in </w:t>
      </w:r>
      <w:r>
        <w:rPr>
          <w:rFonts w:ascii="Times New Roman" w:hAnsi="Times New Roman" w:cs="Times New Roman"/>
          <w:sz w:val="24"/>
        </w:rPr>
        <w:t xml:space="preserve">the </w:t>
      </w:r>
      <w:r w:rsidRPr="00EC29DC">
        <w:rPr>
          <w:rFonts w:ascii="Times New Roman" w:hAnsi="Times New Roman" w:cs="Times New Roman"/>
          <w:sz w:val="24"/>
        </w:rPr>
        <w:t>research, development</w:t>
      </w:r>
      <w:r>
        <w:rPr>
          <w:rFonts w:ascii="Times New Roman" w:hAnsi="Times New Roman" w:cs="Times New Roman"/>
          <w:sz w:val="24"/>
        </w:rPr>
        <w:t>,</w:t>
      </w:r>
      <w:r w:rsidRPr="00EC29DC">
        <w:rPr>
          <w:rFonts w:ascii="Times New Roman" w:hAnsi="Times New Roman" w:cs="Times New Roman"/>
          <w:sz w:val="24"/>
        </w:rPr>
        <w:t xml:space="preserve"> and manufacturing of pharmaceuticals, vaccines</w:t>
      </w:r>
      <w:r>
        <w:rPr>
          <w:rFonts w:ascii="Times New Roman" w:hAnsi="Times New Roman" w:cs="Times New Roman"/>
          <w:sz w:val="24"/>
        </w:rPr>
        <w:t>,</w:t>
      </w:r>
      <w:r w:rsidRPr="00EC29DC">
        <w:rPr>
          <w:rFonts w:ascii="Times New Roman" w:hAnsi="Times New Roman" w:cs="Times New Roman"/>
          <w:sz w:val="24"/>
        </w:rPr>
        <w:t xml:space="preserve"> and consumer healthcare products. (GSK, 2021). GSK, formed in 2000 by the merger of Glaxo Wellcome with SmithKline Beecham, has operations in more than 150 countries. The product portfolio of the company includes a variety of prescription drugs, vaccines</w:t>
      </w:r>
      <w:r>
        <w:rPr>
          <w:rFonts w:ascii="Times New Roman" w:hAnsi="Times New Roman" w:cs="Times New Roman"/>
          <w:sz w:val="24"/>
        </w:rPr>
        <w:t>,</w:t>
      </w:r>
      <w:r w:rsidRPr="00EC29DC">
        <w:rPr>
          <w:rFonts w:ascii="Times New Roman" w:hAnsi="Times New Roman" w:cs="Times New Roman"/>
          <w:sz w:val="24"/>
        </w:rPr>
        <w:t xml:space="preserve"> and consumer healthcare products such as Sensodyne Panadol and Voltaren. (GSK, 2021). GSK's goal is to improve human health by helping people do more, live better</w:t>
      </w:r>
      <w:r>
        <w:rPr>
          <w:rFonts w:ascii="Times New Roman" w:hAnsi="Times New Roman" w:cs="Times New Roman"/>
          <w:sz w:val="24"/>
        </w:rPr>
        <w:t>,</w:t>
      </w:r>
      <w:r w:rsidRPr="00EC29DC">
        <w:rPr>
          <w:rFonts w:ascii="Times New Roman" w:hAnsi="Times New Roman" w:cs="Times New Roman"/>
          <w:sz w:val="24"/>
        </w:rPr>
        <w:t xml:space="preserve"> and feel better (GSK, 2021).</w:t>
      </w:r>
    </w:p>
    <w:p w:rsidR="00EC29DC" w:rsidRPr="00EC29DC" w:rsidRDefault="00EC29DC" w:rsidP="00EC29DC">
      <w:pPr>
        <w:pStyle w:val="Heading1"/>
      </w:pPr>
      <w:bookmarkStart w:id="2" w:name="_Toc164589270"/>
      <w:r w:rsidRPr="00EC29DC">
        <w:t>Identifying key business and corporate strategies (Strategic Choices)</w:t>
      </w:r>
      <w:bookmarkEnd w:id="2"/>
    </w:p>
    <w:p w:rsidR="00EC29DC" w:rsidRPr="00EC29DC" w:rsidRDefault="00EC29DC" w:rsidP="00EC29DC">
      <w:pPr>
        <w:pStyle w:val="Heading2"/>
      </w:pPr>
      <w:bookmarkStart w:id="3" w:name="_Toc164589271"/>
      <w:r w:rsidRPr="00EC29DC">
        <w:t>Porter’s Generic Strategies</w:t>
      </w:r>
      <w:bookmarkEnd w:id="3"/>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employs a differentiation approach, focusing on the development of </w:t>
      </w:r>
      <w:r>
        <w:rPr>
          <w:rFonts w:ascii="Times New Roman" w:hAnsi="Times New Roman" w:cs="Times New Roman"/>
          <w:sz w:val="24"/>
        </w:rPr>
        <w:t>high-quality</w:t>
      </w:r>
      <w:r w:rsidRPr="00EC29DC">
        <w:rPr>
          <w:rFonts w:ascii="Times New Roman" w:hAnsi="Times New Roman" w:cs="Times New Roman"/>
          <w:sz w:val="24"/>
        </w:rPr>
        <w:t xml:space="preserve">, patent-protected </w:t>
      </w:r>
      <w:r>
        <w:rPr>
          <w:rFonts w:ascii="Times New Roman" w:hAnsi="Times New Roman" w:cs="Times New Roman"/>
          <w:sz w:val="24"/>
        </w:rPr>
        <w:t>medicines</w:t>
      </w:r>
      <w:r w:rsidRPr="00EC29DC">
        <w:rPr>
          <w:rFonts w:ascii="Times New Roman" w:hAnsi="Times New Roman" w:cs="Times New Roman"/>
          <w:sz w:val="24"/>
        </w:rPr>
        <w:t xml:space="preserve"> and vaccines. (Whittington and colleagues, 2020). The company invests heavily </w:t>
      </w:r>
      <w:r>
        <w:rPr>
          <w:rFonts w:ascii="Times New Roman" w:hAnsi="Times New Roman" w:cs="Times New Roman"/>
          <w:sz w:val="24"/>
        </w:rPr>
        <w:t>in developing</w:t>
      </w:r>
      <w:r w:rsidRPr="00EC29DC">
        <w:rPr>
          <w:rFonts w:ascii="Times New Roman" w:hAnsi="Times New Roman" w:cs="Times New Roman"/>
          <w:sz w:val="24"/>
        </w:rPr>
        <w:t xml:space="preserve"> products that meet unmet medical needs. This allows it to charge premium prices. GSK will invest </w:t>
      </w:r>
      <w:r w:rsidR="00613C6C">
        <w:rPr>
          <w:rFonts w:ascii="Times New Roman" w:hAnsi="Times New Roman" w:cs="Times New Roman"/>
          <w:sz w:val="24"/>
        </w:rPr>
        <w:t>£</w:t>
      </w:r>
      <w:r w:rsidRPr="00EC29DC">
        <w:rPr>
          <w:rFonts w:ascii="Times New Roman" w:hAnsi="Times New Roman" w:cs="Times New Roman"/>
          <w:sz w:val="24"/>
        </w:rPr>
        <w:t>5.1 billion (or 15.3%) of its revenue in R&amp;D by 2020. GSK's commitment to innovation allows it to distinguish itself from its competitors and maintain an edge in the market.</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consumer healthcare division also uses cost-leadership strategies, taking advantage of economies of scale, and efficient supply </w:t>
      </w:r>
      <w:r>
        <w:rPr>
          <w:rFonts w:ascii="Times New Roman" w:hAnsi="Times New Roman" w:cs="Times New Roman"/>
          <w:sz w:val="24"/>
        </w:rPr>
        <w:t>chain</w:t>
      </w:r>
      <w:r w:rsidRPr="00EC29DC">
        <w:rPr>
          <w:rFonts w:ascii="Times New Roman" w:hAnsi="Times New Roman" w:cs="Times New Roman"/>
          <w:sz w:val="24"/>
        </w:rPr>
        <w:t xml:space="preserve"> management (Whittington, et. al., 2010). The company has undertaken cost-saving measures, including streamlining manufacturing processes and optimizing the product portfolio to maintain profitability and improve operational efficiency (GSK, 2021).</w:t>
      </w:r>
    </w:p>
    <w:p w:rsidR="00EC29DC" w:rsidRPr="00EC29DC" w:rsidRDefault="00EC29DC" w:rsidP="00EC29DC">
      <w:pPr>
        <w:pStyle w:val="Heading2"/>
      </w:pPr>
      <w:bookmarkStart w:id="4" w:name="_Toc164589272"/>
      <w:r w:rsidRPr="00EC29DC">
        <w:t>Ansoff Matrix</w:t>
      </w:r>
      <w:bookmarkEnd w:id="4"/>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GSK's market penetration strategy is a combination of product development and market development (Ansoff</w:t>
      </w:r>
      <w:r>
        <w:rPr>
          <w:rFonts w:ascii="Times New Roman" w:hAnsi="Times New Roman" w:cs="Times New Roman"/>
          <w:sz w:val="24"/>
        </w:rPr>
        <w:t>,</w:t>
      </w:r>
      <w:r w:rsidRPr="00EC29DC">
        <w:rPr>
          <w:rFonts w:ascii="Times New Roman" w:hAnsi="Times New Roman" w:cs="Times New Roman"/>
          <w:sz w:val="24"/>
        </w:rPr>
        <w:t xml:space="preserve"> 1957). The company aims to increase its share of the market in established markets by promoting its products and expanding its presence </w:t>
      </w:r>
      <w:r>
        <w:rPr>
          <w:rFonts w:ascii="Times New Roman" w:hAnsi="Times New Roman" w:cs="Times New Roman"/>
          <w:sz w:val="24"/>
        </w:rPr>
        <w:t>in</w:t>
      </w:r>
      <w:r w:rsidRPr="00EC29DC">
        <w:rPr>
          <w:rFonts w:ascii="Times New Roman" w:hAnsi="Times New Roman" w:cs="Times New Roman"/>
          <w:sz w:val="24"/>
        </w:rPr>
        <w:t xml:space="preserve"> emerging markets (GSK</w:t>
      </w:r>
      <w:r>
        <w:rPr>
          <w:rFonts w:ascii="Times New Roman" w:hAnsi="Times New Roman" w:cs="Times New Roman"/>
          <w:sz w:val="24"/>
        </w:rPr>
        <w:t>,</w:t>
      </w:r>
      <w:r w:rsidRPr="00EC29DC">
        <w:rPr>
          <w:rFonts w:ascii="Times New Roman" w:hAnsi="Times New Roman" w:cs="Times New Roman"/>
          <w:sz w:val="24"/>
        </w:rPr>
        <w:t xml:space="preserve"> 2021). GSK, for example, has invested in its marketing and sales capabilities in China and India </w:t>
      </w:r>
      <w:r>
        <w:rPr>
          <w:rFonts w:ascii="Times New Roman" w:hAnsi="Times New Roman" w:cs="Times New Roman"/>
          <w:sz w:val="24"/>
        </w:rPr>
        <w:t>to</w:t>
      </w:r>
      <w:r w:rsidRPr="00EC29DC">
        <w:rPr>
          <w:rFonts w:ascii="Times New Roman" w:hAnsi="Times New Roman" w:cs="Times New Roman"/>
          <w:sz w:val="24"/>
        </w:rPr>
        <w:t xml:space="preserve"> take advantage of the growing demand in these countries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product development is one of its key areas of focus, as it continuously innovates, </w:t>
      </w:r>
      <w:r>
        <w:rPr>
          <w:rFonts w:ascii="Times New Roman" w:hAnsi="Times New Roman" w:cs="Times New Roman"/>
          <w:sz w:val="24"/>
        </w:rPr>
        <w:t xml:space="preserve">and </w:t>
      </w:r>
      <w:r w:rsidRPr="00EC29DC">
        <w:rPr>
          <w:rFonts w:ascii="Times New Roman" w:hAnsi="Times New Roman" w:cs="Times New Roman"/>
          <w:sz w:val="24"/>
        </w:rPr>
        <w:t xml:space="preserve">introduces new medicines, and vaccines, to meet evolving healthcare needs (Whittington, et. al., 2010). GSK's R&amp;D portfolio includes </w:t>
      </w:r>
      <w:r>
        <w:rPr>
          <w:rFonts w:ascii="Times New Roman" w:hAnsi="Times New Roman" w:cs="Times New Roman"/>
          <w:sz w:val="24"/>
        </w:rPr>
        <w:t>some</w:t>
      </w:r>
      <w:r w:rsidRPr="00EC29DC">
        <w:rPr>
          <w:rFonts w:ascii="Times New Roman" w:hAnsi="Times New Roman" w:cs="Times New Roman"/>
          <w:sz w:val="24"/>
        </w:rPr>
        <w:t xml:space="preserve"> innovative products such as a vaccine candidate for respiratory syncytial (RSV) virus and a novel treatment against multiple myeloma. GSK's ability to maintain and expand its market position is enhanced by developing new products.</w:t>
      </w:r>
    </w:p>
    <w:p w:rsidR="00EC29DC" w:rsidRPr="00EC29DC" w:rsidRDefault="00EC29DC" w:rsidP="00EC29DC">
      <w:pPr>
        <w:pStyle w:val="Heading1"/>
      </w:pPr>
      <w:bookmarkStart w:id="5" w:name="_Toc164589273"/>
      <w:r>
        <w:t>Analyzing</w:t>
      </w:r>
      <w:r w:rsidRPr="00EC29DC">
        <w:t xml:space="preserve"> resources and capabilities (Alignment to Strategy)</w:t>
      </w:r>
      <w:bookmarkEnd w:id="5"/>
    </w:p>
    <w:p w:rsidR="00EC29DC" w:rsidRDefault="00EC29DC" w:rsidP="00EC29DC">
      <w:pPr>
        <w:pStyle w:val="Heading2"/>
      </w:pPr>
      <w:bookmarkStart w:id="6" w:name="_Toc164589274"/>
      <w:r w:rsidRPr="00EC29DC">
        <w:t>Analysis of Value Chains and Value Systems</w:t>
      </w:r>
      <w:bookmarkEnd w:id="6"/>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value </w:t>
      </w:r>
      <w:r>
        <w:rPr>
          <w:rFonts w:ascii="Times New Roman" w:hAnsi="Times New Roman" w:cs="Times New Roman"/>
          <w:sz w:val="24"/>
        </w:rPr>
        <w:t>chain</w:t>
      </w:r>
      <w:r w:rsidRPr="00EC29DC">
        <w:rPr>
          <w:rFonts w:ascii="Times New Roman" w:hAnsi="Times New Roman" w:cs="Times New Roman"/>
          <w:sz w:val="24"/>
        </w:rPr>
        <w:t xml:space="preserve"> activities are aligned with the differentiation strategy. Porter, 1985) states that the company's primary functions, including R&amp;D and manufacturing, are focused on creating innovative, high-quality products. GSK's R&amp;D is an important component of the value chain. It allows GSK to create new medicines and vaccines, which address unmet medical </w:t>
      </w:r>
      <w:r>
        <w:rPr>
          <w:rFonts w:ascii="Times New Roman" w:hAnsi="Times New Roman" w:cs="Times New Roman"/>
          <w:sz w:val="24"/>
        </w:rPr>
        <w:t>needs</w:t>
      </w:r>
      <w:r w:rsidRPr="00EC29DC">
        <w:rPr>
          <w:rFonts w:ascii="Times New Roman" w:hAnsi="Times New Roman" w:cs="Times New Roman"/>
          <w:sz w:val="24"/>
        </w:rPr>
        <w:t xml:space="preserve"> (GSK, 2021). The company works with academic institutions, contract research organizations, and biotech companies to improve its R&amp;D capability and access cutting-edge technology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must also ensure that its products are produced efficiently and reliably (Porter 1985). GSK operates a global manufacturing network that adheres to </w:t>
      </w:r>
      <w:r>
        <w:rPr>
          <w:rFonts w:ascii="Times New Roman" w:hAnsi="Times New Roman" w:cs="Times New Roman"/>
          <w:sz w:val="24"/>
        </w:rPr>
        <w:t>high-quality</w:t>
      </w:r>
      <w:r w:rsidRPr="00EC29DC">
        <w:rPr>
          <w:rFonts w:ascii="Times New Roman" w:hAnsi="Times New Roman" w:cs="Times New Roman"/>
          <w:sz w:val="24"/>
        </w:rPr>
        <w:t xml:space="preserve"> standards and regulatory requirements. The company has invested in advanced manufacturing techniques, such as 3D printing and continuous manufacturing, to increase efficiency and lower costs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GSK's marketing and sales activities play a crucial role in maintaining its market position and promoting its products (Porter</w:t>
      </w:r>
      <w:r>
        <w:rPr>
          <w:rFonts w:ascii="Times New Roman" w:hAnsi="Times New Roman" w:cs="Times New Roman"/>
          <w:sz w:val="24"/>
        </w:rPr>
        <w:t>,</w:t>
      </w:r>
      <w:r w:rsidRPr="00EC29DC">
        <w:rPr>
          <w:rFonts w:ascii="Times New Roman" w:hAnsi="Times New Roman" w:cs="Times New Roman"/>
          <w:sz w:val="24"/>
        </w:rPr>
        <w:t xml:space="preserve"> 1985). GSK uses its global distribution network, and its partnerships with healthcare providers, to ensure that its products reach the patients efficiently (GSK 2021). Direct-to-consumer marketing and digital initiatives are also used by the company to increase awareness of its products and boost sales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w:t>
      </w:r>
      <w:r>
        <w:rPr>
          <w:rFonts w:ascii="Times New Roman" w:hAnsi="Times New Roman" w:cs="Times New Roman"/>
          <w:sz w:val="24"/>
        </w:rPr>
        <w:t>value system</w:t>
      </w:r>
      <w:r w:rsidRPr="00EC29DC">
        <w:rPr>
          <w:rFonts w:ascii="Times New Roman" w:hAnsi="Times New Roman" w:cs="Times New Roman"/>
          <w:sz w:val="24"/>
        </w:rPr>
        <w:t xml:space="preserve"> extends beyond the company's internal activities as it collaborates with different stakeholders to create value. (Porter</w:t>
      </w:r>
      <w:r>
        <w:rPr>
          <w:rFonts w:ascii="Times New Roman" w:hAnsi="Times New Roman" w:cs="Times New Roman"/>
          <w:sz w:val="24"/>
        </w:rPr>
        <w:t>,</w:t>
      </w:r>
      <w:r w:rsidRPr="00EC29DC">
        <w:rPr>
          <w:rFonts w:ascii="Times New Roman" w:hAnsi="Times New Roman" w:cs="Times New Roman"/>
          <w:sz w:val="24"/>
        </w:rPr>
        <w:t xml:space="preserve"> 1985). GSK works with healthcare providers, suppliers, distributors</w:t>
      </w:r>
      <w:r>
        <w:rPr>
          <w:rFonts w:ascii="Times New Roman" w:hAnsi="Times New Roman" w:cs="Times New Roman"/>
          <w:sz w:val="24"/>
        </w:rPr>
        <w:t>,</w:t>
      </w:r>
      <w:r w:rsidRPr="00EC29DC">
        <w:rPr>
          <w:rFonts w:ascii="Times New Roman" w:hAnsi="Times New Roman" w:cs="Times New Roman"/>
          <w:sz w:val="24"/>
        </w:rPr>
        <w:t xml:space="preserve"> and distributors to ensure that materials, information</w:t>
      </w:r>
      <w:r>
        <w:rPr>
          <w:rFonts w:ascii="Times New Roman" w:hAnsi="Times New Roman" w:cs="Times New Roman"/>
          <w:sz w:val="24"/>
        </w:rPr>
        <w:t>,</w:t>
      </w:r>
      <w:r w:rsidRPr="00EC29DC">
        <w:rPr>
          <w:rFonts w:ascii="Times New Roman" w:hAnsi="Times New Roman" w:cs="Times New Roman"/>
          <w:sz w:val="24"/>
        </w:rPr>
        <w:t xml:space="preserve"> and products are flowing smoothly throughout the value chain (GSK, 2021). The company engages with regulatory groups, patient advocacy groups, and other stakeholders to understand healthcare needs and help shape the industry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VRIO analysis GSK's main resources and capabilities are its R&amp;D expertise and patent portfolio, as well as its global manufacturing and distribution networks and strong brand image (Barney</w:t>
      </w:r>
      <w:r>
        <w:rPr>
          <w:rFonts w:ascii="Times New Roman" w:hAnsi="Times New Roman" w:cs="Times New Roman"/>
          <w:sz w:val="24"/>
        </w:rPr>
        <w:t>,</w:t>
      </w:r>
      <w:r w:rsidRPr="00EC29DC">
        <w:rPr>
          <w:rFonts w:ascii="Times New Roman" w:hAnsi="Times New Roman" w:cs="Times New Roman"/>
          <w:sz w:val="24"/>
        </w:rPr>
        <w:t xml:space="preserve"> 1991). These resources are important because they allow GSK to create innovative products, guarantee reliable supply</w:t>
      </w:r>
      <w:r>
        <w:rPr>
          <w:rFonts w:ascii="Times New Roman" w:hAnsi="Times New Roman" w:cs="Times New Roman"/>
          <w:sz w:val="24"/>
        </w:rPr>
        <w:t>,</w:t>
      </w:r>
      <w:r w:rsidRPr="00EC29DC">
        <w:rPr>
          <w:rFonts w:ascii="Times New Roman" w:hAnsi="Times New Roman" w:cs="Times New Roman"/>
          <w:sz w:val="24"/>
        </w:rPr>
        <w:t xml:space="preserve"> and charge premium prices (Whittington, et. al., 2010). GSK's R&amp;D abilities, in particular</w:t>
      </w:r>
      <w:r>
        <w:rPr>
          <w:rFonts w:ascii="Times New Roman" w:hAnsi="Times New Roman" w:cs="Times New Roman"/>
          <w:sz w:val="24"/>
        </w:rPr>
        <w:t>,</w:t>
      </w:r>
      <w:r w:rsidRPr="00EC29DC">
        <w:rPr>
          <w:rFonts w:ascii="Times New Roman" w:hAnsi="Times New Roman" w:cs="Times New Roman"/>
          <w:sz w:val="24"/>
        </w:rPr>
        <w:t xml:space="preserve"> are difficult to duplicate because they are the product of years of experience, investment</w:t>
      </w:r>
      <w:r>
        <w:rPr>
          <w:rFonts w:ascii="Times New Roman" w:hAnsi="Times New Roman" w:cs="Times New Roman"/>
          <w:sz w:val="24"/>
        </w:rPr>
        <w:t>,</w:t>
      </w:r>
      <w:r w:rsidRPr="00EC29DC">
        <w:rPr>
          <w:rFonts w:ascii="Times New Roman" w:hAnsi="Times New Roman" w:cs="Times New Roman"/>
          <w:sz w:val="24"/>
        </w:rPr>
        <w:t xml:space="preserve"> and collaboration with leading research institutes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portfolio of patents is another important resource. It gives the company exclusive rights to market and </w:t>
      </w:r>
      <w:r>
        <w:rPr>
          <w:rFonts w:ascii="Times New Roman" w:hAnsi="Times New Roman" w:cs="Times New Roman"/>
          <w:sz w:val="24"/>
        </w:rPr>
        <w:t>manufactures</w:t>
      </w:r>
      <w:r w:rsidRPr="00EC29DC">
        <w:rPr>
          <w:rFonts w:ascii="Times New Roman" w:hAnsi="Times New Roman" w:cs="Times New Roman"/>
          <w:sz w:val="24"/>
        </w:rPr>
        <w:t xml:space="preserve"> its products (Barney</w:t>
      </w:r>
      <w:r>
        <w:rPr>
          <w:rFonts w:ascii="Times New Roman" w:hAnsi="Times New Roman" w:cs="Times New Roman"/>
          <w:sz w:val="24"/>
        </w:rPr>
        <w:t>,</w:t>
      </w:r>
      <w:r w:rsidRPr="00EC29DC">
        <w:rPr>
          <w:rFonts w:ascii="Times New Roman" w:hAnsi="Times New Roman" w:cs="Times New Roman"/>
          <w:sz w:val="24"/>
        </w:rPr>
        <w:t xml:space="preserve"> 1991). Patents granted by the company cover a large range of vaccines and medicines, providing it with a competitive edge and protecting its intellectual properties (GSK, 2021). GSK's global distribution and manufacturing network is another valuable resource. It allows the company to deliver and produce its products effectively and efficiently (Barney, 1992).</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reputation as a brand is an intangible asset that reflects its history of innovation, trust, and quality (Barney, 1992). Brand equity allows the company to stand out from its competitors and gain customer loyalty (GSK, 2021). To maintain its competitive </w:t>
      </w:r>
      <w:r>
        <w:rPr>
          <w:rFonts w:ascii="Times New Roman" w:hAnsi="Times New Roman" w:cs="Times New Roman"/>
          <w:sz w:val="24"/>
        </w:rPr>
        <w:t>advantage</w:t>
      </w:r>
      <w:r w:rsidRPr="00EC29DC">
        <w:rPr>
          <w:rFonts w:ascii="Times New Roman" w:hAnsi="Times New Roman" w:cs="Times New Roman"/>
          <w:sz w:val="24"/>
        </w:rPr>
        <w:t>, the company needs to invest continuously in R&amp;D and adapt to the changing dynamics of the market (GSK, 2021).</w:t>
      </w:r>
    </w:p>
    <w:p w:rsidR="00EC29DC" w:rsidRPr="00EC29DC" w:rsidRDefault="00EC29DC" w:rsidP="00EC29DC">
      <w:pPr>
        <w:pStyle w:val="Heading1"/>
      </w:pPr>
      <w:bookmarkStart w:id="7" w:name="_Toc164589275"/>
      <w:r w:rsidRPr="00EC29DC">
        <w:t>Evaluating Strategy in Action</w:t>
      </w:r>
      <w:bookmarkEnd w:id="7"/>
      <w:r w:rsidRPr="00EC29DC">
        <w:t xml:space="preserve"> </w:t>
      </w:r>
    </w:p>
    <w:p w:rsidR="00EC29DC" w:rsidRPr="00EC29DC" w:rsidRDefault="00EC29DC" w:rsidP="00EC29DC">
      <w:pPr>
        <w:spacing w:line="360" w:lineRule="auto"/>
        <w:jc w:val="both"/>
        <w:rPr>
          <w:rFonts w:ascii="Times New Roman" w:hAnsi="Times New Roman" w:cs="Times New Roman"/>
          <w:sz w:val="24"/>
        </w:rPr>
      </w:pPr>
      <w:r>
        <w:rPr>
          <w:rFonts w:ascii="Times New Roman" w:hAnsi="Times New Roman" w:cs="Times New Roman"/>
          <w:sz w:val="24"/>
        </w:rPr>
        <w:t>The framework</w:t>
      </w:r>
      <w:r w:rsidRPr="00EC29DC">
        <w:rPr>
          <w:rFonts w:ascii="Times New Roman" w:hAnsi="Times New Roman" w:cs="Times New Roman"/>
          <w:sz w:val="24"/>
        </w:rPr>
        <w:t xml:space="preserve"> of Suitability Acceptability and Feasibility GSK's strategy is suitable as it aligns with the </w:t>
      </w:r>
      <w:r>
        <w:rPr>
          <w:rFonts w:ascii="Times New Roman" w:hAnsi="Times New Roman" w:cs="Times New Roman"/>
          <w:sz w:val="24"/>
        </w:rPr>
        <w:t>company's</w:t>
      </w:r>
      <w:r w:rsidRPr="00EC29DC">
        <w:rPr>
          <w:rFonts w:ascii="Times New Roman" w:hAnsi="Times New Roman" w:cs="Times New Roman"/>
          <w:sz w:val="24"/>
        </w:rPr>
        <w:t xml:space="preserve"> strengths and industry growth potential (Johnson et al. 2017). GSK's focus on differentiation and innovation allows it to take advantage of the growing demand for innovative vaccines and medicines, especially in areas like oncology, immunity, and infectious disease (GSK, 2021). GSK's strategies address both the challenges of patent expirations and generic competitors and allow it to protect its market position and maintain a pipeline full of new products.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The strategies are accepted by stakeholders because they create value for shareholders while improving patient outcomes. (GSK, 2021). GSK's commitments to quality and innovation are well received by regulators, patients, and healthcare providers. It shows the company's commitment to meeting unmet medical needs. Employees also benefit from the company's strategic plans, which provide them with opportunities for development, growth</w:t>
      </w:r>
      <w:r>
        <w:rPr>
          <w:rFonts w:ascii="Times New Roman" w:hAnsi="Times New Roman" w:cs="Times New Roman"/>
          <w:sz w:val="24"/>
        </w:rPr>
        <w:t>,</w:t>
      </w:r>
      <w:r w:rsidRPr="00EC29DC">
        <w:rPr>
          <w:rFonts w:ascii="Times New Roman" w:hAnsi="Times New Roman" w:cs="Times New Roman"/>
          <w:sz w:val="24"/>
        </w:rPr>
        <w:t xml:space="preserve"> and meaningful work.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financial strength and R&amp;D capabilities allow the company to implement its strategies (GSK, 2021). In 2020, the company had a revenue of </w:t>
      </w:r>
      <w:r w:rsidR="00613C6C">
        <w:rPr>
          <w:rFonts w:ascii="Times New Roman" w:hAnsi="Times New Roman" w:cs="Times New Roman"/>
          <w:sz w:val="24"/>
        </w:rPr>
        <w:t>£</w:t>
      </w:r>
      <w:r w:rsidRPr="00EC29DC">
        <w:rPr>
          <w:rFonts w:ascii="Times New Roman" w:hAnsi="Times New Roman" w:cs="Times New Roman"/>
          <w:sz w:val="24"/>
        </w:rPr>
        <w:t xml:space="preserve">34.1billion, and a profit of </w:t>
      </w:r>
      <w:r w:rsidR="00613C6C">
        <w:rPr>
          <w:rFonts w:ascii="Times New Roman" w:hAnsi="Times New Roman" w:cs="Times New Roman"/>
          <w:sz w:val="24"/>
        </w:rPr>
        <w:t>£</w:t>
      </w:r>
      <w:r w:rsidRPr="00EC29DC">
        <w:rPr>
          <w:rFonts w:ascii="Times New Roman" w:hAnsi="Times New Roman" w:cs="Times New Roman"/>
          <w:sz w:val="24"/>
        </w:rPr>
        <w:t xml:space="preserve">6.4billion (GSK, 2021). GSK can use its financial strength to support </w:t>
      </w:r>
      <w:r>
        <w:rPr>
          <w:rFonts w:ascii="Times New Roman" w:hAnsi="Times New Roman" w:cs="Times New Roman"/>
          <w:sz w:val="24"/>
        </w:rPr>
        <w:t>its</w:t>
      </w:r>
      <w:r w:rsidRPr="00EC29DC">
        <w:rPr>
          <w:rFonts w:ascii="Times New Roman" w:hAnsi="Times New Roman" w:cs="Times New Roman"/>
          <w:sz w:val="24"/>
        </w:rPr>
        <w:t xml:space="preserve"> strategies by investing in R&amp;D and manufacturing activities. Global presence and partnerships of the company also help to implement its strategies as they give access to different markets, talents, and resources. (GSK, 2021).</w:t>
      </w:r>
    </w:p>
    <w:p w:rsidR="00EC29DC" w:rsidRDefault="00EC29DC" w:rsidP="00EC29DC">
      <w:pPr>
        <w:pStyle w:val="Heading1"/>
      </w:pPr>
      <w:bookmarkStart w:id="8" w:name="_Toc164589276"/>
      <w:r w:rsidRPr="00EC29DC">
        <w:t>Evidence of Strategy Execution</w:t>
      </w:r>
      <w:bookmarkEnd w:id="8"/>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has successfully executed its strategies as evidenced by </w:t>
      </w:r>
      <w:r>
        <w:rPr>
          <w:rFonts w:ascii="Times New Roman" w:hAnsi="Times New Roman" w:cs="Times New Roman"/>
          <w:sz w:val="24"/>
        </w:rPr>
        <w:t>its</w:t>
      </w:r>
      <w:r w:rsidRPr="00EC29DC">
        <w:rPr>
          <w:rFonts w:ascii="Times New Roman" w:hAnsi="Times New Roman" w:cs="Times New Roman"/>
          <w:sz w:val="24"/>
        </w:rPr>
        <w:t xml:space="preserve"> strong pipeline of innovative </w:t>
      </w:r>
      <w:r>
        <w:rPr>
          <w:rFonts w:ascii="Times New Roman" w:hAnsi="Times New Roman" w:cs="Times New Roman"/>
          <w:sz w:val="24"/>
        </w:rPr>
        <w:t>products</w:t>
      </w:r>
      <w:r w:rsidRPr="00EC29DC">
        <w:rPr>
          <w:rFonts w:ascii="Times New Roman" w:hAnsi="Times New Roman" w:cs="Times New Roman"/>
          <w:sz w:val="24"/>
        </w:rPr>
        <w:t xml:space="preserve">, its expanding presence in emerging </w:t>
      </w:r>
      <w:r>
        <w:rPr>
          <w:rFonts w:ascii="Times New Roman" w:hAnsi="Times New Roman" w:cs="Times New Roman"/>
          <w:sz w:val="24"/>
        </w:rPr>
        <w:t>markets</w:t>
      </w:r>
      <w:r w:rsidRPr="00EC29DC">
        <w:rPr>
          <w:rFonts w:ascii="Times New Roman" w:hAnsi="Times New Roman" w:cs="Times New Roman"/>
          <w:sz w:val="24"/>
        </w:rPr>
        <w:t>, and its strategic partnerships (GSK</w:t>
      </w:r>
      <w:r>
        <w:rPr>
          <w:rFonts w:ascii="Times New Roman" w:hAnsi="Times New Roman" w:cs="Times New Roman"/>
          <w:sz w:val="24"/>
        </w:rPr>
        <w:t>,</w:t>
      </w:r>
      <w:r w:rsidRPr="00EC29DC">
        <w:rPr>
          <w:rFonts w:ascii="Times New Roman" w:hAnsi="Times New Roman" w:cs="Times New Roman"/>
          <w:sz w:val="24"/>
        </w:rPr>
        <w:t xml:space="preserve"> 2021). In recent years, the company launched </w:t>
      </w:r>
      <w:r>
        <w:rPr>
          <w:rFonts w:ascii="Times New Roman" w:hAnsi="Times New Roman" w:cs="Times New Roman"/>
          <w:sz w:val="24"/>
        </w:rPr>
        <w:t>several</w:t>
      </w:r>
      <w:r w:rsidRPr="00EC29DC">
        <w:rPr>
          <w:rFonts w:ascii="Times New Roman" w:hAnsi="Times New Roman" w:cs="Times New Roman"/>
          <w:sz w:val="24"/>
        </w:rPr>
        <w:t xml:space="preserve"> new medicines and vaccinations, including Shingrix, for shingles prevention, and Trelegy Ellipta, for COPD treatment. (GSK, 2021). Shingrix, for example, generated sales of </w:t>
      </w:r>
      <w:r w:rsidR="00613C6C">
        <w:rPr>
          <w:rFonts w:ascii="Times New Roman" w:hAnsi="Times New Roman" w:cs="Times New Roman"/>
          <w:sz w:val="24"/>
        </w:rPr>
        <w:t>£</w:t>
      </w:r>
      <w:r>
        <w:rPr>
          <w:rFonts w:ascii="Times New Roman" w:hAnsi="Times New Roman" w:cs="Times New Roman"/>
          <w:sz w:val="24"/>
        </w:rPr>
        <w:t>1.8 billion</w:t>
      </w:r>
      <w:r w:rsidRPr="00EC29DC">
        <w:rPr>
          <w:rFonts w:ascii="Times New Roman" w:hAnsi="Times New Roman" w:cs="Times New Roman"/>
          <w:sz w:val="24"/>
        </w:rPr>
        <w:t xml:space="preserve"> in 2020.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also strengthened its position </w:t>
      </w:r>
      <w:r>
        <w:rPr>
          <w:rFonts w:ascii="Times New Roman" w:hAnsi="Times New Roman" w:cs="Times New Roman"/>
          <w:sz w:val="24"/>
        </w:rPr>
        <w:t>in</w:t>
      </w:r>
      <w:r w:rsidRPr="00EC29DC">
        <w:rPr>
          <w:rFonts w:ascii="Times New Roman" w:hAnsi="Times New Roman" w:cs="Times New Roman"/>
          <w:sz w:val="24"/>
        </w:rPr>
        <w:t xml:space="preserve"> emerging markets by investing and collaborating in targeted ways (GSK, 2021). The company has a strong presence </w:t>
      </w:r>
      <w:r>
        <w:rPr>
          <w:rFonts w:ascii="Times New Roman" w:hAnsi="Times New Roman" w:cs="Times New Roman"/>
          <w:sz w:val="24"/>
        </w:rPr>
        <w:t>in</w:t>
      </w:r>
      <w:r w:rsidRPr="00EC29DC">
        <w:rPr>
          <w:rFonts w:ascii="Times New Roman" w:hAnsi="Times New Roman" w:cs="Times New Roman"/>
          <w:sz w:val="24"/>
        </w:rPr>
        <w:t xml:space="preserve"> the Chinese market, where sales are expected to grow by 12% by 2020 (GSK</w:t>
      </w:r>
      <w:r>
        <w:rPr>
          <w:rFonts w:ascii="Times New Roman" w:hAnsi="Times New Roman" w:cs="Times New Roman"/>
          <w:sz w:val="24"/>
        </w:rPr>
        <w:t>,</w:t>
      </w:r>
      <w:r w:rsidRPr="00EC29DC">
        <w:rPr>
          <w:rFonts w:ascii="Times New Roman" w:hAnsi="Times New Roman" w:cs="Times New Roman"/>
          <w:sz w:val="24"/>
        </w:rPr>
        <w:t xml:space="preserve"> 2021). GSK formed strategic partnerships with companies in China, including Alibaba Health, </w:t>
      </w:r>
      <w:r>
        <w:rPr>
          <w:rFonts w:ascii="Times New Roman" w:hAnsi="Times New Roman" w:cs="Times New Roman"/>
          <w:sz w:val="24"/>
        </w:rPr>
        <w:t>to expand its reach and leverage</w:t>
      </w:r>
      <w:r w:rsidRPr="00EC29DC">
        <w:rPr>
          <w:rFonts w:ascii="Times New Roman" w:hAnsi="Times New Roman" w:cs="Times New Roman"/>
          <w:sz w:val="24"/>
        </w:rPr>
        <w:t xml:space="preserve"> digital technologies.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 in addition to geographical expansion, has also engaged in strategic partnerships to improve its R&amp;D capabilities. This will enhance the product portfolio and R&amp;D capabilities of GSK (GSK, 2021). The company has, for example, collaborated with CureVac on mRNA-based vaccinations and acquired Tesaro to enhance its position in cancer treatments (GSK, 2021).</w:t>
      </w:r>
    </w:p>
    <w:p w:rsidR="00EC29DC" w:rsidRPr="00EC29DC" w:rsidRDefault="00EC29DC" w:rsidP="00EC29DC">
      <w:pPr>
        <w:pStyle w:val="Heading1"/>
      </w:pPr>
      <w:bookmarkStart w:id="9" w:name="_Toc164589277"/>
      <w:r w:rsidRPr="00EC29DC">
        <w:t>Evaluation of Sustainability Efforts</w:t>
      </w:r>
      <w:bookmarkEnd w:id="9"/>
      <w:r w:rsidRPr="00EC29DC">
        <w:t xml:space="preserve"> </w:t>
      </w:r>
    </w:p>
    <w:p w:rsidR="00EC29DC" w:rsidRPr="00EC29DC" w:rsidRDefault="00EC29DC" w:rsidP="00EC29DC">
      <w:pPr>
        <w:pStyle w:val="Heading2"/>
      </w:pPr>
      <w:bookmarkStart w:id="10" w:name="_Toc164589278"/>
      <w:r w:rsidRPr="00EC29DC">
        <w:t>Sustainability Goals</w:t>
      </w:r>
      <w:bookmarkEnd w:id="10"/>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set ambitious sustainability targets, with a focus on reducing the company's environmental impact, improving healthcare access, and promoting ethical </w:t>
      </w:r>
      <w:r>
        <w:rPr>
          <w:rFonts w:ascii="Times New Roman" w:hAnsi="Times New Roman" w:cs="Times New Roman"/>
          <w:sz w:val="24"/>
        </w:rPr>
        <w:t>business practices</w:t>
      </w:r>
      <w:r w:rsidRPr="00EC29DC">
        <w:rPr>
          <w:rFonts w:ascii="Times New Roman" w:hAnsi="Times New Roman" w:cs="Times New Roman"/>
          <w:sz w:val="24"/>
        </w:rPr>
        <w:t xml:space="preserve"> (GSK, 2021). The company's goal is to have a </w:t>
      </w:r>
      <w:r>
        <w:rPr>
          <w:rFonts w:ascii="Times New Roman" w:hAnsi="Times New Roman" w:cs="Times New Roman"/>
          <w:sz w:val="24"/>
        </w:rPr>
        <w:t>zero impact</w:t>
      </w:r>
      <w:r w:rsidRPr="00EC29DC">
        <w:rPr>
          <w:rFonts w:ascii="Times New Roman" w:hAnsi="Times New Roman" w:cs="Times New Roman"/>
          <w:sz w:val="24"/>
        </w:rPr>
        <w:t xml:space="preserve"> on the climate by 2030 and a positive impact on nature (GSK, 2021). GSK has pledged to reduce its carbon emissions from operations by 100% by 2030 and invest in energy-efficient and renewable technologies.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strives for improved access to healthcare by improving the affordability and availability of its vaccines and medicines in developing countries. (GSK, 2021). The company has pledged to provide access to its innovative products for 80% of </w:t>
      </w:r>
      <w:r>
        <w:rPr>
          <w:rFonts w:ascii="Times New Roman" w:hAnsi="Times New Roman" w:cs="Times New Roman"/>
          <w:sz w:val="24"/>
        </w:rPr>
        <w:t>the world's</w:t>
      </w:r>
      <w:r w:rsidRPr="00EC29DC">
        <w:rPr>
          <w:rFonts w:ascii="Times New Roman" w:hAnsi="Times New Roman" w:cs="Times New Roman"/>
          <w:sz w:val="24"/>
        </w:rPr>
        <w:t xml:space="preserve"> population by 2025. (GSK, 2012). GSK collaborates with government, NGOs</w:t>
      </w:r>
      <w:r>
        <w:rPr>
          <w:rFonts w:ascii="Times New Roman" w:hAnsi="Times New Roman" w:cs="Times New Roman"/>
          <w:sz w:val="24"/>
        </w:rPr>
        <w:t>,</w:t>
      </w:r>
      <w:r w:rsidRPr="00EC29DC">
        <w:rPr>
          <w:rFonts w:ascii="Times New Roman" w:hAnsi="Times New Roman" w:cs="Times New Roman"/>
          <w:sz w:val="24"/>
        </w:rPr>
        <w:t xml:space="preserve"> and other stakeholders </w:t>
      </w:r>
      <w:r>
        <w:rPr>
          <w:rFonts w:ascii="Times New Roman" w:hAnsi="Times New Roman" w:cs="Times New Roman"/>
          <w:sz w:val="24"/>
        </w:rPr>
        <w:t>to</w:t>
      </w:r>
      <w:r w:rsidRPr="00EC29DC">
        <w:rPr>
          <w:rFonts w:ascii="Times New Roman" w:hAnsi="Times New Roman" w:cs="Times New Roman"/>
          <w:sz w:val="24"/>
        </w:rPr>
        <w:t xml:space="preserve"> improve healthcare systems and tackle global health challenges such as HIV/AIDS and malaria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has a strong focus on ethical business practices. It has also established a robust governance structure to ensure compliance and </w:t>
      </w:r>
      <w:r>
        <w:rPr>
          <w:rFonts w:ascii="Times New Roman" w:hAnsi="Times New Roman" w:cs="Times New Roman"/>
          <w:sz w:val="24"/>
        </w:rPr>
        <w:t>transparency</w:t>
      </w:r>
      <w:r w:rsidRPr="00EC29DC">
        <w:rPr>
          <w:rFonts w:ascii="Times New Roman" w:hAnsi="Times New Roman" w:cs="Times New Roman"/>
          <w:sz w:val="24"/>
        </w:rPr>
        <w:t xml:space="preserve"> (GSK, 2021). The company takes a </w:t>
      </w:r>
      <w:r>
        <w:rPr>
          <w:rFonts w:ascii="Times New Roman" w:hAnsi="Times New Roman" w:cs="Times New Roman"/>
          <w:sz w:val="24"/>
        </w:rPr>
        <w:t>zero-tolerance</w:t>
      </w:r>
      <w:r w:rsidRPr="00EC29DC">
        <w:rPr>
          <w:rFonts w:ascii="Times New Roman" w:hAnsi="Times New Roman" w:cs="Times New Roman"/>
          <w:sz w:val="24"/>
        </w:rPr>
        <w:t xml:space="preserve"> approach to bribery, corruption</w:t>
      </w:r>
      <w:r>
        <w:rPr>
          <w:rFonts w:ascii="Times New Roman" w:hAnsi="Times New Roman" w:cs="Times New Roman"/>
          <w:sz w:val="24"/>
        </w:rPr>
        <w:t>,</w:t>
      </w:r>
      <w:r w:rsidRPr="00EC29DC">
        <w:rPr>
          <w:rFonts w:ascii="Times New Roman" w:hAnsi="Times New Roman" w:cs="Times New Roman"/>
          <w:sz w:val="24"/>
        </w:rPr>
        <w:t xml:space="preserve"> and other ethical issues. It also provides employees with regular training on these topics (GSK</w:t>
      </w:r>
      <w:r>
        <w:rPr>
          <w:rFonts w:ascii="Times New Roman" w:hAnsi="Times New Roman" w:cs="Times New Roman"/>
          <w:sz w:val="24"/>
        </w:rPr>
        <w:t>,</w:t>
      </w:r>
      <w:r w:rsidRPr="00EC29DC">
        <w:rPr>
          <w:rFonts w:ascii="Times New Roman" w:hAnsi="Times New Roman" w:cs="Times New Roman"/>
          <w:sz w:val="24"/>
        </w:rPr>
        <w:t xml:space="preserve"> 2021). GSK promotes diversity in the workplace and has set goals to increase the number of women and minorities in leadership roles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sustainability strategy encompasses all aspects of the company's operations. The company established a Sustainable Procurement Programme </w:t>
      </w:r>
      <w:r>
        <w:rPr>
          <w:rFonts w:ascii="Times New Roman" w:hAnsi="Times New Roman" w:cs="Times New Roman"/>
          <w:sz w:val="24"/>
        </w:rPr>
        <w:t>to</w:t>
      </w:r>
      <w:r w:rsidRPr="00EC29DC">
        <w:rPr>
          <w:rFonts w:ascii="Times New Roman" w:hAnsi="Times New Roman" w:cs="Times New Roman"/>
          <w:sz w:val="24"/>
        </w:rPr>
        <w:t xml:space="preserve"> ensure that all of its suppliers adhered to strict environmental and social standards. (GSK, 2021). GSK conducts regular assessments </w:t>
      </w:r>
      <w:r>
        <w:rPr>
          <w:rFonts w:ascii="Times New Roman" w:hAnsi="Times New Roman" w:cs="Times New Roman"/>
          <w:sz w:val="24"/>
        </w:rPr>
        <w:t>of</w:t>
      </w:r>
      <w:r w:rsidRPr="00EC29DC">
        <w:rPr>
          <w:rFonts w:ascii="Times New Roman" w:hAnsi="Times New Roman" w:cs="Times New Roman"/>
          <w:sz w:val="24"/>
        </w:rPr>
        <w:t xml:space="preserve"> its supply chain </w:t>
      </w:r>
      <w:r>
        <w:rPr>
          <w:rFonts w:ascii="Times New Roman" w:hAnsi="Times New Roman" w:cs="Times New Roman"/>
          <w:sz w:val="24"/>
        </w:rPr>
        <w:t>to</w:t>
      </w:r>
      <w:r w:rsidRPr="00EC29DC">
        <w:rPr>
          <w:rFonts w:ascii="Times New Roman" w:hAnsi="Times New Roman" w:cs="Times New Roman"/>
          <w:sz w:val="24"/>
        </w:rPr>
        <w:t xml:space="preserve"> identify and minimize potential risks related </w:t>
      </w:r>
      <w:r>
        <w:rPr>
          <w:rFonts w:ascii="Times New Roman" w:hAnsi="Times New Roman" w:cs="Times New Roman"/>
          <w:sz w:val="24"/>
        </w:rPr>
        <w:t xml:space="preserve">to </w:t>
      </w:r>
      <w:r w:rsidRPr="00EC29DC">
        <w:rPr>
          <w:rFonts w:ascii="Times New Roman" w:hAnsi="Times New Roman" w:cs="Times New Roman"/>
          <w:sz w:val="24"/>
        </w:rPr>
        <w:t>human rights, labor conditions, and environmental impacts.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also launched </w:t>
      </w:r>
      <w:r>
        <w:rPr>
          <w:rFonts w:ascii="Times New Roman" w:hAnsi="Times New Roman" w:cs="Times New Roman"/>
          <w:sz w:val="24"/>
        </w:rPr>
        <w:t>several</w:t>
      </w:r>
      <w:r w:rsidRPr="00EC29DC">
        <w:rPr>
          <w:rFonts w:ascii="Times New Roman" w:hAnsi="Times New Roman" w:cs="Times New Roman"/>
          <w:sz w:val="24"/>
        </w:rPr>
        <w:t xml:space="preserve"> initiatives to reduce its environmental impact and promote sustainable healthcare. The company, for example, has implemented a global take-back program and developed eco-friendly packaging to reduce waste and promote recycling. GSK collaborates with patients and healthcare providers to promote awareness of the importance of sustainable health practices and how to properly dispose of medicines that are no longer needed (GSK,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has developed a robust system for collecting and reporting data on its sustainability performance. This system is aligned </w:t>
      </w:r>
      <w:r>
        <w:rPr>
          <w:rFonts w:ascii="Times New Roman" w:hAnsi="Times New Roman" w:cs="Times New Roman"/>
          <w:sz w:val="24"/>
        </w:rPr>
        <w:t>with</w:t>
      </w:r>
      <w:r w:rsidRPr="00EC29DC">
        <w:rPr>
          <w:rFonts w:ascii="Times New Roman" w:hAnsi="Times New Roman" w:cs="Times New Roman"/>
          <w:sz w:val="24"/>
        </w:rPr>
        <w:t xml:space="preserve"> global standards, such as Global Reporting Initiatives (GRI) or the Sustainability Accounting Standards Boards (SASB). (GSK, 2021). The company publishes regular sustainability reports and engages in dialogue with stakeholders to share its progress and collect feedback on its sustainability initiatives (GSK</w:t>
      </w:r>
      <w:r>
        <w:rPr>
          <w:rFonts w:ascii="Times New Roman" w:hAnsi="Times New Roman" w:cs="Times New Roman"/>
          <w:sz w:val="24"/>
        </w:rPr>
        <w:t>,</w:t>
      </w:r>
      <w:r w:rsidRPr="00EC29DC">
        <w:rPr>
          <w:rFonts w:ascii="Times New Roman" w:hAnsi="Times New Roman" w:cs="Times New Roman"/>
          <w:sz w:val="24"/>
        </w:rPr>
        <w:t xml:space="preserve"> 2021).</w:t>
      </w:r>
    </w:p>
    <w:p w:rsidR="00EC29DC" w:rsidRDefault="00EC29DC" w:rsidP="00EC29DC">
      <w:pPr>
        <w:pStyle w:val="Heading1"/>
      </w:pPr>
      <w:bookmarkStart w:id="11" w:name="_Toc164589279"/>
      <w:r w:rsidRPr="00EC29DC">
        <w:t>Alignment to Corporate Strategy</w:t>
      </w:r>
      <w:bookmarkEnd w:id="11"/>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GSK’s sustainability efforts are aligned well with its corporate strategies. GSK's embedding of sustainability into its decision-making and operations processes enhances GSK's reputation, reduces risk, and creates value for its stakeholders over the long term (Epstein &amp; Buhovac</w:t>
      </w:r>
      <w:r>
        <w:rPr>
          <w:rFonts w:ascii="Times New Roman" w:hAnsi="Times New Roman" w:cs="Times New Roman"/>
          <w:sz w:val="24"/>
        </w:rPr>
        <w:t>,</w:t>
      </w:r>
      <w:r w:rsidRPr="00EC29DC">
        <w:rPr>
          <w:rFonts w:ascii="Times New Roman" w:hAnsi="Times New Roman" w:cs="Times New Roman"/>
          <w:sz w:val="24"/>
        </w:rPr>
        <w:t xml:space="preserve"> 2014). GSK's differentiation strategies, which include reducing carbon dioxide emissions and promoting healthcare access, are enhanced by sustainable practices.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GSK's commitment to innovation and R&amp;D is in line with its sustainability objectives since the development of new drugs and vaccines can help address global health issues and improve patient outcomes. (GSK, 2021). Energy-efficient technologies and initiatives to reduce waste can help the company achieve its cost leadership strategy.</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commitment </w:t>
      </w:r>
      <w:r>
        <w:rPr>
          <w:rFonts w:ascii="Times New Roman" w:hAnsi="Times New Roman" w:cs="Times New Roman"/>
          <w:sz w:val="24"/>
        </w:rPr>
        <w:t>to</w:t>
      </w:r>
      <w:r w:rsidRPr="00EC29DC">
        <w:rPr>
          <w:rFonts w:ascii="Times New Roman" w:hAnsi="Times New Roman" w:cs="Times New Roman"/>
          <w:sz w:val="24"/>
        </w:rPr>
        <w:t xml:space="preserve"> ethical business practices, diversity, and inclusion is in line with its core values, and this enhances the brand's reputation (GSK, 2021). GSK can build trust and attract top talent by fostering a culture of respect and integrity.</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GSK's risk management strategy is closely tied to its sustainability strategy. GSK's sustainability strategy is closely linked to its risk management approach. GSK can adapt and build resilience using this risk management strategy.</w:t>
      </w:r>
    </w:p>
    <w:p w:rsidR="00EC29DC" w:rsidRPr="00EC29DC" w:rsidRDefault="00EC29DC" w:rsidP="00EC29DC">
      <w:pPr>
        <w:pStyle w:val="Heading1"/>
      </w:pPr>
      <w:bookmarkStart w:id="12" w:name="_Toc164589280"/>
      <w:r w:rsidRPr="00EC29DC">
        <w:t>Future Strategic Directions and Recommendations</w:t>
      </w:r>
      <w:bookmarkEnd w:id="12"/>
      <w:r w:rsidRPr="00EC29DC">
        <w:t xml:space="preserve"> </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Looking forward, GSK must continue to </w:t>
      </w:r>
      <w:r>
        <w:rPr>
          <w:rFonts w:ascii="Times New Roman" w:hAnsi="Times New Roman" w:cs="Times New Roman"/>
          <w:sz w:val="24"/>
        </w:rPr>
        <w:t>prioritize</w:t>
      </w:r>
      <w:r w:rsidRPr="00EC29DC">
        <w:rPr>
          <w:rFonts w:ascii="Times New Roman" w:hAnsi="Times New Roman" w:cs="Times New Roman"/>
          <w:sz w:val="24"/>
        </w:rPr>
        <w:t xml:space="preserve"> innovation and sustainability </w:t>
      </w:r>
      <w:r>
        <w:rPr>
          <w:rFonts w:ascii="Times New Roman" w:hAnsi="Times New Roman" w:cs="Times New Roman"/>
          <w:sz w:val="24"/>
        </w:rPr>
        <w:t>to</w:t>
      </w:r>
      <w:r w:rsidRPr="00EC29DC">
        <w:rPr>
          <w:rFonts w:ascii="Times New Roman" w:hAnsi="Times New Roman" w:cs="Times New Roman"/>
          <w:sz w:val="24"/>
        </w:rPr>
        <w:t xml:space="preserve"> maintain its position as a leader and create value for the long term. Deloitte (2002) recommends that the company invest in new technologies such as personalized medicine and artificial intelligence to improve patient outcomes and accelerate drug discovery. GSK should explore strategic partnership and acquisition opportunities to expand its presence and access new capabilities (EY,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could set more ambitious sustainability targets to further improve its efforts. These include reducing its impact on the environment and increasing access to healthcare. (UNSDG, 2021). The company could invest </w:t>
      </w:r>
      <w:r>
        <w:rPr>
          <w:rFonts w:ascii="Times New Roman" w:hAnsi="Times New Roman" w:cs="Times New Roman"/>
          <w:sz w:val="24"/>
        </w:rPr>
        <w:t>in</w:t>
      </w:r>
      <w:r w:rsidRPr="00EC29DC">
        <w:rPr>
          <w:rFonts w:ascii="Times New Roman" w:hAnsi="Times New Roman" w:cs="Times New Roman"/>
          <w:sz w:val="24"/>
        </w:rPr>
        <w:t xml:space="preserve"> renewable energy projects, adopt circular economy principles</w:t>
      </w:r>
      <w:r>
        <w:rPr>
          <w:rFonts w:ascii="Times New Roman" w:hAnsi="Times New Roman" w:cs="Times New Roman"/>
          <w:sz w:val="24"/>
        </w:rPr>
        <w:t>,</w:t>
      </w:r>
      <w:r w:rsidRPr="00EC29DC">
        <w:rPr>
          <w:rFonts w:ascii="Times New Roman" w:hAnsi="Times New Roman" w:cs="Times New Roman"/>
          <w:sz w:val="24"/>
        </w:rPr>
        <w:t xml:space="preserve"> and collaborate with stakeholders </w:t>
      </w:r>
      <w:r>
        <w:rPr>
          <w:rFonts w:ascii="Times New Roman" w:hAnsi="Times New Roman" w:cs="Times New Roman"/>
          <w:sz w:val="24"/>
        </w:rPr>
        <w:t>to</w:t>
      </w:r>
      <w:r w:rsidRPr="00EC29DC">
        <w:rPr>
          <w:rFonts w:ascii="Times New Roman" w:hAnsi="Times New Roman" w:cs="Times New Roman"/>
          <w:sz w:val="24"/>
        </w:rPr>
        <w:t xml:space="preserve"> develop innovative funding mechanisms for improving access to healthcare (UNSDG,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must also strengthen its governance and transparency practices </w:t>
      </w:r>
      <w:r>
        <w:rPr>
          <w:rFonts w:ascii="Times New Roman" w:hAnsi="Times New Roman" w:cs="Times New Roman"/>
          <w:sz w:val="24"/>
        </w:rPr>
        <w:t>to</w:t>
      </w:r>
      <w:r w:rsidRPr="00EC29DC">
        <w:rPr>
          <w:rFonts w:ascii="Times New Roman" w:hAnsi="Times New Roman" w:cs="Times New Roman"/>
          <w:sz w:val="24"/>
        </w:rPr>
        <w:t xml:space="preserve"> maintain stakeholder confidence and minimize risks (KPMG</w:t>
      </w:r>
      <w:r>
        <w:rPr>
          <w:rFonts w:ascii="Times New Roman" w:hAnsi="Times New Roman" w:cs="Times New Roman"/>
          <w:sz w:val="24"/>
        </w:rPr>
        <w:t>,</w:t>
      </w:r>
      <w:r w:rsidRPr="00EC29DC">
        <w:rPr>
          <w:rFonts w:ascii="Times New Roman" w:hAnsi="Times New Roman" w:cs="Times New Roman"/>
          <w:sz w:val="24"/>
        </w:rPr>
        <w:t xml:space="preserve"> 2021). The company can improve its disclosures of sustainability performance. It could also engage with stakeholders </w:t>
      </w:r>
      <w:r>
        <w:rPr>
          <w:rFonts w:ascii="Times New Roman" w:hAnsi="Times New Roman" w:cs="Times New Roman"/>
          <w:sz w:val="24"/>
        </w:rPr>
        <w:t>to</w:t>
      </w:r>
      <w:r w:rsidRPr="00EC29DC">
        <w:rPr>
          <w:rFonts w:ascii="Times New Roman" w:hAnsi="Times New Roman" w:cs="Times New Roman"/>
          <w:sz w:val="24"/>
        </w:rPr>
        <w:t xml:space="preserve"> understand their expectations and integrate sustainability into executive compensation (KPMG</w:t>
      </w:r>
      <w:r>
        <w:rPr>
          <w:rFonts w:ascii="Times New Roman" w:hAnsi="Times New Roman" w:cs="Times New Roman"/>
          <w:sz w:val="24"/>
        </w:rPr>
        <w:t>,</w:t>
      </w:r>
      <w:r w:rsidRPr="00EC29DC">
        <w:rPr>
          <w:rFonts w:ascii="Times New Roman" w:hAnsi="Times New Roman" w:cs="Times New Roman"/>
          <w:sz w:val="24"/>
        </w:rPr>
        <w:t xml:space="preserve">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in addition to adopting these recommendations, should also consider a more </w:t>
      </w:r>
      <w:r>
        <w:rPr>
          <w:rFonts w:ascii="Times New Roman" w:hAnsi="Times New Roman" w:cs="Times New Roman"/>
          <w:sz w:val="24"/>
        </w:rPr>
        <w:t>proactive</w:t>
      </w:r>
      <w:r w:rsidRPr="00EC29DC">
        <w:rPr>
          <w:rFonts w:ascii="Times New Roman" w:hAnsi="Times New Roman" w:cs="Times New Roman"/>
          <w:sz w:val="24"/>
        </w:rPr>
        <w:t xml:space="preserve"> approach to leadership on sustainability. The company can leverage its resources and expertise to create systemic changes and work with other stakeholders </w:t>
      </w:r>
      <w:r>
        <w:rPr>
          <w:rFonts w:ascii="Times New Roman" w:hAnsi="Times New Roman" w:cs="Times New Roman"/>
          <w:sz w:val="24"/>
        </w:rPr>
        <w:t>to</w:t>
      </w:r>
      <w:r w:rsidRPr="00EC29DC">
        <w:rPr>
          <w:rFonts w:ascii="Times New Roman" w:hAnsi="Times New Roman" w:cs="Times New Roman"/>
          <w:sz w:val="24"/>
        </w:rPr>
        <w:t xml:space="preserve"> tackle global sustainability challenges. (WBCSD, 2021). GSK, for example, could work with government agencies, NGOs</w:t>
      </w:r>
      <w:r>
        <w:rPr>
          <w:rFonts w:ascii="Times New Roman" w:hAnsi="Times New Roman" w:cs="Times New Roman"/>
          <w:sz w:val="24"/>
        </w:rPr>
        <w:t>,</w:t>
      </w:r>
      <w:r w:rsidRPr="00EC29DC">
        <w:rPr>
          <w:rFonts w:ascii="Times New Roman" w:hAnsi="Times New Roman" w:cs="Times New Roman"/>
          <w:sz w:val="24"/>
        </w:rPr>
        <w:t xml:space="preserve"> and other companies to create innovative solutions to improve access to healthcare, reduce the environmental impact of pharmaceuticals, and promote responsible business practices. (WBCSD</w:t>
      </w:r>
      <w:r>
        <w:rPr>
          <w:rFonts w:ascii="Times New Roman" w:hAnsi="Times New Roman" w:cs="Times New Roman"/>
          <w:sz w:val="24"/>
        </w:rPr>
        <w:t>,</w:t>
      </w:r>
      <w:r w:rsidRPr="00EC29DC">
        <w:rPr>
          <w:rFonts w:ascii="Times New Roman" w:hAnsi="Times New Roman" w:cs="Times New Roman"/>
          <w:sz w:val="24"/>
        </w:rPr>
        <w:t xml:space="preserve">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 could also invest in empowering employees to make changes and building a sustainable culture. The company could offer training and resources that would help employees incorporate sustainability into their work and decision-making process (BSR</w:t>
      </w:r>
      <w:r>
        <w:rPr>
          <w:rFonts w:ascii="Times New Roman" w:hAnsi="Times New Roman" w:cs="Times New Roman"/>
          <w:sz w:val="24"/>
        </w:rPr>
        <w:t>,</w:t>
      </w:r>
      <w:r w:rsidRPr="00EC29DC">
        <w:rPr>
          <w:rFonts w:ascii="Times New Roman" w:hAnsi="Times New Roman" w:cs="Times New Roman"/>
          <w:sz w:val="24"/>
        </w:rPr>
        <w:t xml:space="preserve"> 2021). GSK could establish networks and champions for sustainability to promote knowledge sharing across the company (BSR,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 must also adapt and monitor emerging sustainability trends to remain competitive </w:t>
      </w:r>
      <w:r>
        <w:rPr>
          <w:rFonts w:ascii="Times New Roman" w:hAnsi="Times New Roman" w:cs="Times New Roman"/>
          <w:sz w:val="24"/>
        </w:rPr>
        <w:t>in</w:t>
      </w:r>
      <w:r w:rsidRPr="00EC29DC">
        <w:rPr>
          <w:rFonts w:ascii="Times New Roman" w:hAnsi="Times New Roman" w:cs="Times New Roman"/>
          <w:sz w:val="24"/>
        </w:rPr>
        <w:t xml:space="preserve"> the </w:t>
      </w:r>
      <w:r>
        <w:rPr>
          <w:rFonts w:ascii="Times New Roman" w:hAnsi="Times New Roman" w:cs="Times New Roman"/>
          <w:sz w:val="24"/>
        </w:rPr>
        <w:t>long term</w:t>
      </w:r>
      <w:r w:rsidRPr="00EC29DC">
        <w:rPr>
          <w:rFonts w:ascii="Times New Roman" w:hAnsi="Times New Roman" w:cs="Times New Roman"/>
          <w:sz w:val="24"/>
        </w:rPr>
        <w:t>. The company should engage regularly with stakeholders to better understand their changing needs and concerns, and adapt its sustainability strategy accordingly. GSK must also be aware of industry best practices and regulatory changes related to sustainability, and integrate them into its reporting and operations (GRI</w:t>
      </w:r>
      <w:r>
        <w:rPr>
          <w:rFonts w:ascii="Times New Roman" w:hAnsi="Times New Roman" w:cs="Times New Roman"/>
          <w:sz w:val="24"/>
        </w:rPr>
        <w:t>,</w:t>
      </w:r>
      <w:r w:rsidRPr="00EC29DC">
        <w:rPr>
          <w:rFonts w:ascii="Times New Roman" w:hAnsi="Times New Roman" w:cs="Times New Roman"/>
          <w:sz w:val="24"/>
        </w:rPr>
        <w:t xml:space="preserve"> 2021).</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GSK's sustainability efforts should be aligned with global frameworks, such as the United Nations Sustainable Development Goals and the Paris Agreement to combat climate change. GSK's commitment to sustainability and its contribution to these global goals can help it build its reputation and gain </w:t>
      </w:r>
      <w:r>
        <w:rPr>
          <w:rFonts w:ascii="Times New Roman" w:hAnsi="Times New Roman" w:cs="Times New Roman"/>
          <w:sz w:val="24"/>
        </w:rPr>
        <w:t xml:space="preserve">the </w:t>
      </w:r>
      <w:r w:rsidRPr="00EC29DC">
        <w:rPr>
          <w:rFonts w:ascii="Times New Roman" w:hAnsi="Times New Roman" w:cs="Times New Roman"/>
          <w:sz w:val="24"/>
        </w:rPr>
        <w:t xml:space="preserve">trust </w:t>
      </w:r>
      <w:r>
        <w:rPr>
          <w:rFonts w:ascii="Times New Roman" w:hAnsi="Times New Roman" w:cs="Times New Roman"/>
          <w:sz w:val="24"/>
        </w:rPr>
        <w:t>of</w:t>
      </w:r>
      <w:r w:rsidRPr="00EC29DC">
        <w:rPr>
          <w:rFonts w:ascii="Times New Roman" w:hAnsi="Times New Roman" w:cs="Times New Roman"/>
          <w:sz w:val="24"/>
        </w:rPr>
        <w:t xml:space="preserve"> stakeholders. It will also create value in the long term for society and </w:t>
      </w:r>
      <w:r>
        <w:rPr>
          <w:rFonts w:ascii="Times New Roman" w:hAnsi="Times New Roman" w:cs="Times New Roman"/>
          <w:sz w:val="24"/>
        </w:rPr>
        <w:t xml:space="preserve">the </w:t>
      </w:r>
      <w:r w:rsidRPr="00EC29DC">
        <w:rPr>
          <w:rFonts w:ascii="Times New Roman" w:hAnsi="Times New Roman" w:cs="Times New Roman"/>
          <w:sz w:val="24"/>
        </w:rPr>
        <w:t>environment.</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 xml:space="preserve">By prioritizing Innovation, setting ambitious Sustainability targets, and strengthening its Conclusion, the strategic analysis of GlaxoSmithKline Plc reveals that this company has successfully implemented </w:t>
      </w:r>
      <w:r>
        <w:rPr>
          <w:rFonts w:ascii="Times New Roman" w:hAnsi="Times New Roman" w:cs="Times New Roman"/>
          <w:sz w:val="24"/>
        </w:rPr>
        <w:t>its</w:t>
      </w:r>
      <w:r w:rsidRPr="00EC29DC">
        <w:rPr>
          <w:rFonts w:ascii="Times New Roman" w:hAnsi="Times New Roman" w:cs="Times New Roman"/>
          <w:sz w:val="24"/>
        </w:rPr>
        <w:t xml:space="preserve"> strategies </w:t>
      </w:r>
      <w:r>
        <w:rPr>
          <w:rFonts w:ascii="Times New Roman" w:hAnsi="Times New Roman" w:cs="Times New Roman"/>
          <w:sz w:val="24"/>
        </w:rPr>
        <w:t>to</w:t>
      </w:r>
      <w:r w:rsidRPr="00EC29DC">
        <w:rPr>
          <w:rFonts w:ascii="Times New Roman" w:hAnsi="Times New Roman" w:cs="Times New Roman"/>
          <w:sz w:val="24"/>
        </w:rPr>
        <w:t xml:space="preserve"> compete within the global pharmaceutical industry. GSK's focus </w:t>
      </w:r>
      <w:r>
        <w:rPr>
          <w:rFonts w:ascii="Times New Roman" w:hAnsi="Times New Roman" w:cs="Times New Roman"/>
          <w:sz w:val="24"/>
        </w:rPr>
        <w:t>on</w:t>
      </w:r>
      <w:r w:rsidRPr="00EC29DC">
        <w:rPr>
          <w:rFonts w:ascii="Times New Roman" w:hAnsi="Times New Roman" w:cs="Times New Roman"/>
          <w:sz w:val="24"/>
        </w:rPr>
        <w:t xml:space="preserve"> innovation, differentiation</w:t>
      </w:r>
      <w:r>
        <w:rPr>
          <w:rFonts w:ascii="Times New Roman" w:hAnsi="Times New Roman" w:cs="Times New Roman"/>
          <w:sz w:val="24"/>
        </w:rPr>
        <w:t>,</w:t>
      </w:r>
      <w:r w:rsidRPr="00EC29DC">
        <w:rPr>
          <w:rFonts w:ascii="Times New Roman" w:hAnsi="Times New Roman" w:cs="Times New Roman"/>
          <w:sz w:val="24"/>
        </w:rPr>
        <w:t xml:space="preserve"> and sustainability enabled it to position itself for growth and create competitive advantages. Strong R&amp;D capabilities and a global presence combined with a commitment to ethical practices are the foundations for GSK's long-term success.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GSK, however, must be vigilant and remain adaptable to an industry landscape that is constantly changing, marked by increased competition, regulatory pressures</w:t>
      </w:r>
      <w:r>
        <w:rPr>
          <w:rFonts w:ascii="Times New Roman" w:hAnsi="Times New Roman" w:cs="Times New Roman"/>
          <w:sz w:val="24"/>
        </w:rPr>
        <w:t>,</w:t>
      </w:r>
      <w:r w:rsidRPr="00EC29DC">
        <w:rPr>
          <w:rFonts w:ascii="Times New Roman" w:hAnsi="Times New Roman" w:cs="Times New Roman"/>
          <w:sz w:val="24"/>
        </w:rPr>
        <w:t xml:space="preserve"> and technological disruption. GSK's competitiveness can be further strengthened by investing in innovation, expanding its presence in emerging </w:t>
      </w:r>
      <w:r>
        <w:rPr>
          <w:rFonts w:ascii="Times New Roman" w:hAnsi="Times New Roman" w:cs="Times New Roman"/>
          <w:sz w:val="24"/>
        </w:rPr>
        <w:t>markets</w:t>
      </w:r>
      <w:r w:rsidRPr="00EC29DC">
        <w:rPr>
          <w:rFonts w:ascii="Times New Roman" w:hAnsi="Times New Roman" w:cs="Times New Roman"/>
          <w:sz w:val="24"/>
        </w:rPr>
        <w:t>, and integrating sustainability into its operations.</w:t>
      </w:r>
    </w:p>
    <w:p w:rsidR="00EC29DC" w:rsidRPr="00EC29DC" w:rsidRDefault="00EC29DC" w:rsidP="00EC29DC">
      <w:pPr>
        <w:spacing w:line="360" w:lineRule="auto"/>
        <w:jc w:val="both"/>
        <w:rPr>
          <w:rFonts w:ascii="Times New Roman" w:hAnsi="Times New Roman" w:cs="Times New Roman"/>
          <w:sz w:val="24"/>
        </w:rPr>
      </w:pPr>
      <w:r w:rsidRPr="00EC29DC">
        <w:rPr>
          <w:rFonts w:ascii="Times New Roman" w:hAnsi="Times New Roman" w:cs="Times New Roman"/>
          <w:sz w:val="24"/>
        </w:rPr>
        <w:t>The recommendations in this report can help GSK to navigate the challenges and possibilities ahead. These include investing in emerging technology, setting more ambitious targets for sustainability, and improving governance and transparency. GSK's proactive, forward-looking strategy and sustainability can help it become a global leader in the pharmaceutical industry. It will also have a positive effect on society.</w:t>
      </w:r>
    </w:p>
    <w:p w:rsidR="00F4464E" w:rsidRDefault="00EC29DC" w:rsidP="00EC29DC">
      <w:pPr>
        <w:pStyle w:val="Heading1"/>
      </w:pPr>
      <w:bookmarkStart w:id="13" w:name="_Toc164589281"/>
      <w:r>
        <w:t>References</w:t>
      </w:r>
      <w:bookmarkEnd w:id="13"/>
    </w:p>
    <w:p w:rsidR="00613C6C" w:rsidRPr="00613C6C" w:rsidRDefault="00613C6C" w:rsidP="00613C6C">
      <w:pPr>
        <w:pStyle w:val="ListParagraph"/>
        <w:numPr>
          <w:ilvl w:val="0"/>
          <w:numId w:val="14"/>
        </w:numPr>
        <w:spacing w:line="360" w:lineRule="auto"/>
        <w:jc w:val="both"/>
        <w:rPr>
          <w:sz w:val="24"/>
        </w:rPr>
      </w:pPr>
      <w:r w:rsidRPr="00613C6C">
        <w:rPr>
          <w:sz w:val="24"/>
        </w:rPr>
        <w:t>Ansoff, H. I. (1957). Strategies for diversification. Harvard Business Review, 35(5), 113-124.</w:t>
      </w:r>
    </w:p>
    <w:p w:rsidR="00613C6C" w:rsidRPr="00613C6C" w:rsidRDefault="00613C6C" w:rsidP="00613C6C">
      <w:pPr>
        <w:pStyle w:val="ListParagraph"/>
        <w:numPr>
          <w:ilvl w:val="0"/>
          <w:numId w:val="14"/>
        </w:numPr>
        <w:spacing w:line="360" w:lineRule="auto"/>
        <w:jc w:val="both"/>
        <w:rPr>
          <w:sz w:val="24"/>
        </w:rPr>
      </w:pPr>
      <w:r w:rsidRPr="00613C6C">
        <w:rPr>
          <w:sz w:val="24"/>
        </w:rPr>
        <w:t>Barney, J. (1991). Firm resources and sustained competitive advantage. Journal of Management, 17(1), 99-120.</w:t>
      </w:r>
    </w:p>
    <w:p w:rsidR="00613C6C" w:rsidRPr="00613C6C" w:rsidRDefault="00613C6C" w:rsidP="00613C6C">
      <w:pPr>
        <w:pStyle w:val="ListParagraph"/>
        <w:numPr>
          <w:ilvl w:val="0"/>
          <w:numId w:val="14"/>
        </w:numPr>
        <w:spacing w:line="360" w:lineRule="auto"/>
        <w:jc w:val="both"/>
        <w:rPr>
          <w:sz w:val="24"/>
        </w:rPr>
      </w:pPr>
      <w:r w:rsidRPr="00613C6C">
        <w:rPr>
          <w:sz w:val="24"/>
        </w:rPr>
        <w:t xml:space="preserve">BSR. (2021). Empowering Employees to Drive Sustainability. </w:t>
      </w:r>
      <w:hyperlink r:id="rId5" w:tgtFrame="_blank" w:history="1">
        <w:r w:rsidRPr="00613C6C">
          <w:rPr>
            <w:rStyle w:val="Hyperlink"/>
            <w:sz w:val="24"/>
          </w:rPr>
          <w:t>https://www.bsr.org/en/our-insights/blog-view/empowering-employees-to-drive-sustainability</w:t>
        </w:r>
      </w:hyperlink>
    </w:p>
    <w:p w:rsidR="00613C6C" w:rsidRPr="00613C6C" w:rsidRDefault="00613C6C" w:rsidP="00613C6C">
      <w:pPr>
        <w:pStyle w:val="ListParagraph"/>
        <w:numPr>
          <w:ilvl w:val="0"/>
          <w:numId w:val="14"/>
        </w:numPr>
        <w:spacing w:line="360" w:lineRule="auto"/>
        <w:jc w:val="both"/>
        <w:rPr>
          <w:sz w:val="24"/>
        </w:rPr>
      </w:pPr>
      <w:r w:rsidRPr="00613C6C">
        <w:rPr>
          <w:sz w:val="24"/>
        </w:rPr>
        <w:t xml:space="preserve">Deloitte. (2021). 2021 Global Life Sciences Outlook. </w:t>
      </w:r>
      <w:hyperlink r:id="rId6" w:tgtFrame="_blank" w:history="1">
        <w:r w:rsidRPr="00613C6C">
          <w:rPr>
            <w:rStyle w:val="Hyperlink"/>
            <w:sz w:val="24"/>
          </w:rPr>
          <w:t>https://www2.deloitte.com/global/en/pages/life-sciences-and-healthcare/articles/global-life-sciences-sector-outlook.html</w:t>
        </w:r>
      </w:hyperlink>
    </w:p>
    <w:p w:rsidR="00613C6C" w:rsidRPr="00613C6C" w:rsidRDefault="00613C6C" w:rsidP="00613C6C">
      <w:pPr>
        <w:pStyle w:val="ListParagraph"/>
        <w:numPr>
          <w:ilvl w:val="0"/>
          <w:numId w:val="14"/>
        </w:numPr>
        <w:spacing w:line="360" w:lineRule="auto"/>
        <w:jc w:val="both"/>
        <w:rPr>
          <w:sz w:val="24"/>
        </w:rPr>
      </w:pPr>
      <w:r w:rsidRPr="00613C6C">
        <w:rPr>
          <w:sz w:val="24"/>
        </w:rPr>
        <w:t>Epstein, M. J., &amp; Buhovac, A. R. (2014). Making sustainability work: Best practices in managing and measuring corporate social, environmental, and economic impacts. Berrett-Koehler Publishers.</w:t>
      </w:r>
    </w:p>
    <w:p w:rsidR="00613C6C" w:rsidRPr="00613C6C" w:rsidRDefault="00613C6C" w:rsidP="00613C6C">
      <w:pPr>
        <w:pStyle w:val="ListParagraph"/>
        <w:numPr>
          <w:ilvl w:val="0"/>
          <w:numId w:val="14"/>
        </w:numPr>
        <w:spacing w:line="360" w:lineRule="auto"/>
        <w:jc w:val="both"/>
        <w:rPr>
          <w:sz w:val="24"/>
        </w:rPr>
      </w:pPr>
      <w:r w:rsidRPr="00613C6C">
        <w:rPr>
          <w:sz w:val="24"/>
        </w:rPr>
        <w:t xml:space="preserve">EY. (2021). How life sciences companies can win in the new normal. </w:t>
      </w:r>
      <w:hyperlink r:id="rId7" w:tgtFrame="_blank" w:history="1">
        <w:r w:rsidRPr="00613C6C">
          <w:rPr>
            <w:rStyle w:val="Hyperlink"/>
            <w:sz w:val="24"/>
          </w:rPr>
          <w:t>https://www.ey.com/en_gl/life-sciences/how-life-sciences-companies-can-win-in-the-new-normal</w:t>
        </w:r>
      </w:hyperlink>
    </w:p>
    <w:p w:rsidR="00613C6C" w:rsidRPr="00613C6C" w:rsidRDefault="00613C6C" w:rsidP="00613C6C">
      <w:pPr>
        <w:pStyle w:val="ListParagraph"/>
        <w:numPr>
          <w:ilvl w:val="0"/>
          <w:numId w:val="14"/>
        </w:numPr>
        <w:spacing w:line="360" w:lineRule="auto"/>
        <w:jc w:val="both"/>
        <w:rPr>
          <w:sz w:val="24"/>
        </w:rPr>
      </w:pPr>
      <w:r w:rsidRPr="00613C6C">
        <w:rPr>
          <w:sz w:val="24"/>
        </w:rPr>
        <w:t xml:space="preserve">EY. (2021). How life sciences companies can win in the new normal. </w:t>
      </w:r>
      <w:hyperlink r:id="rId8" w:tgtFrame="_blank" w:history="1">
        <w:r w:rsidRPr="00613C6C">
          <w:rPr>
            <w:rStyle w:val="Hyperlink"/>
            <w:sz w:val="24"/>
          </w:rPr>
          <w:t>https://www.ey.com/en_gl/life-sciences/how-life-sciences-companies-can-win-in-the-new-normal</w:t>
        </w:r>
      </w:hyperlink>
    </w:p>
    <w:p w:rsidR="00613C6C" w:rsidRPr="00613C6C" w:rsidRDefault="00613C6C" w:rsidP="00613C6C">
      <w:pPr>
        <w:pStyle w:val="ListParagraph"/>
        <w:numPr>
          <w:ilvl w:val="0"/>
          <w:numId w:val="14"/>
        </w:numPr>
        <w:spacing w:line="360" w:lineRule="auto"/>
        <w:jc w:val="both"/>
        <w:rPr>
          <w:sz w:val="24"/>
        </w:rPr>
      </w:pPr>
      <w:r w:rsidRPr="00613C6C">
        <w:rPr>
          <w:sz w:val="24"/>
        </w:rPr>
        <w:t xml:space="preserve">GlaxoSmithKline plc (GSK). (2021). Annual Report 2020. </w:t>
      </w:r>
      <w:hyperlink r:id="rId9" w:tgtFrame="_blank" w:history="1">
        <w:r w:rsidRPr="00613C6C">
          <w:rPr>
            <w:rStyle w:val="Hyperlink"/>
            <w:sz w:val="24"/>
          </w:rPr>
          <w:t>https://www.gsk.com/media/6662/annual-report-2020.pdf</w:t>
        </w:r>
      </w:hyperlink>
    </w:p>
    <w:p w:rsidR="00613C6C" w:rsidRPr="00613C6C" w:rsidRDefault="00613C6C" w:rsidP="00613C6C">
      <w:pPr>
        <w:pStyle w:val="ListParagraph"/>
        <w:numPr>
          <w:ilvl w:val="0"/>
          <w:numId w:val="14"/>
        </w:numPr>
        <w:spacing w:line="360" w:lineRule="auto"/>
        <w:jc w:val="both"/>
        <w:rPr>
          <w:sz w:val="24"/>
        </w:rPr>
      </w:pPr>
      <w:r w:rsidRPr="00613C6C">
        <w:rPr>
          <w:sz w:val="24"/>
        </w:rPr>
        <w:t xml:space="preserve">Global Reporting Initiative (GRI). (2021). Sustainability Reporting Standards. </w:t>
      </w:r>
      <w:hyperlink r:id="rId10" w:tgtFrame="_blank" w:history="1">
        <w:r w:rsidRPr="00613C6C">
          <w:rPr>
            <w:rStyle w:val="Hyperlink"/>
            <w:sz w:val="24"/>
          </w:rPr>
          <w:t>https://www.globalreporting.org/standards/</w:t>
        </w:r>
      </w:hyperlink>
    </w:p>
    <w:p w:rsidR="00613C6C" w:rsidRPr="00613C6C" w:rsidRDefault="00613C6C" w:rsidP="00613C6C">
      <w:pPr>
        <w:pStyle w:val="ListParagraph"/>
        <w:numPr>
          <w:ilvl w:val="0"/>
          <w:numId w:val="14"/>
        </w:numPr>
        <w:spacing w:line="360" w:lineRule="auto"/>
        <w:jc w:val="both"/>
        <w:rPr>
          <w:sz w:val="24"/>
        </w:rPr>
      </w:pPr>
      <w:r w:rsidRPr="00613C6C">
        <w:rPr>
          <w:sz w:val="24"/>
        </w:rPr>
        <w:t>Johnson, G., Whittington, R., Scholes, K., Angwin, D., &amp; Regnér, P. (2017). Exploring strategy: Text and cases (11th ed.). Pearson Education.</w:t>
      </w:r>
    </w:p>
    <w:p w:rsidR="00613C6C" w:rsidRPr="00613C6C" w:rsidRDefault="00613C6C" w:rsidP="00613C6C">
      <w:pPr>
        <w:pStyle w:val="ListParagraph"/>
        <w:numPr>
          <w:ilvl w:val="0"/>
          <w:numId w:val="14"/>
        </w:numPr>
        <w:spacing w:line="360" w:lineRule="auto"/>
        <w:jc w:val="both"/>
        <w:rPr>
          <w:sz w:val="24"/>
        </w:rPr>
      </w:pPr>
      <w:r w:rsidRPr="00613C6C">
        <w:rPr>
          <w:sz w:val="24"/>
        </w:rPr>
        <w:t xml:space="preserve">KPMG. (2021). Sustainability in life sciences. </w:t>
      </w:r>
      <w:hyperlink r:id="rId11" w:tgtFrame="_blank" w:history="1">
        <w:r w:rsidRPr="00613C6C">
          <w:rPr>
            <w:rStyle w:val="Hyperlink"/>
            <w:sz w:val="24"/>
          </w:rPr>
          <w:t>https://home.kpmg/xx/en/home/insights/2021/06/sustainability-in-life-sciences.html</w:t>
        </w:r>
      </w:hyperlink>
    </w:p>
    <w:p w:rsidR="00613C6C" w:rsidRPr="00613C6C" w:rsidRDefault="00613C6C" w:rsidP="00613C6C">
      <w:pPr>
        <w:pStyle w:val="ListParagraph"/>
        <w:numPr>
          <w:ilvl w:val="0"/>
          <w:numId w:val="14"/>
        </w:numPr>
        <w:spacing w:line="360" w:lineRule="auto"/>
        <w:jc w:val="both"/>
        <w:rPr>
          <w:sz w:val="24"/>
        </w:rPr>
      </w:pPr>
      <w:r w:rsidRPr="00613C6C">
        <w:rPr>
          <w:sz w:val="24"/>
        </w:rPr>
        <w:t>Porter, M. E. (1985). Competitive advantage: Creating and sustaining superior performance. Free Press.</w:t>
      </w:r>
    </w:p>
    <w:p w:rsidR="00613C6C" w:rsidRPr="00613C6C" w:rsidRDefault="00613C6C" w:rsidP="00613C6C">
      <w:pPr>
        <w:pStyle w:val="ListParagraph"/>
        <w:numPr>
          <w:ilvl w:val="0"/>
          <w:numId w:val="14"/>
        </w:numPr>
        <w:spacing w:line="360" w:lineRule="auto"/>
        <w:jc w:val="both"/>
        <w:rPr>
          <w:sz w:val="24"/>
        </w:rPr>
      </w:pPr>
      <w:r w:rsidRPr="00613C6C">
        <w:rPr>
          <w:sz w:val="24"/>
        </w:rPr>
        <w:t>Porter, M. E., &amp; Kramer, M. R. (2011). Creating Shared Value. Harvard Business Review, 89(1/2), 62-77.</w:t>
      </w:r>
    </w:p>
    <w:p w:rsidR="00613C6C" w:rsidRPr="00613C6C" w:rsidRDefault="00613C6C" w:rsidP="00613C6C">
      <w:pPr>
        <w:pStyle w:val="ListParagraph"/>
        <w:numPr>
          <w:ilvl w:val="0"/>
          <w:numId w:val="14"/>
        </w:numPr>
        <w:spacing w:line="360" w:lineRule="auto"/>
        <w:jc w:val="both"/>
        <w:rPr>
          <w:sz w:val="24"/>
        </w:rPr>
      </w:pPr>
      <w:r w:rsidRPr="00613C6C">
        <w:rPr>
          <w:sz w:val="24"/>
        </w:rPr>
        <w:t xml:space="preserve">United Nations Global Compact (UNGC). (2021). The Ten Principles of the UN Global Compact. </w:t>
      </w:r>
      <w:hyperlink r:id="rId12" w:tgtFrame="_blank" w:history="1">
        <w:r w:rsidRPr="00613C6C">
          <w:rPr>
            <w:rStyle w:val="Hyperlink"/>
            <w:sz w:val="24"/>
          </w:rPr>
          <w:t>https://www.unglobalcompact.org/what-is-gc/mission/principles</w:t>
        </w:r>
      </w:hyperlink>
    </w:p>
    <w:p w:rsidR="00613C6C" w:rsidRPr="00613C6C" w:rsidRDefault="00613C6C" w:rsidP="00613C6C">
      <w:pPr>
        <w:pStyle w:val="ListParagraph"/>
        <w:numPr>
          <w:ilvl w:val="0"/>
          <w:numId w:val="14"/>
        </w:numPr>
        <w:spacing w:line="360" w:lineRule="auto"/>
        <w:jc w:val="both"/>
        <w:rPr>
          <w:sz w:val="24"/>
        </w:rPr>
      </w:pPr>
      <w:r w:rsidRPr="00613C6C">
        <w:rPr>
          <w:sz w:val="24"/>
        </w:rPr>
        <w:t xml:space="preserve">United Nations Sustainable Development Goals (UNSDG). (2021). Industry, Innovation and Infrastructure. </w:t>
      </w:r>
      <w:hyperlink r:id="rId13" w:tgtFrame="_blank" w:history="1">
        <w:r w:rsidRPr="00613C6C">
          <w:rPr>
            <w:rStyle w:val="Hyperlink"/>
            <w:sz w:val="24"/>
          </w:rPr>
          <w:t>https://sdgs.un.org/goals/goal9</w:t>
        </w:r>
      </w:hyperlink>
    </w:p>
    <w:p w:rsidR="00613C6C" w:rsidRPr="00613C6C" w:rsidRDefault="00613C6C" w:rsidP="00613C6C">
      <w:pPr>
        <w:pStyle w:val="ListParagraph"/>
        <w:numPr>
          <w:ilvl w:val="0"/>
          <w:numId w:val="14"/>
        </w:numPr>
        <w:spacing w:line="360" w:lineRule="auto"/>
        <w:jc w:val="both"/>
        <w:rPr>
          <w:sz w:val="24"/>
        </w:rPr>
      </w:pPr>
      <w:r w:rsidRPr="00613C6C">
        <w:rPr>
          <w:sz w:val="24"/>
        </w:rPr>
        <w:t>Whittington, R., Regnér, P., Angwin, D., Johnson, G., &amp; Scholes, K. (2020). Exploring strategy: Text and cases (12th ed.). Pearson Education.</w:t>
      </w:r>
    </w:p>
    <w:p w:rsidR="00613C6C" w:rsidRPr="00613C6C" w:rsidRDefault="00613C6C" w:rsidP="00613C6C">
      <w:pPr>
        <w:pStyle w:val="ListParagraph"/>
        <w:numPr>
          <w:ilvl w:val="0"/>
          <w:numId w:val="14"/>
        </w:numPr>
        <w:spacing w:line="360" w:lineRule="auto"/>
        <w:jc w:val="both"/>
        <w:rPr>
          <w:sz w:val="24"/>
        </w:rPr>
      </w:pPr>
      <w:r w:rsidRPr="00613C6C">
        <w:rPr>
          <w:sz w:val="24"/>
        </w:rPr>
        <w:t xml:space="preserve">World Business Council for Sustainable Development (WBCSD). (2021). Sustainability Leadership. </w:t>
      </w:r>
      <w:hyperlink r:id="rId14" w:tgtFrame="_blank" w:history="1">
        <w:r w:rsidRPr="00613C6C">
          <w:rPr>
            <w:rStyle w:val="Hyperlink"/>
            <w:sz w:val="24"/>
          </w:rPr>
          <w:t>https://www.wbcsd.org/Programs/People/Sustainability-Leadership</w:t>
        </w:r>
      </w:hyperlink>
    </w:p>
    <w:p w:rsidR="00613C6C" w:rsidRPr="00613C6C" w:rsidRDefault="00613C6C" w:rsidP="00613C6C"/>
    <w:sectPr w:rsidR="00613C6C" w:rsidRPr="00613C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2154"/>
    <w:multiLevelType w:val="multilevel"/>
    <w:tmpl w:val="A45E38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618E6"/>
    <w:multiLevelType w:val="multilevel"/>
    <w:tmpl w:val="B5AE43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D37D8"/>
    <w:multiLevelType w:val="multilevel"/>
    <w:tmpl w:val="20F49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238A3"/>
    <w:multiLevelType w:val="multilevel"/>
    <w:tmpl w:val="0748A4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2E0B2C"/>
    <w:multiLevelType w:val="multilevel"/>
    <w:tmpl w:val="71F40A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612794"/>
    <w:multiLevelType w:val="multilevel"/>
    <w:tmpl w:val="03A2D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215E43"/>
    <w:multiLevelType w:val="hybridMultilevel"/>
    <w:tmpl w:val="FF26EF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7D452D1"/>
    <w:multiLevelType w:val="multilevel"/>
    <w:tmpl w:val="DA4AD1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D94144"/>
    <w:multiLevelType w:val="multilevel"/>
    <w:tmpl w:val="2B64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2D5B2C"/>
    <w:multiLevelType w:val="multilevel"/>
    <w:tmpl w:val="ED5A19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8E1C9A"/>
    <w:multiLevelType w:val="multilevel"/>
    <w:tmpl w:val="11543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D11C38"/>
    <w:multiLevelType w:val="multilevel"/>
    <w:tmpl w:val="98D47A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832A35"/>
    <w:multiLevelType w:val="multilevel"/>
    <w:tmpl w:val="EB4ED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966532"/>
    <w:multiLevelType w:val="multilevel"/>
    <w:tmpl w:val="1DC69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9569143">
    <w:abstractNumId w:val="12"/>
  </w:num>
  <w:num w:numId="2" w16cid:durableId="94324077">
    <w:abstractNumId w:val="9"/>
  </w:num>
  <w:num w:numId="3" w16cid:durableId="1561281186">
    <w:abstractNumId w:val="7"/>
  </w:num>
  <w:num w:numId="4" w16cid:durableId="299651102">
    <w:abstractNumId w:val="0"/>
  </w:num>
  <w:num w:numId="5" w16cid:durableId="1618561751">
    <w:abstractNumId w:val="3"/>
  </w:num>
  <w:num w:numId="6" w16cid:durableId="1167134786">
    <w:abstractNumId w:val="4"/>
  </w:num>
  <w:num w:numId="7" w16cid:durableId="471753604">
    <w:abstractNumId w:val="1"/>
  </w:num>
  <w:num w:numId="8" w16cid:durableId="112866487">
    <w:abstractNumId w:val="11"/>
  </w:num>
  <w:num w:numId="9" w16cid:durableId="1680620731">
    <w:abstractNumId w:val="2"/>
  </w:num>
  <w:num w:numId="10" w16cid:durableId="1653751470">
    <w:abstractNumId w:val="10"/>
  </w:num>
  <w:num w:numId="11" w16cid:durableId="374935814">
    <w:abstractNumId w:val="13"/>
  </w:num>
  <w:num w:numId="12" w16cid:durableId="1103840817">
    <w:abstractNumId w:val="5"/>
  </w:num>
  <w:num w:numId="13" w16cid:durableId="902135680">
    <w:abstractNumId w:val="8"/>
  </w:num>
  <w:num w:numId="14" w16cid:durableId="326715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hideSpellingErrors/>
  <w:hideGrammaticalErrors/>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AD5"/>
    <w:rsid w:val="002150DC"/>
    <w:rsid w:val="00364D93"/>
    <w:rsid w:val="00613C6C"/>
    <w:rsid w:val="00B67AD5"/>
    <w:rsid w:val="00B82494"/>
    <w:rsid w:val="00EC29DC"/>
    <w:rsid w:val="00F446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DE4E8D-8662-46E3-9C9E-2FE17B56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9DC"/>
    <w:pPr>
      <w:keepNext/>
      <w:keepLines/>
      <w:spacing w:before="240" w:after="0" w:line="360" w:lineRule="auto"/>
      <w:outlineLvl w:val="0"/>
    </w:pPr>
    <w:rPr>
      <w:rFonts w:asciiTheme="majorHAnsi" w:eastAsiaTheme="majorEastAsia" w:hAnsiTheme="majorHAnsi"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EC29DC"/>
    <w:pPr>
      <w:keepNext/>
      <w:keepLines/>
      <w:spacing w:before="40" w:after="0" w:line="360" w:lineRule="auto"/>
      <w:outlineLvl w:val="1"/>
    </w:pPr>
    <w:rPr>
      <w:rFonts w:asciiTheme="majorHAnsi" w:eastAsiaTheme="majorEastAsia" w:hAnsiTheme="majorHAnsi"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29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29DC"/>
    <w:rPr>
      <w:rFonts w:asciiTheme="majorHAnsi" w:eastAsiaTheme="majorEastAsia" w:hAnsiTheme="majorHAnsi" w:cstheme="majorBidi"/>
      <w:color w:val="2F5496" w:themeColor="accent1" w:themeShade="BF"/>
      <w:sz w:val="28"/>
      <w:szCs w:val="32"/>
    </w:rPr>
  </w:style>
  <w:style w:type="character" w:customStyle="1" w:styleId="Heading2Char">
    <w:name w:val="Heading 2 Char"/>
    <w:basedOn w:val="DefaultParagraphFont"/>
    <w:link w:val="Heading2"/>
    <w:uiPriority w:val="9"/>
    <w:rsid w:val="00EC29DC"/>
    <w:rPr>
      <w:rFonts w:asciiTheme="majorHAnsi" w:eastAsiaTheme="majorEastAsia" w:hAnsiTheme="majorHAnsi" w:cstheme="majorBidi"/>
      <w:i/>
      <w:color w:val="2F5496" w:themeColor="accent1" w:themeShade="BF"/>
      <w:sz w:val="26"/>
      <w:szCs w:val="26"/>
    </w:rPr>
  </w:style>
  <w:style w:type="character" w:styleId="Hyperlink">
    <w:name w:val="Hyperlink"/>
    <w:basedOn w:val="DefaultParagraphFont"/>
    <w:uiPriority w:val="99"/>
    <w:unhideWhenUsed/>
    <w:rsid w:val="00613C6C"/>
    <w:rPr>
      <w:color w:val="0563C1" w:themeColor="hyperlink"/>
      <w:u w:val="single"/>
    </w:rPr>
  </w:style>
  <w:style w:type="paragraph" w:styleId="ListParagraph">
    <w:name w:val="List Paragraph"/>
    <w:basedOn w:val="Normal"/>
    <w:uiPriority w:val="34"/>
    <w:qFormat/>
    <w:rsid w:val="00613C6C"/>
    <w:pPr>
      <w:ind w:left="720"/>
      <w:contextualSpacing/>
    </w:pPr>
  </w:style>
  <w:style w:type="paragraph" w:styleId="TOCHeading">
    <w:name w:val="TOC Heading"/>
    <w:basedOn w:val="Heading1"/>
    <w:next w:val="Normal"/>
    <w:uiPriority w:val="39"/>
    <w:unhideWhenUsed/>
    <w:qFormat/>
    <w:rsid w:val="00B82494"/>
    <w:pPr>
      <w:spacing w:line="259" w:lineRule="auto"/>
      <w:outlineLvl w:val="9"/>
    </w:pPr>
    <w:rPr>
      <w:sz w:val="32"/>
      <w:lang w:val="en-US"/>
    </w:rPr>
  </w:style>
  <w:style w:type="paragraph" w:styleId="TOC1">
    <w:name w:val="toc 1"/>
    <w:basedOn w:val="Normal"/>
    <w:next w:val="Normal"/>
    <w:autoRedefine/>
    <w:uiPriority w:val="39"/>
    <w:unhideWhenUsed/>
    <w:rsid w:val="00B82494"/>
    <w:pPr>
      <w:spacing w:after="100"/>
    </w:pPr>
  </w:style>
  <w:style w:type="paragraph" w:styleId="TOC2">
    <w:name w:val="toc 2"/>
    <w:basedOn w:val="Normal"/>
    <w:next w:val="Normal"/>
    <w:autoRedefine/>
    <w:uiPriority w:val="39"/>
    <w:unhideWhenUsed/>
    <w:rsid w:val="00B824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7893">
      <w:bodyDiv w:val="1"/>
      <w:marLeft w:val="0"/>
      <w:marRight w:val="0"/>
      <w:marTop w:val="0"/>
      <w:marBottom w:val="0"/>
      <w:divBdr>
        <w:top w:val="none" w:sz="0" w:space="0" w:color="auto"/>
        <w:left w:val="none" w:sz="0" w:space="0" w:color="auto"/>
        <w:bottom w:val="none" w:sz="0" w:space="0" w:color="auto"/>
        <w:right w:val="none" w:sz="0" w:space="0" w:color="auto"/>
      </w:divBdr>
    </w:div>
    <w:div w:id="350836985">
      <w:bodyDiv w:val="1"/>
      <w:marLeft w:val="0"/>
      <w:marRight w:val="0"/>
      <w:marTop w:val="0"/>
      <w:marBottom w:val="0"/>
      <w:divBdr>
        <w:top w:val="none" w:sz="0" w:space="0" w:color="auto"/>
        <w:left w:val="none" w:sz="0" w:space="0" w:color="auto"/>
        <w:bottom w:val="none" w:sz="0" w:space="0" w:color="auto"/>
        <w:right w:val="none" w:sz="0" w:space="0" w:color="auto"/>
      </w:divBdr>
    </w:div>
    <w:div w:id="610472989">
      <w:bodyDiv w:val="1"/>
      <w:marLeft w:val="0"/>
      <w:marRight w:val="0"/>
      <w:marTop w:val="0"/>
      <w:marBottom w:val="0"/>
      <w:divBdr>
        <w:top w:val="none" w:sz="0" w:space="0" w:color="auto"/>
        <w:left w:val="none" w:sz="0" w:space="0" w:color="auto"/>
        <w:bottom w:val="none" w:sz="0" w:space="0" w:color="auto"/>
        <w:right w:val="none" w:sz="0" w:space="0" w:color="auto"/>
      </w:divBdr>
    </w:div>
    <w:div w:id="807085855">
      <w:bodyDiv w:val="1"/>
      <w:marLeft w:val="0"/>
      <w:marRight w:val="0"/>
      <w:marTop w:val="0"/>
      <w:marBottom w:val="0"/>
      <w:divBdr>
        <w:top w:val="none" w:sz="0" w:space="0" w:color="auto"/>
        <w:left w:val="none" w:sz="0" w:space="0" w:color="auto"/>
        <w:bottom w:val="none" w:sz="0" w:space="0" w:color="auto"/>
        <w:right w:val="none" w:sz="0" w:space="0" w:color="auto"/>
      </w:divBdr>
    </w:div>
    <w:div w:id="961154801">
      <w:bodyDiv w:val="1"/>
      <w:marLeft w:val="0"/>
      <w:marRight w:val="0"/>
      <w:marTop w:val="0"/>
      <w:marBottom w:val="0"/>
      <w:divBdr>
        <w:top w:val="none" w:sz="0" w:space="0" w:color="auto"/>
        <w:left w:val="none" w:sz="0" w:space="0" w:color="auto"/>
        <w:bottom w:val="none" w:sz="0" w:space="0" w:color="auto"/>
        <w:right w:val="none" w:sz="0" w:space="0" w:color="auto"/>
      </w:divBdr>
    </w:div>
    <w:div w:id="1018657488">
      <w:bodyDiv w:val="1"/>
      <w:marLeft w:val="0"/>
      <w:marRight w:val="0"/>
      <w:marTop w:val="0"/>
      <w:marBottom w:val="0"/>
      <w:divBdr>
        <w:top w:val="none" w:sz="0" w:space="0" w:color="auto"/>
        <w:left w:val="none" w:sz="0" w:space="0" w:color="auto"/>
        <w:bottom w:val="none" w:sz="0" w:space="0" w:color="auto"/>
        <w:right w:val="none" w:sz="0" w:space="0" w:color="auto"/>
      </w:divBdr>
    </w:div>
    <w:div w:id="1261572652">
      <w:bodyDiv w:val="1"/>
      <w:marLeft w:val="0"/>
      <w:marRight w:val="0"/>
      <w:marTop w:val="0"/>
      <w:marBottom w:val="0"/>
      <w:divBdr>
        <w:top w:val="none" w:sz="0" w:space="0" w:color="auto"/>
        <w:left w:val="none" w:sz="0" w:space="0" w:color="auto"/>
        <w:bottom w:val="none" w:sz="0" w:space="0" w:color="auto"/>
        <w:right w:val="none" w:sz="0" w:space="0" w:color="auto"/>
      </w:divBdr>
    </w:div>
    <w:div w:id="1497843874">
      <w:bodyDiv w:val="1"/>
      <w:marLeft w:val="0"/>
      <w:marRight w:val="0"/>
      <w:marTop w:val="0"/>
      <w:marBottom w:val="0"/>
      <w:divBdr>
        <w:top w:val="none" w:sz="0" w:space="0" w:color="auto"/>
        <w:left w:val="none" w:sz="0" w:space="0" w:color="auto"/>
        <w:bottom w:val="none" w:sz="0" w:space="0" w:color="auto"/>
        <w:right w:val="none" w:sz="0" w:space="0" w:color="auto"/>
      </w:divBdr>
    </w:div>
    <w:div w:id="1591501206">
      <w:bodyDiv w:val="1"/>
      <w:marLeft w:val="0"/>
      <w:marRight w:val="0"/>
      <w:marTop w:val="0"/>
      <w:marBottom w:val="0"/>
      <w:divBdr>
        <w:top w:val="none" w:sz="0" w:space="0" w:color="auto"/>
        <w:left w:val="none" w:sz="0" w:space="0" w:color="auto"/>
        <w:bottom w:val="none" w:sz="0" w:space="0" w:color="auto"/>
        <w:right w:val="none" w:sz="0" w:space="0" w:color="auto"/>
      </w:divBdr>
    </w:div>
    <w:div w:id="1615089953">
      <w:bodyDiv w:val="1"/>
      <w:marLeft w:val="0"/>
      <w:marRight w:val="0"/>
      <w:marTop w:val="0"/>
      <w:marBottom w:val="0"/>
      <w:divBdr>
        <w:top w:val="none" w:sz="0" w:space="0" w:color="auto"/>
        <w:left w:val="none" w:sz="0" w:space="0" w:color="auto"/>
        <w:bottom w:val="none" w:sz="0" w:space="0" w:color="auto"/>
        <w:right w:val="none" w:sz="0" w:space="0" w:color="auto"/>
      </w:divBdr>
    </w:div>
    <w:div w:id="1758475062">
      <w:bodyDiv w:val="1"/>
      <w:marLeft w:val="0"/>
      <w:marRight w:val="0"/>
      <w:marTop w:val="0"/>
      <w:marBottom w:val="0"/>
      <w:divBdr>
        <w:top w:val="none" w:sz="0" w:space="0" w:color="auto"/>
        <w:left w:val="none" w:sz="0" w:space="0" w:color="auto"/>
        <w:bottom w:val="none" w:sz="0" w:space="0" w:color="auto"/>
        <w:right w:val="none" w:sz="0" w:space="0" w:color="auto"/>
      </w:divBdr>
    </w:div>
    <w:div w:id="201938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com/en_gl/life-sciences/how-life-sciences-companies-can-win-in-the-new-normal" TargetMode="External" /><Relationship Id="rId13" Type="http://schemas.openxmlformats.org/officeDocument/2006/relationships/hyperlink" Target="https://sdgs.un.org/goals/goal9" TargetMode="External" /><Relationship Id="rId3" Type="http://schemas.openxmlformats.org/officeDocument/2006/relationships/settings" Target="settings.xml" /><Relationship Id="rId7" Type="http://schemas.openxmlformats.org/officeDocument/2006/relationships/hyperlink" Target="https://www.ey.com/en_gl/life-sciences/how-life-sciences-companies-can-win-in-the-new-normal" TargetMode="External" /><Relationship Id="rId12" Type="http://schemas.openxmlformats.org/officeDocument/2006/relationships/hyperlink" Target="https://www.unglobalcompact.org/what-is-gc/mission/principles"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2.deloitte.com/global/en/pages/life-sciences-and-healthcare/articles/global-life-sciences-sector-outlook.html" TargetMode="External" /><Relationship Id="rId11" Type="http://schemas.openxmlformats.org/officeDocument/2006/relationships/hyperlink" Target="https://home.kpmg/xx/en/home/insights/2021/06/sustainability-in-life-sciences.html" TargetMode="External" /><Relationship Id="rId5" Type="http://schemas.openxmlformats.org/officeDocument/2006/relationships/hyperlink" Target="https://www.bsr.org/en/our-insights/blog-view/empowering-employees-to-drive-sustainability" TargetMode="External" /><Relationship Id="rId15" Type="http://schemas.openxmlformats.org/officeDocument/2006/relationships/fontTable" Target="fontTable.xml" /><Relationship Id="rId10" Type="http://schemas.openxmlformats.org/officeDocument/2006/relationships/hyperlink" Target="https://www.globalreporting.org/standards/" TargetMode="External" /><Relationship Id="rId4" Type="http://schemas.openxmlformats.org/officeDocument/2006/relationships/webSettings" Target="webSettings.xml" /><Relationship Id="rId9" Type="http://schemas.openxmlformats.org/officeDocument/2006/relationships/hyperlink" Target="https://www.gsk.com/media/6662/annual-report-2020.pdf" TargetMode="External" /><Relationship Id="rId14" Type="http://schemas.openxmlformats.org/officeDocument/2006/relationships/hyperlink" Target="https://www.wbcsd.org/Programs/People/Sustainability-Leadership"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2822</Words>
  <Characters>19788</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Ovidu Guzi (2030602)</cp:lastModifiedBy>
  <cp:revision>2</cp:revision>
  <dcterms:created xsi:type="dcterms:W3CDTF">2024-04-24T12:01:00Z</dcterms:created>
  <dcterms:modified xsi:type="dcterms:W3CDTF">2024-04-24T12:01:00Z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4f5619b050091a82e8e9de5daf0823e0a732624e38a929fd982e806c0664b1af</vt:lpwstr>
  </property>
</Properties>
</file>