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ABEE4" w14:textId="030FDD7C" w:rsidR="00261440" w:rsidRDefault="00494229" w:rsidP="00494229">
      <w:pPr>
        <w:pStyle w:val="Title"/>
        <w:jc w:val="center"/>
        <w:rPr>
          <w:sz w:val="44"/>
          <w:szCs w:val="44"/>
          <w:u w:val="single"/>
        </w:rPr>
      </w:pPr>
      <w:r w:rsidRPr="00494229">
        <w:rPr>
          <w:sz w:val="44"/>
          <w:szCs w:val="44"/>
          <w:u w:val="single"/>
        </w:rPr>
        <w:t>Reform on Non-fatal offences against the person.</w:t>
      </w:r>
    </w:p>
    <w:p w14:paraId="12B0A0F6" w14:textId="1D1BB8B7" w:rsidR="00494229" w:rsidRDefault="00494229" w:rsidP="00494229"/>
    <w:p w14:paraId="4B8A0990" w14:textId="099DC54A" w:rsidR="00494229" w:rsidRPr="00C54DEC" w:rsidRDefault="00494229" w:rsidP="00494229">
      <w:pPr>
        <w:rPr>
          <w:color w:val="FF0000"/>
        </w:rPr>
      </w:pPr>
    </w:p>
    <w:p w14:paraId="5581046E" w14:textId="71080D15" w:rsidR="00494229" w:rsidRPr="00C87451" w:rsidRDefault="00494229" w:rsidP="00C15CD7">
      <w:pPr>
        <w:jc w:val="both"/>
        <w:rPr>
          <w:color w:val="000000" w:themeColor="text1"/>
        </w:rPr>
      </w:pPr>
      <w:r w:rsidRPr="00C87451">
        <w:rPr>
          <w:color w:val="000000" w:themeColor="text1"/>
        </w:rPr>
        <w:t>This essay will outline what is meant by Non-fatal offences against the person. It will examine whether Non-fatal offences against the person</w:t>
      </w:r>
      <w:r w:rsidR="002B6C2E" w:rsidRPr="00C87451">
        <w:rPr>
          <w:color w:val="000000" w:themeColor="text1"/>
        </w:rPr>
        <w:t xml:space="preserve"> Act 1861</w:t>
      </w:r>
      <w:r w:rsidRPr="00C87451">
        <w:rPr>
          <w:color w:val="000000" w:themeColor="text1"/>
        </w:rPr>
        <w:t xml:space="preserve"> is still fit for purpose in modern society, in law relation</w:t>
      </w:r>
      <w:r w:rsidR="00C87451" w:rsidRPr="00C87451">
        <w:rPr>
          <w:color w:val="000000" w:themeColor="text1"/>
        </w:rPr>
        <w:t xml:space="preserve"> and why the current law Offences Against the Persons Act 1861 is challenged to be reformed.</w:t>
      </w:r>
    </w:p>
    <w:p w14:paraId="3A3D63FB" w14:textId="60316867" w:rsidR="00044616" w:rsidRDefault="00044616" w:rsidP="00C15CD7">
      <w:pPr>
        <w:jc w:val="both"/>
        <w:rPr>
          <w:color w:val="FF0000"/>
        </w:rPr>
      </w:pPr>
    </w:p>
    <w:p w14:paraId="6E7A4891" w14:textId="11BE8A52" w:rsidR="00C54DEC" w:rsidRPr="00790C35" w:rsidRDefault="00044616" w:rsidP="00C15CD7">
      <w:pPr>
        <w:jc w:val="both"/>
        <w:rPr>
          <w:color w:val="000000" w:themeColor="text1"/>
        </w:rPr>
      </w:pPr>
      <w:r>
        <w:rPr>
          <w:color w:val="000000" w:themeColor="text1"/>
        </w:rPr>
        <w:t>Non-fatal offences are stated to be a form of physical</w:t>
      </w:r>
      <w:r w:rsidR="002B6C2E">
        <w:rPr>
          <w:color w:val="000000" w:themeColor="text1"/>
        </w:rPr>
        <w:t xml:space="preserve"> </w:t>
      </w:r>
      <w:r>
        <w:rPr>
          <w:color w:val="000000" w:themeColor="text1"/>
        </w:rPr>
        <w:t xml:space="preserve">harm towards another person, with an outcome of injury not death. </w:t>
      </w:r>
      <w:r w:rsidR="00A913CC">
        <w:rPr>
          <w:color w:val="000000" w:themeColor="text1"/>
        </w:rPr>
        <w:t>Non-fatal offences are known as battery, ass</w:t>
      </w:r>
      <w:r w:rsidR="00A96382">
        <w:rPr>
          <w:color w:val="000000" w:themeColor="text1"/>
        </w:rPr>
        <w:t>au</w:t>
      </w:r>
      <w:r w:rsidR="00A913CC">
        <w:rPr>
          <w:color w:val="000000" w:themeColor="text1"/>
        </w:rPr>
        <w:t xml:space="preserve">lt, </w:t>
      </w:r>
      <w:r w:rsidR="00A96382">
        <w:rPr>
          <w:color w:val="000000" w:themeColor="text1"/>
        </w:rPr>
        <w:t xml:space="preserve">actual body harm (ABH) and </w:t>
      </w:r>
      <w:r w:rsidR="009F54EF">
        <w:rPr>
          <w:color w:val="000000" w:themeColor="text1"/>
        </w:rPr>
        <w:t>grievous</w:t>
      </w:r>
      <w:r w:rsidR="00A96382">
        <w:rPr>
          <w:color w:val="000000" w:themeColor="text1"/>
        </w:rPr>
        <w:t xml:space="preserve"> bodily harm (GBH).</w:t>
      </w:r>
      <w:r w:rsidR="000118EE">
        <w:rPr>
          <w:color w:val="000000" w:themeColor="text1"/>
        </w:rPr>
        <w:t xml:space="preserve"> </w:t>
      </w:r>
      <w:r w:rsidR="00A96382">
        <w:rPr>
          <w:color w:val="000000" w:themeColor="text1"/>
        </w:rPr>
        <w:t xml:space="preserve"> </w:t>
      </w:r>
      <w:r w:rsidR="00790C35">
        <w:rPr>
          <w:color w:val="000000" w:themeColor="text1"/>
        </w:rPr>
        <w:t xml:space="preserve">Under common law, </w:t>
      </w:r>
      <w:r w:rsidR="00631694">
        <w:rPr>
          <w:color w:val="000000" w:themeColor="text1"/>
        </w:rPr>
        <w:t xml:space="preserve">Assault and battery are </w:t>
      </w:r>
      <w:r w:rsidR="00790C35">
        <w:rPr>
          <w:color w:val="000000" w:themeColor="text1"/>
        </w:rPr>
        <w:t>known as summary offences</w:t>
      </w:r>
      <w:r w:rsidR="00BD5672">
        <w:rPr>
          <w:color w:val="000000" w:themeColor="text1"/>
        </w:rPr>
        <w:t xml:space="preserve"> and can be found under section 39 in the Criminal Justice Act 1988 (Criminal Justice Act 1988)</w:t>
      </w:r>
      <w:r w:rsidR="00790C35">
        <w:rPr>
          <w:color w:val="000000" w:themeColor="text1"/>
        </w:rPr>
        <w:t>.</w:t>
      </w:r>
      <w:r w:rsidR="000A16AA">
        <w:rPr>
          <w:color w:val="000000" w:themeColor="text1"/>
        </w:rPr>
        <w:t xml:space="preserve"> Assault happens when someone purposely or recklessly intends unlawful harm and violence to another person.</w:t>
      </w:r>
      <w:r w:rsidR="00790C35">
        <w:rPr>
          <w:color w:val="000000" w:themeColor="text1"/>
        </w:rPr>
        <w:t xml:space="preserve"> </w:t>
      </w:r>
      <w:r w:rsidR="00726FDC">
        <w:rPr>
          <w:color w:val="000000" w:themeColor="text1"/>
        </w:rPr>
        <w:t>Understanding that something bad might happen to another individual is the actus rea of assault, this would be anything from verbal use to silent phone calls</w:t>
      </w:r>
      <w:r w:rsidR="00631694">
        <w:rPr>
          <w:color w:val="000000" w:themeColor="text1"/>
        </w:rPr>
        <w:t xml:space="preserve"> (College Law, 2014). </w:t>
      </w:r>
      <w:r w:rsidR="00790C35">
        <w:rPr>
          <w:color w:val="000000" w:themeColor="text1"/>
        </w:rPr>
        <w:t xml:space="preserve">An example of this would be the Ireland case 1997, where the defendant made silent phone calls to the victim during the night, which was </w:t>
      </w:r>
      <w:r w:rsidR="000A16AA">
        <w:rPr>
          <w:color w:val="000000" w:themeColor="text1"/>
        </w:rPr>
        <w:t>perceived as threatening (</w:t>
      </w:r>
      <w:r w:rsidR="001928CD">
        <w:rPr>
          <w:color w:val="000000" w:themeColor="text1"/>
        </w:rPr>
        <w:t>Parliament. House of Lords, 1997</w:t>
      </w:r>
      <w:r w:rsidR="007B3A3B">
        <w:rPr>
          <w:color w:val="000000" w:themeColor="text1"/>
        </w:rPr>
        <w:t xml:space="preserve">). The </w:t>
      </w:r>
      <w:r w:rsidR="009F54EF">
        <w:rPr>
          <w:color w:val="000000" w:themeColor="text1"/>
        </w:rPr>
        <w:t>men’s</w:t>
      </w:r>
      <w:r w:rsidR="007B3A3B">
        <w:rPr>
          <w:color w:val="000000" w:themeColor="text1"/>
        </w:rPr>
        <w:t xml:space="preserve"> rea occurred when the defendant realised the </w:t>
      </w:r>
      <w:r w:rsidR="009F54EF">
        <w:rPr>
          <w:color w:val="000000" w:themeColor="text1"/>
        </w:rPr>
        <w:t>threat,</w:t>
      </w:r>
      <w:r w:rsidR="007B3A3B">
        <w:rPr>
          <w:color w:val="000000" w:themeColor="text1"/>
        </w:rPr>
        <w:t xml:space="preserve"> he might </w:t>
      </w:r>
      <w:r w:rsidR="009F54EF">
        <w:rPr>
          <w:color w:val="000000" w:themeColor="text1"/>
        </w:rPr>
        <w:t>have</w:t>
      </w:r>
      <w:r w:rsidR="007B3A3B">
        <w:rPr>
          <w:color w:val="000000" w:themeColor="text1"/>
        </w:rPr>
        <w:t xml:space="preserve"> caused the victim in unlawful personal violence, known as subjective recklessness.</w:t>
      </w:r>
    </w:p>
    <w:p w14:paraId="0BBED0DA" w14:textId="048CA6E5" w:rsidR="00631694" w:rsidRDefault="00631694" w:rsidP="00C15CD7">
      <w:pPr>
        <w:jc w:val="both"/>
        <w:rPr>
          <w:color w:val="FF0000"/>
        </w:rPr>
      </w:pPr>
    </w:p>
    <w:p w14:paraId="334DC578" w14:textId="27B2D490" w:rsidR="00172E44" w:rsidRDefault="001928CD" w:rsidP="00C15CD7">
      <w:pPr>
        <w:jc w:val="both"/>
        <w:rPr>
          <w:color w:val="000000" w:themeColor="text1"/>
        </w:rPr>
      </w:pPr>
      <w:r>
        <w:rPr>
          <w:color w:val="000000" w:themeColor="text1"/>
        </w:rPr>
        <w:t xml:space="preserve">Battery </w:t>
      </w:r>
      <w:r w:rsidR="00E4081D">
        <w:rPr>
          <w:color w:val="000000" w:themeColor="text1"/>
        </w:rPr>
        <w:t>offences occur when the defendant acts on</w:t>
      </w:r>
      <w:r w:rsidR="00484586">
        <w:rPr>
          <w:color w:val="000000" w:themeColor="text1"/>
        </w:rPr>
        <w:t xml:space="preserve"> physical contact which is intentional, where there is no consent from the victim and found threatening. The implantation of force and contact used towards the victim demonstrates the actus reus of battery (Find Law, 2019). </w:t>
      </w:r>
      <w:r w:rsidR="00172E44">
        <w:rPr>
          <w:color w:val="000000" w:themeColor="text1"/>
        </w:rPr>
        <w:t xml:space="preserve">An example of a battery offence would be the case of Fagan v MPC (1968), where the defendant intentionally turned off his car engine after driving over a police </w:t>
      </w:r>
      <w:r w:rsidR="009F54EF">
        <w:rPr>
          <w:color w:val="000000" w:themeColor="text1"/>
        </w:rPr>
        <w:t>officer’s</w:t>
      </w:r>
      <w:r w:rsidR="00172E44">
        <w:rPr>
          <w:color w:val="000000" w:themeColor="text1"/>
        </w:rPr>
        <w:t xml:space="preserve"> foot (</w:t>
      </w:r>
      <w:r w:rsidR="008C5DD9">
        <w:rPr>
          <w:color w:val="000000" w:themeColor="text1"/>
        </w:rPr>
        <w:t xml:space="preserve">Divisional Court Cases, 1969). </w:t>
      </w:r>
      <w:r w:rsidR="00E0277A">
        <w:rPr>
          <w:color w:val="000000" w:themeColor="text1"/>
        </w:rPr>
        <w:t xml:space="preserve">When Fagan drove the car on to the </w:t>
      </w:r>
      <w:r w:rsidR="009F54EF">
        <w:rPr>
          <w:color w:val="000000" w:themeColor="text1"/>
        </w:rPr>
        <w:t>officer’s</w:t>
      </w:r>
      <w:r w:rsidR="00E0277A">
        <w:rPr>
          <w:color w:val="000000" w:themeColor="text1"/>
        </w:rPr>
        <w:t xml:space="preserve"> foot actus reus took place as violence took place due to the defendants conduct. The </w:t>
      </w:r>
      <w:r w:rsidR="009F54EF">
        <w:rPr>
          <w:color w:val="000000" w:themeColor="text1"/>
        </w:rPr>
        <w:t>men’s</w:t>
      </w:r>
      <w:r w:rsidR="00E0277A">
        <w:rPr>
          <w:color w:val="000000" w:themeColor="text1"/>
        </w:rPr>
        <w:t xml:space="preserve"> rea </w:t>
      </w:r>
      <w:r w:rsidR="009F54EF">
        <w:rPr>
          <w:color w:val="000000" w:themeColor="text1"/>
        </w:rPr>
        <w:t>raised</w:t>
      </w:r>
      <w:r w:rsidR="00E0277A">
        <w:rPr>
          <w:color w:val="000000" w:themeColor="text1"/>
        </w:rPr>
        <w:t xml:space="preserve"> when the defendant realised and turned the engine off in order to intend unlawful direct intention. </w:t>
      </w:r>
    </w:p>
    <w:p w14:paraId="4C20F716" w14:textId="27B3E5B4" w:rsidR="008C5DD9" w:rsidRDefault="008C5DD9" w:rsidP="00C15CD7">
      <w:pPr>
        <w:jc w:val="both"/>
        <w:rPr>
          <w:color w:val="000000" w:themeColor="text1"/>
        </w:rPr>
      </w:pPr>
    </w:p>
    <w:p w14:paraId="70791561" w14:textId="3F6C1874" w:rsidR="00A620C4" w:rsidRDefault="009F54EF" w:rsidP="00C15CD7">
      <w:pPr>
        <w:jc w:val="both"/>
        <w:rPr>
          <w:color w:val="000000" w:themeColor="text1"/>
        </w:rPr>
      </w:pPr>
      <w:r>
        <w:rPr>
          <w:color w:val="000000" w:themeColor="text1"/>
        </w:rPr>
        <w:t>Under</w:t>
      </w:r>
      <w:r w:rsidR="008C5DD9">
        <w:rPr>
          <w:color w:val="000000" w:themeColor="text1"/>
        </w:rPr>
        <w:t xml:space="preserve"> s</w:t>
      </w:r>
      <w:r w:rsidR="00573089">
        <w:rPr>
          <w:color w:val="000000" w:themeColor="text1"/>
        </w:rPr>
        <w:t xml:space="preserve">ection </w:t>
      </w:r>
      <w:r w:rsidR="008C5DD9">
        <w:rPr>
          <w:color w:val="000000" w:themeColor="text1"/>
        </w:rPr>
        <w:t xml:space="preserve">47 of the </w:t>
      </w:r>
      <w:r w:rsidR="002B6C2E">
        <w:rPr>
          <w:color w:val="000000" w:themeColor="text1"/>
        </w:rPr>
        <w:t>O</w:t>
      </w:r>
      <w:r w:rsidR="008C5DD9">
        <w:rPr>
          <w:color w:val="000000" w:themeColor="text1"/>
        </w:rPr>
        <w:t xml:space="preserve">ffences </w:t>
      </w:r>
      <w:r w:rsidR="002B6C2E">
        <w:rPr>
          <w:color w:val="000000" w:themeColor="text1"/>
        </w:rPr>
        <w:t>A</w:t>
      </w:r>
      <w:r w:rsidR="008C5DD9">
        <w:rPr>
          <w:color w:val="000000" w:themeColor="text1"/>
        </w:rPr>
        <w:t xml:space="preserve">gainst the </w:t>
      </w:r>
      <w:r w:rsidR="002B6C2E">
        <w:rPr>
          <w:color w:val="000000" w:themeColor="text1"/>
        </w:rPr>
        <w:t>P</w:t>
      </w:r>
      <w:r w:rsidR="008C5DD9">
        <w:rPr>
          <w:color w:val="000000" w:themeColor="text1"/>
        </w:rPr>
        <w:t xml:space="preserve">erson </w:t>
      </w:r>
      <w:r w:rsidR="002B6C2E">
        <w:rPr>
          <w:color w:val="000000" w:themeColor="text1"/>
        </w:rPr>
        <w:t xml:space="preserve">Act </w:t>
      </w:r>
      <w:r w:rsidR="008C5DD9">
        <w:rPr>
          <w:color w:val="000000" w:themeColor="text1"/>
        </w:rPr>
        <w:t xml:space="preserve">1861, </w:t>
      </w:r>
      <w:r w:rsidR="00030E78">
        <w:rPr>
          <w:color w:val="000000" w:themeColor="text1"/>
        </w:rPr>
        <w:t>the defendant can be punished with up to a maximum of five years imprisonment from assault occasion</w:t>
      </w:r>
      <w:r w:rsidR="002B6C2E">
        <w:rPr>
          <w:color w:val="000000" w:themeColor="text1"/>
        </w:rPr>
        <w:t>ing</w:t>
      </w:r>
      <w:r w:rsidR="00030E78">
        <w:rPr>
          <w:color w:val="000000" w:themeColor="text1"/>
        </w:rPr>
        <w:t xml:space="preserve"> actual body harm</w:t>
      </w:r>
      <w:r w:rsidR="00F6311C">
        <w:rPr>
          <w:color w:val="000000" w:themeColor="text1"/>
        </w:rPr>
        <w:t xml:space="preserve"> (Offenses against the person Act 1861). </w:t>
      </w:r>
      <w:r w:rsidR="00030E78">
        <w:rPr>
          <w:color w:val="000000" w:themeColor="text1"/>
        </w:rPr>
        <w:t>A</w:t>
      </w:r>
      <w:r w:rsidR="00F6311C">
        <w:rPr>
          <w:color w:val="000000" w:themeColor="text1"/>
        </w:rPr>
        <w:t>ctual body harm (ABH) is caused by assault or battery</w:t>
      </w:r>
      <w:r w:rsidR="006A74EA">
        <w:rPr>
          <w:color w:val="000000" w:themeColor="text1"/>
        </w:rPr>
        <w:t>, which acts as the actus rea of ABH</w:t>
      </w:r>
      <w:r w:rsidR="007A5FED">
        <w:rPr>
          <w:color w:val="000000" w:themeColor="text1"/>
        </w:rPr>
        <w:t xml:space="preserve">. </w:t>
      </w:r>
      <w:r w:rsidR="001929C1">
        <w:rPr>
          <w:color w:val="000000" w:themeColor="text1"/>
        </w:rPr>
        <w:t xml:space="preserve">Actual body harm can be caused by </w:t>
      </w:r>
      <w:r w:rsidR="00EF5ADC">
        <w:rPr>
          <w:color w:val="000000" w:themeColor="text1"/>
        </w:rPr>
        <w:t xml:space="preserve">bone fractures, a loss or chipping of a tooth, cuts that are less critical than wounding or bruising (Gray and Co Solicitors, 2021). </w:t>
      </w:r>
      <w:r w:rsidR="007B3A3B">
        <w:rPr>
          <w:color w:val="000000" w:themeColor="text1"/>
        </w:rPr>
        <w:t xml:space="preserve"> </w:t>
      </w:r>
      <w:r w:rsidR="008748FD">
        <w:rPr>
          <w:color w:val="000000" w:themeColor="text1"/>
        </w:rPr>
        <w:t xml:space="preserve">The case of Savage 1991 </w:t>
      </w:r>
      <w:r w:rsidR="002174A8">
        <w:rPr>
          <w:color w:val="000000" w:themeColor="text1"/>
        </w:rPr>
        <w:t xml:space="preserve">(Swarb, 2020) </w:t>
      </w:r>
      <w:r w:rsidR="008748FD">
        <w:rPr>
          <w:color w:val="000000" w:themeColor="text1"/>
        </w:rPr>
        <w:t xml:space="preserve">is a prime example of ABH under section 47. </w:t>
      </w:r>
      <w:r w:rsidR="00B02588">
        <w:rPr>
          <w:color w:val="000000" w:themeColor="text1"/>
        </w:rPr>
        <w:t xml:space="preserve">The </w:t>
      </w:r>
      <w:r>
        <w:rPr>
          <w:color w:val="000000" w:themeColor="text1"/>
        </w:rPr>
        <w:t>victim’s</w:t>
      </w:r>
      <w:r w:rsidR="00B02588">
        <w:rPr>
          <w:color w:val="000000" w:themeColor="text1"/>
        </w:rPr>
        <w:t xml:space="preserve"> hand was cut after the defendant intended to throw beer over </w:t>
      </w:r>
      <w:r>
        <w:rPr>
          <w:color w:val="000000" w:themeColor="text1"/>
        </w:rPr>
        <w:t>her,</w:t>
      </w:r>
      <w:r w:rsidR="00B02588">
        <w:rPr>
          <w:color w:val="000000" w:themeColor="text1"/>
        </w:rPr>
        <w:t xml:space="preserve"> but the glass slipped, causing </w:t>
      </w:r>
      <w:r w:rsidR="00643571">
        <w:rPr>
          <w:color w:val="000000" w:themeColor="text1"/>
        </w:rPr>
        <w:t xml:space="preserve">the victim bodily harm. </w:t>
      </w:r>
      <w:r w:rsidR="002174A8">
        <w:rPr>
          <w:color w:val="000000" w:themeColor="text1"/>
        </w:rPr>
        <w:t xml:space="preserve">The </w:t>
      </w:r>
      <w:r w:rsidR="0055370B">
        <w:rPr>
          <w:color w:val="000000" w:themeColor="text1"/>
        </w:rPr>
        <w:t>defendant</w:t>
      </w:r>
      <w:r w:rsidR="002174A8">
        <w:rPr>
          <w:color w:val="000000" w:themeColor="text1"/>
        </w:rPr>
        <w:t xml:space="preserve"> was convicted with ABH. </w:t>
      </w:r>
    </w:p>
    <w:p w14:paraId="65C5684D" w14:textId="77777777" w:rsidR="00A620C4" w:rsidRDefault="00A620C4" w:rsidP="00C15CD7">
      <w:pPr>
        <w:jc w:val="both"/>
        <w:rPr>
          <w:color w:val="000000" w:themeColor="text1"/>
        </w:rPr>
      </w:pPr>
    </w:p>
    <w:p w14:paraId="370901B6" w14:textId="416C614B" w:rsidR="00024C2D" w:rsidRDefault="00A06C71" w:rsidP="00C15CD7">
      <w:pPr>
        <w:jc w:val="both"/>
        <w:rPr>
          <w:color w:val="000000" w:themeColor="text1"/>
        </w:rPr>
      </w:pPr>
      <w:r>
        <w:rPr>
          <w:color w:val="000000" w:themeColor="text1"/>
        </w:rPr>
        <w:t xml:space="preserve">Wounding and </w:t>
      </w:r>
      <w:r w:rsidR="009F54EF">
        <w:rPr>
          <w:color w:val="000000" w:themeColor="text1"/>
        </w:rPr>
        <w:t>grievous</w:t>
      </w:r>
      <w:r>
        <w:rPr>
          <w:color w:val="000000" w:themeColor="text1"/>
        </w:rPr>
        <w:t xml:space="preserve"> bodily harm (GBH) is the most consequential forms of non-fatal offence</w:t>
      </w:r>
      <w:r w:rsidR="00A620C4">
        <w:rPr>
          <w:color w:val="000000" w:themeColor="text1"/>
        </w:rPr>
        <w:t xml:space="preserve">s (Vhs Fletchers Solicitors, 2021). </w:t>
      </w:r>
      <w:r w:rsidR="00573089">
        <w:rPr>
          <w:color w:val="000000" w:themeColor="text1"/>
        </w:rPr>
        <w:t>Section 20</w:t>
      </w:r>
      <w:r>
        <w:rPr>
          <w:color w:val="000000" w:themeColor="text1"/>
        </w:rPr>
        <w:t xml:space="preserve"> (</w:t>
      </w:r>
      <w:r w:rsidR="00573089">
        <w:rPr>
          <w:color w:val="000000" w:themeColor="text1"/>
        </w:rPr>
        <w:t>Offences against the person 186</w:t>
      </w:r>
      <w:r>
        <w:rPr>
          <w:color w:val="000000" w:themeColor="text1"/>
        </w:rPr>
        <w:t>1)</w:t>
      </w:r>
      <w:r w:rsidR="00573089">
        <w:rPr>
          <w:color w:val="000000" w:themeColor="text1"/>
        </w:rPr>
        <w:t xml:space="preserve"> states that an individual would be convicted and liable to imprisonment for </w:t>
      </w:r>
      <w:r>
        <w:rPr>
          <w:color w:val="000000" w:themeColor="text1"/>
        </w:rPr>
        <w:t xml:space="preserve">up to 5 years. However, the more serious assaults causing wounding and </w:t>
      </w:r>
      <w:r w:rsidR="009F54EF">
        <w:rPr>
          <w:color w:val="000000" w:themeColor="text1"/>
        </w:rPr>
        <w:t>grievous</w:t>
      </w:r>
      <w:r>
        <w:rPr>
          <w:color w:val="000000" w:themeColor="text1"/>
        </w:rPr>
        <w:t xml:space="preserve"> bodily harm is accounted for under section 18 where the defendant can be punished with life imprisonment</w:t>
      </w:r>
      <w:r w:rsidR="00573089">
        <w:rPr>
          <w:color w:val="000000" w:themeColor="text1"/>
        </w:rPr>
        <w:t xml:space="preserve">. S18 of the Non-fatal offences against the person Act 1861 states murder being an example of the seriousness of </w:t>
      </w:r>
      <w:r w:rsidR="00573089">
        <w:rPr>
          <w:color w:val="000000" w:themeColor="text1"/>
        </w:rPr>
        <w:lastRenderedPageBreak/>
        <w:t>causing bodily harm or wounding</w:t>
      </w:r>
      <w:r w:rsidR="00024C2D">
        <w:rPr>
          <w:color w:val="000000" w:themeColor="text1"/>
        </w:rPr>
        <w:t xml:space="preserve"> (</w:t>
      </w:r>
      <w:r w:rsidR="00024C2D" w:rsidRPr="00AB033A">
        <w:rPr>
          <w:color w:val="000000" w:themeColor="text1"/>
        </w:rPr>
        <w:t>Fertwell, 1948).</w:t>
      </w:r>
      <w:r w:rsidR="00BF7CFC">
        <w:rPr>
          <w:color w:val="000000" w:themeColor="text1"/>
        </w:rPr>
        <w:t xml:space="preserve"> The case of Lewis 1974 (</w:t>
      </w:r>
      <w:r w:rsidR="00BF7CFC" w:rsidRPr="004839F4">
        <w:rPr>
          <w:color w:val="000000" w:themeColor="text1"/>
        </w:rPr>
        <w:t>College Law,</w:t>
      </w:r>
      <w:r w:rsidR="00BF7CFC">
        <w:rPr>
          <w:color w:val="000000" w:themeColor="text1"/>
        </w:rPr>
        <w:t xml:space="preserve"> </w:t>
      </w:r>
      <w:r w:rsidR="004839F4">
        <w:rPr>
          <w:color w:val="000000" w:themeColor="text1"/>
        </w:rPr>
        <w:t xml:space="preserve">2021) was convicted of GBH under section 20 which was harm without intent. The defendant intended unlawful conduct to the victim causing </w:t>
      </w:r>
      <w:r w:rsidR="009F54EF">
        <w:rPr>
          <w:color w:val="000000" w:themeColor="text1"/>
        </w:rPr>
        <w:t>grievous</w:t>
      </w:r>
      <w:r w:rsidR="004839F4">
        <w:rPr>
          <w:color w:val="000000" w:themeColor="text1"/>
        </w:rPr>
        <w:t xml:space="preserve"> bodily harm. The victim broke both legs after trying to escape from the defendant, after he tried breaking down the door along with </w:t>
      </w:r>
      <w:r w:rsidR="009F54EF">
        <w:rPr>
          <w:color w:val="000000" w:themeColor="text1"/>
        </w:rPr>
        <w:t>threatening</w:t>
      </w:r>
      <w:r w:rsidR="004839F4">
        <w:rPr>
          <w:color w:val="000000" w:themeColor="text1"/>
        </w:rPr>
        <w:t xml:space="preserve"> the victim. The actus rea occurred when the defendant caused the victim to break both legs (GBH). </w:t>
      </w:r>
    </w:p>
    <w:p w14:paraId="168F9853" w14:textId="5062395D" w:rsidR="00A620C4" w:rsidRDefault="00A620C4" w:rsidP="00C15CD7">
      <w:pPr>
        <w:jc w:val="both"/>
        <w:rPr>
          <w:color w:val="000000" w:themeColor="text1"/>
        </w:rPr>
      </w:pPr>
    </w:p>
    <w:p w14:paraId="5234C56E" w14:textId="4320CC66" w:rsidR="00B24A4C" w:rsidRDefault="008766C5" w:rsidP="00C15CD7">
      <w:pPr>
        <w:jc w:val="both"/>
        <w:rPr>
          <w:color w:val="000000" w:themeColor="text1"/>
        </w:rPr>
      </w:pPr>
      <w:r>
        <w:rPr>
          <w:color w:val="000000" w:themeColor="text1"/>
        </w:rPr>
        <w:t xml:space="preserve">Under the Offences Against the Person Act 1861, over 26,000 prosecutions are made (Law Commission, 2015). </w:t>
      </w:r>
      <w:r w:rsidR="0044404F">
        <w:rPr>
          <w:color w:val="000000" w:themeColor="text1"/>
        </w:rPr>
        <w:t>The Offences against the Person Act 1861</w:t>
      </w:r>
      <w:r w:rsidR="00106A55">
        <w:rPr>
          <w:color w:val="000000" w:themeColor="text1"/>
        </w:rPr>
        <w:t xml:space="preserve"> was put into place in order to regulate an explanation on non-fatal offences</w:t>
      </w:r>
      <w:r w:rsidR="000118EE">
        <w:rPr>
          <w:color w:val="000000" w:themeColor="text1"/>
        </w:rPr>
        <w:t>, which has been in place for over 150 years</w:t>
      </w:r>
      <w:r w:rsidR="001D46F1">
        <w:rPr>
          <w:color w:val="000000" w:themeColor="text1"/>
        </w:rPr>
        <w:t>.</w:t>
      </w:r>
    </w:p>
    <w:p w14:paraId="010B1B59" w14:textId="30C37BAC" w:rsidR="00EF5ADC" w:rsidRDefault="00B24A4C" w:rsidP="00C15CD7">
      <w:pPr>
        <w:jc w:val="both"/>
        <w:rPr>
          <w:color w:val="000000" w:themeColor="text1"/>
        </w:rPr>
      </w:pPr>
      <w:r>
        <w:rPr>
          <w:color w:val="000000" w:themeColor="text1"/>
        </w:rPr>
        <w:t xml:space="preserve">Samantha Love (2021) stated that OAPA 1861 is an onerous legislation to understand and desperately needs to be reformed. </w:t>
      </w:r>
      <w:r w:rsidR="00106A55">
        <w:rPr>
          <w:color w:val="000000" w:themeColor="text1"/>
        </w:rPr>
        <w:t>It</w:t>
      </w:r>
      <w:r w:rsidR="0044404F">
        <w:rPr>
          <w:color w:val="000000" w:themeColor="text1"/>
        </w:rPr>
        <w:t xml:space="preserve"> has been broadly </w:t>
      </w:r>
      <w:r w:rsidR="00024C2D">
        <w:rPr>
          <w:color w:val="000000" w:themeColor="text1"/>
        </w:rPr>
        <w:t xml:space="preserve">challenged by how it needs reformation </w:t>
      </w:r>
      <w:r>
        <w:rPr>
          <w:color w:val="000000" w:themeColor="text1"/>
        </w:rPr>
        <w:t xml:space="preserve">and re-codification </w:t>
      </w:r>
      <w:r w:rsidR="00024C2D">
        <w:rPr>
          <w:color w:val="000000" w:themeColor="text1"/>
        </w:rPr>
        <w:t>due to the Act being outdated</w:t>
      </w:r>
      <w:r w:rsidR="000118EE">
        <w:rPr>
          <w:color w:val="000000" w:themeColor="text1"/>
        </w:rPr>
        <w:t>.</w:t>
      </w:r>
      <w:r w:rsidR="00A007F2">
        <w:rPr>
          <w:color w:val="000000" w:themeColor="text1"/>
        </w:rPr>
        <w:t xml:space="preserve"> Demetriou (2016, p.2) stated</w:t>
      </w:r>
      <w:r w:rsidR="00405489">
        <w:rPr>
          <w:color w:val="000000" w:themeColor="text1"/>
        </w:rPr>
        <w:t xml:space="preserve"> </w:t>
      </w:r>
      <w:r w:rsidR="00A007F2">
        <w:rPr>
          <w:color w:val="000000" w:themeColor="text1"/>
        </w:rPr>
        <w:t>t</w:t>
      </w:r>
      <w:r w:rsidR="00405489">
        <w:rPr>
          <w:color w:val="000000" w:themeColor="text1"/>
        </w:rPr>
        <w:t>here was a reformation bill on the Offences against the person Act 1861, which was published in 1998. However, the bill was not made official in order to amend the Act made by government</w:t>
      </w:r>
      <w:r w:rsidR="001D46F1">
        <w:rPr>
          <w:color w:val="000000" w:themeColor="text1"/>
        </w:rPr>
        <w:t>.</w:t>
      </w:r>
      <w:r w:rsidR="00405489">
        <w:rPr>
          <w:color w:val="000000" w:themeColor="text1"/>
        </w:rPr>
        <w:t xml:space="preserve"> </w:t>
      </w:r>
    </w:p>
    <w:p w14:paraId="795F3D39" w14:textId="77777777" w:rsidR="00EF5ADC" w:rsidRDefault="00EF5ADC" w:rsidP="00C15CD7">
      <w:pPr>
        <w:jc w:val="both"/>
        <w:rPr>
          <w:color w:val="000000" w:themeColor="text1"/>
        </w:rPr>
      </w:pPr>
    </w:p>
    <w:p w14:paraId="0C45B13B" w14:textId="7304E940" w:rsidR="004247C7" w:rsidRDefault="009F54EF" w:rsidP="004247C7">
      <w:pPr>
        <w:jc w:val="both"/>
        <w:rPr>
          <w:color w:val="000000" w:themeColor="text1"/>
        </w:rPr>
      </w:pPr>
      <w:r>
        <w:rPr>
          <w:color w:val="000000" w:themeColor="text1"/>
        </w:rPr>
        <w:t xml:space="preserve">One of the reasons the Act has been criticised for reformation is the confusion of contrast between the offences and hierarchy of GBH and ABH, section 47 in OAPA 1861 under sections 20 and 18. Grievous Bodily Harm (GBH), under section 20 is seen as having more serious actus reus and men’s rea implications than Actual Bodily Harm (ABH) under section 47. </w:t>
      </w:r>
      <w:r w:rsidR="00CF678B">
        <w:rPr>
          <w:color w:val="000000" w:themeColor="text1"/>
        </w:rPr>
        <w:t xml:space="preserve">Section 20 and 18 are </w:t>
      </w:r>
      <w:r>
        <w:rPr>
          <w:color w:val="000000" w:themeColor="text1"/>
        </w:rPr>
        <w:t>relatively</w:t>
      </w:r>
      <w:r w:rsidR="00CF678B">
        <w:rPr>
          <w:color w:val="000000" w:themeColor="text1"/>
        </w:rPr>
        <w:t xml:space="preserve"> the same with the difference of the words ‘causing’ and ‘inflicting’ used to define the differences, which is found to be hard </w:t>
      </w:r>
      <w:r w:rsidR="00C1433B">
        <w:rPr>
          <w:color w:val="000000" w:themeColor="text1"/>
        </w:rPr>
        <w:t>to define and understand the differences between the offences</w:t>
      </w:r>
      <w:r w:rsidR="0073600D">
        <w:rPr>
          <w:color w:val="000000" w:themeColor="text1"/>
        </w:rPr>
        <w:t xml:space="preserve"> (Law commission, 2015).</w:t>
      </w:r>
      <w:r w:rsidR="00B24A4C">
        <w:rPr>
          <w:color w:val="000000" w:themeColor="text1"/>
        </w:rPr>
        <w:t xml:space="preserve"> </w:t>
      </w:r>
      <w:r w:rsidR="004165EC">
        <w:rPr>
          <w:color w:val="000000" w:themeColor="text1"/>
        </w:rPr>
        <w:t xml:space="preserve">To support this, The Law commission (2015, pp.37-38) stated that The Magistrates association was in favour of the OAPA 1861 being reformed due to the confusion on hierarchy of ABH and GBH and the confusion on the seriousness of harm caused. </w:t>
      </w:r>
      <w:r w:rsidR="00B24A4C">
        <w:rPr>
          <w:color w:val="000000" w:themeColor="text1"/>
        </w:rPr>
        <w:t xml:space="preserve">Even though GBH is a more serious offence than ABH they both have the </w:t>
      </w:r>
      <w:r w:rsidR="006A2D44">
        <w:rPr>
          <w:color w:val="000000" w:themeColor="text1"/>
        </w:rPr>
        <w:t xml:space="preserve">same </w:t>
      </w:r>
      <w:r>
        <w:rPr>
          <w:color w:val="000000" w:themeColor="text1"/>
        </w:rPr>
        <w:t>men’s</w:t>
      </w:r>
      <w:r w:rsidR="006A2D44">
        <w:rPr>
          <w:color w:val="000000" w:themeColor="text1"/>
        </w:rPr>
        <w:t xml:space="preserve"> rea and </w:t>
      </w:r>
      <w:r w:rsidR="00B24A4C">
        <w:rPr>
          <w:color w:val="000000" w:themeColor="text1"/>
        </w:rPr>
        <w:t>punishment to 5 years of imprisonment</w:t>
      </w:r>
      <w:r w:rsidR="0073600D">
        <w:rPr>
          <w:color w:val="000000" w:themeColor="text1"/>
        </w:rPr>
        <w:t>.</w:t>
      </w:r>
      <w:r w:rsidR="00B24A4C">
        <w:rPr>
          <w:color w:val="000000" w:themeColor="text1"/>
        </w:rPr>
        <w:t xml:space="preserve"> </w:t>
      </w:r>
      <w:r w:rsidR="001929C1">
        <w:rPr>
          <w:color w:val="000000" w:themeColor="text1"/>
        </w:rPr>
        <w:t>Due to this, the commission</w:t>
      </w:r>
      <w:r w:rsidR="007319AD">
        <w:rPr>
          <w:color w:val="000000" w:themeColor="text1"/>
        </w:rPr>
        <w:t xml:space="preserve"> stated that having the same maximum imprisonment penalty causes confusion between ABH and GBH in terms of culpability.</w:t>
      </w:r>
      <w:r w:rsidR="00836B82">
        <w:rPr>
          <w:color w:val="000000" w:themeColor="text1"/>
        </w:rPr>
        <w:t xml:space="preserve"> Demetriou (2016, p.8) stated that the Law Commission have suggested that the maximum penalty of imprisonment of GBH under section 20 should change to seven years.</w:t>
      </w:r>
      <w:r w:rsidR="004247C7">
        <w:rPr>
          <w:color w:val="000000" w:themeColor="text1"/>
        </w:rPr>
        <w:t xml:space="preserve"> </w:t>
      </w:r>
    </w:p>
    <w:p w14:paraId="40D85F7B" w14:textId="47D3B5A5" w:rsidR="008766C5" w:rsidRDefault="008766C5" w:rsidP="00C15CD7">
      <w:pPr>
        <w:jc w:val="both"/>
        <w:rPr>
          <w:color w:val="000000" w:themeColor="text1"/>
        </w:rPr>
      </w:pPr>
    </w:p>
    <w:p w14:paraId="2A4FE144" w14:textId="447F9387" w:rsidR="00C15CD7" w:rsidRDefault="00A41E6A" w:rsidP="00C15CD7">
      <w:pPr>
        <w:jc w:val="both"/>
        <w:rPr>
          <w:color w:val="000000" w:themeColor="text1"/>
        </w:rPr>
      </w:pPr>
      <w:r>
        <w:rPr>
          <w:color w:val="000000" w:themeColor="text1"/>
        </w:rPr>
        <w:t xml:space="preserve">There has also been </w:t>
      </w:r>
      <w:r w:rsidR="009F54EF">
        <w:rPr>
          <w:color w:val="000000" w:themeColor="text1"/>
        </w:rPr>
        <w:t>criticism</w:t>
      </w:r>
      <w:r>
        <w:rPr>
          <w:color w:val="000000" w:themeColor="text1"/>
        </w:rPr>
        <w:t xml:space="preserve"> on the language used within the Offences Against the Person Act 1861. Law commission (2021) described the language to be outmoded and unclear. The Law </w:t>
      </w:r>
      <w:r w:rsidR="009F54EF">
        <w:rPr>
          <w:color w:val="000000" w:themeColor="text1"/>
        </w:rPr>
        <w:t>Commissioner</w:t>
      </w:r>
      <w:r>
        <w:rPr>
          <w:color w:val="000000" w:themeColor="text1"/>
        </w:rPr>
        <w:t xml:space="preserve"> (2015, p.5) </w:t>
      </w:r>
      <w:r w:rsidR="00631237">
        <w:rPr>
          <w:color w:val="000000" w:themeColor="text1"/>
        </w:rPr>
        <w:t xml:space="preserve">stated that words like ‘detainer’ should not be used in a criminal trial of </w:t>
      </w:r>
      <w:r w:rsidR="009F54EF">
        <w:rPr>
          <w:color w:val="000000" w:themeColor="text1"/>
        </w:rPr>
        <w:t>modern-day</w:t>
      </w:r>
      <w:r w:rsidR="00631237">
        <w:rPr>
          <w:color w:val="000000" w:themeColor="text1"/>
        </w:rPr>
        <w:t xml:space="preserve"> society. The word ‘Detainer’ is used under section 20 and 38 of the OAPA 1861</w:t>
      </w:r>
      <w:r w:rsidR="000B36A4">
        <w:rPr>
          <w:color w:val="000000" w:themeColor="text1"/>
        </w:rPr>
        <w:t xml:space="preserve">. </w:t>
      </w:r>
      <w:r w:rsidR="0025782E">
        <w:rPr>
          <w:color w:val="000000" w:themeColor="text1"/>
        </w:rPr>
        <w:t xml:space="preserve">There have been numerous occasions where the court have had to explain what is meant by ‘maliciously’, which is also used in the OAPA 1861. </w:t>
      </w:r>
    </w:p>
    <w:p w14:paraId="6BCBB3F4" w14:textId="77777777" w:rsidR="00C15CD7" w:rsidRDefault="00C15CD7" w:rsidP="00C15CD7">
      <w:pPr>
        <w:jc w:val="both"/>
        <w:rPr>
          <w:color w:val="000000" w:themeColor="text1"/>
        </w:rPr>
      </w:pPr>
    </w:p>
    <w:p w14:paraId="35767B9E" w14:textId="0F4C5976" w:rsidR="009623C2" w:rsidRPr="004C34FD" w:rsidRDefault="000B36A4" w:rsidP="00C15CD7">
      <w:pPr>
        <w:jc w:val="both"/>
        <w:rPr>
          <w:color w:val="000000" w:themeColor="text1"/>
        </w:rPr>
      </w:pPr>
      <w:r>
        <w:rPr>
          <w:color w:val="000000" w:themeColor="text1"/>
        </w:rPr>
        <w:t xml:space="preserve">Law </w:t>
      </w:r>
      <w:r w:rsidR="009F54EF">
        <w:rPr>
          <w:color w:val="000000" w:themeColor="text1"/>
        </w:rPr>
        <w:t>Commission</w:t>
      </w:r>
      <w:r>
        <w:rPr>
          <w:color w:val="000000" w:themeColor="text1"/>
        </w:rPr>
        <w:t xml:space="preserve"> (2015, p.78) also looks at the words ‘bodily’ and ‘grievous’ used. The word ‘bodily’ </w:t>
      </w:r>
      <w:r w:rsidR="00E00BC0">
        <w:rPr>
          <w:color w:val="000000" w:themeColor="text1"/>
        </w:rPr>
        <w:t xml:space="preserve">is used under sections 47, 18 and 20 of the OAPA 1861. It </w:t>
      </w:r>
      <w:r>
        <w:rPr>
          <w:color w:val="000000" w:themeColor="text1"/>
        </w:rPr>
        <w:t>is in need of reforming as t</w:t>
      </w:r>
      <w:r w:rsidR="00E00BC0">
        <w:rPr>
          <w:color w:val="000000" w:themeColor="text1"/>
        </w:rPr>
        <w:t xml:space="preserve">he </w:t>
      </w:r>
      <w:r>
        <w:rPr>
          <w:color w:val="000000" w:themeColor="text1"/>
        </w:rPr>
        <w:t>word also means psychiatric conditions as well as physical injuries.</w:t>
      </w:r>
      <w:r w:rsidR="00E175F3">
        <w:rPr>
          <w:color w:val="000000" w:themeColor="text1"/>
        </w:rPr>
        <w:t xml:space="preserve"> ‘bodily’ is understood to be just a physical injury to most readers. </w:t>
      </w:r>
      <w:r w:rsidR="004C34FD">
        <w:rPr>
          <w:color w:val="000000" w:themeColor="text1"/>
        </w:rPr>
        <w:t xml:space="preserve">An example of this would be the </w:t>
      </w:r>
      <w:r w:rsidR="00177F36">
        <w:rPr>
          <w:color w:val="000000" w:themeColor="text1"/>
        </w:rPr>
        <w:t xml:space="preserve">case of R v </w:t>
      </w:r>
      <w:r w:rsidR="004C34FD">
        <w:rPr>
          <w:color w:val="000000" w:themeColor="text1"/>
        </w:rPr>
        <w:t>I</w:t>
      </w:r>
      <w:r w:rsidR="00177F36">
        <w:rPr>
          <w:color w:val="000000" w:themeColor="text1"/>
        </w:rPr>
        <w:t xml:space="preserve">reland 1997, where it was established that silence could cause ABH as a form of psychiatric injury under the Offences Against the Person Act 1861. </w:t>
      </w:r>
      <w:r w:rsidR="00DF17C1">
        <w:rPr>
          <w:color w:val="000000" w:themeColor="text1"/>
        </w:rPr>
        <w:t xml:space="preserve">After The defendant made numerous silent </w:t>
      </w:r>
      <w:r w:rsidR="00C87451">
        <w:rPr>
          <w:color w:val="000000" w:themeColor="text1"/>
        </w:rPr>
        <w:t>p</w:t>
      </w:r>
      <w:r w:rsidR="00DF17C1">
        <w:rPr>
          <w:color w:val="000000" w:themeColor="text1"/>
        </w:rPr>
        <w:t>hone calls to the victim, t</w:t>
      </w:r>
      <w:r w:rsidR="00177F36">
        <w:rPr>
          <w:color w:val="000000" w:themeColor="text1"/>
        </w:rPr>
        <w:t xml:space="preserve">he defendant was sentenced to prison for assault occasioning ABH, </w:t>
      </w:r>
      <w:r w:rsidR="00177F36">
        <w:rPr>
          <w:color w:val="000000" w:themeColor="text1"/>
        </w:rPr>
        <w:lastRenderedPageBreak/>
        <w:t>under section 44</w:t>
      </w:r>
      <w:r w:rsidR="00DF17C1">
        <w:rPr>
          <w:color w:val="000000" w:themeColor="text1"/>
        </w:rPr>
        <w:t xml:space="preserve"> (Eugenicos, 2017). In this case the defendant caused the actus rea of assault </w:t>
      </w:r>
      <w:r w:rsidR="006A2D44">
        <w:rPr>
          <w:color w:val="000000" w:themeColor="text1"/>
        </w:rPr>
        <w:t xml:space="preserve">and the psychiatric injury was seen to be a form of actual bodily harm. </w:t>
      </w:r>
      <w:r w:rsidR="00C87451">
        <w:rPr>
          <w:color w:val="000000" w:themeColor="text1"/>
        </w:rPr>
        <w:t xml:space="preserve">This case could improve the existing law by stating and making it clear in what is meant by bodily harm. </w:t>
      </w:r>
    </w:p>
    <w:p w14:paraId="197A2802" w14:textId="77777777" w:rsidR="009623C2" w:rsidRDefault="009623C2" w:rsidP="00C15CD7">
      <w:pPr>
        <w:jc w:val="both"/>
        <w:rPr>
          <w:color w:val="000000" w:themeColor="text1"/>
        </w:rPr>
      </w:pPr>
    </w:p>
    <w:p w14:paraId="1FEC4B1E" w14:textId="6AFD48B8" w:rsidR="008766C5" w:rsidRDefault="00E8687D" w:rsidP="00C15CD7">
      <w:pPr>
        <w:jc w:val="both"/>
        <w:rPr>
          <w:color w:val="000000" w:themeColor="text1"/>
        </w:rPr>
      </w:pPr>
      <w:r>
        <w:rPr>
          <w:color w:val="000000" w:themeColor="text1"/>
        </w:rPr>
        <w:t>The OAPA 1861 also uses archaic vocabulary such as ‘</w:t>
      </w:r>
      <w:r w:rsidR="009F54EF">
        <w:rPr>
          <w:color w:val="000000" w:themeColor="text1"/>
        </w:rPr>
        <w:t>grievous</w:t>
      </w:r>
      <w:r>
        <w:rPr>
          <w:color w:val="000000" w:themeColor="text1"/>
        </w:rPr>
        <w:t xml:space="preserve">’, which is explained not to be used in modern day English. </w:t>
      </w:r>
      <w:r w:rsidR="00C15CD7">
        <w:rPr>
          <w:color w:val="000000" w:themeColor="text1"/>
        </w:rPr>
        <w:t>It is out of context to refer to physical harm as ‘</w:t>
      </w:r>
      <w:r w:rsidR="009F54EF">
        <w:rPr>
          <w:color w:val="000000" w:themeColor="text1"/>
        </w:rPr>
        <w:t>grievous</w:t>
      </w:r>
      <w:r w:rsidR="00C15CD7">
        <w:rPr>
          <w:color w:val="000000" w:themeColor="text1"/>
        </w:rPr>
        <w:t xml:space="preserve">’, the word ‘serious’ would be more suited to the context. </w:t>
      </w:r>
      <w:r w:rsidR="001A3261">
        <w:rPr>
          <w:color w:val="000000" w:themeColor="text1"/>
        </w:rPr>
        <w:t xml:space="preserve">Under section 17 (Offences against the Person 1861) </w:t>
      </w:r>
      <w:r w:rsidR="0025782E">
        <w:rPr>
          <w:color w:val="000000" w:themeColor="text1"/>
        </w:rPr>
        <w:t xml:space="preserve">it </w:t>
      </w:r>
      <w:r w:rsidR="001A3261">
        <w:rPr>
          <w:color w:val="000000" w:themeColor="text1"/>
        </w:rPr>
        <w:t xml:space="preserve">mentions the prevention of a person attempting to save their own life from a shipwreck. </w:t>
      </w:r>
      <w:r w:rsidR="004C34FD">
        <w:rPr>
          <w:color w:val="000000" w:themeColor="text1"/>
        </w:rPr>
        <w:t xml:space="preserve">This section of the Act </w:t>
      </w:r>
      <w:r w:rsidR="006A2D44">
        <w:rPr>
          <w:color w:val="000000" w:themeColor="text1"/>
        </w:rPr>
        <w:t>demonstrates how some would argue the act needs to be reformed and updated due to it being outdated</w:t>
      </w:r>
      <w:r w:rsidR="0025782E">
        <w:rPr>
          <w:color w:val="000000" w:themeColor="text1"/>
        </w:rPr>
        <w:t xml:space="preserve"> and not needed in modern society. </w:t>
      </w:r>
      <w:r w:rsidR="004165EC">
        <w:rPr>
          <w:color w:val="000000" w:themeColor="text1"/>
        </w:rPr>
        <w:t xml:space="preserve">To support this the Law </w:t>
      </w:r>
      <w:r w:rsidR="009F54EF">
        <w:rPr>
          <w:color w:val="000000" w:themeColor="text1"/>
        </w:rPr>
        <w:t>Commission</w:t>
      </w:r>
      <w:r w:rsidR="004165EC">
        <w:rPr>
          <w:color w:val="000000" w:themeColor="text1"/>
        </w:rPr>
        <w:t xml:space="preserve"> (2015, p. 38) stated that one of the Justices Clerks Society, Ian Dennis commented on the OAPA 1861</w:t>
      </w:r>
      <w:r w:rsidR="00BF7CFC">
        <w:rPr>
          <w:color w:val="000000" w:themeColor="text1"/>
        </w:rPr>
        <w:t xml:space="preserve"> needing reformation</w:t>
      </w:r>
      <w:r w:rsidR="004165EC">
        <w:rPr>
          <w:color w:val="000000" w:themeColor="text1"/>
        </w:rPr>
        <w:t xml:space="preserve">. Ian Dennis </w:t>
      </w:r>
      <w:r w:rsidR="00BF7CFC">
        <w:rPr>
          <w:color w:val="000000" w:themeColor="text1"/>
        </w:rPr>
        <w:t xml:space="preserve">stated that the OAPA 1861 is not fit for purpose due to the old-fashioned English used in the Act. </w:t>
      </w:r>
    </w:p>
    <w:p w14:paraId="4489F79C" w14:textId="7BECFC8D" w:rsidR="00182DAD" w:rsidRPr="0055370B" w:rsidRDefault="00182DAD" w:rsidP="00C15CD7">
      <w:pPr>
        <w:jc w:val="both"/>
        <w:rPr>
          <w:color w:val="FF0000"/>
        </w:rPr>
      </w:pPr>
    </w:p>
    <w:p w14:paraId="4DA1A81B" w14:textId="10C1C9C0" w:rsidR="00182DAD" w:rsidRPr="009F54EF" w:rsidRDefault="008540BF" w:rsidP="00C15CD7">
      <w:pPr>
        <w:jc w:val="both"/>
        <w:rPr>
          <w:color w:val="000000" w:themeColor="text1"/>
        </w:rPr>
      </w:pPr>
      <w:r w:rsidRPr="009F54EF">
        <w:rPr>
          <w:color w:val="000000" w:themeColor="text1"/>
        </w:rPr>
        <w:t xml:space="preserve">There have also been debates on </w:t>
      </w:r>
      <w:r w:rsidR="0030181F" w:rsidRPr="009F54EF">
        <w:rPr>
          <w:color w:val="000000" w:themeColor="text1"/>
        </w:rPr>
        <w:t>e</w:t>
      </w:r>
      <w:r w:rsidRPr="009F54EF">
        <w:rPr>
          <w:color w:val="000000" w:themeColor="text1"/>
        </w:rPr>
        <w:t>nforcing new conduct-focused offenses within the OAPA 1861. This new offence</w:t>
      </w:r>
      <w:r w:rsidR="005E7CD9" w:rsidRPr="009F54EF">
        <w:rPr>
          <w:color w:val="000000" w:themeColor="text1"/>
        </w:rPr>
        <w:t xml:space="preserve"> </w:t>
      </w:r>
      <w:r w:rsidRPr="009F54EF">
        <w:rPr>
          <w:color w:val="000000" w:themeColor="text1"/>
        </w:rPr>
        <w:t>being the purpose of transmitting sexual diseases such as HIV recklessly</w:t>
      </w:r>
      <w:r w:rsidR="005E7CD9" w:rsidRPr="009F54EF">
        <w:rPr>
          <w:color w:val="000000" w:themeColor="text1"/>
        </w:rPr>
        <w:t xml:space="preserve">, which was </w:t>
      </w:r>
      <w:r w:rsidR="009F54EF" w:rsidRPr="009F54EF">
        <w:rPr>
          <w:color w:val="000000" w:themeColor="text1"/>
        </w:rPr>
        <w:t>started</w:t>
      </w:r>
      <w:r w:rsidR="005E7CD9" w:rsidRPr="009F54EF">
        <w:rPr>
          <w:color w:val="000000" w:themeColor="text1"/>
        </w:rPr>
        <w:t xml:space="preserve"> by </w:t>
      </w:r>
      <w:r w:rsidRPr="009F54EF">
        <w:rPr>
          <w:color w:val="000000" w:themeColor="text1"/>
        </w:rPr>
        <w:t>Child</w:t>
      </w:r>
      <w:r w:rsidR="005E7CD9" w:rsidRPr="009F54EF">
        <w:rPr>
          <w:color w:val="000000" w:themeColor="text1"/>
        </w:rPr>
        <w:t xml:space="preserve"> (</w:t>
      </w:r>
      <w:r w:rsidRPr="009F54EF">
        <w:rPr>
          <w:color w:val="000000" w:themeColor="text1"/>
        </w:rPr>
        <w:t>2017</w:t>
      </w:r>
      <w:r w:rsidR="005E7CD9" w:rsidRPr="009F54EF">
        <w:rPr>
          <w:color w:val="000000" w:themeColor="text1"/>
        </w:rPr>
        <w:t xml:space="preserve"> pp 55-56</w:t>
      </w:r>
      <w:r w:rsidRPr="009F54EF">
        <w:rPr>
          <w:color w:val="000000" w:themeColor="text1"/>
        </w:rPr>
        <w:t xml:space="preserve">). </w:t>
      </w:r>
      <w:r w:rsidR="00754BE5" w:rsidRPr="009F54EF">
        <w:rPr>
          <w:color w:val="000000" w:themeColor="text1"/>
        </w:rPr>
        <w:t xml:space="preserve"> </w:t>
      </w:r>
      <w:r w:rsidR="009F54EF" w:rsidRPr="009F54EF">
        <w:rPr>
          <w:color w:val="000000" w:themeColor="text1"/>
        </w:rPr>
        <w:t>Dodd’s</w:t>
      </w:r>
      <w:r w:rsidR="00754BE5" w:rsidRPr="009F54EF">
        <w:rPr>
          <w:color w:val="000000" w:themeColor="text1"/>
        </w:rPr>
        <w:t xml:space="preserve"> et al (2015, p.1) stated that a law against recklessly </w:t>
      </w:r>
      <w:r w:rsidR="009F54EF" w:rsidRPr="009F54EF">
        <w:rPr>
          <w:color w:val="000000" w:themeColor="text1"/>
        </w:rPr>
        <w:t>transmission</w:t>
      </w:r>
      <w:r w:rsidR="00754BE5" w:rsidRPr="009F54EF">
        <w:rPr>
          <w:color w:val="000000" w:themeColor="text1"/>
        </w:rPr>
        <w:t xml:space="preserve"> sexual diseases such as HIV was opposed by the AIDS service organisations, </w:t>
      </w:r>
      <w:r w:rsidR="00784499" w:rsidRPr="009F54EF">
        <w:rPr>
          <w:color w:val="000000" w:themeColor="text1"/>
        </w:rPr>
        <w:t xml:space="preserve">as they stated general legislation was adequate to deal with the rare cases. </w:t>
      </w:r>
      <w:r w:rsidR="00754BE5" w:rsidRPr="009F54EF">
        <w:rPr>
          <w:color w:val="000000" w:themeColor="text1"/>
        </w:rPr>
        <w:t xml:space="preserve">It was stated </w:t>
      </w:r>
      <w:r w:rsidR="00784499" w:rsidRPr="009F54EF">
        <w:rPr>
          <w:color w:val="000000" w:themeColor="text1"/>
        </w:rPr>
        <w:t xml:space="preserve">that under section 18 of the OAPA 1861 a person can be convicted for extreme cases of recklessly transmission of HIV. </w:t>
      </w:r>
    </w:p>
    <w:p w14:paraId="7EA31DF5" w14:textId="52C144ED" w:rsidR="008A5264" w:rsidRPr="009F54EF" w:rsidRDefault="008A5264" w:rsidP="00C15CD7">
      <w:pPr>
        <w:jc w:val="both"/>
        <w:rPr>
          <w:color w:val="000000" w:themeColor="text1"/>
        </w:rPr>
      </w:pPr>
    </w:p>
    <w:p w14:paraId="5B7E1AED" w14:textId="2B9117AE" w:rsidR="008A5264" w:rsidRPr="009F54EF" w:rsidRDefault="008A5264" w:rsidP="00C15CD7">
      <w:pPr>
        <w:jc w:val="both"/>
        <w:rPr>
          <w:color w:val="000000" w:themeColor="text1"/>
        </w:rPr>
      </w:pPr>
      <w:r w:rsidRPr="009F54EF">
        <w:rPr>
          <w:color w:val="000000" w:themeColor="text1"/>
        </w:rPr>
        <w:t xml:space="preserve">It has been stated that the transmission of sexual diseases such as HIV have been convicted under section 20 of the OAPA 1861, where the defendant acts recklessly and causes a risk of harm to the victim. Mohammed Dica was convicted in 2003 </w:t>
      </w:r>
      <w:r w:rsidR="00C44B1C" w:rsidRPr="009F54EF">
        <w:rPr>
          <w:color w:val="000000" w:themeColor="text1"/>
        </w:rPr>
        <w:t xml:space="preserve">with GBH under section 20 of the OAPA 1861 for recklessly transmitting HIV to two different women (The Guardian, 2003). Mohammed </w:t>
      </w:r>
      <w:r w:rsidR="009F54EF" w:rsidRPr="009F54EF">
        <w:rPr>
          <w:color w:val="000000" w:themeColor="text1"/>
        </w:rPr>
        <w:t>Di</w:t>
      </w:r>
      <w:r w:rsidR="009F54EF">
        <w:rPr>
          <w:color w:val="000000" w:themeColor="text1"/>
        </w:rPr>
        <w:t>ca</w:t>
      </w:r>
      <w:r w:rsidR="00C44B1C" w:rsidRPr="009F54EF">
        <w:rPr>
          <w:color w:val="000000" w:themeColor="text1"/>
        </w:rPr>
        <w:t xml:space="preserve"> was diagnosed with HIV in 1996 and was aware of the risk of transmitting and harming the two victims. </w:t>
      </w:r>
    </w:p>
    <w:p w14:paraId="12C81D1D" w14:textId="22118B1F" w:rsidR="00BD574E" w:rsidRPr="009F54EF" w:rsidRDefault="00BD574E" w:rsidP="00C15CD7">
      <w:pPr>
        <w:jc w:val="both"/>
        <w:rPr>
          <w:color w:val="000000" w:themeColor="text1"/>
        </w:rPr>
      </w:pPr>
    </w:p>
    <w:p w14:paraId="1612F6D6" w14:textId="0C3A8644" w:rsidR="00BD574E" w:rsidRPr="009F54EF" w:rsidRDefault="009F54EF" w:rsidP="00C15CD7">
      <w:pPr>
        <w:jc w:val="both"/>
        <w:rPr>
          <w:color w:val="000000" w:themeColor="text1"/>
        </w:rPr>
      </w:pPr>
      <w:r w:rsidRPr="009F54EF">
        <w:rPr>
          <w:color w:val="000000" w:themeColor="text1"/>
        </w:rPr>
        <w:t>Some HIV organisations have conflicting beliefs regarding criminalisation with some organisations believing that where it is possible to prove harm was intended criminalisation is acceptable, whilst on the contrary other HIV organisations believe that crim</w:t>
      </w:r>
      <w:r>
        <w:rPr>
          <w:color w:val="000000" w:themeColor="text1"/>
        </w:rPr>
        <w:t>inalisation</w:t>
      </w:r>
      <w:r w:rsidRPr="009F54EF">
        <w:rPr>
          <w:color w:val="000000" w:themeColor="text1"/>
        </w:rPr>
        <w:t xml:space="preserve"> is not acceptable regardless of circumstances (Dodds, 2015).</w:t>
      </w:r>
    </w:p>
    <w:p w14:paraId="1E6A41E1" w14:textId="77777777" w:rsidR="00784499" w:rsidRPr="009F54EF" w:rsidRDefault="00784499" w:rsidP="00C15CD7">
      <w:pPr>
        <w:jc w:val="both"/>
        <w:rPr>
          <w:color w:val="000000" w:themeColor="text1"/>
        </w:rPr>
      </w:pPr>
    </w:p>
    <w:p w14:paraId="5ADDF235" w14:textId="723A38C3" w:rsidR="0055370B" w:rsidRDefault="0055370B" w:rsidP="00C15CD7">
      <w:pPr>
        <w:jc w:val="both"/>
        <w:rPr>
          <w:color w:val="000000" w:themeColor="text1"/>
        </w:rPr>
      </w:pPr>
      <w:r>
        <w:rPr>
          <w:color w:val="000000" w:themeColor="text1"/>
        </w:rPr>
        <w:t xml:space="preserve">There are also arguments against the reform of the OAPA 1861 Act which was stated by The Law </w:t>
      </w:r>
      <w:r w:rsidR="009F54EF">
        <w:rPr>
          <w:color w:val="000000" w:themeColor="text1"/>
        </w:rPr>
        <w:t>Commission</w:t>
      </w:r>
      <w:r>
        <w:rPr>
          <w:color w:val="000000" w:themeColor="text1"/>
        </w:rPr>
        <w:t xml:space="preserve"> (2015, pp. 38-39). Both the Criminal Bar Association and the Bar council concurred that the reform of the OAPA 1861 Act was not needed and stated it could just be amended in relation that the hierarchy of offences needed to be changed and </w:t>
      </w:r>
      <w:r w:rsidR="009F54EF">
        <w:rPr>
          <w:color w:val="000000" w:themeColor="text1"/>
        </w:rPr>
        <w:t>unnecessary</w:t>
      </w:r>
      <w:r>
        <w:rPr>
          <w:color w:val="000000" w:themeColor="text1"/>
        </w:rPr>
        <w:t xml:space="preserve"> offences could be withdrawn from the Act.  The need to reform the Language used in the 1861 Act was agreed by the London Criminal Solicitors Association, however, they also stated that there was no need to reform the full OAPA 1861 Act. The London Criminal Solicitors Association argued against the reform of the Act due to most of the law terms being recognized and understood and expressed that modernising the entire Act could cause more issues and problems. </w:t>
      </w:r>
    </w:p>
    <w:p w14:paraId="3EA0958A" w14:textId="31959CFC" w:rsidR="009F54EF" w:rsidRDefault="009F54EF" w:rsidP="00C15CD7">
      <w:pPr>
        <w:jc w:val="both"/>
        <w:rPr>
          <w:color w:val="000000" w:themeColor="text1"/>
        </w:rPr>
      </w:pPr>
    </w:p>
    <w:p w14:paraId="53B43ED2" w14:textId="77777777" w:rsidR="009F54EF" w:rsidRDefault="009F54EF" w:rsidP="00C15CD7">
      <w:pPr>
        <w:jc w:val="both"/>
        <w:rPr>
          <w:color w:val="000000" w:themeColor="text1"/>
        </w:rPr>
      </w:pPr>
    </w:p>
    <w:p w14:paraId="59841E08" w14:textId="3C810F5F" w:rsidR="0055370B" w:rsidRDefault="0055370B" w:rsidP="00C15CD7">
      <w:pPr>
        <w:jc w:val="both"/>
        <w:rPr>
          <w:color w:val="000000" w:themeColor="text1"/>
        </w:rPr>
      </w:pPr>
    </w:p>
    <w:p w14:paraId="3E37751F" w14:textId="1092951A" w:rsidR="0055370B" w:rsidRPr="0055370B" w:rsidRDefault="0055370B" w:rsidP="00C15CD7">
      <w:pPr>
        <w:jc w:val="both"/>
        <w:rPr>
          <w:color w:val="000000" w:themeColor="text1"/>
          <w:u w:val="single"/>
        </w:rPr>
      </w:pPr>
      <w:r w:rsidRPr="0055370B">
        <w:rPr>
          <w:color w:val="000000" w:themeColor="text1"/>
          <w:u w:val="single"/>
        </w:rPr>
        <w:lastRenderedPageBreak/>
        <w:t>Conclusion</w:t>
      </w:r>
    </w:p>
    <w:p w14:paraId="7F532905" w14:textId="77777777" w:rsidR="00BF7CFC" w:rsidRDefault="00BF7CFC" w:rsidP="00C15CD7">
      <w:pPr>
        <w:jc w:val="both"/>
        <w:rPr>
          <w:color w:val="000000" w:themeColor="text1"/>
        </w:rPr>
      </w:pPr>
    </w:p>
    <w:p w14:paraId="33291344" w14:textId="0077E756" w:rsidR="00D654C0" w:rsidRDefault="008A17C7" w:rsidP="00C15CD7">
      <w:pPr>
        <w:jc w:val="both"/>
        <w:rPr>
          <w:color w:val="000000" w:themeColor="text1"/>
        </w:rPr>
      </w:pPr>
      <w:r>
        <w:rPr>
          <w:color w:val="000000" w:themeColor="text1"/>
        </w:rPr>
        <w:t xml:space="preserve">It is clear that there are arguments for reform on the Offences </w:t>
      </w:r>
      <w:r w:rsidR="009F54EF">
        <w:rPr>
          <w:color w:val="000000" w:themeColor="text1"/>
        </w:rPr>
        <w:t>Against</w:t>
      </w:r>
      <w:r>
        <w:rPr>
          <w:color w:val="000000" w:themeColor="text1"/>
        </w:rPr>
        <w:t xml:space="preserve"> the Person Act 1861 Act. There are reasonable reasons to why there are arguments and debate on the reform, due to the archaic language, definitions of offences, the unnecessary offences and</w:t>
      </w:r>
      <w:r w:rsidR="00A07BBC">
        <w:rPr>
          <w:color w:val="000000" w:themeColor="text1"/>
        </w:rPr>
        <w:t xml:space="preserve"> </w:t>
      </w:r>
      <w:r>
        <w:rPr>
          <w:color w:val="000000" w:themeColor="text1"/>
        </w:rPr>
        <w:t>offences relating to sexual transmitted diseases like HIV.</w:t>
      </w:r>
      <w:r w:rsidR="00D654C0">
        <w:rPr>
          <w:color w:val="000000" w:themeColor="text1"/>
        </w:rPr>
        <w:t xml:space="preserve"> </w:t>
      </w:r>
      <w:r w:rsidR="00A07BBC">
        <w:rPr>
          <w:color w:val="000000" w:themeColor="text1"/>
        </w:rPr>
        <w:t xml:space="preserve">The hierarchy of offences is still unclear with offences under section </w:t>
      </w:r>
      <w:r w:rsidR="00175E72">
        <w:rPr>
          <w:color w:val="000000" w:themeColor="text1"/>
        </w:rPr>
        <w:t>20</w:t>
      </w:r>
      <w:r w:rsidR="00A07BBC">
        <w:rPr>
          <w:color w:val="000000" w:themeColor="text1"/>
        </w:rPr>
        <w:t>, GBH being the most serious offence</w:t>
      </w:r>
      <w:r w:rsidR="00175E72">
        <w:rPr>
          <w:color w:val="000000" w:themeColor="text1"/>
        </w:rPr>
        <w:t xml:space="preserve"> and the less serious offence ABH, both being 5 years of imprisonment. There should be a clear hierarchy on the harm caused to the victim and the blameworthiness of the defendant.</w:t>
      </w:r>
    </w:p>
    <w:p w14:paraId="08A7FA28" w14:textId="77777777" w:rsidR="00D654C0" w:rsidRDefault="00D654C0" w:rsidP="00C15CD7">
      <w:pPr>
        <w:jc w:val="both"/>
        <w:rPr>
          <w:color w:val="000000" w:themeColor="text1"/>
        </w:rPr>
      </w:pPr>
    </w:p>
    <w:p w14:paraId="68C16344" w14:textId="72318EA5" w:rsidR="004C34FD" w:rsidRDefault="00175E72" w:rsidP="00C15CD7">
      <w:pPr>
        <w:jc w:val="both"/>
        <w:rPr>
          <w:color w:val="000000" w:themeColor="text1"/>
        </w:rPr>
      </w:pPr>
      <w:r>
        <w:rPr>
          <w:color w:val="000000" w:themeColor="text1"/>
        </w:rPr>
        <w:t xml:space="preserve"> </w:t>
      </w:r>
      <w:r w:rsidR="00D654C0">
        <w:rPr>
          <w:color w:val="000000" w:themeColor="text1"/>
        </w:rPr>
        <w:t xml:space="preserve">There are arguments that the language should be reformed in order for everyone to understand and for the law to stay effective. </w:t>
      </w:r>
      <w:r w:rsidR="00A07BBC">
        <w:rPr>
          <w:color w:val="000000" w:themeColor="text1"/>
        </w:rPr>
        <w:t xml:space="preserve"> </w:t>
      </w:r>
      <w:r w:rsidR="008A17C7">
        <w:rPr>
          <w:color w:val="000000" w:themeColor="text1"/>
        </w:rPr>
        <w:t>Certain terms and languages used in the Act such as ‘shipwreck’ demonstrates the need of reform in order for the OAPA Act 1861 to be</w:t>
      </w:r>
      <w:r w:rsidR="00D654C0">
        <w:rPr>
          <w:color w:val="000000" w:themeColor="text1"/>
        </w:rPr>
        <w:t xml:space="preserve"> effective and</w:t>
      </w:r>
      <w:r w:rsidR="008A17C7">
        <w:rPr>
          <w:color w:val="000000" w:themeColor="text1"/>
        </w:rPr>
        <w:t xml:space="preserve"> suited to modern </w:t>
      </w:r>
      <w:r w:rsidR="009F54EF">
        <w:rPr>
          <w:color w:val="000000" w:themeColor="text1"/>
        </w:rPr>
        <w:t>society.</w:t>
      </w:r>
      <w:r w:rsidR="008A17C7">
        <w:rPr>
          <w:color w:val="000000" w:themeColor="text1"/>
        </w:rPr>
        <w:t xml:space="preserve"> </w:t>
      </w:r>
      <w:r w:rsidR="00377572">
        <w:rPr>
          <w:color w:val="000000" w:themeColor="text1"/>
        </w:rPr>
        <w:t xml:space="preserve">Although the need for reform is argued against by the Criminal Bar Association, the Bar </w:t>
      </w:r>
      <w:r>
        <w:rPr>
          <w:color w:val="000000" w:themeColor="text1"/>
        </w:rPr>
        <w:t>Council</w:t>
      </w:r>
      <w:r w:rsidR="00377572">
        <w:rPr>
          <w:color w:val="000000" w:themeColor="text1"/>
        </w:rPr>
        <w:t xml:space="preserve"> and the London Criminal </w:t>
      </w:r>
      <w:r w:rsidR="009F54EF">
        <w:rPr>
          <w:color w:val="000000" w:themeColor="text1"/>
        </w:rPr>
        <w:t>Solicitors</w:t>
      </w:r>
      <w:r w:rsidR="00377572">
        <w:rPr>
          <w:color w:val="000000" w:themeColor="text1"/>
        </w:rPr>
        <w:t xml:space="preserve"> Association. </w:t>
      </w:r>
      <w:r w:rsidR="00D654C0">
        <w:rPr>
          <w:color w:val="000000" w:themeColor="text1"/>
        </w:rPr>
        <w:t xml:space="preserve">It is argued that the OAPA 1861 should not be reformed completely but </w:t>
      </w:r>
      <w:r w:rsidR="009F54EF">
        <w:rPr>
          <w:color w:val="000000" w:themeColor="text1"/>
        </w:rPr>
        <w:t>agreements</w:t>
      </w:r>
      <w:r w:rsidR="00D654C0">
        <w:rPr>
          <w:color w:val="000000" w:themeColor="text1"/>
        </w:rPr>
        <w:t xml:space="preserve"> on the language and the </w:t>
      </w:r>
      <w:r w:rsidR="009F54EF">
        <w:rPr>
          <w:color w:val="000000" w:themeColor="text1"/>
        </w:rPr>
        <w:t>hierarchy</w:t>
      </w:r>
      <w:r w:rsidR="00D654C0">
        <w:rPr>
          <w:color w:val="000000" w:themeColor="text1"/>
        </w:rPr>
        <w:t xml:space="preserve"> of offences within the act to be reformed in order for it to be suited to modern society and understood by everyone. </w:t>
      </w:r>
    </w:p>
    <w:p w14:paraId="7019ED5F" w14:textId="6B6A9457" w:rsidR="00A07BBC" w:rsidRDefault="00A07BBC" w:rsidP="00C15CD7">
      <w:pPr>
        <w:jc w:val="both"/>
        <w:rPr>
          <w:color w:val="000000" w:themeColor="text1"/>
        </w:rPr>
      </w:pPr>
    </w:p>
    <w:p w14:paraId="72C9C437" w14:textId="77777777" w:rsidR="00A07BBC" w:rsidRDefault="00A07BBC" w:rsidP="00C15CD7">
      <w:pPr>
        <w:jc w:val="both"/>
        <w:rPr>
          <w:color w:val="000000" w:themeColor="text1"/>
        </w:rPr>
      </w:pPr>
    </w:p>
    <w:p w14:paraId="6F73D264" w14:textId="77777777" w:rsidR="00A07BBC" w:rsidRDefault="00A07BBC" w:rsidP="00C15CD7">
      <w:pPr>
        <w:jc w:val="both"/>
        <w:rPr>
          <w:color w:val="000000" w:themeColor="text1"/>
        </w:rPr>
      </w:pPr>
    </w:p>
    <w:p w14:paraId="4290A729" w14:textId="77777777" w:rsidR="004C34FD" w:rsidRDefault="004C34FD" w:rsidP="00C15CD7">
      <w:pPr>
        <w:jc w:val="both"/>
        <w:rPr>
          <w:color w:val="000000" w:themeColor="text1"/>
        </w:rPr>
      </w:pPr>
    </w:p>
    <w:p w14:paraId="78FD68A3" w14:textId="2CA43232" w:rsidR="00C15CD7" w:rsidRDefault="00C15CD7" w:rsidP="00C15CD7">
      <w:pPr>
        <w:jc w:val="both"/>
        <w:rPr>
          <w:color w:val="000000" w:themeColor="text1"/>
        </w:rPr>
      </w:pPr>
    </w:p>
    <w:p w14:paraId="3226811B" w14:textId="77777777" w:rsidR="00C15CD7" w:rsidRDefault="00C15CD7" w:rsidP="00C15CD7">
      <w:pPr>
        <w:jc w:val="both"/>
        <w:rPr>
          <w:color w:val="000000" w:themeColor="text1"/>
        </w:rPr>
      </w:pPr>
    </w:p>
    <w:p w14:paraId="13C157A3" w14:textId="7B4BC581" w:rsidR="00C15CD7" w:rsidRDefault="00C15CD7" w:rsidP="00C15CD7">
      <w:pPr>
        <w:jc w:val="both"/>
        <w:rPr>
          <w:color w:val="000000" w:themeColor="text1"/>
        </w:rPr>
      </w:pPr>
    </w:p>
    <w:p w14:paraId="24E4D608" w14:textId="77777777" w:rsidR="00C15CD7" w:rsidRDefault="00C15CD7" w:rsidP="00C15CD7">
      <w:pPr>
        <w:jc w:val="both"/>
        <w:rPr>
          <w:color w:val="000000" w:themeColor="text1"/>
        </w:rPr>
      </w:pPr>
    </w:p>
    <w:p w14:paraId="7599A8F7" w14:textId="69FB72C5" w:rsidR="00FB09C7" w:rsidRDefault="00FB09C7" w:rsidP="00030E78">
      <w:pPr>
        <w:rPr>
          <w:color w:val="000000" w:themeColor="text1"/>
        </w:rPr>
      </w:pPr>
    </w:p>
    <w:p w14:paraId="6E6ED5EB" w14:textId="77777777" w:rsidR="00C15CD7" w:rsidRDefault="00C15CD7" w:rsidP="00030E78">
      <w:pPr>
        <w:rPr>
          <w:color w:val="000000" w:themeColor="text1"/>
        </w:rPr>
      </w:pPr>
    </w:p>
    <w:p w14:paraId="07388479" w14:textId="55D7257C" w:rsidR="00FB09C7" w:rsidRDefault="00FB09C7" w:rsidP="00030E78">
      <w:pPr>
        <w:rPr>
          <w:color w:val="000000" w:themeColor="text1"/>
        </w:rPr>
      </w:pPr>
    </w:p>
    <w:p w14:paraId="7170B63A" w14:textId="0C0BBE0B" w:rsidR="00CA2F32" w:rsidRDefault="00CA2F32" w:rsidP="00030E78">
      <w:pPr>
        <w:rPr>
          <w:color w:val="000000" w:themeColor="text1"/>
        </w:rPr>
      </w:pPr>
    </w:p>
    <w:p w14:paraId="39865FEC" w14:textId="77777777" w:rsidR="00CA2F32" w:rsidRDefault="00CA2F32" w:rsidP="00030E78">
      <w:pPr>
        <w:rPr>
          <w:color w:val="000000" w:themeColor="text1"/>
        </w:rPr>
      </w:pPr>
    </w:p>
    <w:p w14:paraId="4E02FE5F" w14:textId="77777777" w:rsidR="00CA2F32" w:rsidRDefault="00CA2F32" w:rsidP="00030E78">
      <w:pPr>
        <w:rPr>
          <w:color w:val="000000" w:themeColor="text1"/>
        </w:rPr>
      </w:pPr>
    </w:p>
    <w:p w14:paraId="0A1C11A2" w14:textId="71DD3423" w:rsidR="00836B82" w:rsidRDefault="00836B82" w:rsidP="00030E78">
      <w:pPr>
        <w:rPr>
          <w:color w:val="000000" w:themeColor="text1"/>
        </w:rPr>
      </w:pPr>
    </w:p>
    <w:p w14:paraId="4E261D12" w14:textId="77777777" w:rsidR="00836B82" w:rsidRDefault="00836B82" w:rsidP="00030E78">
      <w:pPr>
        <w:rPr>
          <w:color w:val="000000" w:themeColor="text1"/>
        </w:rPr>
      </w:pPr>
    </w:p>
    <w:p w14:paraId="689E1496" w14:textId="77777777" w:rsidR="006C0F6C" w:rsidRDefault="006C0F6C" w:rsidP="00030E78">
      <w:pPr>
        <w:rPr>
          <w:color w:val="000000" w:themeColor="text1"/>
        </w:rPr>
      </w:pPr>
    </w:p>
    <w:p w14:paraId="633F84D7" w14:textId="06271407" w:rsidR="0044404F" w:rsidRDefault="0044404F" w:rsidP="00030E78">
      <w:pPr>
        <w:rPr>
          <w:color w:val="000000" w:themeColor="text1"/>
        </w:rPr>
      </w:pPr>
    </w:p>
    <w:p w14:paraId="507A846C" w14:textId="77777777" w:rsidR="00BD5672" w:rsidRDefault="00BD5672" w:rsidP="00030E78">
      <w:pPr>
        <w:rPr>
          <w:color w:val="000000" w:themeColor="text1"/>
        </w:rPr>
      </w:pPr>
    </w:p>
    <w:p w14:paraId="52B3A709" w14:textId="77777777" w:rsidR="00A620C4" w:rsidRDefault="00A620C4" w:rsidP="00030E78">
      <w:pPr>
        <w:rPr>
          <w:color w:val="000000" w:themeColor="text1"/>
        </w:rPr>
      </w:pPr>
    </w:p>
    <w:p w14:paraId="0360D7AB" w14:textId="207AA679" w:rsidR="007A5FED" w:rsidRDefault="007A5FED" w:rsidP="00030E78">
      <w:pPr>
        <w:rPr>
          <w:color w:val="000000" w:themeColor="text1"/>
        </w:rPr>
      </w:pPr>
    </w:p>
    <w:p w14:paraId="1C513F15" w14:textId="77777777" w:rsidR="00A06C71" w:rsidRDefault="00A06C71" w:rsidP="00030E78">
      <w:pPr>
        <w:rPr>
          <w:color w:val="000000" w:themeColor="text1"/>
        </w:rPr>
      </w:pPr>
    </w:p>
    <w:p w14:paraId="318D978F" w14:textId="237F7735" w:rsidR="007A5FED" w:rsidRPr="001928CD" w:rsidRDefault="007A5FED" w:rsidP="00030E78">
      <w:pPr>
        <w:rPr>
          <w:color w:val="000000" w:themeColor="text1"/>
        </w:rPr>
      </w:pPr>
    </w:p>
    <w:p w14:paraId="643C01B7" w14:textId="77777777" w:rsidR="00030E78" w:rsidRDefault="00030E78" w:rsidP="00030E78">
      <w:pPr>
        <w:rPr>
          <w:color w:val="FF0000"/>
        </w:rPr>
      </w:pPr>
    </w:p>
    <w:p w14:paraId="19BF04CF" w14:textId="6D1ABFDD" w:rsidR="00030E78" w:rsidRDefault="00030E78" w:rsidP="00494229">
      <w:pPr>
        <w:rPr>
          <w:color w:val="000000" w:themeColor="text1"/>
        </w:rPr>
      </w:pPr>
    </w:p>
    <w:p w14:paraId="7D1703C0" w14:textId="76F7DA2D" w:rsidR="00631694" w:rsidRDefault="00631694" w:rsidP="00494229">
      <w:pPr>
        <w:rPr>
          <w:color w:val="FF0000"/>
        </w:rPr>
      </w:pPr>
    </w:p>
    <w:p w14:paraId="1D79F340" w14:textId="6A759E50" w:rsidR="00631694" w:rsidRDefault="00631694" w:rsidP="00494229">
      <w:pPr>
        <w:rPr>
          <w:color w:val="FF0000"/>
        </w:rPr>
      </w:pPr>
    </w:p>
    <w:p w14:paraId="3D474884" w14:textId="72B5C78B" w:rsidR="00631694" w:rsidRDefault="00631694" w:rsidP="00494229">
      <w:pPr>
        <w:rPr>
          <w:color w:val="FF0000"/>
        </w:rPr>
      </w:pPr>
    </w:p>
    <w:p w14:paraId="1818226B" w14:textId="70ED307F" w:rsidR="00631694" w:rsidRDefault="00631694" w:rsidP="00494229">
      <w:pPr>
        <w:rPr>
          <w:color w:val="FF0000"/>
        </w:rPr>
      </w:pPr>
    </w:p>
    <w:p w14:paraId="566A58DE" w14:textId="48E029AB" w:rsidR="00631694" w:rsidRDefault="00631694" w:rsidP="00494229">
      <w:pPr>
        <w:rPr>
          <w:color w:val="FF0000"/>
        </w:rPr>
      </w:pPr>
    </w:p>
    <w:p w14:paraId="5AAB69F9" w14:textId="7D0D6206" w:rsidR="00631694" w:rsidRDefault="00631694" w:rsidP="00494229">
      <w:pPr>
        <w:rPr>
          <w:color w:val="FF0000"/>
        </w:rPr>
      </w:pPr>
    </w:p>
    <w:p w14:paraId="057687F4" w14:textId="7C45012C" w:rsidR="00631694" w:rsidRDefault="009F54EF" w:rsidP="00494229">
      <w:pPr>
        <w:rPr>
          <w:color w:val="000000" w:themeColor="text1"/>
          <w:u w:val="single"/>
        </w:rPr>
      </w:pPr>
      <w:r w:rsidRPr="00631694">
        <w:rPr>
          <w:color w:val="000000" w:themeColor="text1"/>
          <w:u w:val="single"/>
        </w:rPr>
        <w:t>References</w:t>
      </w:r>
      <w:r w:rsidR="00631694" w:rsidRPr="00631694">
        <w:rPr>
          <w:color w:val="000000" w:themeColor="text1"/>
          <w:u w:val="single"/>
        </w:rPr>
        <w:t xml:space="preserve"> </w:t>
      </w:r>
    </w:p>
    <w:p w14:paraId="28AC2671" w14:textId="6F4B7F82" w:rsidR="00631694" w:rsidRDefault="00631694" w:rsidP="00494229">
      <w:pPr>
        <w:rPr>
          <w:color w:val="000000" w:themeColor="text1"/>
          <w:u w:val="single"/>
        </w:rPr>
      </w:pPr>
    </w:p>
    <w:p w14:paraId="0103C2B4" w14:textId="372F93F4" w:rsidR="00E940D9" w:rsidRDefault="00E940D9" w:rsidP="00494229">
      <w:pPr>
        <w:rPr>
          <w:color w:val="000000" w:themeColor="text1"/>
        </w:rPr>
      </w:pPr>
      <w:r>
        <w:rPr>
          <w:color w:val="000000" w:themeColor="text1"/>
        </w:rPr>
        <w:t xml:space="preserve"> </w:t>
      </w:r>
    </w:p>
    <w:p w14:paraId="085125F9" w14:textId="374BB90E" w:rsidR="00E940D9" w:rsidRDefault="00E940D9" w:rsidP="00494229">
      <w:pPr>
        <w:rPr>
          <w:color w:val="000000" w:themeColor="text1"/>
        </w:rPr>
      </w:pPr>
      <w:r>
        <w:rPr>
          <w:color w:val="000000" w:themeColor="text1"/>
        </w:rPr>
        <w:t xml:space="preserve">Child, J. (2017) </w:t>
      </w:r>
      <w:r w:rsidRPr="008540BF">
        <w:rPr>
          <w:i/>
          <w:iCs/>
          <w:color w:val="000000" w:themeColor="text1"/>
        </w:rPr>
        <w:t>Essentials of Criminal Law</w:t>
      </w:r>
      <w:r>
        <w:rPr>
          <w:i/>
          <w:iCs/>
          <w:color w:val="000000" w:themeColor="text1"/>
        </w:rPr>
        <w:t xml:space="preserve">. </w:t>
      </w:r>
      <w:r>
        <w:rPr>
          <w:color w:val="000000" w:themeColor="text1"/>
        </w:rPr>
        <w:t xml:space="preserve">Oxford University Press. Available at: </w:t>
      </w:r>
      <w:hyperlink r:id="rId6" w:history="1">
        <w:r w:rsidRPr="0057224A">
          <w:rPr>
            <w:rStyle w:val="Hyperlink"/>
          </w:rPr>
          <w:t>https://contentstore-cla-co-uk.ezproxy.uwtsd.ac.uk/EReader/Index?guid=fed60e4e-b56f-eb11-9889-28187852b63b&amp;pcid=1344257&amp;t=eyJhbGciOiJIUzI1NiIsInR5cCI6IkpXVCJ9.eyJqdGkiOiJmMDljNDk3Zi1lZjBkLTQwMzMtYjc0My0wZGZiYzM0NTc0ZDQiLCJuYmYiOjE2MTQzNDE1ODcsImV4cCI6MTYxNDM0MTg4NywiaWF0IjoxNjE0MzQxNTg3LCJpc3MiOiJEQ1MiLCJhdWQiOiJSZWFkZXIifQ.HepthlFnMcINsiREbpLNzkX-ChlVDKplD6L3DGl9cm0</w:t>
        </w:r>
      </w:hyperlink>
      <w:r>
        <w:rPr>
          <w:color w:val="000000" w:themeColor="text1"/>
        </w:rPr>
        <w:t xml:space="preserve"> (Accessed 22 February 2021). </w:t>
      </w:r>
    </w:p>
    <w:p w14:paraId="6F071783" w14:textId="77777777" w:rsidR="00E940D9" w:rsidRDefault="00E940D9" w:rsidP="00494229">
      <w:pPr>
        <w:rPr>
          <w:color w:val="000000" w:themeColor="text1"/>
        </w:rPr>
      </w:pPr>
    </w:p>
    <w:p w14:paraId="2C2A65E0" w14:textId="7E1DFD17" w:rsidR="00E940D9" w:rsidRDefault="00E940D9" w:rsidP="00494229">
      <w:pPr>
        <w:rPr>
          <w:color w:val="000000" w:themeColor="text1"/>
        </w:rPr>
      </w:pPr>
      <w:r>
        <w:rPr>
          <w:color w:val="000000" w:themeColor="text1"/>
        </w:rPr>
        <w:t xml:space="preserve">College Law (2014) </w:t>
      </w:r>
      <w:r w:rsidRPr="00631694">
        <w:rPr>
          <w:i/>
          <w:iCs/>
          <w:color w:val="000000" w:themeColor="text1"/>
        </w:rPr>
        <w:t>Non-fatal offences against person</w:t>
      </w:r>
      <w:r>
        <w:rPr>
          <w:i/>
          <w:iCs/>
          <w:color w:val="000000" w:themeColor="text1"/>
        </w:rPr>
        <w:t xml:space="preserve">. </w:t>
      </w:r>
      <w:r>
        <w:rPr>
          <w:color w:val="000000" w:themeColor="text1"/>
        </w:rPr>
        <w:t xml:space="preserve">Available at: </w:t>
      </w:r>
      <w:hyperlink r:id="rId7" w:history="1">
        <w:r w:rsidRPr="0057224A">
          <w:rPr>
            <w:rStyle w:val="Hyperlink"/>
          </w:rPr>
          <w:t>https://www.collegelaw.co.uk/criminal-law/non_fatal_offences/index.html</w:t>
        </w:r>
      </w:hyperlink>
      <w:r>
        <w:rPr>
          <w:color w:val="000000" w:themeColor="text1"/>
        </w:rPr>
        <w:t xml:space="preserve"> (Accessed 20 February 2021). </w:t>
      </w:r>
    </w:p>
    <w:p w14:paraId="5F8348F9" w14:textId="77777777" w:rsidR="00E940D9" w:rsidRPr="00631694" w:rsidRDefault="00E940D9" w:rsidP="00494229">
      <w:pPr>
        <w:rPr>
          <w:color w:val="000000" w:themeColor="text1"/>
        </w:rPr>
      </w:pPr>
    </w:p>
    <w:p w14:paraId="71930BFD" w14:textId="4A936EC5" w:rsidR="00E940D9" w:rsidRDefault="00E940D9" w:rsidP="00494229">
      <w:pPr>
        <w:rPr>
          <w:color w:val="000000" w:themeColor="text1"/>
        </w:rPr>
      </w:pPr>
      <w:r>
        <w:rPr>
          <w:color w:val="000000" w:themeColor="text1"/>
        </w:rPr>
        <w:t xml:space="preserve">College Law (2021) Non -Fatal Offences. Available at: </w:t>
      </w:r>
      <w:hyperlink r:id="rId8" w:history="1">
        <w:r w:rsidRPr="0057224A">
          <w:rPr>
            <w:rStyle w:val="Hyperlink"/>
          </w:rPr>
          <w:t>https://www.collegelaw.co.uk/case-lists/Non-fatal-offences.pdf</w:t>
        </w:r>
      </w:hyperlink>
      <w:r>
        <w:rPr>
          <w:color w:val="000000" w:themeColor="text1"/>
        </w:rPr>
        <w:t xml:space="preserve"> (Accessed 22 February 2021). </w:t>
      </w:r>
    </w:p>
    <w:p w14:paraId="150D4E24" w14:textId="77777777" w:rsidR="00E940D9" w:rsidRDefault="00E940D9" w:rsidP="00494229">
      <w:pPr>
        <w:rPr>
          <w:color w:val="000000" w:themeColor="text1"/>
        </w:rPr>
      </w:pPr>
    </w:p>
    <w:p w14:paraId="313FE7A7" w14:textId="3A7B7500" w:rsidR="00E940D9" w:rsidRDefault="00E940D9" w:rsidP="00494229">
      <w:pPr>
        <w:rPr>
          <w:color w:val="000000" w:themeColor="text1"/>
        </w:rPr>
      </w:pPr>
      <w:r>
        <w:rPr>
          <w:color w:val="000000" w:themeColor="text1"/>
        </w:rPr>
        <w:t xml:space="preserve">Criminal Justice Act 1988, c.33. Available at: </w:t>
      </w:r>
      <w:hyperlink r:id="rId9" w:history="1">
        <w:r w:rsidRPr="0057224A">
          <w:rPr>
            <w:rStyle w:val="Hyperlink"/>
          </w:rPr>
          <w:t>https://www.legislation.gov.uk/ukpga/1988/33/section/39</w:t>
        </w:r>
      </w:hyperlink>
      <w:r>
        <w:rPr>
          <w:color w:val="000000" w:themeColor="text1"/>
        </w:rPr>
        <w:t xml:space="preserve"> (Accessed 21 February 2021). </w:t>
      </w:r>
    </w:p>
    <w:p w14:paraId="2D444423" w14:textId="77777777" w:rsidR="00E940D9" w:rsidRDefault="00E940D9" w:rsidP="00494229">
      <w:pPr>
        <w:rPr>
          <w:color w:val="000000" w:themeColor="text1"/>
        </w:rPr>
      </w:pPr>
    </w:p>
    <w:p w14:paraId="7BA6C1C3" w14:textId="2EF6C2F7" w:rsidR="00E940D9" w:rsidRDefault="00E940D9" w:rsidP="00494229">
      <w:pPr>
        <w:rPr>
          <w:color w:val="000000" w:themeColor="text1"/>
        </w:rPr>
      </w:pPr>
      <w:r>
        <w:rPr>
          <w:color w:val="000000" w:themeColor="text1"/>
        </w:rPr>
        <w:t xml:space="preserve">Demetriou, S (2016) ‘Not giving up the fight: a review of the Law Commission’s scoping report on non-fatal offences against the person’, </w:t>
      </w:r>
      <w:r w:rsidRPr="006C0F6C">
        <w:rPr>
          <w:i/>
          <w:iCs/>
          <w:color w:val="000000" w:themeColor="text1"/>
        </w:rPr>
        <w:t>Sussex research Online</w:t>
      </w:r>
      <w:r>
        <w:rPr>
          <w:i/>
          <w:iCs/>
          <w:color w:val="000000" w:themeColor="text1"/>
        </w:rPr>
        <w:t>.</w:t>
      </w:r>
      <w:r>
        <w:rPr>
          <w:color w:val="000000" w:themeColor="text1"/>
        </w:rPr>
        <w:t xml:space="preserve"> Available at: </w:t>
      </w:r>
      <w:hyperlink r:id="rId10" w:history="1">
        <w:r w:rsidRPr="0057224A">
          <w:rPr>
            <w:rStyle w:val="Hyperlink"/>
          </w:rPr>
          <w:t>http://sro.sussex.ac.uk/id/eprint/61946/4/Not%20Giving%20up%20the%20Fight%20-%20A%20Review%20of%20the%20Law%20Commission’s%20Scoping%20Report%20on%20the%20Non-Fatal%20Offences%20Against%20the%20Person-1.pdf</w:t>
        </w:r>
      </w:hyperlink>
      <w:r>
        <w:rPr>
          <w:color w:val="000000" w:themeColor="text1"/>
        </w:rPr>
        <w:t xml:space="preserve"> (Accessed 21 February 2021). </w:t>
      </w:r>
    </w:p>
    <w:p w14:paraId="4BA245D0" w14:textId="77777777" w:rsidR="00E940D9" w:rsidRDefault="00E940D9" w:rsidP="00494229">
      <w:pPr>
        <w:rPr>
          <w:color w:val="000000" w:themeColor="text1"/>
        </w:rPr>
      </w:pPr>
    </w:p>
    <w:p w14:paraId="47645CB6" w14:textId="2B5D0C5D" w:rsidR="00E940D9" w:rsidRDefault="00E940D9" w:rsidP="008C5DD9">
      <w:pPr>
        <w:rPr>
          <w:rFonts w:eastAsia="Times New Roman" w:cstheme="minorHAnsi"/>
          <w:color w:val="000000" w:themeColor="text1"/>
          <w:shd w:val="clear" w:color="auto" w:fill="FFFFFF"/>
          <w:lang w:eastAsia="en-GB"/>
        </w:rPr>
      </w:pPr>
      <w:r w:rsidRPr="008C5DD9">
        <w:rPr>
          <w:rFonts w:eastAsia="Times New Roman" w:cstheme="minorHAnsi"/>
          <w:color w:val="000000" w:themeColor="text1"/>
          <w:shd w:val="clear" w:color="auto" w:fill="FFFFFF"/>
          <w:lang w:eastAsia="en-GB"/>
        </w:rPr>
        <w:t>Divisional Court Cases (1969) </w:t>
      </w:r>
      <w:r w:rsidRPr="008C5DD9">
        <w:rPr>
          <w:rFonts w:eastAsia="Times New Roman" w:cstheme="minorHAnsi"/>
          <w:i/>
          <w:iCs/>
          <w:color w:val="000000" w:themeColor="text1"/>
          <w:lang w:eastAsia="en-GB"/>
        </w:rPr>
        <w:t>The Journal of Criminal Law</w:t>
      </w:r>
      <w:r w:rsidRPr="008C5DD9">
        <w:rPr>
          <w:rFonts w:eastAsia="Times New Roman" w:cstheme="minorHAnsi"/>
          <w:color w:val="000000" w:themeColor="text1"/>
          <w:shd w:val="clear" w:color="auto" w:fill="FFFFFF"/>
          <w:lang w:eastAsia="en-GB"/>
        </w:rPr>
        <w:t xml:space="preserve">, 33(1), pp. 9–20. Available at: </w:t>
      </w:r>
      <w:hyperlink r:id="rId11" w:anchor="articleCitationDownloadContainer" w:history="1">
        <w:r w:rsidRPr="008C5DD9">
          <w:rPr>
            <w:rStyle w:val="Hyperlink"/>
            <w:rFonts w:eastAsia="Times New Roman" w:cstheme="minorHAnsi"/>
            <w:shd w:val="clear" w:color="auto" w:fill="FFFFFF"/>
            <w:lang w:eastAsia="en-GB"/>
          </w:rPr>
          <w:t>https://journals.sagepub.com/doi/abs/10.1177/002201836903300103?journalCode=clja#articleCitationDownloadContainer</w:t>
        </w:r>
      </w:hyperlink>
      <w:r w:rsidRPr="008C5DD9">
        <w:rPr>
          <w:rFonts w:eastAsia="Times New Roman" w:cstheme="minorHAnsi"/>
          <w:color w:val="000000" w:themeColor="text1"/>
          <w:shd w:val="clear" w:color="auto" w:fill="FFFFFF"/>
          <w:lang w:eastAsia="en-GB"/>
        </w:rPr>
        <w:t xml:space="preserve"> (Accessed 20 February 2021). </w:t>
      </w:r>
    </w:p>
    <w:p w14:paraId="2BB0106C" w14:textId="77777777" w:rsidR="00E940D9" w:rsidRDefault="00E940D9" w:rsidP="008C5DD9">
      <w:pPr>
        <w:rPr>
          <w:rFonts w:eastAsia="Times New Roman" w:cstheme="minorHAnsi"/>
          <w:color w:val="000000" w:themeColor="text1"/>
          <w:shd w:val="clear" w:color="auto" w:fill="FFFFFF"/>
          <w:lang w:eastAsia="en-GB"/>
        </w:rPr>
      </w:pPr>
    </w:p>
    <w:p w14:paraId="70458A28" w14:textId="1C72C166" w:rsidR="00E940D9" w:rsidRDefault="00E940D9" w:rsidP="00494229">
      <w:pPr>
        <w:rPr>
          <w:color w:val="000000" w:themeColor="text1"/>
        </w:rPr>
      </w:pPr>
      <w:proofErr w:type="spellStart"/>
      <w:r>
        <w:rPr>
          <w:color w:val="000000" w:themeColor="text1"/>
        </w:rPr>
        <w:t>Dodds</w:t>
      </w:r>
      <w:proofErr w:type="spellEnd"/>
      <w:r>
        <w:rPr>
          <w:color w:val="000000" w:themeColor="text1"/>
        </w:rPr>
        <w:t xml:space="preserve">, C. </w:t>
      </w:r>
      <w:r w:rsidRPr="00784499">
        <w:rPr>
          <w:i/>
          <w:iCs/>
          <w:color w:val="000000" w:themeColor="text1"/>
        </w:rPr>
        <w:t>et al</w:t>
      </w:r>
      <w:r>
        <w:rPr>
          <w:color w:val="000000" w:themeColor="text1"/>
        </w:rPr>
        <w:t xml:space="preserve"> (2015) </w:t>
      </w:r>
      <w:r w:rsidRPr="00784499">
        <w:rPr>
          <w:i/>
          <w:iCs/>
          <w:color w:val="000000" w:themeColor="text1"/>
        </w:rPr>
        <w:t>Gr</w:t>
      </w:r>
      <w:r>
        <w:rPr>
          <w:i/>
          <w:iCs/>
          <w:color w:val="000000" w:themeColor="text1"/>
        </w:rPr>
        <w:t>i</w:t>
      </w:r>
      <w:r w:rsidRPr="00784499">
        <w:rPr>
          <w:i/>
          <w:iCs/>
          <w:color w:val="000000" w:themeColor="text1"/>
        </w:rPr>
        <w:t>evous Harm? Use of the Offences Against the Person 1861 fir sexual transmission of HIV.</w:t>
      </w:r>
      <w:r>
        <w:rPr>
          <w:color w:val="000000" w:themeColor="text1"/>
        </w:rPr>
        <w:t xml:space="preserve"> Available at: </w:t>
      </w:r>
      <w:hyperlink r:id="rId12" w:history="1">
        <w:r w:rsidRPr="004041E1">
          <w:rPr>
            <w:rStyle w:val="Hyperlink"/>
          </w:rPr>
          <w:t>http://www.sigmaresearch.org.uk/downloads/report05b.pdf</w:t>
        </w:r>
      </w:hyperlink>
      <w:r>
        <w:rPr>
          <w:color w:val="000000" w:themeColor="text1"/>
        </w:rPr>
        <w:t xml:space="preserve"> (Accessed 28 February 2021). </w:t>
      </w:r>
    </w:p>
    <w:p w14:paraId="79722870" w14:textId="77777777" w:rsidR="00E940D9" w:rsidRDefault="00E940D9" w:rsidP="00494229">
      <w:pPr>
        <w:rPr>
          <w:color w:val="000000" w:themeColor="text1"/>
        </w:rPr>
      </w:pPr>
    </w:p>
    <w:p w14:paraId="36D20AC8" w14:textId="2B864E58" w:rsidR="00E940D9" w:rsidRDefault="00E940D9" w:rsidP="00494229">
      <w:pPr>
        <w:rPr>
          <w:color w:val="000000" w:themeColor="text1"/>
        </w:rPr>
      </w:pPr>
      <w:proofErr w:type="spellStart"/>
      <w:r>
        <w:rPr>
          <w:color w:val="000000" w:themeColor="text1"/>
        </w:rPr>
        <w:t>Eugenicos</w:t>
      </w:r>
      <w:proofErr w:type="spellEnd"/>
      <w:r>
        <w:rPr>
          <w:color w:val="000000" w:themeColor="text1"/>
        </w:rPr>
        <w:t xml:space="preserve">, A (2017) ‘Should we Reform the Offences Against the Person Act 1861?’ </w:t>
      </w:r>
      <w:r w:rsidRPr="00DF17C1">
        <w:rPr>
          <w:i/>
          <w:iCs/>
          <w:color w:val="000000" w:themeColor="text1"/>
        </w:rPr>
        <w:t>Sage</w:t>
      </w:r>
      <w:r>
        <w:rPr>
          <w:i/>
          <w:iCs/>
          <w:color w:val="000000" w:themeColor="text1"/>
        </w:rPr>
        <w:t xml:space="preserve">pub </w:t>
      </w:r>
      <w:r w:rsidRPr="00DF17C1">
        <w:rPr>
          <w:i/>
          <w:iCs/>
          <w:color w:val="000000" w:themeColor="text1"/>
        </w:rPr>
        <w:t>Journal</w:t>
      </w:r>
      <w:r w:rsidRPr="00DF17C1">
        <w:rPr>
          <w:color w:val="000000" w:themeColor="text1"/>
        </w:rPr>
        <w:t>, 81(1), p.28</w:t>
      </w:r>
      <w:r>
        <w:rPr>
          <w:i/>
          <w:iCs/>
          <w:color w:val="000000" w:themeColor="text1"/>
        </w:rPr>
        <w:t xml:space="preserve">.  </w:t>
      </w:r>
      <w:r>
        <w:rPr>
          <w:color w:val="000000" w:themeColor="text1"/>
        </w:rPr>
        <w:t xml:space="preserve">Available at: </w:t>
      </w:r>
      <w:hyperlink r:id="rId13" w:history="1">
        <w:r w:rsidRPr="0057224A">
          <w:rPr>
            <w:rStyle w:val="Hyperlink"/>
          </w:rPr>
          <w:t>https://journals-sagepub-com.ezproxy.uwtsd.ac.uk/doi/pdf/10.1177/0022018316685478</w:t>
        </w:r>
      </w:hyperlink>
      <w:r>
        <w:rPr>
          <w:color w:val="000000" w:themeColor="text1"/>
        </w:rPr>
        <w:t xml:space="preserve"> (Accessed 21 February 2021). </w:t>
      </w:r>
    </w:p>
    <w:p w14:paraId="5A7850F8" w14:textId="77777777" w:rsidR="00E940D9" w:rsidRDefault="00E940D9" w:rsidP="00494229">
      <w:pPr>
        <w:rPr>
          <w:color w:val="000000" w:themeColor="text1"/>
        </w:rPr>
      </w:pPr>
    </w:p>
    <w:p w14:paraId="32F46403" w14:textId="77777777" w:rsidR="00E940D9" w:rsidRDefault="00E940D9" w:rsidP="00106A55">
      <w:pPr>
        <w:rPr>
          <w:rFonts w:eastAsia="Times New Roman" w:cstheme="minorHAnsi"/>
          <w:color w:val="000000" w:themeColor="text1"/>
          <w:shd w:val="clear" w:color="auto" w:fill="FFFFFF"/>
          <w:lang w:eastAsia="en-GB"/>
        </w:rPr>
      </w:pPr>
      <w:proofErr w:type="spellStart"/>
      <w:r w:rsidRPr="00106A55">
        <w:rPr>
          <w:rFonts w:eastAsia="Times New Roman" w:cstheme="minorHAnsi"/>
          <w:color w:val="000000" w:themeColor="text1"/>
          <w:shd w:val="clear" w:color="auto" w:fill="FFFFFF"/>
          <w:lang w:eastAsia="en-GB"/>
        </w:rPr>
        <w:t>Fewtrell</w:t>
      </w:r>
      <w:proofErr w:type="spellEnd"/>
      <w:r w:rsidRPr="00106A55">
        <w:rPr>
          <w:rFonts w:eastAsia="Times New Roman" w:cstheme="minorHAnsi"/>
          <w:color w:val="000000" w:themeColor="text1"/>
          <w:shd w:val="clear" w:color="auto" w:fill="FFFFFF"/>
          <w:lang w:eastAsia="en-GB"/>
        </w:rPr>
        <w:t>, E. M. (1948) ‘Offences against the Person Act, 1861, Sections 18 &amp; 20’, </w:t>
      </w:r>
      <w:r w:rsidRPr="00106A55">
        <w:rPr>
          <w:rFonts w:eastAsia="Times New Roman" w:cstheme="minorHAnsi"/>
          <w:i/>
          <w:iCs/>
          <w:color w:val="000000" w:themeColor="text1"/>
          <w:lang w:eastAsia="en-GB"/>
        </w:rPr>
        <w:t>The Police Journal</w:t>
      </w:r>
      <w:r w:rsidRPr="00106A55">
        <w:rPr>
          <w:rFonts w:eastAsia="Times New Roman" w:cstheme="minorHAnsi"/>
          <w:color w:val="000000" w:themeColor="text1"/>
          <w:shd w:val="clear" w:color="auto" w:fill="FFFFFF"/>
          <w:lang w:eastAsia="en-GB"/>
        </w:rPr>
        <w:t>, 21(2), pp. 148–151</w:t>
      </w:r>
      <w:r>
        <w:rPr>
          <w:rFonts w:eastAsia="Times New Roman" w:cstheme="minorHAnsi"/>
          <w:color w:val="000000" w:themeColor="text1"/>
          <w:shd w:val="clear" w:color="auto" w:fill="FFFFFF"/>
          <w:lang w:eastAsia="en-GB"/>
        </w:rPr>
        <w:t xml:space="preserve">. Available at: </w:t>
      </w:r>
      <w:hyperlink r:id="rId14" w:history="1">
        <w:r w:rsidRPr="0057224A">
          <w:rPr>
            <w:rStyle w:val="Hyperlink"/>
            <w:rFonts w:eastAsia="Times New Roman" w:cstheme="minorHAnsi"/>
            <w:shd w:val="clear" w:color="auto" w:fill="FFFFFF"/>
            <w:lang w:eastAsia="en-GB"/>
          </w:rPr>
          <w:t>https://journals.sagepub.com/doi/abs/10.1177/0032258X4802100211?journalCode=pjxa#articleCitationDownloadContainer</w:t>
        </w:r>
      </w:hyperlink>
      <w:r>
        <w:rPr>
          <w:rFonts w:eastAsia="Times New Roman" w:cstheme="minorHAnsi"/>
          <w:color w:val="000000" w:themeColor="text1"/>
          <w:shd w:val="clear" w:color="auto" w:fill="FFFFFF"/>
          <w:lang w:eastAsia="en-GB"/>
        </w:rPr>
        <w:t xml:space="preserve"> (Accessed 21 February 2021). </w:t>
      </w:r>
    </w:p>
    <w:p w14:paraId="64AD9A42" w14:textId="54C7337A" w:rsidR="00E940D9" w:rsidRDefault="00E940D9" w:rsidP="00494229">
      <w:pPr>
        <w:rPr>
          <w:color w:val="000000" w:themeColor="text1"/>
        </w:rPr>
      </w:pPr>
      <w:r>
        <w:rPr>
          <w:color w:val="000000" w:themeColor="text1"/>
        </w:rPr>
        <w:lastRenderedPageBreak/>
        <w:t xml:space="preserve">Find Law (2019) </w:t>
      </w:r>
      <w:r w:rsidRPr="00172E44">
        <w:rPr>
          <w:i/>
          <w:iCs/>
          <w:color w:val="000000" w:themeColor="text1"/>
        </w:rPr>
        <w:t>Assault and Battery overview</w:t>
      </w:r>
      <w:r>
        <w:rPr>
          <w:i/>
          <w:iCs/>
          <w:color w:val="000000" w:themeColor="text1"/>
        </w:rPr>
        <w:t xml:space="preserve">. </w:t>
      </w:r>
      <w:r>
        <w:rPr>
          <w:color w:val="000000" w:themeColor="text1"/>
        </w:rPr>
        <w:t xml:space="preserve">Available at: </w:t>
      </w:r>
      <w:hyperlink r:id="rId15" w:history="1">
        <w:r w:rsidRPr="0057224A">
          <w:rPr>
            <w:rStyle w:val="Hyperlink"/>
          </w:rPr>
          <w:t>https://www.findlaw.com/criminal/criminal-charges/assault-and-battery-overview.html</w:t>
        </w:r>
      </w:hyperlink>
      <w:r>
        <w:rPr>
          <w:color w:val="000000" w:themeColor="text1"/>
        </w:rPr>
        <w:t xml:space="preserve"> (Accessed 20 February 2021). </w:t>
      </w:r>
    </w:p>
    <w:p w14:paraId="790EB30C" w14:textId="77777777" w:rsidR="00E940D9" w:rsidRDefault="00E940D9" w:rsidP="00494229">
      <w:pPr>
        <w:rPr>
          <w:color w:val="000000" w:themeColor="text1"/>
        </w:rPr>
      </w:pPr>
    </w:p>
    <w:p w14:paraId="7303C7A4" w14:textId="43F7CA7F" w:rsidR="00E940D9"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r w:rsidRPr="00EF5ADC">
        <w:rPr>
          <w:rFonts w:asciiTheme="minorHAnsi" w:hAnsiTheme="minorHAnsi" w:cstheme="minorHAnsi"/>
          <w:b w:val="0"/>
          <w:bCs w:val="0"/>
          <w:color w:val="000000" w:themeColor="text1"/>
          <w:sz w:val="24"/>
          <w:szCs w:val="24"/>
        </w:rPr>
        <w:t xml:space="preserve">Grey and Co Solicitors (2021) </w:t>
      </w:r>
      <w:r w:rsidRPr="00EF5ADC">
        <w:rPr>
          <w:rFonts w:asciiTheme="minorHAnsi" w:hAnsiTheme="minorHAnsi" w:cstheme="minorHAnsi"/>
          <w:b w:val="0"/>
          <w:bCs w:val="0"/>
          <w:i/>
          <w:iCs/>
          <w:color w:val="000000" w:themeColor="text1"/>
          <w:sz w:val="24"/>
          <w:szCs w:val="24"/>
        </w:rPr>
        <w:t>Section 47 Assault Actual Bodily Harm – Criminal Defence Specialists</w:t>
      </w:r>
      <w:r>
        <w:rPr>
          <w:rFonts w:asciiTheme="minorHAnsi" w:hAnsiTheme="minorHAnsi" w:cstheme="minorHAnsi"/>
          <w:b w:val="0"/>
          <w:bCs w:val="0"/>
          <w:i/>
          <w:iCs/>
          <w:color w:val="000000" w:themeColor="text1"/>
          <w:sz w:val="24"/>
          <w:szCs w:val="24"/>
        </w:rPr>
        <w:t xml:space="preserve">. </w:t>
      </w:r>
      <w:r>
        <w:rPr>
          <w:rFonts w:asciiTheme="minorHAnsi" w:hAnsiTheme="minorHAnsi" w:cstheme="minorHAnsi"/>
          <w:b w:val="0"/>
          <w:bCs w:val="0"/>
          <w:color w:val="000000" w:themeColor="text1"/>
          <w:sz w:val="24"/>
          <w:szCs w:val="24"/>
        </w:rPr>
        <w:t xml:space="preserve">Available at: </w:t>
      </w:r>
      <w:hyperlink r:id="rId16" w:history="1">
        <w:r w:rsidRPr="0057224A">
          <w:rPr>
            <w:rStyle w:val="Hyperlink"/>
            <w:rFonts w:asciiTheme="minorHAnsi" w:hAnsiTheme="minorHAnsi" w:cstheme="minorHAnsi"/>
            <w:b w:val="0"/>
            <w:bCs w:val="0"/>
            <w:sz w:val="24"/>
            <w:szCs w:val="24"/>
          </w:rPr>
          <w:t>https://www.grayandcosolicitors.co.uk/section-47-assault-actual-bodily-harm-criminal-defence-specialists/</w:t>
        </w:r>
      </w:hyperlink>
      <w:r>
        <w:rPr>
          <w:rFonts w:asciiTheme="minorHAnsi" w:hAnsiTheme="minorHAnsi" w:cstheme="minorHAnsi"/>
          <w:b w:val="0"/>
          <w:bCs w:val="0"/>
          <w:color w:val="000000" w:themeColor="text1"/>
          <w:sz w:val="24"/>
          <w:szCs w:val="24"/>
        </w:rPr>
        <w:t xml:space="preserve"> (Accessed 21 February 2021). </w:t>
      </w:r>
    </w:p>
    <w:p w14:paraId="14203CC9" w14:textId="77777777" w:rsidR="00E940D9"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p>
    <w:p w14:paraId="730ECD78" w14:textId="33C8ABE9" w:rsidR="00E940D9" w:rsidRDefault="00E940D9" w:rsidP="00494229">
      <w:pPr>
        <w:rPr>
          <w:color w:val="000000" w:themeColor="text1"/>
        </w:rPr>
      </w:pPr>
      <w:r>
        <w:rPr>
          <w:color w:val="000000" w:themeColor="text1"/>
        </w:rPr>
        <w:t xml:space="preserve">Law Commission (2015) </w:t>
      </w:r>
      <w:r w:rsidRPr="00B24A4C">
        <w:rPr>
          <w:i/>
          <w:iCs/>
          <w:color w:val="000000" w:themeColor="text1"/>
        </w:rPr>
        <w:t>Offences Against the Person: Overview</w:t>
      </w:r>
      <w:r>
        <w:rPr>
          <w:i/>
          <w:iCs/>
          <w:color w:val="000000" w:themeColor="text1"/>
        </w:rPr>
        <w:t xml:space="preserve">. </w:t>
      </w:r>
      <w:r>
        <w:rPr>
          <w:color w:val="000000" w:themeColor="text1"/>
        </w:rPr>
        <w:t xml:space="preserve">Available at: </w:t>
      </w:r>
      <w:hyperlink r:id="rId17" w:history="1">
        <w:r w:rsidRPr="0057224A">
          <w:rPr>
            <w:rStyle w:val="Hyperlink"/>
          </w:rPr>
          <w:t>https://s3-eu-west-2.amazonaws.com/lawcom-p</w:t>
        </w:r>
        <w:r w:rsidRPr="0057224A">
          <w:rPr>
            <w:rStyle w:val="Hyperlink"/>
          </w:rPr>
          <w:t>r</w:t>
        </w:r>
        <w:r w:rsidRPr="0057224A">
          <w:rPr>
            <w:rStyle w:val="Hyperlink"/>
          </w:rPr>
          <w:t>od-storage-11jsxou24uy7q/uploads/2015/11/lc36</w:t>
        </w:r>
        <w:r w:rsidRPr="0057224A">
          <w:rPr>
            <w:rStyle w:val="Hyperlink"/>
          </w:rPr>
          <w:t>1</w:t>
        </w:r>
        <w:r w:rsidRPr="0057224A">
          <w:rPr>
            <w:rStyle w:val="Hyperlink"/>
          </w:rPr>
          <w:t>_</w:t>
        </w:r>
        <w:r w:rsidRPr="0057224A">
          <w:rPr>
            <w:rStyle w:val="Hyperlink"/>
          </w:rPr>
          <w:t>offences_against_the_person_overview_new-1.pdf</w:t>
        </w:r>
      </w:hyperlink>
      <w:r>
        <w:rPr>
          <w:color w:val="000000" w:themeColor="text1"/>
        </w:rPr>
        <w:t xml:space="preserve"> (Accessed 21 February 2021). </w:t>
      </w:r>
    </w:p>
    <w:p w14:paraId="3477C8A9" w14:textId="77777777" w:rsidR="00E940D9" w:rsidRDefault="00E940D9" w:rsidP="00494229">
      <w:pPr>
        <w:rPr>
          <w:color w:val="000000" w:themeColor="text1"/>
        </w:rPr>
      </w:pPr>
    </w:p>
    <w:p w14:paraId="19ED6E34" w14:textId="7259CC04" w:rsidR="00E940D9" w:rsidRDefault="00E940D9" w:rsidP="00494229">
      <w:pPr>
        <w:rPr>
          <w:color w:val="000000" w:themeColor="text1"/>
        </w:rPr>
      </w:pPr>
      <w:r>
        <w:rPr>
          <w:color w:val="000000" w:themeColor="text1"/>
        </w:rPr>
        <w:t xml:space="preserve">Law Commission (2015) </w:t>
      </w:r>
      <w:r w:rsidRPr="00631237">
        <w:rPr>
          <w:i/>
          <w:iCs/>
          <w:color w:val="000000" w:themeColor="text1"/>
        </w:rPr>
        <w:t>Reform of Offences against the Person</w:t>
      </w:r>
      <w:r>
        <w:rPr>
          <w:color w:val="000000" w:themeColor="text1"/>
        </w:rPr>
        <w:t xml:space="preserve"> (Law com No 361). Available at: </w:t>
      </w:r>
      <w:hyperlink r:id="rId18" w:history="1">
        <w:r w:rsidRPr="0057224A">
          <w:rPr>
            <w:rStyle w:val="Hyperlink"/>
          </w:rPr>
          <w:t>https://assets.publishing.service.gov.uk/government/uploads/system/uploads/attachment_data/fi9le/473398/51950_LC_HC555_Web.pdf</w:t>
        </w:r>
      </w:hyperlink>
      <w:r>
        <w:rPr>
          <w:color w:val="000000" w:themeColor="text1"/>
        </w:rPr>
        <w:t xml:space="preserve"> (Accessed 21 February 2021).</w:t>
      </w:r>
    </w:p>
    <w:p w14:paraId="79F4A05F" w14:textId="77777777" w:rsidR="00E940D9" w:rsidRDefault="00E940D9" w:rsidP="00494229">
      <w:pPr>
        <w:rPr>
          <w:color w:val="000000" w:themeColor="text1"/>
        </w:rPr>
      </w:pPr>
    </w:p>
    <w:p w14:paraId="44A9933D" w14:textId="38B96482" w:rsidR="00E940D9"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Law Commission (2015) </w:t>
      </w:r>
      <w:r w:rsidRPr="0073600D">
        <w:rPr>
          <w:rFonts w:asciiTheme="minorHAnsi" w:hAnsiTheme="minorHAnsi" w:cstheme="minorHAnsi"/>
          <w:b w:val="0"/>
          <w:bCs w:val="0"/>
          <w:i/>
          <w:iCs/>
          <w:color w:val="000000" w:themeColor="text1"/>
          <w:sz w:val="24"/>
          <w:szCs w:val="24"/>
        </w:rPr>
        <w:t>Reform of Offences against the Person A Scoping Consultation Paper</w:t>
      </w:r>
      <w:r>
        <w:rPr>
          <w:rFonts w:asciiTheme="minorHAnsi" w:hAnsiTheme="minorHAnsi" w:cstheme="minorHAnsi"/>
          <w:b w:val="0"/>
          <w:bCs w:val="0"/>
          <w:i/>
          <w:iCs/>
          <w:color w:val="000000" w:themeColor="text1"/>
          <w:sz w:val="24"/>
          <w:szCs w:val="24"/>
        </w:rPr>
        <w:t xml:space="preserve"> (</w:t>
      </w:r>
      <w:r>
        <w:rPr>
          <w:rFonts w:asciiTheme="minorHAnsi" w:hAnsiTheme="minorHAnsi" w:cstheme="minorHAnsi"/>
          <w:b w:val="0"/>
          <w:bCs w:val="0"/>
          <w:color w:val="000000" w:themeColor="text1"/>
          <w:sz w:val="24"/>
          <w:szCs w:val="24"/>
        </w:rPr>
        <w:t xml:space="preserve">Law Com No 217). Available at: </w:t>
      </w:r>
      <w:hyperlink r:id="rId19" w:history="1">
        <w:r w:rsidRPr="0057224A">
          <w:rPr>
            <w:rStyle w:val="Hyperlink"/>
            <w:rFonts w:asciiTheme="minorHAnsi" w:hAnsiTheme="minorHAnsi" w:cstheme="minorHAnsi"/>
            <w:b w:val="0"/>
            <w:bCs w:val="0"/>
            <w:sz w:val="24"/>
            <w:szCs w:val="24"/>
          </w:rPr>
          <w:t>http://www.lawcom.gov.uk/app/uploads/</w:t>
        </w:r>
        <w:r w:rsidRPr="0057224A">
          <w:rPr>
            <w:rStyle w:val="Hyperlink"/>
            <w:rFonts w:asciiTheme="minorHAnsi" w:hAnsiTheme="minorHAnsi" w:cstheme="minorHAnsi"/>
            <w:b w:val="0"/>
            <w:bCs w:val="0"/>
            <w:sz w:val="24"/>
            <w:szCs w:val="24"/>
          </w:rPr>
          <w:t>2</w:t>
        </w:r>
        <w:r w:rsidRPr="0057224A">
          <w:rPr>
            <w:rStyle w:val="Hyperlink"/>
            <w:rFonts w:asciiTheme="minorHAnsi" w:hAnsiTheme="minorHAnsi" w:cstheme="minorHAnsi"/>
            <w:b w:val="0"/>
            <w:bCs w:val="0"/>
            <w:sz w:val="24"/>
            <w:szCs w:val="24"/>
          </w:rPr>
          <w:t>015/06/cp217_offences_against_the_person.pdf</w:t>
        </w:r>
      </w:hyperlink>
      <w:r>
        <w:rPr>
          <w:rFonts w:asciiTheme="minorHAnsi" w:hAnsiTheme="minorHAnsi" w:cstheme="minorHAnsi"/>
          <w:b w:val="0"/>
          <w:bCs w:val="0"/>
          <w:color w:val="000000" w:themeColor="text1"/>
          <w:sz w:val="24"/>
          <w:szCs w:val="24"/>
        </w:rPr>
        <w:t xml:space="preserve"> (Accessed 21 February 2021). </w:t>
      </w:r>
    </w:p>
    <w:p w14:paraId="3B519CC7" w14:textId="77777777" w:rsidR="00E940D9"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p>
    <w:p w14:paraId="3882568A" w14:textId="44F8580F" w:rsidR="00E940D9"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r>
        <w:rPr>
          <w:rFonts w:asciiTheme="minorHAnsi" w:hAnsiTheme="minorHAnsi" w:cstheme="minorHAnsi"/>
          <w:b w:val="0"/>
          <w:bCs w:val="0"/>
          <w:color w:val="000000" w:themeColor="text1"/>
          <w:sz w:val="24"/>
          <w:szCs w:val="24"/>
        </w:rPr>
        <w:t xml:space="preserve">Law Commission (2021) </w:t>
      </w:r>
      <w:r w:rsidRPr="00A41E6A">
        <w:rPr>
          <w:rFonts w:asciiTheme="minorHAnsi" w:hAnsiTheme="minorHAnsi" w:cstheme="minorHAnsi"/>
          <w:b w:val="0"/>
          <w:bCs w:val="0"/>
          <w:i/>
          <w:iCs/>
          <w:color w:val="000000" w:themeColor="text1"/>
          <w:sz w:val="24"/>
          <w:szCs w:val="24"/>
        </w:rPr>
        <w:t>Offences against the person</w:t>
      </w:r>
      <w:r>
        <w:rPr>
          <w:rFonts w:asciiTheme="minorHAnsi" w:hAnsiTheme="minorHAnsi" w:cstheme="minorHAnsi"/>
          <w:b w:val="0"/>
          <w:bCs w:val="0"/>
          <w:color w:val="000000" w:themeColor="text1"/>
          <w:sz w:val="24"/>
          <w:szCs w:val="24"/>
        </w:rPr>
        <w:t xml:space="preserve">. Available at: </w:t>
      </w:r>
      <w:hyperlink r:id="rId20" w:history="1">
        <w:r w:rsidRPr="0057224A">
          <w:rPr>
            <w:rStyle w:val="Hyperlink"/>
            <w:rFonts w:asciiTheme="minorHAnsi" w:hAnsiTheme="minorHAnsi" w:cstheme="minorHAnsi"/>
            <w:b w:val="0"/>
            <w:bCs w:val="0"/>
            <w:sz w:val="24"/>
            <w:szCs w:val="24"/>
          </w:rPr>
          <w:t>https://www.lawcom.gov.uk/project/offences-against-the-person/</w:t>
        </w:r>
      </w:hyperlink>
      <w:r>
        <w:rPr>
          <w:rFonts w:asciiTheme="minorHAnsi" w:hAnsiTheme="minorHAnsi" w:cstheme="minorHAnsi"/>
          <w:b w:val="0"/>
          <w:bCs w:val="0"/>
          <w:color w:val="000000" w:themeColor="text1"/>
          <w:sz w:val="24"/>
          <w:szCs w:val="24"/>
        </w:rPr>
        <w:t xml:space="preserve"> (Accessed 21 February 2021). </w:t>
      </w:r>
    </w:p>
    <w:p w14:paraId="06570228" w14:textId="77777777" w:rsidR="00E940D9" w:rsidRPr="0073600D" w:rsidRDefault="00E940D9" w:rsidP="00EF5ADC">
      <w:pPr>
        <w:pStyle w:val="Heading1"/>
        <w:spacing w:before="0" w:beforeAutospacing="0" w:after="0" w:afterAutospacing="0"/>
        <w:rPr>
          <w:rFonts w:asciiTheme="minorHAnsi" w:hAnsiTheme="minorHAnsi" w:cstheme="minorHAnsi"/>
          <w:b w:val="0"/>
          <w:bCs w:val="0"/>
          <w:color w:val="000000" w:themeColor="text1"/>
          <w:sz w:val="24"/>
          <w:szCs w:val="24"/>
        </w:rPr>
      </w:pPr>
    </w:p>
    <w:p w14:paraId="7B3EBBA1" w14:textId="52FA6FAD" w:rsidR="00E940D9" w:rsidRDefault="00E940D9" w:rsidP="00106A55">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Love, S. (2021) ‘The Massively Outdated Offences Against the Persons Act 1861 Shows How Well the Common Law System Works’, </w:t>
      </w:r>
      <w:r w:rsidRPr="00D26734">
        <w:rPr>
          <w:rFonts w:eastAsia="Times New Roman" w:cstheme="minorHAnsi"/>
          <w:i/>
          <w:iCs/>
          <w:color w:val="000000" w:themeColor="text1"/>
          <w:shd w:val="clear" w:color="auto" w:fill="FFFFFF"/>
          <w:lang w:eastAsia="en-GB"/>
        </w:rPr>
        <w:t>Oxford Royale Academy</w:t>
      </w:r>
      <w:r>
        <w:rPr>
          <w:rFonts w:eastAsia="Times New Roman" w:cstheme="minorHAnsi"/>
          <w:i/>
          <w:iCs/>
          <w:color w:val="000000" w:themeColor="text1"/>
          <w:shd w:val="clear" w:color="auto" w:fill="FFFFFF"/>
          <w:lang w:eastAsia="en-GB"/>
        </w:rPr>
        <w:t xml:space="preserve">. </w:t>
      </w:r>
      <w:r w:rsidRPr="00D26734">
        <w:rPr>
          <w:rFonts w:eastAsia="Times New Roman" w:cstheme="minorHAnsi"/>
          <w:color w:val="000000" w:themeColor="text1"/>
          <w:shd w:val="clear" w:color="auto" w:fill="FFFFFF"/>
          <w:lang w:eastAsia="en-GB"/>
        </w:rPr>
        <w:t xml:space="preserve">Available at: </w:t>
      </w:r>
      <w:hyperlink r:id="rId21" w:history="1">
        <w:r w:rsidRPr="00D26734">
          <w:rPr>
            <w:rStyle w:val="Hyperlink"/>
            <w:rFonts w:eastAsia="Times New Roman" w:cstheme="minorHAnsi"/>
            <w:shd w:val="clear" w:color="auto" w:fill="FFFFFF"/>
            <w:lang w:eastAsia="en-GB"/>
          </w:rPr>
          <w:t>https://www.oxford-royale.com/articles/offences-against-the-person-act-1861-needs-reform/</w:t>
        </w:r>
      </w:hyperlink>
      <w:r w:rsidRPr="00D26734">
        <w:rPr>
          <w:rFonts w:eastAsia="Times New Roman" w:cstheme="minorHAnsi"/>
          <w:color w:val="000000" w:themeColor="text1"/>
          <w:shd w:val="clear" w:color="auto" w:fill="FFFFFF"/>
          <w:lang w:eastAsia="en-GB"/>
        </w:rPr>
        <w:t xml:space="preserve"> (Accessed 21 February 2021)</w:t>
      </w:r>
      <w:r>
        <w:rPr>
          <w:rFonts w:eastAsia="Times New Roman" w:cstheme="minorHAnsi"/>
          <w:color w:val="000000" w:themeColor="text1"/>
          <w:shd w:val="clear" w:color="auto" w:fill="FFFFFF"/>
          <w:lang w:eastAsia="en-GB"/>
        </w:rPr>
        <w:t>.</w:t>
      </w:r>
    </w:p>
    <w:p w14:paraId="6C9B340F" w14:textId="77777777" w:rsidR="00E940D9" w:rsidRPr="00106A55" w:rsidRDefault="00E940D9" w:rsidP="00106A55">
      <w:pPr>
        <w:rPr>
          <w:rFonts w:eastAsia="Times New Roman" w:cstheme="minorHAnsi"/>
          <w:color w:val="000000" w:themeColor="text1"/>
          <w:lang w:eastAsia="en-GB"/>
        </w:rPr>
      </w:pPr>
    </w:p>
    <w:p w14:paraId="30B104FA" w14:textId="4D57E542" w:rsidR="00E940D9" w:rsidRDefault="00E940D9" w:rsidP="00494229">
      <w:pPr>
        <w:rPr>
          <w:color w:val="000000" w:themeColor="text1"/>
        </w:rPr>
      </w:pPr>
      <w:r>
        <w:rPr>
          <w:color w:val="000000" w:themeColor="text1"/>
        </w:rPr>
        <w:t xml:space="preserve">Offences Against the Person Act 1861, c.100 Available at: </w:t>
      </w:r>
      <w:hyperlink r:id="rId22" w:history="1">
        <w:r w:rsidRPr="0057224A">
          <w:rPr>
            <w:rStyle w:val="Hyperlink"/>
          </w:rPr>
          <w:t>https://www.legislation.gov.uk/ukpga/Vict/24-25/100</w:t>
        </w:r>
        <w:r w:rsidRPr="0057224A">
          <w:rPr>
            <w:rStyle w:val="Hyperlink"/>
          </w:rPr>
          <w:t>/</w:t>
        </w:r>
        <w:r w:rsidRPr="0057224A">
          <w:rPr>
            <w:rStyle w:val="Hyperlink"/>
          </w:rPr>
          <w:t>section/20</w:t>
        </w:r>
      </w:hyperlink>
      <w:r>
        <w:rPr>
          <w:color w:val="000000" w:themeColor="text1"/>
        </w:rPr>
        <w:t xml:space="preserve"> (Accessed 20 February 2021). </w:t>
      </w:r>
    </w:p>
    <w:p w14:paraId="4002E0E1" w14:textId="77777777" w:rsidR="00E940D9" w:rsidRDefault="00E940D9" w:rsidP="00494229">
      <w:pPr>
        <w:rPr>
          <w:color w:val="000000" w:themeColor="text1"/>
        </w:rPr>
      </w:pPr>
    </w:p>
    <w:p w14:paraId="1218BD78" w14:textId="4979F1A7" w:rsidR="00E940D9" w:rsidRDefault="00E940D9" w:rsidP="00494229">
      <w:pPr>
        <w:rPr>
          <w:color w:val="000000" w:themeColor="text1"/>
        </w:rPr>
      </w:pPr>
      <w:r>
        <w:rPr>
          <w:color w:val="000000" w:themeColor="text1"/>
        </w:rPr>
        <w:t xml:space="preserve">Offences Against the Person Act 1861, c.100. Available at: </w:t>
      </w:r>
      <w:hyperlink r:id="rId23" w:history="1">
        <w:r w:rsidRPr="0057224A">
          <w:rPr>
            <w:rStyle w:val="Hyperlink"/>
          </w:rPr>
          <w:t>https://www.legislation.gov.uk/ukpga/Vict/24-25/100/section/17</w:t>
        </w:r>
      </w:hyperlink>
      <w:r>
        <w:rPr>
          <w:color w:val="000000" w:themeColor="text1"/>
        </w:rPr>
        <w:t xml:space="preserve"> (Accessed 21 February 2021). </w:t>
      </w:r>
    </w:p>
    <w:p w14:paraId="66386C4E" w14:textId="77777777" w:rsidR="00E940D9" w:rsidRDefault="00E940D9" w:rsidP="00494229">
      <w:pPr>
        <w:rPr>
          <w:color w:val="000000" w:themeColor="text1"/>
        </w:rPr>
      </w:pPr>
    </w:p>
    <w:p w14:paraId="5A29657B" w14:textId="1D9FE7F8" w:rsidR="00E940D9" w:rsidRDefault="00E940D9" w:rsidP="008C5DD9">
      <w:pPr>
        <w:rPr>
          <w:rFonts w:eastAsia="Times New Roman" w:cstheme="minorHAnsi"/>
          <w:color w:val="000000" w:themeColor="text1"/>
          <w:shd w:val="clear" w:color="auto" w:fill="FFFFFF"/>
          <w:lang w:eastAsia="en-GB"/>
        </w:rPr>
      </w:pPr>
      <w:r>
        <w:rPr>
          <w:rFonts w:eastAsia="Times New Roman" w:cstheme="minorHAnsi"/>
          <w:color w:val="000000" w:themeColor="text1"/>
          <w:shd w:val="clear" w:color="auto" w:fill="FFFFFF"/>
          <w:lang w:eastAsia="en-GB"/>
        </w:rPr>
        <w:t xml:space="preserve">Offenses Against the Person Act 1861, c.100. Available at: </w:t>
      </w:r>
      <w:hyperlink r:id="rId24" w:anchor="reference-c563672E+Wv00049" w:history="1">
        <w:r w:rsidRPr="0057224A">
          <w:rPr>
            <w:rStyle w:val="Hyperlink"/>
            <w:rFonts w:eastAsia="Times New Roman" w:cstheme="minorHAnsi"/>
            <w:shd w:val="clear" w:color="auto" w:fill="FFFFFF"/>
            <w:lang w:eastAsia="en-GB"/>
          </w:rPr>
          <w:t>https://www.legisla</w:t>
        </w:r>
        <w:r w:rsidRPr="0057224A">
          <w:rPr>
            <w:rStyle w:val="Hyperlink"/>
            <w:rFonts w:eastAsia="Times New Roman" w:cstheme="minorHAnsi"/>
            <w:shd w:val="clear" w:color="auto" w:fill="FFFFFF"/>
            <w:lang w:eastAsia="en-GB"/>
          </w:rPr>
          <w:t>t</w:t>
        </w:r>
        <w:r w:rsidRPr="0057224A">
          <w:rPr>
            <w:rStyle w:val="Hyperlink"/>
            <w:rFonts w:eastAsia="Times New Roman" w:cstheme="minorHAnsi"/>
            <w:shd w:val="clear" w:color="auto" w:fill="FFFFFF"/>
            <w:lang w:eastAsia="en-GB"/>
          </w:rPr>
          <w:t>ion.gov.uk/ukpga/Vict/24-25/100/section/47#reference-c563672E+Wv00049</w:t>
        </w:r>
      </w:hyperlink>
      <w:r>
        <w:rPr>
          <w:rFonts w:eastAsia="Times New Roman" w:cstheme="minorHAnsi"/>
          <w:color w:val="000000" w:themeColor="text1"/>
          <w:shd w:val="clear" w:color="auto" w:fill="FFFFFF"/>
          <w:lang w:eastAsia="en-GB"/>
        </w:rPr>
        <w:t xml:space="preserve"> (Accessed 20 February 2021). </w:t>
      </w:r>
    </w:p>
    <w:p w14:paraId="1A92E3B2" w14:textId="1035EBE6" w:rsidR="00E940D9" w:rsidRDefault="00E940D9" w:rsidP="008C5DD9">
      <w:pPr>
        <w:rPr>
          <w:rFonts w:eastAsia="Times New Roman" w:cstheme="minorHAnsi"/>
          <w:color w:val="000000" w:themeColor="text1"/>
          <w:shd w:val="clear" w:color="auto" w:fill="FFFFFF"/>
          <w:lang w:eastAsia="en-GB"/>
        </w:rPr>
      </w:pPr>
    </w:p>
    <w:p w14:paraId="7FA78DEC" w14:textId="59FC9FDA" w:rsidR="00E940D9" w:rsidRDefault="00E940D9" w:rsidP="008C5DD9">
      <w:pPr>
        <w:rPr>
          <w:rFonts w:eastAsia="Times New Roman" w:cstheme="minorHAnsi"/>
          <w:color w:val="000000" w:themeColor="text1"/>
          <w:shd w:val="clear" w:color="auto" w:fill="FFFFFF"/>
          <w:lang w:eastAsia="en-GB"/>
        </w:rPr>
      </w:pPr>
    </w:p>
    <w:p w14:paraId="4B8D579E" w14:textId="0867380C" w:rsidR="00E940D9" w:rsidRDefault="00E940D9" w:rsidP="008C5DD9">
      <w:pPr>
        <w:rPr>
          <w:rFonts w:eastAsia="Times New Roman" w:cstheme="minorHAnsi"/>
          <w:color w:val="000000" w:themeColor="text1"/>
          <w:shd w:val="clear" w:color="auto" w:fill="FFFFFF"/>
          <w:lang w:eastAsia="en-GB"/>
        </w:rPr>
      </w:pPr>
    </w:p>
    <w:p w14:paraId="7ADDCA32" w14:textId="77777777" w:rsidR="00E940D9" w:rsidRPr="008C5DD9" w:rsidRDefault="00E940D9" w:rsidP="008C5DD9">
      <w:pPr>
        <w:rPr>
          <w:rFonts w:eastAsia="Times New Roman" w:cstheme="minorHAnsi"/>
          <w:color w:val="000000" w:themeColor="text1"/>
          <w:lang w:eastAsia="en-GB"/>
        </w:rPr>
      </w:pPr>
    </w:p>
    <w:p w14:paraId="01270511" w14:textId="29A2D5F4" w:rsidR="00E940D9" w:rsidRDefault="00E940D9" w:rsidP="00494229">
      <w:pPr>
        <w:rPr>
          <w:color w:val="000000" w:themeColor="text1"/>
        </w:rPr>
      </w:pPr>
      <w:r>
        <w:rPr>
          <w:color w:val="000000" w:themeColor="text1"/>
        </w:rPr>
        <w:lastRenderedPageBreak/>
        <w:t xml:space="preserve">Parliament. House of Lords (1997) </w:t>
      </w:r>
      <w:r w:rsidRPr="00CF1361">
        <w:rPr>
          <w:i/>
          <w:iCs/>
          <w:color w:val="000000" w:themeColor="text1"/>
        </w:rPr>
        <w:t>Judgments- Regina v. Burstow Regina v. Ireland</w:t>
      </w:r>
      <w:r>
        <w:rPr>
          <w:i/>
          <w:iCs/>
          <w:color w:val="000000" w:themeColor="text1"/>
        </w:rPr>
        <w:t xml:space="preserve">, Session 1997-98.  </w:t>
      </w:r>
      <w:r>
        <w:rPr>
          <w:color w:val="000000" w:themeColor="text1"/>
        </w:rPr>
        <w:t xml:space="preserve">Available at: </w:t>
      </w:r>
      <w:hyperlink r:id="rId25" w:history="1">
        <w:r w:rsidRPr="0057224A">
          <w:rPr>
            <w:rStyle w:val="Hyperlink"/>
          </w:rPr>
          <w:t>https://publications.parliament.uk/pa/ld199798/ldjudgmt/jd970724/irland01.htm</w:t>
        </w:r>
      </w:hyperlink>
      <w:r>
        <w:rPr>
          <w:color w:val="000000" w:themeColor="text1"/>
        </w:rPr>
        <w:t xml:space="preserve"> (Accessed 20 February 2021). </w:t>
      </w:r>
    </w:p>
    <w:p w14:paraId="66F6B9CB" w14:textId="77777777" w:rsidR="00E940D9" w:rsidRDefault="00E940D9" w:rsidP="00494229">
      <w:pPr>
        <w:rPr>
          <w:color w:val="000000" w:themeColor="text1"/>
        </w:rPr>
      </w:pPr>
    </w:p>
    <w:p w14:paraId="50FA076F" w14:textId="22429DE1" w:rsidR="00E940D9" w:rsidRDefault="00E940D9" w:rsidP="00494229">
      <w:pPr>
        <w:rPr>
          <w:color w:val="000000" w:themeColor="text1"/>
        </w:rPr>
      </w:pPr>
      <w:proofErr w:type="spellStart"/>
      <w:r>
        <w:rPr>
          <w:color w:val="000000" w:themeColor="text1"/>
        </w:rPr>
        <w:t>Swarb</w:t>
      </w:r>
      <w:proofErr w:type="spellEnd"/>
      <w:r>
        <w:rPr>
          <w:color w:val="000000" w:themeColor="text1"/>
        </w:rPr>
        <w:t xml:space="preserve"> (2020) </w:t>
      </w:r>
      <w:r w:rsidRPr="00AB033A">
        <w:rPr>
          <w:i/>
          <w:iCs/>
          <w:color w:val="000000" w:themeColor="text1"/>
        </w:rPr>
        <w:t>Regina v Savage; Director of Public Prosecutions v Parmenter: HL 7 Nov 1991</w:t>
      </w:r>
      <w:r>
        <w:rPr>
          <w:i/>
          <w:iCs/>
          <w:color w:val="000000" w:themeColor="text1"/>
        </w:rPr>
        <w:t xml:space="preserve">. </w:t>
      </w:r>
      <w:r>
        <w:rPr>
          <w:color w:val="000000" w:themeColor="text1"/>
        </w:rPr>
        <w:t xml:space="preserve">Available at: </w:t>
      </w:r>
      <w:hyperlink r:id="rId26" w:history="1">
        <w:r w:rsidRPr="0057224A">
          <w:rPr>
            <w:rStyle w:val="Hyperlink"/>
          </w:rPr>
          <w:t>https://swarb.co.uk/regina-v-savage-director-of-public-prosecutions-v-parmenter-hl-7-nov-1991/</w:t>
        </w:r>
      </w:hyperlink>
      <w:r>
        <w:rPr>
          <w:color w:val="000000" w:themeColor="text1"/>
        </w:rPr>
        <w:t xml:space="preserve"> (Accessed 21 February 2021). </w:t>
      </w:r>
    </w:p>
    <w:p w14:paraId="70AF8140" w14:textId="77777777" w:rsidR="00E940D9" w:rsidRPr="00AB033A" w:rsidRDefault="00E940D9" w:rsidP="00494229">
      <w:pPr>
        <w:rPr>
          <w:color w:val="000000" w:themeColor="text1"/>
        </w:rPr>
      </w:pPr>
    </w:p>
    <w:p w14:paraId="22FC1840" w14:textId="17FE5D27" w:rsidR="00E940D9" w:rsidRDefault="00E940D9" w:rsidP="00494229">
      <w:pPr>
        <w:rPr>
          <w:color w:val="000000" w:themeColor="text1"/>
        </w:rPr>
      </w:pPr>
      <w:r>
        <w:rPr>
          <w:color w:val="000000" w:themeColor="text1"/>
        </w:rPr>
        <w:t xml:space="preserve">The Guardian (2003) </w:t>
      </w:r>
      <w:r w:rsidRPr="00C44B1C">
        <w:rPr>
          <w:i/>
          <w:iCs/>
          <w:color w:val="000000" w:themeColor="text1"/>
        </w:rPr>
        <w:t>HIV carrier jailed for infecting lovers.</w:t>
      </w:r>
      <w:r>
        <w:rPr>
          <w:color w:val="000000" w:themeColor="text1"/>
        </w:rPr>
        <w:t xml:space="preserve"> Available at: </w:t>
      </w:r>
      <w:hyperlink r:id="rId27" w:history="1">
        <w:r w:rsidRPr="004041E1">
          <w:rPr>
            <w:rStyle w:val="Hyperlink"/>
          </w:rPr>
          <w:t>https://www.theguardian.com/uk/2003/nov/03/ukcrime</w:t>
        </w:r>
      </w:hyperlink>
      <w:r>
        <w:rPr>
          <w:color w:val="000000" w:themeColor="text1"/>
        </w:rPr>
        <w:t xml:space="preserve"> (Accessed 28 February 2021).</w:t>
      </w:r>
    </w:p>
    <w:p w14:paraId="14486009" w14:textId="77777777" w:rsidR="00E940D9" w:rsidRDefault="00E940D9" w:rsidP="00494229">
      <w:pPr>
        <w:rPr>
          <w:color w:val="000000" w:themeColor="text1"/>
        </w:rPr>
      </w:pPr>
    </w:p>
    <w:p w14:paraId="3C3B15E8" w14:textId="77777777" w:rsidR="00E940D9" w:rsidRDefault="00E940D9" w:rsidP="00494229">
      <w:pPr>
        <w:rPr>
          <w:color w:val="000000" w:themeColor="text1"/>
        </w:rPr>
      </w:pPr>
      <w:proofErr w:type="spellStart"/>
      <w:r>
        <w:rPr>
          <w:color w:val="000000" w:themeColor="text1"/>
        </w:rPr>
        <w:t>Vhs</w:t>
      </w:r>
      <w:proofErr w:type="spellEnd"/>
      <w:r>
        <w:rPr>
          <w:color w:val="000000" w:themeColor="text1"/>
        </w:rPr>
        <w:t xml:space="preserve"> Fletchers Solicitors (2021) </w:t>
      </w:r>
      <w:r w:rsidRPr="00A620C4">
        <w:rPr>
          <w:i/>
          <w:iCs/>
          <w:color w:val="000000" w:themeColor="text1"/>
        </w:rPr>
        <w:t>Grievous Bodily Harm and Wounding, with and without Intent</w:t>
      </w:r>
      <w:r>
        <w:rPr>
          <w:i/>
          <w:iCs/>
          <w:color w:val="000000" w:themeColor="text1"/>
        </w:rPr>
        <w:t xml:space="preserve">. </w:t>
      </w:r>
      <w:r>
        <w:rPr>
          <w:color w:val="000000" w:themeColor="text1"/>
        </w:rPr>
        <w:t xml:space="preserve">Available at: </w:t>
      </w:r>
      <w:hyperlink r:id="rId28" w:history="1">
        <w:r w:rsidRPr="0057224A">
          <w:rPr>
            <w:rStyle w:val="Hyperlink"/>
          </w:rPr>
          <w:t>https://vhsfletchers.co.uk/grievous-bodily-harm-wounding/</w:t>
        </w:r>
      </w:hyperlink>
      <w:r>
        <w:rPr>
          <w:color w:val="000000" w:themeColor="text1"/>
        </w:rPr>
        <w:t xml:space="preserve"> (Accessed 20 February 2021). </w:t>
      </w:r>
    </w:p>
    <w:p w14:paraId="41A5E5D9" w14:textId="77777777" w:rsidR="00C44B1C" w:rsidRDefault="00C44B1C" w:rsidP="00494229">
      <w:pPr>
        <w:rPr>
          <w:color w:val="000000" w:themeColor="text1"/>
        </w:rPr>
      </w:pPr>
    </w:p>
    <w:p w14:paraId="658E65D7" w14:textId="7A30EAA0" w:rsidR="00784499" w:rsidRPr="005E7CD9" w:rsidRDefault="00C44B1C" w:rsidP="00494229">
      <w:pPr>
        <w:rPr>
          <w:color w:val="000000" w:themeColor="text1"/>
        </w:rPr>
      </w:pPr>
      <w:r>
        <w:rPr>
          <w:color w:val="000000" w:themeColor="text1"/>
        </w:rPr>
        <w:t xml:space="preserve"> </w:t>
      </w:r>
    </w:p>
    <w:sectPr w:rsidR="00784499" w:rsidRPr="005E7CD9">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4060C" w14:textId="77777777" w:rsidR="00587925" w:rsidRDefault="00587925" w:rsidP="00494229">
      <w:r>
        <w:separator/>
      </w:r>
    </w:p>
  </w:endnote>
  <w:endnote w:type="continuationSeparator" w:id="0">
    <w:p w14:paraId="59192734" w14:textId="77777777" w:rsidR="00587925" w:rsidRDefault="00587925" w:rsidP="0049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DB2AF" w14:textId="77777777" w:rsidR="00587925" w:rsidRDefault="00587925" w:rsidP="00494229">
      <w:r>
        <w:separator/>
      </w:r>
    </w:p>
  </w:footnote>
  <w:footnote w:type="continuationSeparator" w:id="0">
    <w:p w14:paraId="20EF2FA9" w14:textId="77777777" w:rsidR="00587925" w:rsidRDefault="00587925" w:rsidP="00494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30C11" w14:textId="524A78F2" w:rsidR="005E7CD9" w:rsidRDefault="005E7CD9">
    <w:pPr>
      <w:pStyle w:val="Header"/>
    </w:pPr>
    <w:r>
      <w:t xml:space="preserve">Chelsea Pelosi 2015581 </w:t>
    </w:r>
  </w:p>
  <w:p w14:paraId="564C04BD" w14:textId="77777777" w:rsidR="005E7CD9" w:rsidRDefault="005E7C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229"/>
    <w:rsid w:val="000118EE"/>
    <w:rsid w:val="00024C2D"/>
    <w:rsid w:val="00030E78"/>
    <w:rsid w:val="00044616"/>
    <w:rsid w:val="000A16AA"/>
    <w:rsid w:val="000B36A4"/>
    <w:rsid w:val="00106A55"/>
    <w:rsid w:val="001534A4"/>
    <w:rsid w:val="00172E44"/>
    <w:rsid w:val="00175E72"/>
    <w:rsid w:val="00177F36"/>
    <w:rsid w:val="00182DAD"/>
    <w:rsid w:val="001928CD"/>
    <w:rsid w:val="001929C1"/>
    <w:rsid w:val="001A3261"/>
    <w:rsid w:val="001A5E4E"/>
    <w:rsid w:val="001D01C2"/>
    <w:rsid w:val="001D46F1"/>
    <w:rsid w:val="002174A8"/>
    <w:rsid w:val="0025782E"/>
    <w:rsid w:val="00261440"/>
    <w:rsid w:val="002B6C2E"/>
    <w:rsid w:val="0030181F"/>
    <w:rsid w:val="00327B3C"/>
    <w:rsid w:val="00377572"/>
    <w:rsid w:val="00404FA8"/>
    <w:rsid w:val="00405489"/>
    <w:rsid w:val="004165EC"/>
    <w:rsid w:val="004247C7"/>
    <w:rsid w:val="0044404F"/>
    <w:rsid w:val="004839F4"/>
    <w:rsid w:val="00484586"/>
    <w:rsid w:val="00494229"/>
    <w:rsid w:val="004C34FD"/>
    <w:rsid w:val="00527CBC"/>
    <w:rsid w:val="0055370B"/>
    <w:rsid w:val="00564ED4"/>
    <w:rsid w:val="00573089"/>
    <w:rsid w:val="00587925"/>
    <w:rsid w:val="005E7CD9"/>
    <w:rsid w:val="00631237"/>
    <w:rsid w:val="00631694"/>
    <w:rsid w:val="00643571"/>
    <w:rsid w:val="006A24B6"/>
    <w:rsid w:val="006A2D44"/>
    <w:rsid w:val="006A4028"/>
    <w:rsid w:val="006A74EA"/>
    <w:rsid w:val="006C0F6C"/>
    <w:rsid w:val="007169BD"/>
    <w:rsid w:val="00726FDC"/>
    <w:rsid w:val="007319AD"/>
    <w:rsid w:val="0073600D"/>
    <w:rsid w:val="00746971"/>
    <w:rsid w:val="00754BE5"/>
    <w:rsid w:val="00784499"/>
    <w:rsid w:val="00790C35"/>
    <w:rsid w:val="007A0D17"/>
    <w:rsid w:val="007A5FED"/>
    <w:rsid w:val="007B06A3"/>
    <w:rsid w:val="007B3A3B"/>
    <w:rsid w:val="00836B82"/>
    <w:rsid w:val="008477B9"/>
    <w:rsid w:val="008540BF"/>
    <w:rsid w:val="008748FD"/>
    <w:rsid w:val="008766C5"/>
    <w:rsid w:val="008A17C7"/>
    <w:rsid w:val="008A5264"/>
    <w:rsid w:val="008B2ED3"/>
    <w:rsid w:val="008C5DD9"/>
    <w:rsid w:val="008D7BE5"/>
    <w:rsid w:val="009623C2"/>
    <w:rsid w:val="009A565C"/>
    <w:rsid w:val="009C1DED"/>
    <w:rsid w:val="009F54EF"/>
    <w:rsid w:val="00A007F2"/>
    <w:rsid w:val="00A06C71"/>
    <w:rsid w:val="00A07BBC"/>
    <w:rsid w:val="00A41E6A"/>
    <w:rsid w:val="00A620C4"/>
    <w:rsid w:val="00A913CC"/>
    <w:rsid w:val="00A96382"/>
    <w:rsid w:val="00AB033A"/>
    <w:rsid w:val="00B02588"/>
    <w:rsid w:val="00B24A4C"/>
    <w:rsid w:val="00BD5672"/>
    <w:rsid w:val="00BD574E"/>
    <w:rsid w:val="00BF7CFC"/>
    <w:rsid w:val="00C1433B"/>
    <w:rsid w:val="00C15CD7"/>
    <w:rsid w:val="00C44B1C"/>
    <w:rsid w:val="00C54DEC"/>
    <w:rsid w:val="00C87451"/>
    <w:rsid w:val="00CA2F32"/>
    <w:rsid w:val="00CF1361"/>
    <w:rsid w:val="00CF678B"/>
    <w:rsid w:val="00D26734"/>
    <w:rsid w:val="00D654C0"/>
    <w:rsid w:val="00DC19B5"/>
    <w:rsid w:val="00DF17C1"/>
    <w:rsid w:val="00E00BC0"/>
    <w:rsid w:val="00E0277A"/>
    <w:rsid w:val="00E175F3"/>
    <w:rsid w:val="00E4081D"/>
    <w:rsid w:val="00E8687D"/>
    <w:rsid w:val="00E940D9"/>
    <w:rsid w:val="00EF5ADC"/>
    <w:rsid w:val="00F07416"/>
    <w:rsid w:val="00F6311C"/>
    <w:rsid w:val="00FB0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EB3A21"/>
  <w15:chartTrackingRefBased/>
  <w15:docId w15:val="{409BC84E-C827-5143-91E3-336D6B50F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5AD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9422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22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94229"/>
    <w:pPr>
      <w:tabs>
        <w:tab w:val="center" w:pos="4513"/>
        <w:tab w:val="right" w:pos="9026"/>
      </w:tabs>
    </w:pPr>
  </w:style>
  <w:style w:type="character" w:customStyle="1" w:styleId="HeaderChar">
    <w:name w:val="Header Char"/>
    <w:basedOn w:val="DefaultParagraphFont"/>
    <w:link w:val="Header"/>
    <w:uiPriority w:val="99"/>
    <w:rsid w:val="00494229"/>
  </w:style>
  <w:style w:type="paragraph" w:styleId="Footer">
    <w:name w:val="footer"/>
    <w:basedOn w:val="Normal"/>
    <w:link w:val="FooterChar"/>
    <w:uiPriority w:val="99"/>
    <w:unhideWhenUsed/>
    <w:rsid w:val="00494229"/>
    <w:pPr>
      <w:tabs>
        <w:tab w:val="center" w:pos="4513"/>
        <w:tab w:val="right" w:pos="9026"/>
      </w:tabs>
    </w:pPr>
  </w:style>
  <w:style w:type="character" w:customStyle="1" w:styleId="FooterChar">
    <w:name w:val="Footer Char"/>
    <w:basedOn w:val="DefaultParagraphFont"/>
    <w:link w:val="Footer"/>
    <w:uiPriority w:val="99"/>
    <w:rsid w:val="00494229"/>
  </w:style>
  <w:style w:type="character" w:styleId="Hyperlink">
    <w:name w:val="Hyperlink"/>
    <w:basedOn w:val="DefaultParagraphFont"/>
    <w:uiPriority w:val="99"/>
    <w:unhideWhenUsed/>
    <w:rsid w:val="00631694"/>
    <w:rPr>
      <w:color w:val="0563C1" w:themeColor="hyperlink"/>
      <w:u w:val="single"/>
    </w:rPr>
  </w:style>
  <w:style w:type="character" w:styleId="UnresolvedMention">
    <w:name w:val="Unresolved Mention"/>
    <w:basedOn w:val="DefaultParagraphFont"/>
    <w:uiPriority w:val="99"/>
    <w:semiHidden/>
    <w:unhideWhenUsed/>
    <w:rsid w:val="00631694"/>
    <w:rPr>
      <w:color w:val="605E5C"/>
      <w:shd w:val="clear" w:color="auto" w:fill="E1DFDD"/>
    </w:rPr>
  </w:style>
  <w:style w:type="character" w:customStyle="1" w:styleId="apple-converted-space">
    <w:name w:val="apple-converted-space"/>
    <w:basedOn w:val="DefaultParagraphFont"/>
    <w:rsid w:val="008C5DD9"/>
  </w:style>
  <w:style w:type="character" w:styleId="FollowedHyperlink">
    <w:name w:val="FollowedHyperlink"/>
    <w:basedOn w:val="DefaultParagraphFont"/>
    <w:uiPriority w:val="99"/>
    <w:semiHidden/>
    <w:unhideWhenUsed/>
    <w:rsid w:val="00BD5672"/>
    <w:rPr>
      <w:color w:val="954F72" w:themeColor="followedHyperlink"/>
      <w:u w:val="single"/>
    </w:rPr>
  </w:style>
  <w:style w:type="character" w:customStyle="1" w:styleId="Heading1Char">
    <w:name w:val="Heading 1 Char"/>
    <w:basedOn w:val="DefaultParagraphFont"/>
    <w:link w:val="Heading1"/>
    <w:uiPriority w:val="9"/>
    <w:rsid w:val="00EF5AD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771639">
      <w:bodyDiv w:val="1"/>
      <w:marLeft w:val="0"/>
      <w:marRight w:val="0"/>
      <w:marTop w:val="0"/>
      <w:marBottom w:val="0"/>
      <w:divBdr>
        <w:top w:val="none" w:sz="0" w:space="0" w:color="auto"/>
        <w:left w:val="none" w:sz="0" w:space="0" w:color="auto"/>
        <w:bottom w:val="none" w:sz="0" w:space="0" w:color="auto"/>
        <w:right w:val="none" w:sz="0" w:space="0" w:color="auto"/>
      </w:divBdr>
    </w:div>
    <w:div w:id="1061438318">
      <w:bodyDiv w:val="1"/>
      <w:marLeft w:val="0"/>
      <w:marRight w:val="0"/>
      <w:marTop w:val="0"/>
      <w:marBottom w:val="0"/>
      <w:divBdr>
        <w:top w:val="none" w:sz="0" w:space="0" w:color="auto"/>
        <w:left w:val="none" w:sz="0" w:space="0" w:color="auto"/>
        <w:bottom w:val="none" w:sz="0" w:space="0" w:color="auto"/>
        <w:right w:val="none" w:sz="0" w:space="0" w:color="auto"/>
      </w:divBdr>
    </w:div>
    <w:div w:id="150536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law.co.uk/case-lists/Non-fatal-offences.pdf" TargetMode="External"/><Relationship Id="rId13" Type="http://schemas.openxmlformats.org/officeDocument/2006/relationships/hyperlink" Target="https://journals-sagepub-com.ezproxy.uwtsd.ac.uk/doi/pdf/10.1177/0022018316685478" TargetMode="External"/><Relationship Id="rId18" Type="http://schemas.openxmlformats.org/officeDocument/2006/relationships/hyperlink" Target="https://assets.publishing.service.gov.uk/government/uploads/system/uploads/attachment_data/fi9le/473398/51950_LC_HC555_Web.pdf" TargetMode="External"/><Relationship Id="rId26" Type="http://schemas.openxmlformats.org/officeDocument/2006/relationships/hyperlink" Target="https://swarb.co.uk/regina-v-savage-director-of-public-prosecutions-v-parmenter-hl-7-nov-1991/" TargetMode="External"/><Relationship Id="rId3" Type="http://schemas.openxmlformats.org/officeDocument/2006/relationships/webSettings" Target="webSettings.xml"/><Relationship Id="rId21" Type="http://schemas.openxmlformats.org/officeDocument/2006/relationships/hyperlink" Target="https://www.oxford-royale.com/articles/offences-against-the-person-act-1861-needs-reform/" TargetMode="External"/><Relationship Id="rId7" Type="http://schemas.openxmlformats.org/officeDocument/2006/relationships/hyperlink" Target="https://www.collegelaw.co.uk/criminal-law/non_fatal_offences/index.html" TargetMode="External"/><Relationship Id="rId12" Type="http://schemas.openxmlformats.org/officeDocument/2006/relationships/hyperlink" Target="http://www.sigmaresearch.org.uk/downloads/report05b.pdf" TargetMode="External"/><Relationship Id="rId17" Type="http://schemas.openxmlformats.org/officeDocument/2006/relationships/hyperlink" Target="https://s3-eu-west-2.amazonaws.com/lawcom-prod-storage-11jsxou24uy7q/uploads/2015/11/lc361_offences_against_the_person_overview_new-1.pdf" TargetMode="External"/><Relationship Id="rId25" Type="http://schemas.openxmlformats.org/officeDocument/2006/relationships/hyperlink" Target="https://publications.parliament.uk/pa/ld199798/ldjudgmt/jd970724/irland01.htm" TargetMode="External"/><Relationship Id="rId2" Type="http://schemas.openxmlformats.org/officeDocument/2006/relationships/settings" Target="settings.xml"/><Relationship Id="rId16" Type="http://schemas.openxmlformats.org/officeDocument/2006/relationships/hyperlink" Target="https://www.grayandcosolicitors.co.uk/section-47-assault-actual-bodily-harm-criminal-defence-specialists/" TargetMode="External"/><Relationship Id="rId20" Type="http://schemas.openxmlformats.org/officeDocument/2006/relationships/hyperlink" Target="https://www.lawcom.gov.uk/project/offences-against-the-person/"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contentstore-cla-co-uk.ezproxy.uwtsd.ac.uk/EReader/Index?guid=fed60e4e-b56f-eb11-9889-28187852b63b&amp;pcid=1344257&amp;t=eyJhbGciOiJIUzI1NiIsInR5cCI6IkpXVCJ9.eyJqdGkiOiJmMDljNDk3Zi1lZjBkLTQwMzMtYjc0My0wZGZiYzM0NTc0ZDQiLCJuYmYiOjE2MTQzNDE1ODcsImV4cCI6MTYxNDM0MTg4NywiaWF0IjoxNjE0MzQxNTg3LCJpc3MiOiJEQ1MiLCJhdWQiOiJSZWFkZXIifQ.HepthlFnMcINsiREbpLNzkX-ChlVDKplD6L3DGl9cm0" TargetMode="External"/><Relationship Id="rId11" Type="http://schemas.openxmlformats.org/officeDocument/2006/relationships/hyperlink" Target="https://journals.sagepub.com/doi/abs/10.1177/002201836903300103?journalCode=clja" TargetMode="External"/><Relationship Id="rId24" Type="http://schemas.openxmlformats.org/officeDocument/2006/relationships/hyperlink" Target="https://www.legislation.gov.uk/ukpga/Vict/24-25/100/section/47" TargetMode="External"/><Relationship Id="rId5" Type="http://schemas.openxmlformats.org/officeDocument/2006/relationships/endnotes" Target="endnotes.xml"/><Relationship Id="rId15" Type="http://schemas.openxmlformats.org/officeDocument/2006/relationships/hyperlink" Target="https://www.findlaw.com/criminal/criminal-charges/assault-and-battery-overview.html" TargetMode="External"/><Relationship Id="rId23" Type="http://schemas.openxmlformats.org/officeDocument/2006/relationships/hyperlink" Target="https://www.legislation.gov.uk/ukpga/Vict/24-25/100/section/17" TargetMode="External"/><Relationship Id="rId28" Type="http://schemas.openxmlformats.org/officeDocument/2006/relationships/hyperlink" Target="https://vhsfletchers.co.uk/grievous-bodily-harm-wounding/" TargetMode="External"/><Relationship Id="rId10" Type="http://schemas.openxmlformats.org/officeDocument/2006/relationships/hyperlink" Target="http://sro.sussex.ac.uk/id/eprint/61946/4/Not%20Giving%20up%20the%20Fight%20-%20A%20Review%20of%20the%20Law%20Commission&#8217;s%20Scoping%20Report%20on%20the%20Non-Fatal%20Offences%20Against%20the%20Person-1.pdf" TargetMode="External"/><Relationship Id="rId19" Type="http://schemas.openxmlformats.org/officeDocument/2006/relationships/hyperlink" Target="http://www.lawcom.gov.uk/app/uploads/2015/06/cp217_offences_against_the_person.pdf"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1988/33/section/39" TargetMode="External"/><Relationship Id="rId14" Type="http://schemas.openxmlformats.org/officeDocument/2006/relationships/hyperlink" Target="https://journals.sagepub.com/doi/abs/10.1177/0032258X4802100211?journalCode=pjxa#articleCitationDownloadContainer" TargetMode="External"/><Relationship Id="rId22" Type="http://schemas.openxmlformats.org/officeDocument/2006/relationships/hyperlink" Target="https://www.legislation.gov.uk/ukpga/Vict/24-25/100/section/20" TargetMode="External"/><Relationship Id="rId27" Type="http://schemas.openxmlformats.org/officeDocument/2006/relationships/hyperlink" Target="https://www.theguardian.com/uk/2003/nov/03/ukcrim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634</TotalTime>
  <Pages>7</Pages>
  <Words>2926</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Pelosi (2015581)</dc:creator>
  <cp:keywords/>
  <dc:description/>
  <cp:lastModifiedBy>Chelsea Pelosi (2015581)</cp:lastModifiedBy>
  <cp:revision>8</cp:revision>
  <dcterms:created xsi:type="dcterms:W3CDTF">2021-02-24T14:56:00Z</dcterms:created>
  <dcterms:modified xsi:type="dcterms:W3CDTF">2021-03-03T14:57:00Z</dcterms:modified>
</cp:coreProperties>
</file>