
<file path=[Content_Types].xml><?xml version="1.0" encoding="utf-8"?>
<Types xmlns="http://schemas.openxmlformats.org/package/2006/content-types">
  <Default Extension="png" ContentType="image/png"/>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448579750"/>
        <w:docPartObj>
          <w:docPartGallery w:val="Cover Pages"/>
          <w:docPartUnique/>
        </w:docPartObj>
      </w:sdtPr>
      <w:sdtEndPr/>
      <w:sdtContent>
        <w:p w:rsidR="004B7AF2" w:rsidRDefault="004B7AF2">
          <w:r>
            <w:rPr>
              <w:noProof/>
              <w:lang w:eastAsia="en-GB"/>
            </w:rPr>
            <mc:AlternateContent>
              <mc:Choice Requires="wps">
                <w:drawing>
                  <wp:anchor distT="0" distB="0" distL="114300" distR="114300" simplePos="0" relativeHeight="251659264" behindDoc="0" locked="0" layoutInCell="1" allowOverlap="1">
                    <wp:simplePos x="0" y="0"/>
                    <wp:positionH relativeFrom="margin">
                      <wp:posOffset>5023263</wp:posOffset>
                    </wp:positionH>
                    <wp:positionV relativeFrom="page">
                      <wp:posOffset>249382</wp:posOffset>
                    </wp:positionV>
                    <wp:extent cx="705304"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05304"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5-01T00:00:00Z">
                                    <w:dateFormat w:val="yyyy"/>
                                    <w:lid w:val="en-US"/>
                                    <w:storeMappedDataAs w:val="dateTime"/>
                                    <w:calendar w:val="gregorian"/>
                                  </w:date>
                                </w:sdtPr>
                                <w:sdtEndPr/>
                                <w:sdtContent>
                                  <w:p w:rsidR="00BD0DA3" w:rsidRDefault="00F81C8C">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id="Rectangle 132" o:spid="_x0000_s1026" style="position:absolute;margin-left:395.55pt;margin-top:19.65pt;width:55.55pt;height:77.75pt;z-index:251659264;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5-01T00:00:00Z">
                              <w:dateFormat w:val="yyyy"/>
                              <w:lid w:val="en-US"/>
                              <w:storeMappedDataAs w:val="dateTime"/>
                              <w:calendar w:val="gregorian"/>
                            </w:date>
                          </w:sdtPr>
                          <w:sdtEndPr/>
                          <w:sdtContent>
                            <w:p w:rsidR="00BD0DA3" w:rsidRDefault="00F81C8C">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p>
        <w:p w:rsidR="004B7AF2" w:rsidRDefault="00FC7AE1">
          <w:r>
            <w:rPr>
              <w:noProof/>
              <w:lang w:eastAsia="en-GB"/>
            </w:rPr>
            <mc:AlternateContent>
              <mc:Choice Requires="wps">
                <w:drawing>
                  <wp:anchor distT="0" distB="0" distL="182880" distR="182880" simplePos="0" relativeHeight="251660288" behindDoc="0" locked="0" layoutInCell="1" allowOverlap="1">
                    <wp:simplePos x="0" y="0"/>
                    <wp:positionH relativeFrom="margin">
                      <wp:align>left</wp:align>
                    </wp:positionH>
                    <wp:positionV relativeFrom="page">
                      <wp:posOffset>5497748</wp:posOffset>
                    </wp:positionV>
                    <wp:extent cx="6115685" cy="2552700"/>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6115685" cy="2552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D0DA3" w:rsidRPr="00294C5E" w:rsidRDefault="00407A26">
                                <w:pPr>
                                  <w:pStyle w:val="NoSpacing"/>
                                  <w:spacing w:before="40" w:after="560" w:line="216" w:lineRule="auto"/>
                                  <w:rPr>
                                    <w:color w:val="5B9BD5" w:themeColor="accent1"/>
                                    <w:sz w:val="56"/>
                                    <w:szCs w:val="56"/>
                                  </w:rPr>
                                </w:pPr>
                                <w:sdt>
                                  <w:sdtPr>
                                    <w:rPr>
                                      <w:color w:val="5B9BD5"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D0DA3" w:rsidRPr="00294C5E">
                                      <w:rPr>
                                        <w:color w:val="5B9BD5" w:themeColor="accent1"/>
                                        <w:sz w:val="56"/>
                                        <w:szCs w:val="56"/>
                                      </w:rPr>
                                      <w:t>Where has the Mother Goddess Gone?</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BD0DA3" w:rsidRPr="00294C5E" w:rsidRDefault="00BD0DA3">
                                    <w:pPr>
                                      <w:pStyle w:val="NoSpacing"/>
                                      <w:spacing w:before="40" w:after="40"/>
                                      <w:rPr>
                                        <w:caps/>
                                        <w:color w:val="1F3864" w:themeColor="accent5" w:themeShade="80"/>
                                        <w:sz w:val="28"/>
                                        <w:szCs w:val="28"/>
                                      </w:rPr>
                                    </w:pPr>
                                    <w:r w:rsidRPr="00294C5E">
                                      <w:rPr>
                                        <w:caps/>
                                        <w:color w:val="1F3864" w:themeColor="accent5" w:themeShade="80"/>
                                        <w:sz w:val="28"/>
                                        <w:szCs w:val="28"/>
                                      </w:rPr>
                                      <w:t>The Religious Evolution of The ancient Mediteranean goddesses.</w:t>
                                    </w:r>
                                  </w:p>
                                </w:sdtContent>
                              </w:sdt>
                              <w:p w:rsidR="00BD0DA3" w:rsidRDefault="00BD0DA3">
                                <w:pPr>
                                  <w:pStyle w:val="NoSpacing"/>
                                  <w:spacing w:before="80" w:after="40"/>
                                  <w:rPr>
                                    <w:caps/>
                                    <w:color w:val="4472C4" w:themeColor="accent5"/>
                                    <w:sz w:val="28"/>
                                    <w:szCs w:val="28"/>
                                  </w:rPr>
                                </w:pPr>
                                <w:r>
                                  <w:rPr>
                                    <w:caps/>
                                    <w:color w:val="4472C4" w:themeColor="accent5"/>
                                    <w:sz w:val="28"/>
                                    <w:szCs w:val="28"/>
                                  </w:rPr>
                                  <w:t>1401340</w:t>
                                </w:r>
                              </w:p>
                              <w:p w:rsidR="00BD0DA3" w:rsidRDefault="00BD0DA3">
                                <w:pPr>
                                  <w:pStyle w:val="NoSpacing"/>
                                  <w:spacing w:before="80" w:after="40"/>
                                  <w:rPr>
                                    <w:caps/>
                                    <w:color w:val="4472C4" w:themeColor="accent5"/>
                                    <w:sz w:val="28"/>
                                    <w:szCs w:val="28"/>
                                  </w:rPr>
                                </w:pPr>
                                <w:r>
                                  <w:rPr>
                                    <w:caps/>
                                    <w:color w:val="4472C4" w:themeColor="accent5"/>
                                    <w:sz w:val="28"/>
                                    <w:szCs w:val="28"/>
                                  </w:rPr>
                                  <w:t>UWTSD</w:t>
                                </w:r>
                              </w:p>
                              <w:p w:rsidR="00FC7AE1" w:rsidRPr="00294C5E" w:rsidRDefault="00FC7AE1">
                                <w:pPr>
                                  <w:pStyle w:val="NoSpacing"/>
                                  <w:spacing w:before="80" w:after="40"/>
                                  <w:rPr>
                                    <w:caps/>
                                    <w:color w:val="4472C4" w:themeColor="accent5"/>
                                    <w:sz w:val="28"/>
                                    <w:szCs w:val="28"/>
                                  </w:rPr>
                                </w:pPr>
                                <w:r>
                                  <w:rPr>
                                    <w:caps/>
                                    <w:color w:val="4472C4" w:themeColor="accent5"/>
                                    <w:sz w:val="28"/>
                                    <w:szCs w:val="28"/>
                                  </w:rPr>
                                  <w:t>14,460 words.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1" o:spid="_x0000_s1027" type="#_x0000_t202" style="position:absolute;margin-left:0;margin-top:432.9pt;width:481.55pt;height:201pt;z-index:251660288;visibility:visible;mso-wrap-style:square;mso-width-percent:0;mso-height-percent:0;mso-wrap-distance-left:14.4pt;mso-wrap-distance-top:0;mso-wrap-distance-right:14.4pt;mso-wrap-distance-bottom:0;mso-position-horizontal:left;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" filled="f" stroked="f" strokeweight=".5pt">
                    <v:textbox inset="0,0,0,0">
                      <w:txbxContent>
                        <w:p w:rsidR="00BD0DA3" w:rsidRPr="00294C5E" w:rsidRDefault="00BD0DA3">
                          <w:pPr>
                            <w:pStyle w:val="NoSpacing"/>
                            <w:spacing w:before="40" w:after="560" w:line="216" w:lineRule="auto"/>
                            <w:rPr>
                              <w:color w:val="5B9BD5" w:themeColor="accent1"/>
                              <w:sz w:val="56"/>
                              <w:szCs w:val="56"/>
                            </w:rPr>
                          </w:pPr>
                          <w:sdt>
                            <w:sdtPr>
                              <w:rPr>
                                <w:color w:val="5B9BD5"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94C5E">
                                <w:rPr>
                                  <w:color w:val="5B9BD5" w:themeColor="accent1"/>
                                  <w:sz w:val="56"/>
                                  <w:szCs w:val="56"/>
                                </w:rPr>
                                <w:t>Where has the Mother Goddess Gone?</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BD0DA3" w:rsidRPr="00294C5E" w:rsidRDefault="00BD0DA3">
                              <w:pPr>
                                <w:pStyle w:val="NoSpacing"/>
                                <w:spacing w:before="40" w:after="40"/>
                                <w:rPr>
                                  <w:caps/>
                                  <w:color w:val="1F3864" w:themeColor="accent5" w:themeShade="80"/>
                                  <w:sz w:val="28"/>
                                  <w:szCs w:val="28"/>
                                </w:rPr>
                              </w:pPr>
                              <w:r w:rsidRPr="00294C5E">
                                <w:rPr>
                                  <w:caps/>
                                  <w:color w:val="1F3864" w:themeColor="accent5" w:themeShade="80"/>
                                  <w:sz w:val="28"/>
                                  <w:szCs w:val="28"/>
                                </w:rPr>
                                <w:t>The Religious Evolution of The ancient Mediteranean goddesses.</w:t>
                              </w:r>
                            </w:p>
                          </w:sdtContent>
                        </w:sdt>
                        <w:p w:rsidR="00BD0DA3" w:rsidRDefault="00BD0DA3">
                          <w:pPr>
                            <w:pStyle w:val="NoSpacing"/>
                            <w:spacing w:before="80" w:after="40"/>
                            <w:rPr>
                              <w:caps/>
                              <w:color w:val="4472C4" w:themeColor="accent5"/>
                              <w:sz w:val="28"/>
                              <w:szCs w:val="28"/>
                            </w:rPr>
                          </w:pPr>
                          <w:r>
                            <w:rPr>
                              <w:caps/>
                              <w:color w:val="4472C4" w:themeColor="accent5"/>
                              <w:sz w:val="28"/>
                              <w:szCs w:val="28"/>
                            </w:rPr>
                            <w:t>1401340</w:t>
                          </w:r>
                        </w:p>
                        <w:p w:rsidR="00BD0DA3" w:rsidRDefault="00BD0DA3">
                          <w:pPr>
                            <w:pStyle w:val="NoSpacing"/>
                            <w:spacing w:before="80" w:after="40"/>
                            <w:rPr>
                              <w:caps/>
                              <w:color w:val="4472C4" w:themeColor="accent5"/>
                              <w:sz w:val="28"/>
                              <w:szCs w:val="28"/>
                            </w:rPr>
                          </w:pPr>
                          <w:r>
                            <w:rPr>
                              <w:caps/>
                              <w:color w:val="4472C4" w:themeColor="accent5"/>
                              <w:sz w:val="28"/>
                              <w:szCs w:val="28"/>
                            </w:rPr>
                            <w:t>UWTSD</w:t>
                          </w:r>
                        </w:p>
                        <w:p w:rsidR="00FC7AE1" w:rsidRPr="00294C5E" w:rsidRDefault="00FC7AE1">
                          <w:pPr>
                            <w:pStyle w:val="NoSpacing"/>
                            <w:spacing w:before="80" w:after="40"/>
                            <w:rPr>
                              <w:caps/>
                              <w:color w:val="4472C4" w:themeColor="accent5"/>
                              <w:sz w:val="28"/>
                              <w:szCs w:val="28"/>
                            </w:rPr>
                          </w:pPr>
                          <w:r>
                            <w:rPr>
                              <w:caps/>
                              <w:color w:val="4472C4" w:themeColor="accent5"/>
                              <w:sz w:val="28"/>
                              <w:szCs w:val="28"/>
                            </w:rPr>
                            <w:t>14,460 words.</w:t>
                          </w:r>
                        </w:p>
                      </w:txbxContent>
                    </v:textbox>
                    <w10:wrap type="square" anchorx="margin" anchory="page"/>
                  </v:shape>
                </w:pict>
              </mc:Fallback>
            </mc:AlternateContent>
          </w:r>
          <w:r w:rsidR="00582932">
            <w:rPr>
              <w:noProof/>
              <w:lang w:eastAsia="en-GB"/>
            </w:rPr>
            <mc:AlternateContent>
              <mc:Choice Requires="wps">
                <w:drawing>
                  <wp:anchor distT="0" distB="0" distL="114300" distR="114300" simplePos="0" relativeHeight="251662336" behindDoc="0" locked="0" layoutInCell="1" allowOverlap="1">
                    <wp:simplePos x="0" y="0"/>
                    <wp:positionH relativeFrom="column">
                      <wp:posOffset>1911927</wp:posOffset>
                    </wp:positionH>
                    <wp:positionV relativeFrom="paragraph">
                      <wp:posOffset>3787486</wp:posOffset>
                    </wp:positionV>
                    <wp:extent cx="2185060" cy="261258"/>
                    <wp:effectExtent l="0" t="0" r="5715" b="5715"/>
                    <wp:wrapNone/>
                    <wp:docPr id="31" name="Text Box 31"/>
                    <wp:cNvGraphicFramePr/>
                    <a:graphic xmlns:a="http://schemas.openxmlformats.org/drawingml/2006/main">
                      <a:graphicData uri="http://schemas.microsoft.com/office/word/2010/wordprocessingShape">
                        <wps:wsp>
                          <wps:cNvSpPr txBox="1"/>
                          <wps:spPr>
                            <a:xfrm>
                              <a:off x="0" y="0"/>
                              <a:ext cx="2185060" cy="26125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82932" w:rsidRDefault="00582932" w:rsidP="00582932">
                                <w:pPr>
                                  <w:jc w:val="center"/>
                                </w:pPr>
                                <w:r>
                                  <w:t xml:space="preserve">Figure 3: The Venus of </w:t>
                                </w:r>
                                <w:proofErr w:type="spellStart"/>
                                <w:r>
                                  <w:t>Willendorf</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28" type="#_x0000_t202" style="position:absolute;margin-left:150.55pt;margin-top:298.25pt;width:172.05pt;height:20.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" fillcolor="white [3201]" stroked="f" strokeweight=".5pt">
                    <v:textbox>
                      <w:txbxContent>
                        <w:p w:rsidR="00582932" w:rsidRDefault="00582932" w:rsidP="00582932">
                          <w:pPr>
                            <w:jc w:val="center"/>
                          </w:pPr>
                          <w:r>
                            <w:t xml:space="preserve">Figure 3: The Venus of </w:t>
                          </w:r>
                          <w:proofErr w:type="spellStart"/>
                          <w:r>
                            <w:t>Willendorf</w:t>
                          </w:r>
                          <w:proofErr w:type="spellEnd"/>
                        </w:p>
                      </w:txbxContent>
                    </v:textbox>
                  </v:shape>
                </w:pict>
              </mc:Fallback>
            </mc:AlternateContent>
          </w:r>
          <w:r w:rsidR="00294C5E">
            <w:rPr>
              <w:noProof/>
              <w:lang w:eastAsia="en-GB"/>
            </w:rPr>
            <mc:AlternateContent>
              <mc:Choice Requires="wps">
                <w:drawing>
                  <wp:anchor distT="0" distB="0" distL="114300" distR="114300" simplePos="0" relativeHeight="251661312" behindDoc="0" locked="0" layoutInCell="1" allowOverlap="1">
                    <wp:simplePos x="0" y="0"/>
                    <wp:positionH relativeFrom="column">
                      <wp:posOffset>1828799</wp:posOffset>
                    </wp:positionH>
                    <wp:positionV relativeFrom="paragraph">
                      <wp:posOffset>747402</wp:posOffset>
                    </wp:positionV>
                    <wp:extent cx="2375065" cy="3075709"/>
                    <wp:effectExtent l="0" t="0" r="6350" b="0"/>
                    <wp:wrapNone/>
                    <wp:docPr id="1" name="Text Box 1"/>
                    <wp:cNvGraphicFramePr/>
                    <a:graphic xmlns:a="http://schemas.openxmlformats.org/drawingml/2006/main">
                      <a:graphicData uri="http://schemas.microsoft.com/office/word/2010/wordprocessingShape">
                        <wps:wsp>
                          <wps:cNvSpPr txBox="1"/>
                          <wps:spPr>
                            <a:xfrm>
                              <a:off x="0" y="0"/>
                              <a:ext cx="2375065" cy="3075709"/>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BD0DA3" w:rsidRDefault="00BD0DA3">
                                <w:r w:rsidRPr="00294C5E">
                                  <w:rPr>
                                    <w:noProof/>
                                    <w:lang w:eastAsia="en-GB"/>
                                  </w:rPr>
                                  <w:drawing>
                                    <wp:inline distT="0" distB="0" distL="0" distR="0">
                                      <wp:extent cx="2193303" cy="29569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1607" cy="296815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29" type="#_x0000_t202" style="position:absolute;margin-left:2in;margin-top:58.85pt;width:187pt;height:242.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" fillcolor="white [3201]" stroked="f" strokeweight=".5pt">
                    <v:textbox>
                      <w:txbxContent>
                        <w:p w:rsidR="00BD0DA3" w:rsidRDefault="00BD0DA3">
                          <w:r w:rsidRPr="00294C5E">
                            <w:drawing>
                              <wp:inline distT="0" distB="0" distL="0" distR="0">
                                <wp:extent cx="2193303" cy="29569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1607" cy="2968150"/>
                                        </a:xfrm>
                                        <a:prstGeom prst="rect">
                                          <a:avLst/>
                                        </a:prstGeom>
                                        <a:noFill/>
                                        <a:ln>
                                          <a:noFill/>
                                        </a:ln>
                                      </pic:spPr>
                                    </pic:pic>
                                  </a:graphicData>
                                </a:graphic>
                              </wp:inline>
                            </w:drawing>
                          </w:r>
                        </w:p>
                      </w:txbxContent>
                    </v:textbox>
                  </v:shape>
                </w:pict>
              </mc:Fallback>
            </mc:AlternateContent>
          </w:r>
          <w:r w:rsidR="004B7AF2">
            <w:br w:type="page"/>
          </w:r>
        </w:p>
      </w:sdtContent>
    </w:sdt>
    <w:p w:rsidR="00AB3FBA" w:rsidRDefault="002242A6" w:rsidP="001D41F3">
      <w:pPr>
        <w:spacing w:line="480" w:lineRule="auto"/>
        <w:rPr>
          <w:sz w:val="24"/>
          <w:szCs w:val="24"/>
          <w:u w:val="single"/>
        </w:rPr>
      </w:pPr>
      <w:r w:rsidRPr="002242A6">
        <w:rPr>
          <w:sz w:val="24"/>
          <w:szCs w:val="24"/>
          <w:u w:val="single"/>
        </w:rPr>
        <w:lastRenderedPageBreak/>
        <w:t xml:space="preserve">Contents page </w:t>
      </w:r>
    </w:p>
    <w:p w:rsidR="0051322E" w:rsidRPr="00F81C8C" w:rsidRDefault="009738FE" w:rsidP="001D41F3">
      <w:pPr>
        <w:spacing w:line="480" w:lineRule="auto"/>
      </w:pPr>
      <w:r w:rsidRPr="00F81C8C">
        <w:t>Abstract……………………………………………………………………………………………………………</w:t>
      </w:r>
      <w:r w:rsidR="00F81C8C">
        <w:t>……………</w:t>
      </w:r>
      <w:bookmarkStart w:id="0" w:name="_GoBack"/>
      <w:bookmarkEnd w:id="0"/>
      <w:r w:rsidRPr="00F81C8C">
        <w:t>………………</w:t>
      </w:r>
      <w:r w:rsidR="00D173E3" w:rsidRPr="00F81C8C">
        <w:t>..</w:t>
      </w:r>
      <w:r w:rsidRPr="00F81C8C">
        <w:t>…</w:t>
      </w:r>
      <w:r w:rsidR="0051322E" w:rsidRPr="00F81C8C">
        <w:t>2</w:t>
      </w:r>
    </w:p>
    <w:p w:rsidR="002242A6" w:rsidRPr="00F81C8C" w:rsidRDefault="002242A6" w:rsidP="001D41F3">
      <w:pPr>
        <w:spacing w:line="480" w:lineRule="auto"/>
      </w:pPr>
      <w:r w:rsidRPr="00F81C8C">
        <w:t>Figures List………………………………………………………………………………………………………</w:t>
      </w:r>
      <w:r w:rsidR="00F81C8C">
        <w:t>……………</w:t>
      </w:r>
      <w:r w:rsidRPr="00F81C8C">
        <w:t>…………………</w:t>
      </w:r>
      <w:r w:rsidR="00D173E3" w:rsidRPr="00F81C8C">
        <w:t>..</w:t>
      </w:r>
      <w:r w:rsidRPr="00F81C8C">
        <w:t>.</w:t>
      </w:r>
      <w:r w:rsidR="00D173E3" w:rsidRPr="00F81C8C">
        <w:t>4</w:t>
      </w:r>
    </w:p>
    <w:p w:rsidR="002242A6" w:rsidRPr="00F81C8C" w:rsidRDefault="002242A6" w:rsidP="001D41F3">
      <w:pPr>
        <w:spacing w:line="480" w:lineRule="auto"/>
      </w:pPr>
      <w:r w:rsidRPr="00F81C8C">
        <w:t>Introduction ………………………………………………………………………………………………………………………………………</w:t>
      </w:r>
      <w:r w:rsidR="00D173E3" w:rsidRPr="00F81C8C">
        <w:t>6</w:t>
      </w:r>
    </w:p>
    <w:p w:rsidR="002242A6" w:rsidRPr="00F81C8C" w:rsidRDefault="002242A6" w:rsidP="001D41F3">
      <w:pPr>
        <w:spacing w:line="480" w:lineRule="auto"/>
      </w:pPr>
      <w:r w:rsidRPr="00F81C8C">
        <w:t>Defining the ‘Mother Goddess’………………………………………………………………………………………………………</w:t>
      </w:r>
      <w:r w:rsidR="00F81C8C">
        <w:t>…</w:t>
      </w:r>
      <w:r w:rsidR="00D173E3" w:rsidRPr="00F81C8C">
        <w:t>.9</w:t>
      </w:r>
    </w:p>
    <w:p w:rsidR="002242A6" w:rsidRPr="00F81C8C" w:rsidRDefault="002242A6" w:rsidP="001D41F3">
      <w:pPr>
        <w:spacing w:line="480" w:lineRule="auto"/>
      </w:pPr>
      <w:r w:rsidRPr="00F81C8C">
        <w:t>Discussion………………………………………………………………………………………………………………………………………</w:t>
      </w:r>
      <w:r w:rsidR="00D173E3" w:rsidRPr="00F81C8C">
        <w:t>..17</w:t>
      </w:r>
    </w:p>
    <w:p w:rsidR="002242A6" w:rsidRPr="00F81C8C" w:rsidRDefault="002242A6" w:rsidP="001D41F3">
      <w:pPr>
        <w:spacing w:line="480" w:lineRule="auto"/>
      </w:pPr>
      <w:r w:rsidRPr="00F81C8C">
        <w:t>Conclusion………………………………………………………………………………………………………………………………………</w:t>
      </w:r>
      <w:r w:rsidR="00D173E3" w:rsidRPr="00F81C8C">
        <w:t>.48</w:t>
      </w:r>
    </w:p>
    <w:p w:rsidR="002242A6" w:rsidRPr="00F81C8C" w:rsidRDefault="002242A6" w:rsidP="001D41F3">
      <w:pPr>
        <w:spacing w:line="480" w:lineRule="auto"/>
      </w:pPr>
      <w:r w:rsidRPr="00F81C8C">
        <w:t xml:space="preserve">Referencing </w:t>
      </w:r>
      <w:r w:rsidR="00E62330" w:rsidRPr="00F81C8C">
        <w:t>L</w:t>
      </w:r>
      <w:r w:rsidRPr="00F81C8C">
        <w:t>ist</w:t>
      </w:r>
      <w:proofErr w:type="gramStart"/>
      <w:r w:rsidRPr="00F81C8C">
        <w:t>……………………………………………………………………………………………………………………</w:t>
      </w:r>
      <w:r w:rsidR="00DA5B10" w:rsidRPr="00F81C8C">
        <w:t>..</w:t>
      </w:r>
      <w:r w:rsidRPr="00F81C8C">
        <w:t>………</w:t>
      </w:r>
      <w:proofErr w:type="gramEnd"/>
      <w:r w:rsidR="00D173E3" w:rsidRPr="00F81C8C">
        <w:t>..53</w:t>
      </w:r>
    </w:p>
    <w:p w:rsidR="002242A6" w:rsidRDefault="002242A6" w:rsidP="001D41F3">
      <w:pPr>
        <w:spacing w:line="480" w:lineRule="auto"/>
      </w:pPr>
    </w:p>
    <w:p w:rsidR="002242A6" w:rsidRDefault="002242A6" w:rsidP="001D41F3">
      <w:pPr>
        <w:spacing w:line="480" w:lineRule="auto"/>
      </w:pPr>
    </w:p>
    <w:p w:rsidR="002242A6" w:rsidRDefault="002242A6" w:rsidP="001D41F3">
      <w:pPr>
        <w:spacing w:line="480" w:lineRule="auto"/>
      </w:pPr>
    </w:p>
    <w:p w:rsidR="002242A6" w:rsidRDefault="002242A6" w:rsidP="001D41F3">
      <w:pPr>
        <w:spacing w:line="480" w:lineRule="auto"/>
      </w:pPr>
    </w:p>
    <w:p w:rsidR="002242A6" w:rsidRDefault="002242A6" w:rsidP="001D41F3">
      <w:pPr>
        <w:spacing w:line="480" w:lineRule="auto"/>
      </w:pPr>
    </w:p>
    <w:p w:rsidR="002242A6" w:rsidRDefault="002242A6" w:rsidP="001D41F3">
      <w:pPr>
        <w:spacing w:line="480" w:lineRule="auto"/>
      </w:pPr>
    </w:p>
    <w:p w:rsidR="002242A6" w:rsidRDefault="002242A6" w:rsidP="001D41F3">
      <w:pPr>
        <w:spacing w:line="480" w:lineRule="auto"/>
      </w:pPr>
    </w:p>
    <w:p w:rsidR="002242A6" w:rsidRDefault="002242A6" w:rsidP="001D41F3">
      <w:pPr>
        <w:spacing w:line="480" w:lineRule="auto"/>
      </w:pPr>
    </w:p>
    <w:p w:rsidR="002242A6" w:rsidRDefault="002242A6" w:rsidP="001D41F3">
      <w:pPr>
        <w:spacing w:line="480" w:lineRule="auto"/>
      </w:pPr>
    </w:p>
    <w:p w:rsidR="002242A6" w:rsidRDefault="002242A6" w:rsidP="001D41F3">
      <w:pPr>
        <w:spacing w:line="480" w:lineRule="auto"/>
      </w:pPr>
    </w:p>
    <w:p w:rsidR="002242A6" w:rsidRDefault="002242A6" w:rsidP="001D41F3">
      <w:pPr>
        <w:spacing w:line="480" w:lineRule="auto"/>
      </w:pPr>
    </w:p>
    <w:p w:rsidR="001D41F3" w:rsidRDefault="001D41F3" w:rsidP="001D41F3">
      <w:pPr>
        <w:spacing w:line="480" w:lineRule="auto"/>
      </w:pPr>
    </w:p>
    <w:p w:rsidR="009738FE" w:rsidRPr="009738FE" w:rsidRDefault="009738FE" w:rsidP="001D41F3">
      <w:pPr>
        <w:spacing w:line="480" w:lineRule="auto"/>
        <w:rPr>
          <w:sz w:val="24"/>
          <w:szCs w:val="24"/>
          <w:u w:val="single"/>
        </w:rPr>
      </w:pPr>
      <w:r w:rsidRPr="009738FE">
        <w:rPr>
          <w:sz w:val="24"/>
          <w:szCs w:val="24"/>
          <w:u w:val="single"/>
        </w:rPr>
        <w:lastRenderedPageBreak/>
        <w:t xml:space="preserve">Abstract </w:t>
      </w:r>
    </w:p>
    <w:p w:rsidR="009738FE" w:rsidRDefault="009738FE" w:rsidP="001D41F3">
      <w:pPr>
        <w:spacing w:line="480" w:lineRule="auto"/>
        <w:jc w:val="both"/>
      </w:pPr>
      <w:r>
        <w:t>Figurines during the Palaeolithic and Neolithic era often depicted plump women with pendulous swollen</w:t>
      </w:r>
      <w:r w:rsidR="006C6CFB">
        <w:t xml:space="preserve"> breasts</w:t>
      </w:r>
      <w:r>
        <w:t>, possibly pregnant stomachs, and rounded buttocks. Originally these figurines were linked together by early feminist archaeologists, thought to have been a part of one large universal cult, whom worship</w:t>
      </w:r>
      <w:r w:rsidR="006C6CFB">
        <w:t>ped a singular goddess. This was</w:t>
      </w:r>
      <w:r>
        <w:t xml:space="preserve"> later criticised as a feminist argument and many </w:t>
      </w:r>
      <w:r w:rsidR="006C6CFB">
        <w:t>flaws in the original theory were</w:t>
      </w:r>
      <w:r>
        <w:t xml:space="preserve"> pointed out; but, looking back at this we see that many of these so called flaws may be explained away very easily. The one problem that was not able to be explained was the questionable links between the Palaeolithic European and Neolithic Anatolian/Levantine figurines. Because of this the Palaeolithic figurines have been somewhat floating in the archaeological record with little context attached to them, often being shunted aside and not spoken of. The purpose of this research is to look into the possible links between the figurines, establish their purpose and hopefully place the Palaeolithic figurines into context. The research looks into Palaeolithic religious theory alongside gender and religion theory and Hodder</w:t>
      </w:r>
      <w:r w:rsidR="006C6CFB">
        <w:t>’</w:t>
      </w:r>
      <w:r>
        <w:t xml:space="preserve">s </w:t>
      </w:r>
      <w:r w:rsidR="006C6CFB">
        <w:t>‘</w:t>
      </w:r>
      <w:r>
        <w:t>things and human entanglement</w:t>
      </w:r>
      <w:r w:rsidR="006C6CFB">
        <w:t>’</w:t>
      </w:r>
      <w:r>
        <w:t>, to help establish whether or not it is possible that these figurines may have been ritualistic or religious objects. This is then repeated with the Neolithic figurines. By then looking into the trade and DNA links between Europe, Anatolia, and the Levant it is possible to see the connections between the cultures</w:t>
      </w:r>
      <w:r w:rsidR="006C6CFB">
        <w:t>,</w:t>
      </w:r>
      <w:r>
        <w:t xml:space="preserve"> suggesting the spread of ideas between them may have been entirely possible. Wilson created a theory in </w:t>
      </w:r>
      <w:r w:rsidR="006C6CFB">
        <w:t>2002 that</w:t>
      </w:r>
      <w:r>
        <w:t xml:space="preserve"> is able to describe, understand, a</w:t>
      </w:r>
      <w:r w:rsidR="006C6CFB">
        <w:t>nd give evidence for the change</w:t>
      </w:r>
      <w:r>
        <w:t xml:space="preserve"> of evolution of religions throughout history. If applied to the evidence leading from the Palaeolithic through to the Greco-Roman era, links may be seen connecting many cultures and their religions revolving around women and fertility, suggesting that the original theory was not wrong. However, each culture has adapted and assimilated religious ideas to their own cultures and pantheons, creating new goddesses in their own right, something in which Wilson discusses in his religious evolution theory. It appears that the spread of religious ideas revolving around a goddess of fertility appear in the Palaeolithic</w:t>
      </w:r>
      <w:r w:rsidR="006C6CFB">
        <w:t>,</w:t>
      </w:r>
      <w:r>
        <w:t xml:space="preserve"> and adapted and spread and change</w:t>
      </w:r>
      <w:r w:rsidR="006C6CFB">
        <w:t>d to suit each culture that had</w:t>
      </w:r>
      <w:r>
        <w:t xml:space="preserve"> adopted these goddesses, causing many </w:t>
      </w:r>
      <w:r>
        <w:lastRenderedPageBreak/>
        <w:t xml:space="preserve">links between motifs and myths in the later Bronze Age and then Greco-Roman era. </w:t>
      </w:r>
      <w:r w:rsidR="006C6CFB">
        <w:t xml:space="preserve">This suggests </w:t>
      </w:r>
      <w:r>
        <w:t xml:space="preserve">that the original ‘universal mother goddess’ theory wasn’t completely wrong, just missing information. </w:t>
      </w:r>
    </w:p>
    <w:p w:rsidR="009738FE" w:rsidRDefault="009738FE" w:rsidP="001D41F3">
      <w:pPr>
        <w:spacing w:line="480" w:lineRule="auto"/>
      </w:pPr>
    </w:p>
    <w:p w:rsidR="009738FE" w:rsidRDefault="009738FE" w:rsidP="001D41F3">
      <w:pPr>
        <w:spacing w:line="480" w:lineRule="auto"/>
      </w:pPr>
    </w:p>
    <w:p w:rsidR="009738FE" w:rsidRDefault="009738FE" w:rsidP="001D41F3">
      <w:pPr>
        <w:spacing w:line="480" w:lineRule="auto"/>
      </w:pPr>
    </w:p>
    <w:p w:rsidR="009738FE" w:rsidRDefault="009738FE" w:rsidP="001D41F3">
      <w:pPr>
        <w:spacing w:line="480" w:lineRule="auto"/>
      </w:pPr>
    </w:p>
    <w:p w:rsidR="009738FE" w:rsidRDefault="009738FE" w:rsidP="001D41F3">
      <w:pPr>
        <w:spacing w:line="480" w:lineRule="auto"/>
      </w:pPr>
    </w:p>
    <w:p w:rsidR="009738FE" w:rsidRDefault="009738FE" w:rsidP="001D41F3">
      <w:pPr>
        <w:spacing w:line="480" w:lineRule="auto"/>
      </w:pPr>
    </w:p>
    <w:p w:rsidR="009738FE" w:rsidRDefault="009738FE" w:rsidP="001D41F3">
      <w:pPr>
        <w:spacing w:line="480" w:lineRule="auto"/>
      </w:pPr>
    </w:p>
    <w:p w:rsidR="009738FE" w:rsidRDefault="009738FE" w:rsidP="001D41F3">
      <w:pPr>
        <w:spacing w:line="480" w:lineRule="auto"/>
      </w:pPr>
    </w:p>
    <w:p w:rsidR="009738FE" w:rsidRDefault="009738FE" w:rsidP="001D41F3">
      <w:pPr>
        <w:spacing w:line="480" w:lineRule="auto"/>
      </w:pPr>
    </w:p>
    <w:p w:rsidR="009738FE" w:rsidRDefault="009738FE" w:rsidP="001D41F3">
      <w:pPr>
        <w:spacing w:line="480" w:lineRule="auto"/>
      </w:pPr>
    </w:p>
    <w:p w:rsidR="009738FE" w:rsidRDefault="009738FE" w:rsidP="001D41F3">
      <w:pPr>
        <w:spacing w:line="480" w:lineRule="auto"/>
      </w:pPr>
    </w:p>
    <w:p w:rsidR="009738FE" w:rsidRDefault="009738FE" w:rsidP="001D41F3">
      <w:pPr>
        <w:spacing w:line="480" w:lineRule="auto"/>
      </w:pPr>
    </w:p>
    <w:p w:rsidR="009738FE" w:rsidRDefault="009738FE" w:rsidP="001D41F3">
      <w:pPr>
        <w:spacing w:line="480" w:lineRule="auto"/>
        <w:jc w:val="both"/>
      </w:pPr>
    </w:p>
    <w:p w:rsidR="001D41F3" w:rsidRDefault="001D41F3" w:rsidP="001D41F3">
      <w:pPr>
        <w:spacing w:line="480" w:lineRule="auto"/>
        <w:jc w:val="both"/>
        <w:rPr>
          <w:sz w:val="24"/>
          <w:szCs w:val="24"/>
          <w:u w:val="single"/>
        </w:rPr>
      </w:pPr>
    </w:p>
    <w:p w:rsidR="001D41F3" w:rsidRDefault="001D41F3" w:rsidP="001D41F3">
      <w:pPr>
        <w:spacing w:line="480" w:lineRule="auto"/>
        <w:jc w:val="both"/>
        <w:rPr>
          <w:sz w:val="24"/>
          <w:szCs w:val="24"/>
          <w:u w:val="single"/>
        </w:rPr>
      </w:pPr>
    </w:p>
    <w:p w:rsidR="001D41F3" w:rsidRDefault="001D41F3" w:rsidP="001D41F3">
      <w:pPr>
        <w:spacing w:line="480" w:lineRule="auto"/>
        <w:jc w:val="both"/>
        <w:rPr>
          <w:sz w:val="24"/>
          <w:szCs w:val="24"/>
          <w:u w:val="single"/>
        </w:rPr>
      </w:pPr>
    </w:p>
    <w:p w:rsidR="001D41F3" w:rsidRDefault="001D41F3" w:rsidP="001D41F3">
      <w:pPr>
        <w:spacing w:line="480" w:lineRule="auto"/>
        <w:jc w:val="both"/>
        <w:rPr>
          <w:sz w:val="24"/>
          <w:szCs w:val="24"/>
          <w:u w:val="single"/>
        </w:rPr>
      </w:pPr>
    </w:p>
    <w:p w:rsidR="001D41F3" w:rsidRDefault="001D41F3" w:rsidP="001D41F3">
      <w:pPr>
        <w:spacing w:line="480" w:lineRule="auto"/>
        <w:jc w:val="both"/>
        <w:rPr>
          <w:sz w:val="24"/>
          <w:szCs w:val="24"/>
          <w:u w:val="single"/>
        </w:rPr>
      </w:pPr>
    </w:p>
    <w:p w:rsidR="0051322E" w:rsidRDefault="0051322E" w:rsidP="001D41F3">
      <w:pPr>
        <w:spacing w:line="480" w:lineRule="auto"/>
        <w:jc w:val="both"/>
        <w:rPr>
          <w:sz w:val="24"/>
          <w:szCs w:val="24"/>
          <w:u w:val="single"/>
        </w:rPr>
      </w:pPr>
      <w:r>
        <w:rPr>
          <w:sz w:val="24"/>
          <w:szCs w:val="24"/>
          <w:u w:val="single"/>
        </w:rPr>
        <w:lastRenderedPageBreak/>
        <w:t>Figures List</w:t>
      </w:r>
    </w:p>
    <w:p w:rsidR="0051322E" w:rsidRDefault="0051322E" w:rsidP="001D41F3">
      <w:pPr>
        <w:spacing w:line="480" w:lineRule="auto"/>
        <w:jc w:val="both"/>
      </w:pPr>
      <w:r>
        <w:t xml:space="preserve">Figure </w:t>
      </w:r>
      <w:r w:rsidR="00DA5B10">
        <w:t>1:</w:t>
      </w:r>
      <w:r w:rsidR="00B82A3F">
        <w:t xml:space="preserve"> The </w:t>
      </w:r>
      <w:proofErr w:type="spellStart"/>
      <w:r w:rsidR="00B82A3F">
        <w:t>Berekhat</w:t>
      </w:r>
      <w:proofErr w:type="spellEnd"/>
      <w:r w:rsidR="00B82A3F">
        <w:t xml:space="preserve"> Ram Figurine, </w:t>
      </w:r>
      <w:proofErr w:type="spellStart"/>
      <w:r w:rsidR="00B82A3F" w:rsidRPr="00B82A3F">
        <w:t>Sztulman</w:t>
      </w:r>
      <w:proofErr w:type="spellEnd"/>
      <w:r w:rsidR="00B82A3F">
        <w:t>, I., 2018, Jerusalem: Israel Museum.</w:t>
      </w:r>
    </w:p>
    <w:p w:rsidR="0051322E" w:rsidRPr="0051322E" w:rsidRDefault="0051322E" w:rsidP="0051322E">
      <w:pPr>
        <w:spacing w:line="480" w:lineRule="auto"/>
        <w:jc w:val="both"/>
      </w:pPr>
      <w:r>
        <w:t xml:space="preserve">Figure </w:t>
      </w:r>
      <w:r w:rsidR="00DA5B10">
        <w:t>2:</w:t>
      </w:r>
      <w:r w:rsidR="00B82A3F">
        <w:t xml:space="preserve"> The Venus of </w:t>
      </w:r>
      <w:proofErr w:type="spellStart"/>
      <w:r w:rsidR="00B82A3F">
        <w:t>Tantan</w:t>
      </w:r>
      <w:proofErr w:type="spellEnd"/>
      <w:r w:rsidR="00BD0DA3">
        <w:t>, Bednarik, R.G., 2003.</w:t>
      </w:r>
    </w:p>
    <w:p w:rsidR="0051322E" w:rsidRPr="0051322E" w:rsidRDefault="0051322E" w:rsidP="0051322E">
      <w:pPr>
        <w:spacing w:line="480" w:lineRule="auto"/>
        <w:jc w:val="both"/>
      </w:pPr>
      <w:r>
        <w:t xml:space="preserve">Figure </w:t>
      </w:r>
      <w:r w:rsidR="00DA5B10">
        <w:t>3:</w:t>
      </w:r>
      <w:r w:rsidR="00BD0DA3">
        <w:t xml:space="preserve"> The Venus of </w:t>
      </w:r>
      <w:proofErr w:type="spellStart"/>
      <w:r w:rsidR="00BD0DA3">
        <w:t>Willendorf</w:t>
      </w:r>
      <w:proofErr w:type="spellEnd"/>
      <w:r w:rsidR="00BD0DA3">
        <w:t xml:space="preserve">, </w:t>
      </w:r>
      <w:proofErr w:type="spellStart"/>
      <w:r w:rsidR="00BD0DA3">
        <w:t>Urbanek</w:t>
      </w:r>
      <w:proofErr w:type="spellEnd"/>
      <w:r w:rsidR="00BD0DA3">
        <w:t xml:space="preserve">, M. 1998, Vienna. </w:t>
      </w:r>
    </w:p>
    <w:p w:rsidR="0051322E" w:rsidRPr="0051322E" w:rsidRDefault="0051322E" w:rsidP="0051322E">
      <w:pPr>
        <w:spacing w:line="480" w:lineRule="auto"/>
        <w:jc w:val="both"/>
      </w:pPr>
      <w:r>
        <w:t xml:space="preserve">Figure </w:t>
      </w:r>
      <w:r w:rsidR="00DA5B10">
        <w:t>4:</w:t>
      </w:r>
      <w:r w:rsidR="00BD0DA3">
        <w:t xml:space="preserve"> The Venus of </w:t>
      </w:r>
      <w:proofErr w:type="spellStart"/>
      <w:r w:rsidR="00BD0DA3">
        <w:t>Laussel</w:t>
      </w:r>
      <w:proofErr w:type="spellEnd"/>
      <w:r w:rsidR="00BD0DA3">
        <w:t>,</w:t>
      </w:r>
      <w:r w:rsidR="00E56181">
        <w:t xml:space="preserve"> City Hall of Bordeaux. </w:t>
      </w:r>
    </w:p>
    <w:p w:rsidR="0051322E" w:rsidRPr="0051322E" w:rsidRDefault="0051322E" w:rsidP="0051322E">
      <w:pPr>
        <w:spacing w:line="480" w:lineRule="auto"/>
        <w:jc w:val="both"/>
      </w:pPr>
      <w:r>
        <w:t xml:space="preserve">Figure </w:t>
      </w:r>
      <w:r w:rsidR="00DA5B10">
        <w:t>5:</w:t>
      </w:r>
      <w:r w:rsidR="00BD0DA3">
        <w:t xml:space="preserve"> The Venus of </w:t>
      </w:r>
      <w:proofErr w:type="spellStart"/>
      <w:r w:rsidR="00BD0DA3">
        <w:t>Kostenky</w:t>
      </w:r>
      <w:proofErr w:type="spellEnd"/>
      <w:r w:rsidR="00BD0DA3">
        <w:t xml:space="preserve">. </w:t>
      </w:r>
      <w:r w:rsidR="00E56181">
        <w:t xml:space="preserve">The State Hermitage Museum. </w:t>
      </w:r>
      <w:r w:rsidR="007C2887">
        <w:t>2018. The Hermitage .</w:t>
      </w:r>
      <w:proofErr w:type="spellStart"/>
      <w:r w:rsidR="00E56181">
        <w:t>useum</w:t>
      </w:r>
      <w:proofErr w:type="spellEnd"/>
      <w:r w:rsidR="00E56181">
        <w:t xml:space="preserve">. </w:t>
      </w:r>
    </w:p>
    <w:p w:rsidR="0051322E" w:rsidRPr="0051322E" w:rsidRDefault="0051322E" w:rsidP="0051322E">
      <w:pPr>
        <w:spacing w:line="480" w:lineRule="auto"/>
        <w:jc w:val="both"/>
      </w:pPr>
      <w:r>
        <w:t xml:space="preserve">Figure </w:t>
      </w:r>
      <w:r w:rsidR="00DA5B10">
        <w:t>6:</w:t>
      </w:r>
      <w:r w:rsidR="007C2887">
        <w:t xml:space="preserve"> The Venus of </w:t>
      </w:r>
      <w:proofErr w:type="spellStart"/>
      <w:r w:rsidR="007C2887">
        <w:t>Lespunge</w:t>
      </w:r>
      <w:proofErr w:type="spellEnd"/>
      <w:r w:rsidR="007C2887">
        <w:t xml:space="preserve">.  THE MUSÉE DE L’HOMME. 2003. </w:t>
      </w:r>
      <w:r w:rsidR="007C2887" w:rsidRPr="007C2887">
        <w:t>THE MUSÉE DE L’HOMME:</w:t>
      </w:r>
    </w:p>
    <w:p w:rsidR="0051322E" w:rsidRPr="0051322E" w:rsidRDefault="0051322E" w:rsidP="0051322E">
      <w:pPr>
        <w:spacing w:line="480" w:lineRule="auto"/>
        <w:jc w:val="both"/>
      </w:pPr>
      <w:r>
        <w:t xml:space="preserve">Figure </w:t>
      </w:r>
      <w:r w:rsidR="00DA5B10">
        <w:t>7:</w:t>
      </w:r>
      <w:r w:rsidR="007C2887">
        <w:t xml:space="preserve"> Two Headed Statue at Ain Ghazal. Amin, O.S.M. 2018. Jordan. </w:t>
      </w:r>
    </w:p>
    <w:p w:rsidR="009D4704" w:rsidRPr="0051322E" w:rsidRDefault="0051322E" w:rsidP="009D4704">
      <w:pPr>
        <w:spacing w:line="480" w:lineRule="auto"/>
        <w:jc w:val="both"/>
      </w:pPr>
      <w:r>
        <w:t xml:space="preserve">Figure </w:t>
      </w:r>
      <w:r w:rsidR="00DA5B10">
        <w:t>8:</w:t>
      </w:r>
      <w:r w:rsidR="004F7868">
        <w:t xml:space="preserve"> </w:t>
      </w:r>
      <w:proofErr w:type="spellStart"/>
      <w:r w:rsidR="004F7868">
        <w:t>Catalhoyuk</w:t>
      </w:r>
      <w:proofErr w:type="spellEnd"/>
      <w:r w:rsidR="004F7868">
        <w:t xml:space="preserve"> Double Goddess Figurine. </w:t>
      </w:r>
      <w:proofErr w:type="spellStart"/>
      <w:r w:rsidR="009D4704">
        <w:t>Mellart</w:t>
      </w:r>
      <w:proofErr w:type="spellEnd"/>
      <w:r w:rsidR="009D4704">
        <w:t xml:space="preserve">, J. 1963. </w:t>
      </w:r>
      <w:proofErr w:type="spellStart"/>
      <w:r w:rsidR="009D4704">
        <w:t>Catal</w:t>
      </w:r>
      <w:proofErr w:type="spellEnd"/>
      <w:r w:rsidR="009D4704">
        <w:t xml:space="preserve"> </w:t>
      </w:r>
      <w:proofErr w:type="spellStart"/>
      <w:r w:rsidR="009D4704">
        <w:t>Hoyuk</w:t>
      </w:r>
      <w:proofErr w:type="spellEnd"/>
      <w:r w:rsidR="009D4704">
        <w:t>.</w:t>
      </w:r>
    </w:p>
    <w:p w:rsidR="009D4704" w:rsidRDefault="0051322E" w:rsidP="0051322E">
      <w:pPr>
        <w:spacing w:line="480" w:lineRule="auto"/>
        <w:jc w:val="both"/>
      </w:pPr>
      <w:r>
        <w:t xml:space="preserve">Figure </w:t>
      </w:r>
      <w:r w:rsidR="00DA5B10">
        <w:t>9:</w:t>
      </w:r>
      <w:r w:rsidR="004F7868">
        <w:t xml:space="preserve"> Malta’s Twin Goddess. </w:t>
      </w:r>
      <w:r w:rsidR="009D4704">
        <w:t>Google Images.</w:t>
      </w:r>
    </w:p>
    <w:p w:rsidR="0051322E" w:rsidRPr="0051322E" w:rsidRDefault="0051322E" w:rsidP="0051322E">
      <w:pPr>
        <w:spacing w:line="480" w:lineRule="auto"/>
        <w:jc w:val="both"/>
      </w:pPr>
      <w:r>
        <w:t xml:space="preserve">Figure </w:t>
      </w:r>
      <w:r w:rsidR="009D4704">
        <w:t xml:space="preserve">10: Seated female figurine from </w:t>
      </w:r>
      <w:proofErr w:type="spellStart"/>
      <w:r w:rsidR="009D4704">
        <w:t>Catalhoyuk</w:t>
      </w:r>
      <w:proofErr w:type="spellEnd"/>
      <w:r w:rsidR="009D4704">
        <w:t xml:space="preserve">. </w:t>
      </w:r>
      <w:proofErr w:type="spellStart"/>
      <w:r w:rsidR="009D4704">
        <w:t>Mellart</w:t>
      </w:r>
      <w:proofErr w:type="spellEnd"/>
      <w:r w:rsidR="009D4704">
        <w:t xml:space="preserve">, J. 1963. </w:t>
      </w:r>
      <w:proofErr w:type="spellStart"/>
      <w:r w:rsidR="009D4704">
        <w:t>Catal</w:t>
      </w:r>
      <w:proofErr w:type="spellEnd"/>
      <w:r w:rsidR="009D4704">
        <w:t xml:space="preserve"> </w:t>
      </w:r>
      <w:proofErr w:type="spellStart"/>
      <w:r w:rsidR="009D4704">
        <w:t>Hoyuk</w:t>
      </w:r>
      <w:proofErr w:type="spellEnd"/>
      <w:r w:rsidR="009D4704">
        <w:t>.</w:t>
      </w:r>
    </w:p>
    <w:p w:rsidR="0051322E" w:rsidRPr="0051322E" w:rsidRDefault="0051322E" w:rsidP="0051322E">
      <w:pPr>
        <w:spacing w:line="480" w:lineRule="auto"/>
        <w:jc w:val="both"/>
      </w:pPr>
      <w:r>
        <w:t xml:space="preserve">Figure </w:t>
      </w:r>
      <w:r w:rsidR="00DA5B10">
        <w:t>11:</w:t>
      </w:r>
      <w:r w:rsidR="009D4704">
        <w:t xml:space="preserve"> </w:t>
      </w:r>
      <w:proofErr w:type="spellStart"/>
      <w:r w:rsidR="009D4704">
        <w:t>Paschou</w:t>
      </w:r>
      <w:proofErr w:type="spellEnd"/>
      <w:r w:rsidR="009D4704">
        <w:t xml:space="preserve"> et al Genetic map showing the DNA connections in the Mediterranean. </w:t>
      </w:r>
      <w:proofErr w:type="spellStart"/>
      <w:r w:rsidR="009D4704">
        <w:t>Paschou</w:t>
      </w:r>
      <w:proofErr w:type="spellEnd"/>
      <w:r w:rsidR="009D4704">
        <w:t xml:space="preserve"> et al. </w:t>
      </w:r>
      <w:r w:rsidR="009D5675">
        <w:t xml:space="preserve">2014. </w:t>
      </w:r>
    </w:p>
    <w:p w:rsidR="0051322E" w:rsidRPr="0051322E" w:rsidRDefault="0051322E" w:rsidP="0051322E">
      <w:pPr>
        <w:spacing w:line="480" w:lineRule="auto"/>
        <w:jc w:val="both"/>
      </w:pPr>
      <w:r>
        <w:t xml:space="preserve">Figure </w:t>
      </w:r>
      <w:r w:rsidR="00DA5B10">
        <w:t>12:</w:t>
      </w:r>
      <w:r w:rsidR="009D5675">
        <w:t xml:space="preserve"> Standing mother figurine </w:t>
      </w:r>
      <w:proofErr w:type="spellStart"/>
      <w:r w:rsidR="009D5675">
        <w:t>Catalhoyuk</w:t>
      </w:r>
      <w:proofErr w:type="spellEnd"/>
      <w:r w:rsidR="009D5675">
        <w:t xml:space="preserve">. </w:t>
      </w:r>
      <w:proofErr w:type="spellStart"/>
      <w:r w:rsidR="009D5675">
        <w:t>Kark</w:t>
      </w:r>
      <w:proofErr w:type="spellEnd"/>
      <w:r w:rsidR="009D5675">
        <w:t xml:space="preserve">. 2016. </w:t>
      </w:r>
    </w:p>
    <w:p w:rsidR="0051322E" w:rsidRPr="0051322E" w:rsidRDefault="0051322E" w:rsidP="0051322E">
      <w:pPr>
        <w:spacing w:line="480" w:lineRule="auto"/>
        <w:jc w:val="both"/>
      </w:pPr>
      <w:r>
        <w:t xml:space="preserve">Figure </w:t>
      </w:r>
      <w:r w:rsidR="00DA5B10">
        <w:t>13:</w:t>
      </w:r>
      <w:r w:rsidR="009D5675">
        <w:t xml:space="preserve"> </w:t>
      </w:r>
      <w:proofErr w:type="spellStart"/>
      <w:r w:rsidR="009D5675">
        <w:t>Hacilar</w:t>
      </w:r>
      <w:proofErr w:type="spellEnd"/>
      <w:r w:rsidR="009D5675">
        <w:t xml:space="preserve"> Shrine. </w:t>
      </w:r>
      <w:proofErr w:type="spellStart"/>
      <w:r w:rsidR="009D5675">
        <w:t>Mellart</w:t>
      </w:r>
      <w:proofErr w:type="spellEnd"/>
      <w:r w:rsidR="009D5675">
        <w:t xml:space="preserve">, J. 1960. </w:t>
      </w:r>
      <w:proofErr w:type="spellStart"/>
      <w:r w:rsidR="009D5675">
        <w:t>Hacilar</w:t>
      </w:r>
      <w:proofErr w:type="spellEnd"/>
      <w:r w:rsidR="009D5675">
        <w:t>.</w:t>
      </w:r>
    </w:p>
    <w:p w:rsidR="0051322E" w:rsidRPr="0051322E" w:rsidRDefault="0051322E" w:rsidP="0051322E">
      <w:pPr>
        <w:spacing w:line="480" w:lineRule="auto"/>
        <w:jc w:val="both"/>
      </w:pPr>
      <w:r>
        <w:t xml:space="preserve">Figure </w:t>
      </w:r>
      <w:r w:rsidR="00DA5B10">
        <w:t>14:</w:t>
      </w:r>
      <w:r w:rsidR="009D5675">
        <w:t xml:space="preserve"> </w:t>
      </w:r>
      <w:proofErr w:type="spellStart"/>
      <w:r w:rsidR="009D5675">
        <w:t>Hacilar</w:t>
      </w:r>
      <w:proofErr w:type="spellEnd"/>
      <w:r w:rsidR="009D5675">
        <w:t xml:space="preserve"> Painted Figurine.</w:t>
      </w:r>
      <w:r w:rsidR="00A26918">
        <w:t xml:space="preserve"> </w:t>
      </w:r>
      <w:proofErr w:type="spellStart"/>
      <w:r w:rsidR="00A26918">
        <w:t>Mellart</w:t>
      </w:r>
      <w:proofErr w:type="spellEnd"/>
      <w:r w:rsidR="00A26918">
        <w:t xml:space="preserve">, J. 1960. </w:t>
      </w:r>
      <w:proofErr w:type="spellStart"/>
      <w:r w:rsidR="00A26918">
        <w:t>Hacilar</w:t>
      </w:r>
      <w:proofErr w:type="spellEnd"/>
      <w:r w:rsidR="00A26918">
        <w:t>.</w:t>
      </w:r>
    </w:p>
    <w:p w:rsidR="0051322E" w:rsidRPr="0051322E" w:rsidRDefault="0051322E" w:rsidP="0051322E">
      <w:pPr>
        <w:spacing w:line="480" w:lineRule="auto"/>
        <w:jc w:val="both"/>
      </w:pPr>
      <w:r>
        <w:t xml:space="preserve">Figure </w:t>
      </w:r>
      <w:r w:rsidR="00DA5B10">
        <w:t>15:</w:t>
      </w:r>
      <w:r w:rsidR="009D5675">
        <w:t xml:space="preserve"> </w:t>
      </w:r>
      <w:proofErr w:type="spellStart"/>
      <w:r w:rsidR="009D5675">
        <w:t>Hacuilar</w:t>
      </w:r>
      <w:proofErr w:type="spellEnd"/>
      <w:r w:rsidR="009D5675">
        <w:t xml:space="preserve"> Pottery. </w:t>
      </w:r>
      <w:proofErr w:type="spellStart"/>
      <w:r w:rsidR="00A26918">
        <w:t>Mellart</w:t>
      </w:r>
      <w:proofErr w:type="spellEnd"/>
      <w:r w:rsidR="00A26918">
        <w:t xml:space="preserve">, J. 1960. </w:t>
      </w:r>
      <w:proofErr w:type="spellStart"/>
      <w:r w:rsidR="00A26918">
        <w:t>Hacilar</w:t>
      </w:r>
      <w:proofErr w:type="spellEnd"/>
      <w:r w:rsidR="00A26918">
        <w:t>.</w:t>
      </w:r>
    </w:p>
    <w:p w:rsidR="0051322E" w:rsidRPr="0051322E" w:rsidRDefault="0051322E" w:rsidP="0051322E">
      <w:pPr>
        <w:spacing w:line="480" w:lineRule="auto"/>
        <w:jc w:val="both"/>
      </w:pPr>
      <w:r>
        <w:t xml:space="preserve">Figure </w:t>
      </w:r>
      <w:r w:rsidR="00DA5B10">
        <w:t>16:</w:t>
      </w:r>
      <w:r w:rsidR="00A26918">
        <w:t xml:space="preserve"> Standing </w:t>
      </w:r>
      <w:proofErr w:type="spellStart"/>
      <w:r w:rsidR="00A26918">
        <w:t>Hacilar</w:t>
      </w:r>
      <w:proofErr w:type="spellEnd"/>
      <w:r w:rsidR="00A26918">
        <w:t xml:space="preserve"> Mother Figurine Holding a Leopard Cub. </w:t>
      </w:r>
      <w:proofErr w:type="spellStart"/>
      <w:r w:rsidR="00A26918">
        <w:t>Mellart</w:t>
      </w:r>
      <w:proofErr w:type="spellEnd"/>
      <w:r w:rsidR="00A26918">
        <w:t xml:space="preserve">, J. 1961. </w:t>
      </w:r>
      <w:proofErr w:type="spellStart"/>
      <w:r w:rsidR="00A26918">
        <w:t>Hacilar</w:t>
      </w:r>
      <w:proofErr w:type="spellEnd"/>
      <w:r w:rsidR="00A26918">
        <w:t>.</w:t>
      </w:r>
    </w:p>
    <w:p w:rsidR="0051322E" w:rsidRPr="0051322E" w:rsidRDefault="0051322E" w:rsidP="0051322E">
      <w:pPr>
        <w:spacing w:line="480" w:lineRule="auto"/>
        <w:jc w:val="both"/>
      </w:pPr>
      <w:r>
        <w:t xml:space="preserve">Figure </w:t>
      </w:r>
      <w:r w:rsidR="00DA5B10">
        <w:t>17:</w:t>
      </w:r>
      <w:r w:rsidR="00A26918">
        <w:t xml:space="preserve"> Older Mistress of Animals. </w:t>
      </w:r>
      <w:proofErr w:type="spellStart"/>
      <w:r w:rsidR="00A26918">
        <w:t>Mellart</w:t>
      </w:r>
      <w:proofErr w:type="spellEnd"/>
      <w:r w:rsidR="00A26918">
        <w:t xml:space="preserve">, J. 1961. </w:t>
      </w:r>
      <w:proofErr w:type="spellStart"/>
      <w:r w:rsidR="00A26918">
        <w:t>Hacilar</w:t>
      </w:r>
      <w:proofErr w:type="spellEnd"/>
      <w:r w:rsidR="00A26918">
        <w:t>.</w:t>
      </w:r>
    </w:p>
    <w:p w:rsidR="0051322E" w:rsidRPr="0051322E" w:rsidRDefault="0051322E" w:rsidP="0051322E">
      <w:pPr>
        <w:spacing w:line="480" w:lineRule="auto"/>
        <w:jc w:val="both"/>
      </w:pPr>
      <w:r>
        <w:t xml:space="preserve">Figure </w:t>
      </w:r>
      <w:r w:rsidR="00DA5B10">
        <w:t>18:</w:t>
      </w:r>
      <w:r w:rsidR="00A26918">
        <w:t xml:space="preserve"> Young Mistress of Animals. </w:t>
      </w:r>
      <w:proofErr w:type="spellStart"/>
      <w:r w:rsidR="00A26918">
        <w:t>Mellart</w:t>
      </w:r>
      <w:proofErr w:type="spellEnd"/>
      <w:r w:rsidR="00A26918">
        <w:t xml:space="preserve">, J. 1961. </w:t>
      </w:r>
      <w:proofErr w:type="spellStart"/>
      <w:r w:rsidR="00A26918">
        <w:t>Hacilar</w:t>
      </w:r>
      <w:proofErr w:type="spellEnd"/>
      <w:r w:rsidR="00A26918">
        <w:t>.</w:t>
      </w:r>
    </w:p>
    <w:p w:rsidR="0051322E" w:rsidRPr="0051322E" w:rsidRDefault="0051322E" w:rsidP="0051322E">
      <w:pPr>
        <w:spacing w:line="480" w:lineRule="auto"/>
        <w:jc w:val="both"/>
      </w:pPr>
      <w:r>
        <w:lastRenderedPageBreak/>
        <w:t xml:space="preserve">Figure </w:t>
      </w:r>
      <w:r w:rsidR="00DA5B10">
        <w:t>19:</w:t>
      </w:r>
      <w:r w:rsidR="00A26918">
        <w:t xml:space="preserve"> Hittite Funerary Stele. </w:t>
      </w:r>
      <w:proofErr w:type="spellStart"/>
      <w:r w:rsidR="00A26918">
        <w:t>Bilgin</w:t>
      </w:r>
      <w:proofErr w:type="spellEnd"/>
      <w:r w:rsidR="00A26918">
        <w:t xml:space="preserve">, B. 2006. </w:t>
      </w:r>
      <w:proofErr w:type="spellStart"/>
      <w:r w:rsidR="00A26918" w:rsidRPr="00A26918">
        <w:t>Kahramanmaraş</w:t>
      </w:r>
      <w:proofErr w:type="spellEnd"/>
      <w:r w:rsidR="00A26918">
        <w:t xml:space="preserve">. </w:t>
      </w:r>
    </w:p>
    <w:p w:rsidR="0051322E" w:rsidRPr="0051322E" w:rsidRDefault="0051322E" w:rsidP="0051322E">
      <w:pPr>
        <w:spacing w:line="480" w:lineRule="auto"/>
        <w:jc w:val="both"/>
      </w:pPr>
      <w:r>
        <w:t xml:space="preserve">Figure </w:t>
      </w:r>
      <w:r w:rsidR="00DA5B10">
        <w:t>20:</w:t>
      </w:r>
      <w:r w:rsidR="00290AE6">
        <w:t xml:space="preserve"> Sumerian horned goddess Inanna. </w:t>
      </w:r>
      <w:proofErr w:type="spellStart"/>
      <w:r w:rsidR="00290AE6">
        <w:t>Wolkstein</w:t>
      </w:r>
      <w:proofErr w:type="spellEnd"/>
      <w:r w:rsidR="00290AE6">
        <w:t>, D. &amp; Kramer, S.N. 1983.</w:t>
      </w:r>
    </w:p>
    <w:p w:rsidR="0051322E" w:rsidRPr="0051322E" w:rsidRDefault="0051322E" w:rsidP="0051322E">
      <w:pPr>
        <w:spacing w:line="480" w:lineRule="auto"/>
        <w:jc w:val="both"/>
      </w:pPr>
      <w:r>
        <w:t xml:space="preserve">Figure </w:t>
      </w:r>
      <w:r w:rsidR="00DA5B10">
        <w:t>21:</w:t>
      </w:r>
      <w:r w:rsidR="0073604E">
        <w:t xml:space="preserve"> Burney Relief. 2007. The British Museum. </w:t>
      </w:r>
    </w:p>
    <w:p w:rsidR="0051322E" w:rsidRPr="0051322E" w:rsidRDefault="0051322E" w:rsidP="0051322E">
      <w:pPr>
        <w:spacing w:line="480" w:lineRule="auto"/>
        <w:jc w:val="both"/>
      </w:pPr>
      <w:r>
        <w:t xml:space="preserve">Figure </w:t>
      </w:r>
      <w:r w:rsidR="00DA5B10">
        <w:t>22:</w:t>
      </w:r>
      <w:r w:rsidR="0073604E">
        <w:t xml:space="preserve"> Egyptian Goddess Sekhmet. </w:t>
      </w:r>
      <w:r w:rsidR="0073604E" w:rsidRPr="0073604E">
        <w:t>Lewandowski</w:t>
      </w:r>
      <w:r w:rsidR="0073604E">
        <w:t xml:space="preserve">, H. The Louvre. </w:t>
      </w:r>
    </w:p>
    <w:p w:rsidR="0051322E" w:rsidRPr="0051322E" w:rsidRDefault="0051322E" w:rsidP="0051322E">
      <w:pPr>
        <w:spacing w:line="480" w:lineRule="auto"/>
        <w:jc w:val="both"/>
      </w:pPr>
      <w:r>
        <w:t xml:space="preserve">Figure </w:t>
      </w:r>
      <w:r w:rsidR="00DA5B10">
        <w:t>23:</w:t>
      </w:r>
      <w:r w:rsidR="0073604E">
        <w:t xml:space="preserve"> Roman Goddess Magna Mater. </w:t>
      </w:r>
      <w:proofErr w:type="spellStart"/>
      <w:r w:rsidR="0073604E">
        <w:t>Theoi</w:t>
      </w:r>
      <w:proofErr w:type="spellEnd"/>
      <w:r w:rsidR="0073604E">
        <w:t>.</w:t>
      </w:r>
      <w:r w:rsidR="0081638D">
        <w:t xml:space="preserve"> 201</w:t>
      </w:r>
      <w:r w:rsidR="0073604E">
        <w:t>7. Rome.</w:t>
      </w: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51322E" w:rsidRDefault="0051322E" w:rsidP="001D41F3">
      <w:pPr>
        <w:spacing w:line="480" w:lineRule="auto"/>
        <w:jc w:val="both"/>
      </w:pPr>
    </w:p>
    <w:p w:rsidR="002242A6" w:rsidRPr="002242A6" w:rsidRDefault="002242A6" w:rsidP="001D41F3">
      <w:pPr>
        <w:spacing w:line="480" w:lineRule="auto"/>
        <w:jc w:val="both"/>
        <w:rPr>
          <w:sz w:val="24"/>
          <w:szCs w:val="24"/>
          <w:u w:val="single"/>
        </w:rPr>
      </w:pPr>
      <w:r w:rsidRPr="002242A6">
        <w:rPr>
          <w:sz w:val="24"/>
          <w:szCs w:val="24"/>
          <w:u w:val="single"/>
        </w:rPr>
        <w:lastRenderedPageBreak/>
        <w:t>Introduction</w:t>
      </w:r>
    </w:p>
    <w:p w:rsidR="002242A6" w:rsidRDefault="002242A6" w:rsidP="001D41F3">
      <w:pPr>
        <w:spacing w:line="480" w:lineRule="auto"/>
        <w:jc w:val="both"/>
      </w:pPr>
      <w:r>
        <w:t>The Palaeolithic era is both a fascinating and alluding period in human history. It holds the expansion of our species out of Africa and across the world (</w:t>
      </w:r>
      <w:proofErr w:type="spellStart"/>
      <w:r>
        <w:t>Sankararaman</w:t>
      </w:r>
      <w:proofErr w:type="spellEnd"/>
      <w:r>
        <w:t>, et al 2014: 1-5), our meetings with other hominid species (Fu et al 2015: 1), the emergence of art (</w:t>
      </w:r>
      <w:proofErr w:type="spellStart"/>
      <w:r>
        <w:t>Zilhao</w:t>
      </w:r>
      <w:proofErr w:type="spellEnd"/>
      <w:r>
        <w:t xml:space="preserve"> 2007: 1-3), and the discovery of our unbelievably adaptable nature (</w:t>
      </w:r>
      <w:proofErr w:type="spellStart"/>
      <w:r>
        <w:t>Sankararaman</w:t>
      </w:r>
      <w:proofErr w:type="spellEnd"/>
      <w:r>
        <w:t xml:space="preserve"> et a</w:t>
      </w:r>
      <w:r w:rsidR="00610AE1">
        <w:t>l 2014: 1-5). Despite being a pinna</w:t>
      </w:r>
      <w:r>
        <w:t>cle point in human history not much archaeological evidence does remain (</w:t>
      </w:r>
      <w:proofErr w:type="spellStart"/>
      <w:r>
        <w:t>Narr</w:t>
      </w:r>
      <w:proofErr w:type="spellEnd"/>
      <w:r w:rsidR="00610AE1">
        <w:t xml:space="preserve"> 2005: 6948), but, </w:t>
      </w:r>
      <w:r>
        <w:t xml:space="preserve">what is left to us does showcase our great skill and accomplishments as a species. Art and religion have coincided throughout </w:t>
      </w:r>
      <w:r w:rsidR="00610AE1">
        <w:t>human history (Weiss 1963), but</w:t>
      </w:r>
      <w:r>
        <w:t xml:space="preserve"> due to lack of archaeological material as well as no written language, the Palaeolithic religions, if any existed, remain a mystery (</w:t>
      </w:r>
      <w:proofErr w:type="spellStart"/>
      <w:r>
        <w:t>Narr</w:t>
      </w:r>
      <w:proofErr w:type="spellEnd"/>
      <w:r>
        <w:t xml:space="preserve"> 2005: 6948). What does survive of the material </w:t>
      </w:r>
      <w:r w:rsidR="00610AE1">
        <w:t>culture of the Palaeolithic era</w:t>
      </w:r>
      <w:r>
        <w:t xml:space="preserve"> often reflects depictions of animals and women (</w:t>
      </w:r>
      <w:proofErr w:type="spellStart"/>
      <w:r>
        <w:t>Narr</w:t>
      </w:r>
      <w:proofErr w:type="spellEnd"/>
      <w:r>
        <w:t xml:space="preserve"> 2005: 6949). Some of the most beautiful artworks of the Palaeolithic are female figurines illustrating plump women with low pendulous breasts, bowed heads, and protruding buttocks, a motif that appears to hold true into the Neolithic era (Figures 3-17). One well known theory connected to these figurines is known as “The Universal Mother Goddess Theory</w:t>
      </w:r>
      <w:r w:rsidR="00610AE1">
        <w:t>,</w:t>
      </w:r>
      <w:r>
        <w:t>” an idea that was coined during the second wave of western feminism (James 1959) (Fleming 1969) (Barstow 1978) (</w:t>
      </w:r>
      <w:proofErr w:type="spellStart"/>
      <w:r>
        <w:t>Gimbu</w:t>
      </w:r>
      <w:r w:rsidR="00610AE1">
        <w:t>tas</w:t>
      </w:r>
      <w:proofErr w:type="spellEnd"/>
      <w:r w:rsidR="00610AE1">
        <w:t xml:space="preserve"> 1974).  The theory has</w:t>
      </w:r>
      <w:r>
        <w:t xml:space="preserve"> been debated, perpetuated by authors such as Jean Emanuel in her clan of the cave bear series, and then undermined by more recent scholars as an over reaching feminist argument (</w:t>
      </w:r>
      <w:proofErr w:type="spellStart"/>
      <w:r>
        <w:t>Lesure</w:t>
      </w:r>
      <w:proofErr w:type="spellEnd"/>
      <w:r>
        <w:t xml:space="preserve"> 2002) (</w:t>
      </w:r>
      <w:proofErr w:type="spellStart"/>
      <w:r>
        <w:t>Lassen</w:t>
      </w:r>
      <w:proofErr w:type="spellEnd"/>
      <w:r>
        <w:t xml:space="preserve"> 2011). But, since its debunking, the figurines attached to it have since been left with no context to their relevance within the Palaeolithic era. This research intends to look into the debate surrounding these figurines and their ‘dubious’ links to history, in which has conte</w:t>
      </w:r>
      <w:r w:rsidR="00610AE1">
        <w:t xml:space="preserve">xtual written sources, in hope </w:t>
      </w:r>
      <w:r>
        <w:t xml:space="preserve">to place the original figurines in context. </w:t>
      </w:r>
    </w:p>
    <w:p w:rsidR="002242A6" w:rsidRDefault="002242A6" w:rsidP="001D41F3">
      <w:pPr>
        <w:spacing w:line="480" w:lineRule="auto"/>
        <w:jc w:val="both"/>
      </w:pPr>
      <w:r>
        <w:t>Many criticisms of the goddess theory emerged after it was initially popularly received. Origina</w:t>
      </w:r>
      <w:r w:rsidR="00610AE1">
        <w:t>lly the theory was accepted, and</w:t>
      </w:r>
      <w:r>
        <w:t xml:space="preserve"> </w:t>
      </w:r>
      <w:r w:rsidR="00610AE1">
        <w:t xml:space="preserve">the </w:t>
      </w:r>
      <w:r>
        <w:t>critique of scholars such as Fleming (Fleming 1969) were ignored by the new empowered female writers. Fleming argued that many so called mother goddess figurines may not be female, or even</w:t>
      </w:r>
      <w:r w:rsidR="00610AE1">
        <w:t xml:space="preserve"> human in some cases, but he</w:t>
      </w:r>
      <w:r>
        <w:t xml:space="preserve"> used evidence that was highly questionable unlike </w:t>
      </w:r>
      <w:r>
        <w:lastRenderedPageBreak/>
        <w:t>the original figurines that were used for the theory (Fleming 1969: 249-252). During the 1990’s new critique</w:t>
      </w:r>
      <w:r w:rsidR="00610AE1">
        <w:t>s</w:t>
      </w:r>
      <w:r>
        <w:t xml:space="preserve"> started to emerge as the theory was looked at again in a new light, scholar</w:t>
      </w:r>
      <w:r w:rsidR="00610AE1">
        <w:t>s</w:t>
      </w:r>
      <w:r>
        <w:t xml:space="preserve"> such as </w:t>
      </w:r>
      <w:proofErr w:type="spellStart"/>
      <w:r>
        <w:t>Lesure</w:t>
      </w:r>
      <w:proofErr w:type="spellEnd"/>
      <w:r>
        <w:t xml:space="preserve"> argued that none of the figurines studied have explanations as to why they were even considered female (</w:t>
      </w:r>
      <w:proofErr w:type="spellStart"/>
      <w:r>
        <w:t>Lesure</w:t>
      </w:r>
      <w:proofErr w:type="spellEnd"/>
      <w:r>
        <w:t xml:space="preserve"> 200</w:t>
      </w:r>
      <w:r w:rsidR="00610AE1">
        <w:t>2: 595). Original criticism was</w:t>
      </w:r>
      <w:r>
        <w:t xml:space="preserve"> looked into and a serious flaw was pointed out showing the dubious links between cultures and time periods. The heavy criticism from scholars pointed out the problems with the original ‘Universal mother goddess cult’ theory and pocked holes in the possible linkable evidence represented by scholars such as James and </w:t>
      </w:r>
      <w:proofErr w:type="spellStart"/>
      <w:r>
        <w:t>Gimbutas</w:t>
      </w:r>
      <w:proofErr w:type="spellEnd"/>
      <w:r>
        <w:t xml:space="preserve"> (James 1959) (</w:t>
      </w:r>
      <w:proofErr w:type="spellStart"/>
      <w:r>
        <w:t>Gimbutas</w:t>
      </w:r>
      <w:proofErr w:type="spellEnd"/>
      <w:r>
        <w:t xml:space="preserve"> 1989). The original scholars of the theory have since been somewhat discredited for their ideas, but the criticisms that led to this have rather foggy evidence themselves and can be and has been reasonably argued against. Nevertheless this does not suggest an alternative theory for these figurines.</w:t>
      </w:r>
    </w:p>
    <w:p w:rsidR="002242A6" w:rsidRDefault="002242A6" w:rsidP="001D41F3">
      <w:pPr>
        <w:spacing w:line="480" w:lineRule="auto"/>
        <w:jc w:val="both"/>
      </w:pPr>
      <w:r>
        <w:t>The re</w:t>
      </w:r>
      <w:r w:rsidR="00610AE1">
        <w:t>-</w:t>
      </w:r>
      <w:r>
        <w:t>occurring motif originating in the Palaeolithic figurines may be traced to other depictive forms such as reliefs (Figure 4), funerary stele (Figure 18), and potentially cult statues (Figure 22). Yet the mother goddess theory has been criticized as unbelievable due to the idea of one singular deity being worshiped by multiple cultures (James 1959). Admittedly this does sound overreaching, as every culture has its own attitude ascribed to each object as well as its own way of worship (</w:t>
      </w:r>
      <w:proofErr w:type="spellStart"/>
      <w:r>
        <w:t>Lesure</w:t>
      </w:r>
      <w:proofErr w:type="spellEnd"/>
      <w:r>
        <w:t xml:space="preserve"> 2002: 595). But, adoption of religion is possible and can be seen in modern history, which is much better documented (Wilson 2002). For example the spread of Christianity in Latin America during the Spanish colonisation (Gonzales 2008), or the Adoption of the ancient Egyptian cult of Isis by the Romans during the early empire (</w:t>
      </w:r>
      <w:proofErr w:type="spellStart"/>
      <w:r>
        <w:t>Heyob</w:t>
      </w:r>
      <w:proofErr w:type="spellEnd"/>
      <w:r>
        <w:t xml:space="preserve"> 1975). Wilson observed that religion changes and adapts depending on what culture it belongs to, and that contact between two cultures often lead</w:t>
      </w:r>
      <w:r w:rsidR="00610AE1">
        <w:t>s</w:t>
      </w:r>
      <w:r>
        <w:t xml:space="preserve"> to the spread of religious ideas (Wilson 2002: 44). By applying this theory to the evidence surrounding the so called cult of the mother goddess, connections between goddesses may be seen. However, one of the biggest concerns is the ability to distinguish what may be considered a ritualistic object as well as how to decipher between Palaeolithic and the Neolithic everyday objects and way of life and the ritualistic side.  Theories developed by </w:t>
      </w:r>
      <w:proofErr w:type="spellStart"/>
      <w:r>
        <w:t>Narr</w:t>
      </w:r>
      <w:proofErr w:type="spellEnd"/>
      <w:r>
        <w:t xml:space="preserve"> (</w:t>
      </w:r>
      <w:proofErr w:type="spellStart"/>
      <w:r>
        <w:t>Narr</w:t>
      </w:r>
      <w:proofErr w:type="spellEnd"/>
      <w:r>
        <w:t xml:space="preserve"> 2005) and </w:t>
      </w:r>
      <w:proofErr w:type="spellStart"/>
      <w:r>
        <w:t>Srejovic</w:t>
      </w:r>
      <w:proofErr w:type="spellEnd"/>
      <w:r>
        <w:t xml:space="preserve"> (</w:t>
      </w:r>
      <w:proofErr w:type="spellStart"/>
      <w:r>
        <w:t>Srejovic</w:t>
      </w:r>
      <w:proofErr w:type="spellEnd"/>
      <w:r>
        <w:t xml:space="preserve"> 2005) can be used to establish ritualistic </w:t>
      </w:r>
      <w:r>
        <w:lastRenderedPageBreak/>
        <w:t>objects and activity during these eras, by comparisons of art work and burials, often helping to establish what may be perceived as possible supernatural phenomena (</w:t>
      </w:r>
      <w:proofErr w:type="spellStart"/>
      <w:r>
        <w:t>Narr</w:t>
      </w:r>
      <w:proofErr w:type="spellEnd"/>
      <w:r>
        <w:t xml:space="preserve"> 2005: 6949). Another t</w:t>
      </w:r>
      <w:r w:rsidR="00610AE1">
        <w:t>heory is used regarding g</w:t>
      </w:r>
      <w:r>
        <w:t xml:space="preserve">ender and religion is also used to help establish the ideas behind fertility and religion without disregarding or degrading women’s role within religion (Sawyer 2005). The Bronze Age religions need far less theory surrounding them due to literary sources that appear in this time period. Trade networks, myths, and religious activities are explained </w:t>
      </w:r>
      <w:r w:rsidR="00610AE1">
        <w:t>and written down alongside their</w:t>
      </w:r>
      <w:r>
        <w:t xml:space="preserve"> corresponding archaeological evidence giving a much clearer picture than earlier in human history (</w:t>
      </w:r>
      <w:proofErr w:type="spellStart"/>
      <w:r>
        <w:t>Barjamovic</w:t>
      </w:r>
      <w:proofErr w:type="spellEnd"/>
      <w:r>
        <w:t xml:space="preserve"> et al 2017: 2-3).  </w:t>
      </w:r>
    </w:p>
    <w:p w:rsidR="002242A6" w:rsidRDefault="002242A6" w:rsidP="001D41F3">
      <w:pPr>
        <w:spacing w:line="480" w:lineRule="auto"/>
        <w:jc w:val="both"/>
      </w:pPr>
      <w:r>
        <w:t>This research intends to firstly delve into the criticisms of the original universal cult of the mother goddess theory, in order to further understand the holes and problems within it. It then intends to adopt theories surrounding gender and religion (Sawyer 2005), Palaeolithic (</w:t>
      </w:r>
      <w:proofErr w:type="spellStart"/>
      <w:r>
        <w:t>Narr</w:t>
      </w:r>
      <w:proofErr w:type="spellEnd"/>
      <w:r>
        <w:t xml:space="preserve"> 2005) and Neolithic religion (</w:t>
      </w:r>
      <w:proofErr w:type="spellStart"/>
      <w:r>
        <w:t>Srejovic</w:t>
      </w:r>
      <w:proofErr w:type="spellEnd"/>
      <w:r>
        <w:t xml:space="preserve"> 2005), and the evolution of religions (Wilson 2002) and apply them to the evidence in</w:t>
      </w:r>
      <w:r w:rsidR="00B35346">
        <w:t xml:space="preserve"> an</w:t>
      </w:r>
      <w:r>
        <w:t xml:space="preserve"> attempt to understand a possible reason for this shared motif. The religion of the ‘mother goddess’ is not expected to stay the same throughout time nor in each culture that it may possibly appear in, but rather changed and adapted with each cultures adoption of particular traits of the previous cultures religion, assimilating the deity to fit into their current pantheon (Wilson 2002: 44). The research intends to look closely into the links of the Palaeolithic and Neolithic mother figurines by looking the archaeological context surrounding it</w:t>
      </w:r>
      <w:r w:rsidR="00B35346">
        <w:t>,</w:t>
      </w:r>
      <w:r>
        <w:t xml:space="preserve"> such as the huge obsidian trade that spanned the Mediterranean during this time period (</w:t>
      </w:r>
      <w:proofErr w:type="spellStart"/>
      <w:r>
        <w:t>Gratuze</w:t>
      </w:r>
      <w:proofErr w:type="spellEnd"/>
      <w:r>
        <w:t xml:space="preserve"> 1999). It hopes to situate the Palaeolithic figurines and further understand the reasons behind their creation and links with one another.</w:t>
      </w:r>
    </w:p>
    <w:p w:rsidR="002242A6" w:rsidRDefault="002242A6" w:rsidP="001D41F3">
      <w:pPr>
        <w:spacing w:line="480" w:lineRule="auto"/>
        <w:jc w:val="both"/>
      </w:pPr>
    </w:p>
    <w:p w:rsidR="002242A6" w:rsidRDefault="002242A6" w:rsidP="001D41F3">
      <w:pPr>
        <w:spacing w:line="480" w:lineRule="auto"/>
        <w:jc w:val="both"/>
      </w:pPr>
    </w:p>
    <w:p w:rsidR="001D41F3" w:rsidRDefault="001D41F3" w:rsidP="001D41F3">
      <w:pPr>
        <w:spacing w:line="480" w:lineRule="auto"/>
        <w:jc w:val="both"/>
      </w:pPr>
    </w:p>
    <w:p w:rsidR="008A0EC6" w:rsidRDefault="008A0EC6" w:rsidP="001D41F3">
      <w:pPr>
        <w:spacing w:line="480" w:lineRule="auto"/>
        <w:jc w:val="both"/>
        <w:rPr>
          <w:sz w:val="24"/>
          <w:szCs w:val="24"/>
          <w:u w:val="single"/>
        </w:rPr>
      </w:pPr>
    </w:p>
    <w:p w:rsidR="002242A6" w:rsidRPr="002242A6" w:rsidRDefault="002242A6" w:rsidP="001D41F3">
      <w:pPr>
        <w:spacing w:line="480" w:lineRule="auto"/>
        <w:jc w:val="both"/>
        <w:rPr>
          <w:sz w:val="24"/>
          <w:szCs w:val="24"/>
          <w:u w:val="single"/>
        </w:rPr>
      </w:pPr>
      <w:r w:rsidRPr="002242A6">
        <w:rPr>
          <w:sz w:val="24"/>
          <w:szCs w:val="24"/>
          <w:u w:val="single"/>
        </w:rPr>
        <w:lastRenderedPageBreak/>
        <w:t xml:space="preserve">Defining ‘Mother Goddess’ </w:t>
      </w:r>
    </w:p>
    <w:p w:rsidR="002242A6" w:rsidRDefault="002242A6" w:rsidP="001D41F3">
      <w:pPr>
        <w:spacing w:line="480" w:lineRule="auto"/>
        <w:jc w:val="both"/>
      </w:pPr>
      <w:r>
        <w:t>Many female figurines with exaggerated breasts, stomachs, buttocks, and thighs have been found throughout the Mediterra</w:t>
      </w:r>
      <w:r w:rsidR="008A0EC6">
        <w:t>nean and Near East (James 1959). T</w:t>
      </w:r>
      <w:r>
        <w:t>hese figurines are often dubbed Venus figurines and given the name of the place in which they were found; the majority of these date to the Upper Palaeolithic (McDermott 1996: 227) and Neolithic eras (</w:t>
      </w:r>
      <w:proofErr w:type="spellStart"/>
      <w:r>
        <w:t>Lesure</w:t>
      </w:r>
      <w:proofErr w:type="spellEnd"/>
      <w:r>
        <w:t xml:space="preserve"> 2002: 588). During the second wave of feminism in the late 1950’s through to the 1970’s these figurines that had been appearing within the archaeological record were examined (James 1959) (Fleming 1969) (Barstow 1978) (</w:t>
      </w:r>
      <w:proofErr w:type="spellStart"/>
      <w:r>
        <w:t>Gimbutas</w:t>
      </w:r>
      <w:proofErr w:type="spellEnd"/>
      <w:r>
        <w:t xml:space="preserve"> 1974). A theory was proposed that these figurines represented early ideas and depictions of deities within human societies dubbing it ‘The universal Mother Goddess cult’ (James 1959: 11). Since those decades the idea of this universal cult has been visited time and time again by </w:t>
      </w:r>
      <w:r w:rsidR="008A0EC6">
        <w:t xml:space="preserve">a variety of different scholars: </w:t>
      </w:r>
      <w:proofErr w:type="spellStart"/>
      <w:r w:rsidR="008A0EC6">
        <w:t>Gimbutas</w:t>
      </w:r>
      <w:proofErr w:type="spellEnd"/>
      <w:r w:rsidR="008A0EC6">
        <w:t>,</w:t>
      </w:r>
      <w:r>
        <w:t xml:space="preserve"> who</w:t>
      </w:r>
      <w:r w:rsidR="008A0EC6">
        <w:t xml:space="preserve">m is possibly one of the most </w:t>
      </w:r>
      <w:r>
        <w:t>famous scholars within the subject (</w:t>
      </w:r>
      <w:proofErr w:type="spellStart"/>
      <w:r>
        <w:t>Gimbutas</w:t>
      </w:r>
      <w:proofErr w:type="spellEnd"/>
      <w:r>
        <w:t xml:space="preserve"> 1974) (</w:t>
      </w:r>
      <w:proofErr w:type="spellStart"/>
      <w:r>
        <w:t>Gimbutas</w:t>
      </w:r>
      <w:proofErr w:type="spellEnd"/>
      <w:r>
        <w:t xml:space="preserve"> 1989) (</w:t>
      </w:r>
      <w:proofErr w:type="spellStart"/>
      <w:r>
        <w:t>Gimbutas</w:t>
      </w:r>
      <w:proofErr w:type="spellEnd"/>
      <w:r>
        <w:t xml:space="preserve"> 1991) (</w:t>
      </w:r>
      <w:proofErr w:type="spellStart"/>
      <w:r>
        <w:t>Gimbutas</w:t>
      </w:r>
      <w:proofErr w:type="spellEnd"/>
      <w:r>
        <w:t xml:space="preserve"> 2001), Fleming (Fleming 1969), James (James 1959), Barstow (Barstow 1978), </w:t>
      </w:r>
      <w:proofErr w:type="spellStart"/>
      <w:r>
        <w:t>Lesure</w:t>
      </w:r>
      <w:proofErr w:type="spellEnd"/>
      <w:r>
        <w:t xml:space="preserve"> (</w:t>
      </w:r>
      <w:proofErr w:type="spellStart"/>
      <w:r>
        <w:t>Lesure</w:t>
      </w:r>
      <w:proofErr w:type="spellEnd"/>
      <w:r>
        <w:t xml:space="preserve"> 2002), and the list goes on.  But, it wasn’t until the third wave of feminism in the 1990’s that the ideas behind this theory were debunked by scholars such as </w:t>
      </w:r>
      <w:proofErr w:type="spellStart"/>
      <w:r>
        <w:t>Lesure</w:t>
      </w:r>
      <w:proofErr w:type="spellEnd"/>
      <w:r>
        <w:t xml:space="preserve"> (</w:t>
      </w:r>
      <w:proofErr w:type="spellStart"/>
      <w:r>
        <w:t>Lesure</w:t>
      </w:r>
      <w:proofErr w:type="spellEnd"/>
      <w:r>
        <w:t xml:space="preserve"> 2002). The theory was dubbed an over reaching feminist argument, searching to prove the superiority of women by deliberately looking for Palaeolithic matriarchal societies, when little to no evidence exists for this idea (</w:t>
      </w:r>
      <w:proofErr w:type="spellStart"/>
      <w:r>
        <w:t>Lesure</w:t>
      </w:r>
      <w:proofErr w:type="spellEnd"/>
      <w:r>
        <w:t xml:space="preserve"> 2002: 595). These critiques originate in the late 60’s with sc</w:t>
      </w:r>
      <w:r w:rsidR="008A0EC6">
        <w:t>holars such as Fleming who were</w:t>
      </w:r>
      <w:r>
        <w:t xml:space="preserve"> weary of the ‘universal mother goddess cu</w:t>
      </w:r>
      <w:r w:rsidR="008A0EC6">
        <w:t xml:space="preserve">lt’ theory (Fleming 1969), but </w:t>
      </w:r>
      <w:r>
        <w:t>these were not a shining light in the debate of this t</w:t>
      </w:r>
      <w:r w:rsidR="008A0EC6">
        <w:t>heory, possibly due to the new Women's M</w:t>
      </w:r>
      <w:r>
        <w:t>ovement of the time and the need for female empowerment. Very little in the past few years has been written</w:t>
      </w:r>
      <w:r w:rsidR="008A0EC6">
        <w:t xml:space="preserve"> on these interesting figurines.</w:t>
      </w:r>
      <w:r>
        <w:t xml:space="preserve"> </w:t>
      </w:r>
      <w:r w:rsidR="008A0EC6">
        <w:t>They</w:t>
      </w:r>
      <w:r>
        <w:t xml:space="preserve"> have more or less been a side note of excavations as more and more are found throughout the Mediterranean (</w:t>
      </w:r>
      <w:proofErr w:type="spellStart"/>
      <w:r>
        <w:t>Kuijt</w:t>
      </w:r>
      <w:proofErr w:type="spellEnd"/>
      <w:r>
        <w:t xml:space="preserve"> 2000).  However, no new conclusions or explanations behind these mysterious figurines hav</w:t>
      </w:r>
      <w:r w:rsidR="008A0EC6">
        <w:t>e been given, possibly due to the</w:t>
      </w:r>
      <w:r>
        <w:t xml:space="preserve"> controversial subject. Th</w:t>
      </w:r>
      <w:r w:rsidR="008A0EC6">
        <w:t>is section of the research will</w:t>
      </w:r>
      <w:r>
        <w:t xml:space="preserve"> look into the controversies of ‘The Universal Mother Goddess theory’ hoping to find where research has been lacking, and also to redefine what these figurines should then be referred too if not ‘Mother Goddess’ figurines. </w:t>
      </w:r>
    </w:p>
    <w:p w:rsidR="001D41F3" w:rsidRDefault="002242A6" w:rsidP="001D41F3">
      <w:pPr>
        <w:spacing w:line="480" w:lineRule="auto"/>
        <w:jc w:val="both"/>
      </w:pPr>
      <w:r>
        <w:lastRenderedPageBreak/>
        <w:t>Firstly, addressing the criticism that ‘The universal mother goddess cult’ was an over reaching feminist argument created in support of female superiority (</w:t>
      </w:r>
      <w:proofErr w:type="spellStart"/>
      <w:r>
        <w:t>Lesure</w:t>
      </w:r>
      <w:proofErr w:type="spellEnd"/>
      <w:r>
        <w:t xml:space="preserve"> 2002: 595). The argument for a ‘mother goddess cult’ was brought to light during the second wave of feminism, perpetuated by fictional authors such as honorary PHD author Jean </w:t>
      </w:r>
      <w:proofErr w:type="spellStart"/>
      <w:r>
        <w:t>Amanual</w:t>
      </w:r>
      <w:proofErr w:type="spellEnd"/>
      <w:r>
        <w:t>. The idea being that women’s reproductive systems and their importance within small communities gave them an advantage within the mobile Upper Palaeolithic hunter gatherer societies, thus suggesting that it was a matriarchal system in place during this period, rather than the newer patriarchal systems (</w:t>
      </w:r>
      <w:proofErr w:type="spellStart"/>
      <w:r>
        <w:t>Gimbutas</w:t>
      </w:r>
      <w:proofErr w:type="spellEnd"/>
      <w:r>
        <w:t xml:space="preserve"> 2001: 141-143)(James 1959: 11). However, this argument was heavily criticised by scholars as a biased opinion with little archaeological evidence to back up the argument (Fleming 1959: 248), </w:t>
      </w:r>
      <w:proofErr w:type="spellStart"/>
      <w:r>
        <w:t>Lesure</w:t>
      </w:r>
      <w:proofErr w:type="spellEnd"/>
      <w:r>
        <w:t xml:space="preserve"> argues that if we draw the conclusion that there was a universal mother godde</w:t>
      </w:r>
      <w:r w:rsidR="008A0EC6">
        <w:t>ss cult based on</w:t>
      </w:r>
      <w:r>
        <w:t xml:space="preserve"> female figurines, one even might make </w:t>
      </w:r>
      <w:r w:rsidR="008A0EC6">
        <w:t>the same conclusions based on</w:t>
      </w:r>
      <w:r>
        <w:t xml:space="preserve"> Barbie in the future (</w:t>
      </w:r>
      <w:proofErr w:type="spellStart"/>
      <w:r>
        <w:t>Lesure</w:t>
      </w:r>
      <w:proofErr w:type="spellEnd"/>
      <w:r>
        <w:t xml:space="preserve"> 2002: 592). This trivialises the debate, the initial idea</w:t>
      </w:r>
      <w:r w:rsidR="008A0EC6">
        <w:t>s behind a matriarchal system in</w:t>
      </w:r>
      <w:r>
        <w:t xml:space="preserve"> the Palaeolithic era began in the early 19th century by a man named J.J. </w:t>
      </w:r>
      <w:proofErr w:type="spellStart"/>
      <w:r>
        <w:t>Bachofen</w:t>
      </w:r>
      <w:proofErr w:type="spellEnd"/>
      <w:r>
        <w:t xml:space="preserve"> (</w:t>
      </w:r>
      <w:proofErr w:type="spellStart"/>
      <w:r>
        <w:t>Bachofen</w:t>
      </w:r>
      <w:proofErr w:type="spellEnd"/>
      <w:r>
        <w:t xml:space="preserve"> 1967: 78-79).</w:t>
      </w:r>
      <w:r w:rsidR="008A0EC6">
        <w:t xml:space="preserve"> Although credited as a man who</w:t>
      </w:r>
      <w:r>
        <w:t xml:space="preserve"> gave way to the 20th century feminist arguments (Allen 1999: 1089-1090), it is important to establish that his theories did not come from a feminist bias prospective, indeed during his era these ideas would have been brand new and extremely controversial. Nevertheless, Academia must continue to develop, hence using much older theories rather than newly developed research may have helped lead to ‘the universal mother goddess cult’ theory (</w:t>
      </w:r>
      <w:proofErr w:type="spellStart"/>
      <w:r>
        <w:t>Lesure</w:t>
      </w:r>
      <w:proofErr w:type="spellEnd"/>
      <w:r>
        <w:t xml:space="preserve"> 2002: 595). One of the main critiques of </w:t>
      </w:r>
      <w:proofErr w:type="spellStart"/>
      <w:r>
        <w:t>Bachofen</w:t>
      </w:r>
      <w:proofErr w:type="spellEnd"/>
      <w:r>
        <w:t xml:space="preserve"> was that most tribal communities are patriarchal (</w:t>
      </w:r>
      <w:proofErr w:type="spellStart"/>
      <w:r>
        <w:t>Lassen</w:t>
      </w:r>
      <w:proofErr w:type="spellEnd"/>
      <w:r>
        <w:t xml:space="preserve"> 2011: 4); but, this isn’t to say that a matriarchal system may never have worked or been in place: evidence of modern functioning matriarchal systems can be seen in Tibet (Johnson &amp; Zhang 1991: 499-505), Indonesia (</w:t>
      </w:r>
      <w:proofErr w:type="spellStart"/>
      <w:r>
        <w:t>Cecillia</w:t>
      </w:r>
      <w:proofErr w:type="spellEnd"/>
      <w:r>
        <w:t xml:space="preserve"> 1987: 1), West Africa (Farrar 1997: 579-597), Costa Rica (</w:t>
      </w:r>
      <w:proofErr w:type="spellStart"/>
      <w:r>
        <w:t>Blau</w:t>
      </w:r>
      <w:proofErr w:type="spellEnd"/>
      <w:r>
        <w:t xml:space="preserve"> 2017: 2973), India (</w:t>
      </w:r>
      <w:proofErr w:type="spellStart"/>
      <w:r>
        <w:t>Sikdar</w:t>
      </w:r>
      <w:proofErr w:type="spellEnd"/>
      <w:r>
        <w:t xml:space="preserve"> 2017: 125-130), and West New Guin</w:t>
      </w:r>
      <w:r w:rsidR="00016BE3">
        <w:t>ea</w:t>
      </w:r>
      <w:r>
        <w:t xml:space="preserve"> (Nash 1978: 1-3). However, modern tribal sys</w:t>
      </w:r>
      <w:r w:rsidR="00016BE3">
        <w:t>tems may not be compared to those</w:t>
      </w:r>
      <w:r>
        <w:t xml:space="preserve"> of 100-50,000 years BP, the comparisons may not be made not only because a patriarchal system may have been spread through trade and culture contact (Allen 1999: 1087-1090), but also because societies are capable of complete change over </w:t>
      </w:r>
      <w:r w:rsidR="00016BE3">
        <w:t>time, so holding ancient people</w:t>
      </w:r>
      <w:r>
        <w:t xml:space="preserve"> to modern day standards is unrealistic. When </w:t>
      </w:r>
      <w:r>
        <w:lastRenderedPageBreak/>
        <w:t>looking into early civilisations and settlements during the Neolithic and Bronze Age, we often see, to begin with, the rights of women are often equal to the lawful rights of men (Robins 1993: 141) (Asher-</w:t>
      </w:r>
      <w:proofErr w:type="spellStart"/>
      <w:r>
        <w:t>Greve</w:t>
      </w:r>
      <w:proofErr w:type="spellEnd"/>
      <w:r>
        <w:t xml:space="preserve"> 2013: 373-374). It is not until later in the Bronze Age that we see a deterioration of female rights (Asher-</w:t>
      </w:r>
      <w:proofErr w:type="spellStart"/>
      <w:r>
        <w:t>Greve</w:t>
      </w:r>
      <w:proofErr w:type="spellEnd"/>
      <w:r>
        <w:t xml:space="preserve"> 2013: 373-375). This suggests that the theory of Palaeolithic and Neolithic matriarchal societies may have been over reaching, but re-evaluation of the evidence in recent years, does point to the reasonable idea of equality of the sexes, whilst still recognising their differences physically as well as their different roles within society (Asher-</w:t>
      </w:r>
      <w:proofErr w:type="spellStart"/>
      <w:r>
        <w:t>Greve</w:t>
      </w:r>
      <w:proofErr w:type="spellEnd"/>
      <w:r>
        <w:t xml:space="preserve"> 2013: 373-375)(</w:t>
      </w:r>
      <w:proofErr w:type="spellStart"/>
      <w:r>
        <w:t>Lesure</w:t>
      </w:r>
      <w:proofErr w:type="spellEnd"/>
      <w:r>
        <w:t xml:space="preserve"> 2002: 593). Nevertheless this idea of a bias</w:t>
      </w:r>
      <w:r w:rsidR="00016BE3">
        <w:t>ed</w:t>
      </w:r>
      <w:r>
        <w:t xml:space="preserve"> feminist argument is not enough to discredit the theory of a ‘Mother Goddess Cult’.  </w:t>
      </w:r>
    </w:p>
    <w:p w:rsidR="002242A6" w:rsidRDefault="002242A6" w:rsidP="001D41F3">
      <w:pPr>
        <w:spacing w:line="480" w:lineRule="auto"/>
        <w:jc w:val="both"/>
      </w:pPr>
      <w:r>
        <w:t>Another criticism of the ‘Mother Goddess’ theory is whether or not the female figurines are indeed depicting a pregnant woman or if they are suggesting an obese wo</w:t>
      </w:r>
      <w:r w:rsidR="00016BE3">
        <w:t>man with a protruding stomach (</w:t>
      </w:r>
      <w:proofErr w:type="spellStart"/>
      <w:r w:rsidR="00016BE3">
        <w:t>L</w:t>
      </w:r>
      <w:r>
        <w:t>esure</w:t>
      </w:r>
      <w:proofErr w:type="spellEnd"/>
      <w:r>
        <w:t xml:space="preserve"> 2002: 597). </w:t>
      </w:r>
      <w:proofErr w:type="spellStart"/>
      <w:r>
        <w:t>Lesure</w:t>
      </w:r>
      <w:proofErr w:type="spellEnd"/>
      <w:r>
        <w:t xml:space="preserve"> notes that ofte</w:t>
      </w:r>
      <w:r w:rsidR="00016BE3">
        <w:t>n figurines are taken to be of pregnant wome</w:t>
      </w:r>
      <w:r>
        <w:t>n but often give no explanation as to why the scholar may h</w:t>
      </w:r>
      <w:r w:rsidR="00016BE3">
        <w:t>ave given this interpretation (</w:t>
      </w:r>
      <w:proofErr w:type="spellStart"/>
      <w:r w:rsidR="00016BE3">
        <w:t>L</w:t>
      </w:r>
      <w:r>
        <w:t>esure</w:t>
      </w:r>
      <w:proofErr w:type="spellEnd"/>
      <w:r>
        <w:t xml:space="preserve"> 2002: 597). Should it be a misinterpretation then the ‘mother goddess’ theory would be somewhat diminished.</w:t>
      </w:r>
      <w:r w:rsidR="00016BE3">
        <w:t xml:space="preserve"> These figurines began </w:t>
      </w:r>
      <w:r>
        <w:t>to appear in abundance within the archaeological record dating to the upper Palaeolithic era (James 1959: 13-15) (</w:t>
      </w:r>
      <w:proofErr w:type="spellStart"/>
      <w:r>
        <w:t>Lesure</w:t>
      </w:r>
      <w:proofErr w:type="spellEnd"/>
      <w:r>
        <w:t xml:space="preserve"> 2002: 603</w:t>
      </w:r>
      <w:r w:rsidR="00016BE3">
        <w:t>-604) (McDermott 1996: 227-275).</w:t>
      </w:r>
      <w:r>
        <w:t xml:space="preserve"> </w:t>
      </w:r>
      <w:r w:rsidR="00016BE3">
        <w:t>During</w:t>
      </w:r>
      <w:r>
        <w:t xml:space="preserve"> this time period human societies were mobile hunter gatherer communities in the Mediterranean (</w:t>
      </w:r>
      <w:proofErr w:type="spellStart"/>
      <w:r>
        <w:t>Narr</w:t>
      </w:r>
      <w:proofErr w:type="spellEnd"/>
      <w:r>
        <w:t xml:space="preserve"> 2007: 6948-6949). A hand to mouth life style, in which high ene</w:t>
      </w:r>
      <w:r w:rsidR="00016BE3">
        <w:t>rgy and exercis</w:t>
      </w:r>
      <w:r>
        <w:t>e would have uph</w:t>
      </w:r>
      <w:r w:rsidR="00016BE3">
        <w:t>eld high reward from large game.</w:t>
      </w:r>
      <w:r>
        <w:t xml:space="preserve"> </w:t>
      </w:r>
      <w:r w:rsidR="00016BE3">
        <w:t>Humans</w:t>
      </w:r>
      <w:r>
        <w:t xml:space="preserve"> at this time would have been constantly on the move, gathering and hunting resources in order to survive; suggesting that </w:t>
      </w:r>
      <w:r w:rsidR="00016BE3">
        <w:t>few to no</w:t>
      </w:r>
      <w:r>
        <w:t xml:space="preserve"> people would have been obese to the extent suggested by the figurines (</w:t>
      </w:r>
      <w:proofErr w:type="spellStart"/>
      <w:r>
        <w:t>colman</w:t>
      </w:r>
      <w:proofErr w:type="spellEnd"/>
      <w:r>
        <w:t xml:space="preserve"> 1998: 58-59). At places where similar figurines have been found during the Neolithic era, such as </w:t>
      </w:r>
      <w:proofErr w:type="spellStart"/>
      <w:r>
        <w:t>Chatelhukuk</w:t>
      </w:r>
      <w:proofErr w:type="spellEnd"/>
      <w:r>
        <w:t>, skeletal remains suggest nutrient deficiencies often lending to famine such as in the Near East at Ain Ghazal (</w:t>
      </w:r>
      <w:proofErr w:type="spellStart"/>
      <w:r>
        <w:t>Rollefson</w:t>
      </w:r>
      <w:proofErr w:type="spellEnd"/>
      <w:r>
        <w:t xml:space="preserve"> et al 1992: 463), during the time of change between hunter gatherer societies and purely farming communities (</w:t>
      </w:r>
      <w:proofErr w:type="spellStart"/>
      <w:r>
        <w:t>Rollefson</w:t>
      </w:r>
      <w:proofErr w:type="spellEnd"/>
      <w:r>
        <w:t xml:space="preserve"> et al 1992: 463). It is noteworthy that food</w:t>
      </w:r>
      <w:r w:rsidR="00016BE3">
        <w:t>,</w:t>
      </w:r>
      <w:r>
        <w:t xml:space="preserve"> which was generated from both hunting and farming</w:t>
      </w:r>
      <w:r w:rsidR="00016BE3">
        <w:t>,</w:t>
      </w:r>
      <w:r>
        <w:t xml:space="preserve"> would have been in reasonable abundan</w:t>
      </w:r>
      <w:r w:rsidR="00016BE3">
        <w:t>ce as if one fails they</w:t>
      </w:r>
      <w:r>
        <w:t xml:space="preserve"> would have </w:t>
      </w:r>
      <w:r w:rsidR="00016BE3">
        <w:t xml:space="preserve">had </w:t>
      </w:r>
      <w:r>
        <w:t xml:space="preserve">another to fall </w:t>
      </w:r>
      <w:r>
        <w:lastRenderedPageBreak/>
        <w:t>back on; however, skeletal remains after this time</w:t>
      </w:r>
      <w:r w:rsidR="00016BE3">
        <w:t>,</w:t>
      </w:r>
      <w:r>
        <w:t xml:space="preserve"> when reliance on purely farming occurred due to deforestation around settlements, have indicators of deficiencies signifying times of drought and hardship (</w:t>
      </w:r>
      <w:proofErr w:type="spellStart"/>
      <w:r>
        <w:t>Rollefson</w:t>
      </w:r>
      <w:proofErr w:type="spellEnd"/>
      <w:r>
        <w:t xml:space="preserve"> et al 1992: 452-454). This would suggest that fairly active lifestyles, unlike modern times, would have been needed by all members in society to maintain the community’s food resources. Which</w:t>
      </w:r>
      <w:r w:rsidR="00016BE3">
        <w:t xml:space="preserve"> would also suggest that few </w:t>
      </w:r>
      <w:r>
        <w:t>to no people would have obtained such large sizes during t</w:t>
      </w:r>
      <w:r w:rsidR="00016BE3">
        <w:t>he time that these figurines were</w:t>
      </w:r>
      <w:r>
        <w:t xml:space="preserve"> emerging in the Mediterranean. One of the few times large stomachs and breasts would have occurred in women of these communities would have been at times of pregnancy, suggesting that these figurines are indeed depicting heavily pregnant women rather than obese people (Colman 1998: 58-59). Nevertheless, women in these communities after having several children may have been expected to look after the children and rest if pregnant, meaning perhaps older woman may have reached sizes larger than the average person, especially during menopause (Colman 1998: 58-59), but this would still represent the idea of motherhood. Some scholars nevertheless, are suggestive that these figurines may have been made in the image of motherhood but for the purpose of male sexuality (Dixson &amp; Dixson 2011: 1-11); However, not only does this view sexual objectify women but it would do so in a time where women were deemed as equal. Although the figurines may not be representations of a deity or a pregnant woman, if they were made for the purpose of male sexual exploitation then why is there a distinct motif for these figurines? Sexuality and what one might find sexually attractive is usually based on opinion and on what the society is dictating during the time (Dixson &amp; Dixson 2011: 1-11). If during the Palaeolithic and Neolithic eras, the majority of women would have been relatively physically fit then we may assume that apart from in certain circumstances the majority of men’s sexual appetites would have been dictated by this, suggesting that the figurines are not made for the sexual pleasures of men (Dixson &amp; Dixson 2011: 1-11). The repeated motif can also be found in different cultures and areas throughout the Mediterranean (James 1959: 13-15), each culture has its own ideas of beauty and sexuali</w:t>
      </w:r>
      <w:r w:rsidR="00016BE3">
        <w:t>ty (Dixson &amp; Dixson 2011: 1-11).</w:t>
      </w:r>
      <w:r>
        <w:t xml:space="preserve"> </w:t>
      </w:r>
      <w:r w:rsidR="00016BE3">
        <w:t>If</w:t>
      </w:r>
      <w:r>
        <w:t xml:space="preserve"> sexual attraction is so varied and individual, why then would there be a </w:t>
      </w:r>
      <w:r>
        <w:lastRenderedPageBreak/>
        <w:t>repeated feminine motif? Surely as these figurines were made by artistic individuals would they have not been made to a specific specification?</w:t>
      </w:r>
    </w:p>
    <w:p w:rsidR="002242A6" w:rsidRDefault="002242A6" w:rsidP="001D41F3">
      <w:pPr>
        <w:spacing w:line="480" w:lineRule="auto"/>
        <w:jc w:val="both"/>
      </w:pPr>
      <w:r>
        <w:t>The next criticism is the questionable links between later fertility/mother goddesses and the megalithic “goddesses” (Fleming 1969: 252).  This is a query in which this research intends to delve into further to show links between places throughout the Mediterranean, and links between time periods. However, when delving into th</w:t>
      </w:r>
      <w:r w:rsidR="00016BE3">
        <w:t>is criticism it is often found</w:t>
      </w:r>
      <w:r>
        <w:t xml:space="preserve"> that the examples used to suggest this are questionable themselves. For example, Fleming in his myth of the mother goddess uses highly abstract artistic depictions that have been previously recognised as possible goddess figurines (Fleming 1969: 250). Fleming uses figurines found in Britany,</w:t>
      </w:r>
      <w:r w:rsidR="00016BE3">
        <w:t xml:space="preserve"> northern France,</w:t>
      </w:r>
      <w:r>
        <w:t xml:space="preserve"> saying that not only are many of them just representation of eyes and that they may not even be mother goddess figurines (Fleming 1969: 249-250). But when discussing the mother goddess cult, why use abstract examples where the interpretations are still heavily debated about in the first place? Brit</w:t>
      </w:r>
      <w:r w:rsidR="00016BE3">
        <w:t>t</w:t>
      </w:r>
      <w:r>
        <w:t>any is rather far away from a lot of the original full bodied figurines from around the Mediterranean and the Near East, therefore</w:t>
      </w:r>
      <w:r w:rsidR="00016BE3">
        <w:t>,</w:t>
      </w:r>
      <w:r>
        <w:t xml:space="preserve"> giving enough reason to believe the interpretation of the cult would be different from the original ‘mother goddess’ cults beginning in the Mediterranean as early as 35,</w:t>
      </w:r>
      <w:r w:rsidR="00016BE3">
        <w:t>000 years ago (</w:t>
      </w:r>
      <w:proofErr w:type="spellStart"/>
      <w:r w:rsidR="00016BE3">
        <w:t>Narr</w:t>
      </w:r>
      <w:proofErr w:type="spellEnd"/>
      <w:r w:rsidR="00016BE3">
        <w:t xml:space="preserve"> 2005: 6948).</w:t>
      </w:r>
      <w:r>
        <w:t xml:space="preserve"> </w:t>
      </w:r>
      <w:r w:rsidR="00016BE3">
        <w:t xml:space="preserve">This will be discussed </w:t>
      </w:r>
      <w:r>
        <w:t>later in the research. Nevertheless the Bri</w:t>
      </w:r>
      <w:r w:rsidR="00016BE3">
        <w:t>t</w:t>
      </w:r>
      <w:r>
        <w:t>tany figurines are often indicating</w:t>
      </w:r>
      <w:r w:rsidR="00016BE3">
        <w:t xml:space="preserve"> to</w:t>
      </w:r>
      <w:r>
        <w:t xml:space="preserve"> triangle shapes in reference to their genitalia (Fleming 1969: 250). Fleming does argue that these are possible loin cloths (Fleming 1969: 250), but, these are upside down triangles, which often indicate female genitalia, due to its shape.  The figurines that do have arms and hands are often indicating to their stomachs or genital (Fleming 1969: 250) much like the widely recognised mother goddess figurines (James 1959: 13-15), possibly to indicate female sexuality and reproduction abilities. Some Brit</w:t>
      </w:r>
      <w:r w:rsidR="00016BE3">
        <w:t>t</w:t>
      </w:r>
      <w:r>
        <w:t xml:space="preserve">any figurines have been interpreted to be two vertical parallel lines of eyes, thought to be abstract representations of the mother figurines (Fleming 1969: 250), with very little evidence to suggest why this interpretation has been deducted. However, if we do take this idea that they are mother goddess figurines at face value, another interpretation maybe that these are nipples and not eyes, representing animal motherhood and fertility, which may have been considered important as </w:t>
      </w:r>
      <w:r>
        <w:lastRenderedPageBreak/>
        <w:t>the continuance of vital food sources. Another theory may be that these figurines that are used to debunk ‘the universal mother goddess cult’ theory may not have been female at all (</w:t>
      </w:r>
      <w:proofErr w:type="spellStart"/>
      <w:r>
        <w:t>Lesure</w:t>
      </w:r>
      <w:proofErr w:type="spellEnd"/>
      <w:r>
        <w:t xml:space="preserve"> 2002: 595), which would also make them irrelevant to the argument. Flemings counter argument to the original ‘mother goddess theory’ is somewhat lacking which may explain why it didn’t bring about further contradiction during the 1970’s.</w:t>
      </w:r>
    </w:p>
    <w:p w:rsidR="002242A6" w:rsidRDefault="002242A6" w:rsidP="001D41F3">
      <w:pPr>
        <w:spacing w:line="480" w:lineRule="auto"/>
        <w:jc w:val="both"/>
      </w:pPr>
      <w:r>
        <w:t xml:space="preserve">Other criticisms are not so easily argued against. </w:t>
      </w:r>
      <w:proofErr w:type="spellStart"/>
      <w:r>
        <w:t>Lesure</w:t>
      </w:r>
      <w:proofErr w:type="spellEnd"/>
      <w:r>
        <w:t xml:space="preserve"> criticises that the context of the Palaeolithic figurines as being individual or as part of a group, alongside their original use in ritual if they were used in such way, is completely lost to us (</w:t>
      </w:r>
      <w:proofErr w:type="spellStart"/>
      <w:r>
        <w:t>Lesure</w:t>
      </w:r>
      <w:proofErr w:type="spellEnd"/>
      <w:r>
        <w:t xml:space="preserve"> 2002: 590). Arguments may be made toward individual objects when considering the context of hunter gatherer mobile societies. Small hand held figurines would have been ideal for packing and moving about with</w:t>
      </w:r>
      <w:r w:rsidR="00E83BA8">
        <w:t xml:space="preserve">, If part of a collective </w:t>
      </w:r>
      <w:r>
        <w:t>there possibly would have been something to keep them together and no evidence has been found of this. The research intends to divulge this argument fur</w:t>
      </w:r>
      <w:r w:rsidR="00E83BA8">
        <w:t>ther later on. Alongside this, f</w:t>
      </w:r>
      <w:r>
        <w:t>igurine interpretations may be different fo</w:t>
      </w:r>
      <w:r w:rsidR="00E83BA8">
        <w:t>r each area they are found in. W</w:t>
      </w:r>
      <w:r>
        <w:t>hen looking at the theory of humans in relation to things by Hodder tells us that the same object has different context</w:t>
      </w:r>
      <w:r w:rsidR="00E83BA8">
        <w:t>s</w:t>
      </w:r>
      <w:r>
        <w:t xml:space="preserve"> when imbedded into different cultural traditions (Hodder 2012: 5). This goes against ‘the universal mo</w:t>
      </w:r>
      <w:r w:rsidR="00E83BA8">
        <w:t xml:space="preserve">ther goddess cult’ theory, but </w:t>
      </w:r>
      <w:r>
        <w:t>although the universal theory has been well and truly argued against there still may be something to deduct from this original idea, this research intends to look into humans relationship to things and the possible development of independent mother god</w:t>
      </w:r>
      <w:r w:rsidR="00E83BA8">
        <w:t>dess cults from similar origins.</w:t>
      </w:r>
      <w:r>
        <w:t xml:space="preserve"> </w:t>
      </w:r>
      <w:r w:rsidR="00E83BA8">
        <w:t>The</w:t>
      </w:r>
      <w:r>
        <w:t xml:space="preserve"> research intends to delve further into origins within the next section</w:t>
      </w:r>
      <w:r w:rsidR="00E83BA8">
        <w:t>, b</w:t>
      </w:r>
      <w:r>
        <w:t>ut this does not mean to say that there may not be multiple origins to a polytheistic religion.</w:t>
      </w:r>
    </w:p>
    <w:p w:rsidR="002242A6" w:rsidRDefault="002242A6" w:rsidP="001D41F3">
      <w:pPr>
        <w:spacing w:line="480" w:lineRule="auto"/>
        <w:jc w:val="both"/>
      </w:pPr>
      <w:proofErr w:type="spellStart"/>
      <w:r>
        <w:t>Lesure</w:t>
      </w:r>
      <w:proofErr w:type="spellEnd"/>
      <w:r>
        <w:t xml:space="preserve"> also points out that not many archaeologists when interpreting the figurines ask the question, ‘why female figurines?’, saying that many of the scholars whom are looking into these mother goddess figurines often don’t give explanations as to why they may have been chosen as a subject (</w:t>
      </w:r>
      <w:proofErr w:type="spellStart"/>
      <w:r>
        <w:t>Lesure</w:t>
      </w:r>
      <w:proofErr w:type="spellEnd"/>
      <w:r>
        <w:t xml:space="preserve"> 2002: 595). Some scholars make the claim that the figurines are fertility figures and have no connection to a deity (</w:t>
      </w:r>
      <w:proofErr w:type="spellStart"/>
      <w:r>
        <w:t>Lesure</w:t>
      </w:r>
      <w:proofErr w:type="spellEnd"/>
      <w:r>
        <w:t xml:space="preserve"> 2002: 587). This would make practical sense, Hodder tells us that things </w:t>
      </w:r>
      <w:r>
        <w:lastRenderedPageBreak/>
        <w:t xml:space="preserve">are egocentric and are defined by what they can do for us (Hodder 2012: 17). This would explain a ritualistic aspect of the seemingly useless figurine, without the need to religion. But, religious beliefs are already established by the Neolithic era, which may be seen from sites such as </w:t>
      </w:r>
      <w:proofErr w:type="spellStart"/>
      <w:r>
        <w:t>Gobekli</w:t>
      </w:r>
      <w:proofErr w:type="spellEnd"/>
      <w:r>
        <w:t xml:space="preserve"> </w:t>
      </w:r>
      <w:proofErr w:type="spellStart"/>
      <w:r>
        <w:t>Tepe</w:t>
      </w:r>
      <w:proofErr w:type="spellEnd"/>
      <w:r>
        <w:t xml:space="preserve"> in Anatolia (</w:t>
      </w:r>
      <w:proofErr w:type="spellStart"/>
      <w:r>
        <w:t>Deitrich</w:t>
      </w:r>
      <w:proofErr w:type="spellEnd"/>
      <w:r>
        <w:t xml:space="preserve"> et al 2013: 30). Hodder also explains that humans are constantly finding a need to separate themselves from the things they own as well as being entangled amongst them (Hodder 2012: 21). There are plenty of examples in later times of polytheistic religions with mother deities, within the ancient Egyptian religion there is a nursing </w:t>
      </w:r>
      <w:r w:rsidR="00AC6276">
        <w:t>goddess Isis as well as goddesse</w:t>
      </w:r>
      <w:r>
        <w:t>s that represented mother</w:t>
      </w:r>
      <w:r w:rsidR="00AC6276">
        <w:t xml:space="preserve">hood and </w:t>
      </w:r>
      <w:proofErr w:type="spellStart"/>
      <w:r w:rsidR="00AC6276">
        <w:t>chil</w:t>
      </w:r>
      <w:r>
        <w:t>birth</w:t>
      </w:r>
      <w:proofErr w:type="spellEnd"/>
      <w:r w:rsidR="00AC6276">
        <w:t xml:space="preserve"> Hathor (Shorter 1937: 130-133). T</w:t>
      </w:r>
      <w:r>
        <w:t>here is Hera/Juno fr</w:t>
      </w:r>
      <w:r w:rsidR="00AC6276">
        <w:t>om the Greco/Roman religion who</w:t>
      </w:r>
      <w:r>
        <w:t xml:space="preserve"> represents fertility and childbearing (Rivers 2014: 1)</w:t>
      </w:r>
      <w:r w:rsidR="00AC6276">
        <w:t xml:space="preserve"> as well as Aphrodite/Venus who</w:t>
      </w:r>
      <w:r>
        <w:t xml:space="preserve"> represents female sexuality (</w:t>
      </w:r>
      <w:proofErr w:type="spellStart"/>
      <w:r>
        <w:t>Pirenne-Delforge</w:t>
      </w:r>
      <w:proofErr w:type="spellEnd"/>
      <w:r>
        <w:t xml:space="preserve"> &amp; Motte 2014: 1-2), and the list could go on and on. Is it not plausible that Egypt’s nursing and mother cults would have derived from the trials and dangers of ancient child birth and mothering?  One of the most natural and animalistic things for a human is childbirth, a new addition to a community is and would have been of great importance, as the traditions and culture of the community will to be passed on through the generations (</w:t>
      </w:r>
      <w:proofErr w:type="spellStart"/>
      <w:r>
        <w:t>Assman</w:t>
      </w:r>
      <w:proofErr w:type="spellEnd"/>
      <w:r>
        <w:t xml:space="preserve"> 1995:</w:t>
      </w:r>
      <w:r w:rsidR="00AC6276">
        <w:t xml:space="preserve"> 125). The original reasoning gi</w:t>
      </w:r>
      <w:r>
        <w:t>ve</w:t>
      </w:r>
      <w:r w:rsidR="00AC6276">
        <w:t>n</w:t>
      </w:r>
      <w:r>
        <w:t xml:space="preserve"> as to why the figurines are depicting women in this stage of life is still a viable and logical reason, childbirth is dangerous, a lot of women die giving need for figurines such as this for comfort. “Religion cannot be separated out and studied in a vacuum apart from other matters, family, economics, politics, law, and so on. Religion in all its forms was an intrinsic part of life, intertwined with seasons, birth, marriage, death, and it resonated with the hopes and fears of men and women throughout their lives.” (Sawyer 2005: 3381)</w:t>
      </w:r>
      <w:r w:rsidR="00AC6276">
        <w:t xml:space="preserve"> </w:t>
      </w:r>
      <w:r>
        <w:t>This gives reason to believe there is a religious significance attached to these figurines as Palaeolithic religion is mostly defined by anything that deals with the supernatural (</w:t>
      </w:r>
      <w:proofErr w:type="spellStart"/>
      <w:r>
        <w:t>Narr</w:t>
      </w:r>
      <w:proofErr w:type="spellEnd"/>
      <w:r>
        <w:t xml:space="preserve"> 2005: 6949). Childbirt</w:t>
      </w:r>
      <w:r w:rsidR="00AC6276">
        <w:t>h may not be considered a super</w:t>
      </w:r>
      <w:r>
        <w:t xml:space="preserve">natural </w:t>
      </w:r>
      <w:proofErr w:type="spellStart"/>
      <w:r>
        <w:t>phenomena</w:t>
      </w:r>
      <w:proofErr w:type="spellEnd"/>
      <w:r>
        <w:t xml:space="preserve"> to us, but as Hodder says understanding that something does work is not the same as understanding how it works (Hodder 2012: 3-4), suggesting that childbirth may have been considered a supernatural phenomenon before science. </w:t>
      </w:r>
    </w:p>
    <w:p w:rsidR="002242A6" w:rsidRDefault="002242A6" w:rsidP="001D41F3">
      <w:pPr>
        <w:spacing w:line="480" w:lineRule="auto"/>
        <w:jc w:val="both"/>
      </w:pPr>
      <w:r>
        <w:lastRenderedPageBreak/>
        <w:t>The main criticisms used to debunk the original ‘universal mother goddess theory’ are somewhat lacking in their arguments, but then again so to</w:t>
      </w:r>
      <w:r w:rsidR="00432ADA">
        <w:t>o</w:t>
      </w:r>
      <w:r>
        <w:t xml:space="preserve"> was the original argument of a universal cult. Within the n</w:t>
      </w:r>
      <w:r w:rsidR="00432ADA">
        <w:t xml:space="preserve">ext section of this research </w:t>
      </w:r>
      <w:r>
        <w:t>intends to outline links between figurines and other artworks reflecting similar imagery leading from the Palaeolithic through to the early Roman Empire era. Although a ‘universal mother goddess cult’ may be an unsuitable theory for the evidence, the research intends to show other alternative theories behind these figurines and not just disregard the archaeological evidence, shunting the depictions aside out of ease because of their controversy.  In order to avoid confusion the research will now refrain from referring to the ‘mother goddess’ figurines as such, it shall also not refer to them as a collective under the term Venuses as it may lead to further confusion of their origins when this research is attempting to be unbiased and un-swayed by previous interpretations. It will however, refer to individual statues by their given names meaning some may be referred to as ‘The Venus of’ to avoid confusion as to what artefact is being referred to.  This is due to the nature of the paper being whether or not these figurines should be referred to as goddesses at all; however, as previously established these figurines do m</w:t>
      </w:r>
      <w:r w:rsidR="00432ADA">
        <w:t>ore than likely refer to mother</w:t>
      </w:r>
      <w:r>
        <w:t>hood or pregnancy as this level of obesity would have been hard to obtain in the types of communities lifestyles that they have established in (Colman 1998: 58-59), except for maybe the occasion of pregnancy or after giving birth to a lot of children when a woman may have been expected to stay to look after the children whilst other members of the community gathered resources needed, or during menopause (Colman 1998: 58-59). Not only this but these types of mother figurines often put emphasis on the abdomen or the breasts which are both connected with child birth and motherhood (</w:t>
      </w:r>
      <w:proofErr w:type="spellStart"/>
      <w:r>
        <w:t>Gimbutas</w:t>
      </w:r>
      <w:proofErr w:type="spellEnd"/>
      <w:r>
        <w:t xml:space="preserve"> 1989: 31), which gives further reason to believe that they are indeed mother figurines at the very le</w:t>
      </w:r>
      <w:r w:rsidR="00432ADA">
        <w:t>ast. With these arguments in mind, the research will</w:t>
      </w:r>
      <w:r>
        <w:t xml:space="preserve"> continue to refer to them as ‘mother figurines’ in order to show that there is a specific type of figurine with a particular motif attached to it, rather than any female figurine that may or may not have been interpreted to have religious connotations (Fleming 1969: 250).</w:t>
      </w:r>
    </w:p>
    <w:p w:rsidR="001D41F3" w:rsidRDefault="001D41F3" w:rsidP="001D41F3">
      <w:pPr>
        <w:spacing w:line="480" w:lineRule="auto"/>
        <w:jc w:val="both"/>
      </w:pPr>
    </w:p>
    <w:p w:rsidR="002242A6" w:rsidRPr="002242A6" w:rsidRDefault="002242A6" w:rsidP="001D41F3">
      <w:pPr>
        <w:spacing w:line="480" w:lineRule="auto"/>
        <w:jc w:val="both"/>
        <w:rPr>
          <w:sz w:val="24"/>
          <w:szCs w:val="24"/>
          <w:u w:val="single"/>
        </w:rPr>
      </w:pPr>
      <w:r w:rsidRPr="002242A6">
        <w:rPr>
          <w:sz w:val="24"/>
          <w:szCs w:val="24"/>
          <w:u w:val="single"/>
        </w:rPr>
        <w:lastRenderedPageBreak/>
        <w:t xml:space="preserve">Discussion </w:t>
      </w:r>
    </w:p>
    <w:p w:rsidR="002242A6" w:rsidRDefault="002242A6" w:rsidP="001D41F3">
      <w:pPr>
        <w:spacing w:line="480" w:lineRule="auto"/>
        <w:jc w:val="both"/>
      </w:pPr>
      <w:r>
        <w:t>Mother figurines with exaggerated abdomens, breasts, or vulvas have been found wide spread across the Mediterranean countries and their different ancient cultures (James 1959). These figurines with all but slight adaptations, have been found throughout the upper Palaeolithic era stretching into the Bronze Age (James 1959). Despite over whelming evidence of different types of mother goddesses in a multitude of different ancient religions and counter arguments that lack verbosity and sustenance, the ‘universal mother goddess theory’ was abandoned as an over reaching pro-feminist argument with heavy bias (</w:t>
      </w:r>
      <w:proofErr w:type="spellStart"/>
      <w:r>
        <w:t>Lesure</w:t>
      </w:r>
      <w:proofErr w:type="spellEnd"/>
      <w:r>
        <w:t xml:space="preserve"> 2002: 595) and a lack of linkable evidence (Fleming 1969: 252). This portion of the research intends to look into the links between the ancient figurines and later well documented religions hoping to find an alternative view of the original mother goddess theory. To do so it shall adopt several theories including Entanglement theory (Hodder 2012), Religious evolution theory (Wilson 2002), Palaeolithic religion theory (</w:t>
      </w:r>
      <w:proofErr w:type="spellStart"/>
      <w:r>
        <w:t>Narr</w:t>
      </w:r>
      <w:proofErr w:type="spellEnd"/>
      <w:r>
        <w:t xml:space="preserve"> 2005), Neolithic religion theory (</w:t>
      </w:r>
      <w:proofErr w:type="spellStart"/>
      <w:r>
        <w:t>Srejovic</w:t>
      </w:r>
      <w:proofErr w:type="spellEnd"/>
      <w:r>
        <w:t xml:space="preserve"> 2005), and gender and religion theory (Sawyer 2005). By applying these theories to the archaeological evidence at hand surrounding imagery to do with women with large pendulous breasts and a protruding stomach. These links should help confirm the possible religious intent or indeed expose the lack of links if there are none, hoping to confirm stronger links than previously thought between the Palaeolithic and Neolithic eras (Fleming 1969: 252). The research also will cover the later connections through to the Roman Empire, but this is a lot easier due to the invention of writing and will use different te</w:t>
      </w:r>
      <w:r w:rsidR="00393CB2">
        <w:t>chniques in an attempt to interpret</w:t>
      </w:r>
      <w:r>
        <w:t xml:space="preserve"> the archaeological and literary evidence. </w:t>
      </w:r>
    </w:p>
    <w:p w:rsidR="002242A6" w:rsidRDefault="002242A6" w:rsidP="001D41F3">
      <w:pPr>
        <w:spacing w:line="480" w:lineRule="auto"/>
        <w:jc w:val="both"/>
      </w:pPr>
      <w:r>
        <w:t>Most mother figurines begin appearing in the upper Palaeolithic era  giving most archaeologists reason to believe that it was the beginning of religious/spiritual beliefs that were then further developed by the Neolithic era (James 1959) (</w:t>
      </w:r>
      <w:proofErr w:type="spellStart"/>
      <w:r>
        <w:t>Lesure</w:t>
      </w:r>
      <w:proofErr w:type="spellEnd"/>
      <w:r>
        <w:t xml:space="preserve"> 2002) (Fleming 1969) (</w:t>
      </w:r>
      <w:proofErr w:type="spellStart"/>
      <w:r>
        <w:t>Gimbutas</w:t>
      </w:r>
      <w:proofErr w:type="spellEnd"/>
      <w:r>
        <w:t xml:space="preserve"> 1989); however, a lack of archaeological materials does not mean there is a lack of spiritual beliefs. Throughout history we have seen developments within the human race</w:t>
      </w:r>
      <w:r w:rsidR="0084142E">
        <w:t>’</w:t>
      </w:r>
      <w:r>
        <w:t xml:space="preserve">s knowledge of the world and the ability to </w:t>
      </w:r>
      <w:r w:rsidR="0084142E">
        <w:t>control the materials around us.</w:t>
      </w:r>
      <w:r>
        <w:t xml:space="preserve"> </w:t>
      </w:r>
      <w:r w:rsidR="0084142E">
        <w:t>When</w:t>
      </w:r>
      <w:r>
        <w:t xml:space="preserve"> looking further back into the archaeological record an interesting object </w:t>
      </w:r>
      <w:r>
        <w:lastRenderedPageBreak/>
        <w:t xml:space="preserve">known as the </w:t>
      </w:r>
      <w:proofErr w:type="spellStart"/>
      <w:r>
        <w:t>Berekhat</w:t>
      </w:r>
      <w:proofErr w:type="spellEnd"/>
      <w:r>
        <w:t xml:space="preserve"> ram figurine can be found (Figure 1) (</w:t>
      </w:r>
      <w:proofErr w:type="spellStart"/>
      <w:r>
        <w:t>Marshack</w:t>
      </w:r>
      <w:proofErr w:type="spellEnd"/>
      <w:r>
        <w:t xml:space="preserve"> 1997: 327). Human beings have always found images in natural objects and the </w:t>
      </w:r>
      <w:proofErr w:type="spellStart"/>
      <w:r>
        <w:t>Berekhat</w:t>
      </w:r>
      <w:proofErr w:type="spellEnd"/>
      <w:r>
        <w:t xml:space="preserve"> ram figurine is no exception, as a piece of basalt 3.5 cm in height, that had been specifically picked out due to its shape and deliberately modified, which was discovered upon microscopic analysis (</w:t>
      </w:r>
      <w:proofErr w:type="spellStart"/>
      <w:r>
        <w:t>Marshack</w:t>
      </w:r>
      <w:proofErr w:type="spellEnd"/>
      <w:r>
        <w:t xml:space="preserve"> 1997: 330-331). The figurine has been given an estimated date, due to its stratigraphy, between 250,000-280,000 BP and was discovered in modern day north Israel (</w:t>
      </w:r>
      <w:proofErr w:type="spellStart"/>
      <w:r>
        <w:t>Marshack</w:t>
      </w:r>
      <w:proofErr w:type="spellEnd"/>
      <w:r>
        <w:t xml:space="preserve"> 1997: 328). Created prior to anatomical mo</w:t>
      </w:r>
      <w:r w:rsidR="0084142E">
        <w:t>dern humans left Africa and pre-</w:t>
      </w:r>
      <w:r>
        <w:t>Neanderthal, suggesting it was made by an early hominid species, which gives huge debate surrounding this potential mother figurine (</w:t>
      </w:r>
      <w:proofErr w:type="spellStart"/>
      <w:r>
        <w:t>Marshack</w:t>
      </w:r>
      <w:proofErr w:type="spellEnd"/>
      <w:r>
        <w:t xml:space="preserve"> 1997: 328). Nevertheless, archaeologists such as </w:t>
      </w:r>
      <w:proofErr w:type="spellStart"/>
      <w:r>
        <w:t>Marshak</w:t>
      </w:r>
      <w:proofErr w:type="spellEnd"/>
      <w:r>
        <w:t xml:space="preserve"> argue that other hominid species such as Neanderthals have also shown signs of spiritual belief and a higher level of intelligence through burials in a cemetery found at La </w:t>
      </w:r>
      <w:proofErr w:type="spellStart"/>
      <w:r>
        <w:t>Ferassie</w:t>
      </w:r>
      <w:proofErr w:type="spellEnd"/>
      <w:r>
        <w:t xml:space="preserve"> and art work such as the charlatan beads (</w:t>
      </w:r>
      <w:proofErr w:type="spellStart"/>
      <w:r>
        <w:t>Marshack</w:t>
      </w:r>
      <w:proofErr w:type="spellEnd"/>
      <w:r>
        <w:t xml:space="preserve"> 1997: 327). Wilson uses a theory known as religious evolution in order to explain that religion is constant</w:t>
      </w:r>
      <w:r w:rsidR="0084142E">
        <w:t>ly adapting and evolving as it is</w:t>
      </w:r>
      <w:r>
        <w:t xml:space="preserve"> adopted by more and more societies (Wilson 2002: 44), a great example of this being the Egyptian cult of Isis that was adopted and then adapted by the Greco/</w:t>
      </w:r>
      <w:r w:rsidR="0084142E">
        <w:t>R</w:t>
      </w:r>
      <w:r>
        <w:t>omans (</w:t>
      </w:r>
      <w:proofErr w:type="spellStart"/>
      <w:r>
        <w:t>Heyob</w:t>
      </w:r>
      <w:proofErr w:type="spellEnd"/>
      <w:r>
        <w:t xml:space="preserve"> 1975). The </w:t>
      </w:r>
      <w:proofErr w:type="spellStart"/>
      <w:r>
        <w:t>Berekhat</w:t>
      </w:r>
      <w:proofErr w:type="spellEnd"/>
      <w:r>
        <w:t xml:space="preserve"> ram figurine may not be a religious or spiritual artefact as there is no definitive proof that the hominid species that created it did so for religious reasons; however, it does suggests how ingrained into human society these possible beliefs may have been before the upper Palaeolithic and does suggests a potenti</w:t>
      </w:r>
      <w:r w:rsidR="0084142E">
        <w:t>al origin of the art work if not</w:t>
      </w:r>
      <w:r>
        <w:t xml:space="preserve"> the beliefs (</w:t>
      </w:r>
      <w:proofErr w:type="spellStart"/>
      <w:r>
        <w:t>Marshack</w:t>
      </w:r>
      <w:proofErr w:type="spellEnd"/>
      <w:r>
        <w:t xml:space="preserve"> 1997: 335). This figurine is not defined enough to necessarily be considered a mother figure and may not be a part of that culture of belief system; but, the similarities are uncanny and do give a suggestion of a p</w:t>
      </w:r>
      <w:r w:rsidR="00BD0DA3">
        <w:t xml:space="preserve">rimitive mother type figurine. </w:t>
      </w:r>
      <w:r>
        <w:t xml:space="preserve">The </w:t>
      </w:r>
      <w:proofErr w:type="spellStart"/>
      <w:r>
        <w:t>Berekhat</w:t>
      </w:r>
      <w:proofErr w:type="spellEnd"/>
      <w:r>
        <w:t xml:space="preserve"> ram figurine is not the only example of early hominid species producing similar artefacts (Bednarik 2003: 405). The Venus of </w:t>
      </w:r>
      <w:proofErr w:type="spellStart"/>
      <w:r>
        <w:t>Tantan</w:t>
      </w:r>
      <w:proofErr w:type="spellEnd"/>
      <w:r>
        <w:t xml:space="preserve"> (Figure 2) was discovered in Morocco and dates back to before 500,000 BP (Bednarik 2003: 405) making it somewhat older</w:t>
      </w:r>
      <w:r w:rsidR="0084142E">
        <w:t xml:space="preserve"> than the </w:t>
      </w:r>
      <w:proofErr w:type="spellStart"/>
      <w:r w:rsidR="0084142E">
        <w:t>Berekhat</w:t>
      </w:r>
      <w:proofErr w:type="spellEnd"/>
      <w:r w:rsidR="0084142E">
        <w:t xml:space="preserve"> ram figurine,</w:t>
      </w:r>
      <w:r>
        <w:t xml:space="preserve"> 1.5 cm</w:t>
      </w:r>
      <w:r w:rsidR="0084142E">
        <w:t xml:space="preserve"> in length (Bednarik 2003: 407).</w:t>
      </w:r>
      <w:r>
        <w:t xml:space="preserve"> </w:t>
      </w:r>
      <w:r w:rsidR="0084142E">
        <w:t>This</w:t>
      </w:r>
      <w:r>
        <w:t xml:space="preserve"> pebble is a natural rock that was possibly further adapted by rubbing in red ochre (Bednarik 2003: 411). </w:t>
      </w:r>
      <w:r w:rsidR="00BD0DA3">
        <w:t>But</w:t>
      </w:r>
      <w:r>
        <w:t xml:space="preserve"> does give further indication as to the origins of that style of artwork. Human beings often look at things in a rather egocentric way (Hodder 2012: 2), these </w:t>
      </w:r>
      <w:r>
        <w:lastRenderedPageBreak/>
        <w:t xml:space="preserve">figurines appear to have no usefulness in a hunter gatherer community, leaving further reason to believe that these figurines do have a connection to the later figurines and possible early religious beliefs. However, Hodder also mentions that because we are removed from the hunter gatherer life style means that it makes it harder to understand the purpose of an object that isn’t obvious (Hodder 2012: 2-4), suggesting that the artefact may indeed </w:t>
      </w:r>
      <w:r w:rsidR="0084142E">
        <w:t>have</w:t>
      </w:r>
      <w:r>
        <w:t xml:space="preserve"> a purpose that is just not known to us; nevertheless, this does not mean that these artefacts purposes were not for rituals.</w:t>
      </w:r>
    </w:p>
    <w:p w:rsidR="002242A6" w:rsidRDefault="002242A6" w:rsidP="001D41F3">
      <w:pPr>
        <w:spacing w:line="480" w:lineRule="auto"/>
        <w:jc w:val="center"/>
      </w:pPr>
      <w:r>
        <w:rPr>
          <w:noProof/>
          <w:lang w:eastAsia="en-GB"/>
        </w:rPr>
        <w:drawing>
          <wp:inline distT="0" distB="0" distL="0" distR="0" wp14:anchorId="23C9B0D8">
            <wp:extent cx="3313001" cy="3502588"/>
            <wp:effectExtent l="0" t="0" r="190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20935" cy="3510976"/>
                    </a:xfrm>
                    <a:prstGeom prst="rect">
                      <a:avLst/>
                    </a:prstGeom>
                    <a:noFill/>
                  </pic:spPr>
                </pic:pic>
              </a:graphicData>
            </a:graphic>
          </wp:inline>
        </w:drawing>
      </w:r>
      <w:r>
        <w:rPr>
          <w:noProof/>
          <w:lang w:eastAsia="en-GB"/>
        </w:rPr>
        <w:drawing>
          <wp:inline distT="0" distB="0" distL="0" distR="0" wp14:anchorId="1609F4F2">
            <wp:extent cx="2249555" cy="35020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55303" cy="3510973"/>
                    </a:xfrm>
                    <a:prstGeom prst="rect">
                      <a:avLst/>
                    </a:prstGeom>
                    <a:noFill/>
                  </pic:spPr>
                </pic:pic>
              </a:graphicData>
            </a:graphic>
          </wp:inline>
        </w:drawing>
      </w:r>
      <w:r>
        <w:br/>
        <w:t xml:space="preserve">             </w:t>
      </w:r>
      <w:r w:rsidR="00B82A3F">
        <w:t xml:space="preserve">Figure 1: The </w:t>
      </w:r>
      <w:proofErr w:type="spellStart"/>
      <w:r w:rsidR="00B82A3F">
        <w:t>Berekhat</w:t>
      </w:r>
      <w:proofErr w:type="spellEnd"/>
      <w:r w:rsidR="00B82A3F">
        <w:t xml:space="preserve"> R</w:t>
      </w:r>
      <w:r>
        <w:t xml:space="preserve">am figurine                  Figure 2: The Venus of </w:t>
      </w:r>
      <w:proofErr w:type="spellStart"/>
      <w:r>
        <w:t>Tantan</w:t>
      </w:r>
      <w:proofErr w:type="spellEnd"/>
    </w:p>
    <w:p w:rsidR="002242A6" w:rsidRDefault="002242A6" w:rsidP="001D41F3">
      <w:pPr>
        <w:spacing w:line="480" w:lineRule="auto"/>
        <w:jc w:val="both"/>
      </w:pPr>
      <w:r>
        <w:t>Evidence from the Upper Palaeolithic era is also slim, but more evidence does survive (James 1959). The mother figurines and depictions in this era have similar motifs and styles with slight variation (James 1959: 13-15) possibly due to culture differences. Many of these figurines and depictions have been found throughout Europe spreading east (James 1959: 13-15), but due to a mobile hunter gatherer lifestyle (</w:t>
      </w:r>
      <w:proofErr w:type="spellStart"/>
      <w:r>
        <w:t>Narr</w:t>
      </w:r>
      <w:proofErr w:type="spellEnd"/>
      <w:r>
        <w:t xml:space="preserve"> 2005: 6949) it is hard to pinpoint distinct cultures and boundaries. Nevertheless </w:t>
      </w:r>
      <w:proofErr w:type="spellStart"/>
      <w:r>
        <w:t>Narr</w:t>
      </w:r>
      <w:proofErr w:type="spellEnd"/>
      <w:r>
        <w:t xml:space="preserve"> states that a comparative study of the material may relinquish some of the mysteries surrounding it (</w:t>
      </w:r>
      <w:proofErr w:type="spellStart"/>
      <w:r>
        <w:t>Narr</w:t>
      </w:r>
      <w:proofErr w:type="spellEnd"/>
      <w:r>
        <w:t xml:space="preserve"> 2005: 6949). The Venus of </w:t>
      </w:r>
      <w:proofErr w:type="spellStart"/>
      <w:r>
        <w:t>Willendorf</w:t>
      </w:r>
      <w:proofErr w:type="spellEnd"/>
      <w:r>
        <w:t xml:space="preserve"> is one of the most awe inspiring figurines of the Palaeolithic period, dated between 28,000-25,000 BC, found near Vienna in lower </w:t>
      </w:r>
      <w:r>
        <w:lastRenderedPageBreak/>
        <w:t>Austria (</w:t>
      </w:r>
      <w:proofErr w:type="spellStart"/>
      <w:r>
        <w:t>Kuipa</w:t>
      </w:r>
      <w:proofErr w:type="spellEnd"/>
      <w:r>
        <w:t xml:space="preserve"> 2016: 1). The figurine stands at 11.1cm tall and is made of </w:t>
      </w:r>
      <w:proofErr w:type="spellStart"/>
      <w:r>
        <w:t>oolithic</w:t>
      </w:r>
      <w:proofErr w:type="spellEnd"/>
      <w:r>
        <w:t xml:space="preserve"> limestone that is not local to the area (</w:t>
      </w:r>
      <w:proofErr w:type="spellStart"/>
      <w:r>
        <w:t>Kuipa</w:t>
      </w:r>
      <w:proofErr w:type="spellEnd"/>
      <w:r>
        <w:t xml:space="preserve"> 2016: 1). When looking into the possibility as to where this </w:t>
      </w:r>
      <w:proofErr w:type="spellStart"/>
      <w:r>
        <w:t>oolite</w:t>
      </w:r>
      <w:proofErr w:type="spellEnd"/>
      <w:r>
        <w:t xml:space="preserve"> might be from, deposits are found in North West Europe (Morris 1982: 319), South Russia (Murchison 1845: 294), northern Germany being the closest (</w:t>
      </w:r>
      <w:proofErr w:type="spellStart"/>
      <w:r>
        <w:t>Sandatlas</w:t>
      </w:r>
      <w:proofErr w:type="spellEnd"/>
      <w:r>
        <w:t xml:space="preserve"> 2018), although further analysis would be needed to definitively prove where the materials used to create the object come from. The figurine has an exaggerated abdomen and breasts (figure 3) identifiable with a mother figurine; however, due to her slender arms indicating towards her breasts (Figure 3) </w:t>
      </w:r>
      <w:proofErr w:type="spellStart"/>
      <w:r>
        <w:t>Gimbutas</w:t>
      </w:r>
      <w:proofErr w:type="spellEnd"/>
      <w:r>
        <w:t xml:space="preserve">, one of the leading scholars in the universal mother goddess debate, states in the book The language of the goddess that as the Venus of </w:t>
      </w:r>
      <w:proofErr w:type="spellStart"/>
      <w:r>
        <w:t>Willendof</w:t>
      </w:r>
      <w:proofErr w:type="spellEnd"/>
      <w:r>
        <w:t xml:space="preserve"> does not indicate to her stomach, and therefore lays doubt about the figurine representing pregnancy, discounting it as mother figurine (</w:t>
      </w:r>
      <w:proofErr w:type="spellStart"/>
      <w:r>
        <w:t>Gimbutas</w:t>
      </w:r>
      <w:proofErr w:type="spellEnd"/>
      <w:r>
        <w:t xml:space="preserve"> 1989: 141). </w:t>
      </w:r>
    </w:p>
    <w:p w:rsidR="002242A6" w:rsidRDefault="002242A6" w:rsidP="001D41F3">
      <w:pPr>
        <w:spacing w:line="480" w:lineRule="auto"/>
        <w:jc w:val="center"/>
      </w:pPr>
      <w:r>
        <w:rPr>
          <w:noProof/>
          <w:lang w:eastAsia="en-GB"/>
        </w:rPr>
        <w:drawing>
          <wp:inline distT="0" distB="0" distL="0" distR="0" wp14:anchorId="11619265">
            <wp:extent cx="3396343" cy="458183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13069" cy="4604401"/>
                    </a:xfrm>
                    <a:prstGeom prst="rect">
                      <a:avLst/>
                    </a:prstGeom>
                    <a:noFill/>
                  </pic:spPr>
                </pic:pic>
              </a:graphicData>
            </a:graphic>
          </wp:inline>
        </w:drawing>
      </w:r>
      <w:r>
        <w:br/>
        <w:t xml:space="preserve">Figure 3: The Venus of </w:t>
      </w:r>
      <w:proofErr w:type="spellStart"/>
      <w:r>
        <w:t>Willendorf</w:t>
      </w:r>
      <w:proofErr w:type="spellEnd"/>
    </w:p>
    <w:p w:rsidR="002242A6" w:rsidRDefault="002242A6" w:rsidP="001D41F3">
      <w:pPr>
        <w:spacing w:line="480" w:lineRule="auto"/>
        <w:jc w:val="both"/>
      </w:pPr>
      <w:r>
        <w:lastRenderedPageBreak/>
        <w:t xml:space="preserve">Firstly addressing the idea of this figurine being connected to ritual activity, </w:t>
      </w:r>
      <w:proofErr w:type="spellStart"/>
      <w:r>
        <w:t>Narr</w:t>
      </w:r>
      <w:proofErr w:type="spellEnd"/>
      <w:r>
        <w:t xml:space="preserve"> discusses identifying possible ritual/religious/spiritual activity within the Palaeolithic era, but also criticises the method as only obtaining a base line of knowledge (</w:t>
      </w:r>
      <w:proofErr w:type="spellStart"/>
      <w:r>
        <w:t>Narr</w:t>
      </w:r>
      <w:proofErr w:type="spellEnd"/>
      <w:r>
        <w:t xml:space="preserve"> 2005: 6949). But, due to lack of archaeological evidence and no literary sources from the time period, a base line of knowledge may be considered a good start when deciphering the human past (</w:t>
      </w:r>
      <w:proofErr w:type="spellStart"/>
      <w:r>
        <w:t>Narr</w:t>
      </w:r>
      <w:proofErr w:type="spellEnd"/>
      <w:r>
        <w:t xml:space="preserve"> 2005: 6949). This knowledge may be gained by comparative study of burial customs, art, and pictorial evidence of the area to help decipher possible correlations (</w:t>
      </w:r>
      <w:proofErr w:type="spellStart"/>
      <w:r>
        <w:t>Narr</w:t>
      </w:r>
      <w:proofErr w:type="spellEnd"/>
      <w:r>
        <w:t xml:space="preserve"> 2005: 6949). The Venus of </w:t>
      </w:r>
      <w:proofErr w:type="spellStart"/>
      <w:r>
        <w:t>Willendorf</w:t>
      </w:r>
      <w:proofErr w:type="spellEnd"/>
      <w:r>
        <w:t xml:space="preserve"> has a coating of red ochre paint (Kuiper 2016: 1), many paint materials and left over paint such as red ochre paint has been discovered at a site in lower east Austria (</w:t>
      </w:r>
      <w:proofErr w:type="spellStart"/>
      <w:r>
        <w:t>Einwogerer</w:t>
      </w:r>
      <w:proofErr w:type="spellEnd"/>
      <w:r>
        <w:t xml:space="preserve"> et al 2008: 17) a day’s walk from the site at </w:t>
      </w:r>
      <w:proofErr w:type="spellStart"/>
      <w:r>
        <w:t>Willendorf</w:t>
      </w:r>
      <w:proofErr w:type="spellEnd"/>
      <w:r>
        <w:t xml:space="preserve"> (</w:t>
      </w:r>
      <w:proofErr w:type="spellStart"/>
      <w:r>
        <w:t>Googlemaps</w:t>
      </w:r>
      <w:proofErr w:type="spellEnd"/>
      <w:r>
        <w:t xml:space="preserve"> 2018). The site is located on the outskirts of the city of </w:t>
      </w:r>
      <w:proofErr w:type="spellStart"/>
      <w:r>
        <w:t>Krems</w:t>
      </w:r>
      <w:proofErr w:type="spellEnd"/>
      <w:r>
        <w:t>, filled with evidence of early modern humans</w:t>
      </w:r>
      <w:r w:rsidR="00273F59">
        <w:t>,</w:t>
      </w:r>
      <w:r>
        <w:t xml:space="preserve"> the middle upper Palaeolithic site is well known for its infant burials (</w:t>
      </w:r>
      <w:proofErr w:type="spellStart"/>
      <w:r>
        <w:t>Einwogerer</w:t>
      </w:r>
      <w:proofErr w:type="spellEnd"/>
      <w:r>
        <w:t xml:space="preserve"> et al 2008: 17-19). Two graves were found between 2005 and 2006 at the site containing </w:t>
      </w:r>
      <w:proofErr w:type="spellStart"/>
      <w:r>
        <w:t>newborns</w:t>
      </w:r>
      <w:proofErr w:type="spellEnd"/>
      <w:r>
        <w:t>, the first burial containing what contemporaries argue as a set of twins although DNA analysis has not been conducted on the skeletons thus far (</w:t>
      </w:r>
      <w:proofErr w:type="spellStart"/>
      <w:r w:rsidR="00273F59">
        <w:t>Einwogerer</w:t>
      </w:r>
      <w:proofErr w:type="spellEnd"/>
      <w:r w:rsidR="00273F59">
        <w:t xml:space="preserve"> et al 2006: 17-18). T</w:t>
      </w:r>
      <w:r>
        <w:t>he second burial was found 1m to the north of the first burial in the same stratigraphic position, the burial was concluded to be that of a 0-3 month old infant (</w:t>
      </w:r>
      <w:proofErr w:type="spellStart"/>
      <w:r>
        <w:t>Einwogerer</w:t>
      </w:r>
      <w:proofErr w:type="spellEnd"/>
      <w:r>
        <w:t xml:space="preserve"> et al 2008: 18-19). What is noteworth</w:t>
      </w:r>
      <w:r w:rsidR="00273F59">
        <w:t>y about these infant burials has</w:t>
      </w:r>
      <w:r>
        <w:t xml:space="preserve"> evidence of the bodies being coated in red ochre mixed with animal fat prior to burial (</w:t>
      </w:r>
      <w:proofErr w:type="spellStart"/>
      <w:r>
        <w:t>Einwogerer</w:t>
      </w:r>
      <w:proofErr w:type="spellEnd"/>
      <w:r>
        <w:t xml:space="preserve"> et al 2008: 17-19). Adult burials have also been found coated in the same pigment (</w:t>
      </w:r>
      <w:proofErr w:type="spellStart"/>
      <w:r>
        <w:t>Narr</w:t>
      </w:r>
      <w:proofErr w:type="spellEnd"/>
      <w:r>
        <w:t xml:space="preserve"> 2005: 6952) (</w:t>
      </w:r>
      <w:proofErr w:type="spellStart"/>
      <w:r>
        <w:t>Sarchet</w:t>
      </w:r>
      <w:proofErr w:type="spellEnd"/>
      <w:r>
        <w:t xml:space="preserve"> 2015: 1) suggesting it is not reserved for child death</w:t>
      </w:r>
      <w:r w:rsidR="00273F59">
        <w:t>,</w:t>
      </w:r>
      <w:r>
        <w:t xml:space="preserve"> but it does suggest children were considered as much a part of the community as adults upon their birth. The correlation of red ochre coating on the Venus of </w:t>
      </w:r>
      <w:proofErr w:type="spellStart"/>
      <w:r>
        <w:t>Willendorf</w:t>
      </w:r>
      <w:proofErr w:type="spellEnd"/>
      <w:r>
        <w:t xml:space="preserve"> and the infant burials, when taking </w:t>
      </w:r>
      <w:proofErr w:type="spellStart"/>
      <w:r>
        <w:t>Narr’s</w:t>
      </w:r>
      <w:proofErr w:type="spellEnd"/>
      <w:r>
        <w:t xml:space="preserve"> into perspective (</w:t>
      </w:r>
      <w:proofErr w:type="spellStart"/>
      <w:r>
        <w:t>Narr</w:t>
      </w:r>
      <w:proofErr w:type="spellEnd"/>
      <w:r>
        <w:t xml:space="preserve"> 2005: 6949), does leave a suggestion of ties to ritual activity of the Venus of </w:t>
      </w:r>
      <w:proofErr w:type="spellStart"/>
      <w:r>
        <w:t>Willendorf</w:t>
      </w:r>
      <w:proofErr w:type="spellEnd"/>
      <w:r>
        <w:t xml:space="preserve">. </w:t>
      </w:r>
    </w:p>
    <w:p w:rsidR="002242A6" w:rsidRDefault="002242A6" w:rsidP="001D41F3">
      <w:pPr>
        <w:spacing w:line="480" w:lineRule="auto"/>
        <w:jc w:val="both"/>
      </w:pPr>
      <w:r>
        <w:t xml:space="preserve">Second critique when considering the Venus of </w:t>
      </w:r>
      <w:proofErr w:type="spellStart"/>
      <w:r>
        <w:t>Willdendorf</w:t>
      </w:r>
      <w:proofErr w:type="spellEnd"/>
      <w:r>
        <w:t xml:space="preserve"> is whether or not the figurine does depict a mother or pregnant female (</w:t>
      </w:r>
      <w:proofErr w:type="spellStart"/>
      <w:r>
        <w:t>Gimbutas</w:t>
      </w:r>
      <w:proofErr w:type="spellEnd"/>
      <w:r>
        <w:t xml:space="preserve"> 1989: 141). When looking into the archaeological record the Venus of </w:t>
      </w:r>
      <w:proofErr w:type="spellStart"/>
      <w:r>
        <w:t>Willendorf</w:t>
      </w:r>
      <w:proofErr w:type="spellEnd"/>
      <w:r>
        <w:t xml:space="preserve">  can be compared with other mother figurines and depictions dating to the Upper Palaeolithic era (</w:t>
      </w:r>
      <w:proofErr w:type="spellStart"/>
      <w:r>
        <w:t>Narr</w:t>
      </w:r>
      <w:proofErr w:type="spellEnd"/>
      <w:r>
        <w:t xml:space="preserve"> 2005: 6949). The bowed head and the dramatic hairstyle or possible cap (Kuiper </w:t>
      </w:r>
      <w:r>
        <w:lastRenderedPageBreak/>
        <w:t xml:space="preserve">2016: 1), is rather common and far spread. A stone relief in </w:t>
      </w:r>
      <w:proofErr w:type="spellStart"/>
      <w:r>
        <w:t>Lausell</w:t>
      </w:r>
      <w:proofErr w:type="spellEnd"/>
      <w:r>
        <w:t xml:space="preserve"> France approximately a two week walking distance from </w:t>
      </w:r>
      <w:proofErr w:type="spellStart"/>
      <w:r>
        <w:t>Willendorf</w:t>
      </w:r>
      <w:proofErr w:type="spellEnd"/>
      <w:r>
        <w:t xml:space="preserve"> (Googlemaps2018). The relief was carved into a limestone outcrop which may explain its preservation (</w:t>
      </w:r>
      <w:proofErr w:type="spellStart"/>
      <w:r>
        <w:t>Gimbutas</w:t>
      </w:r>
      <w:proofErr w:type="spellEnd"/>
      <w:r>
        <w:t xml:space="preserve"> 1989: 142). It stands at 42cm tall, dating to roughly 25,000 – 20,000 BC, placing it in the </w:t>
      </w:r>
      <w:proofErr w:type="spellStart"/>
      <w:r>
        <w:t>gravettian</w:t>
      </w:r>
      <w:proofErr w:type="spellEnd"/>
      <w:r>
        <w:t xml:space="preserve"> period (</w:t>
      </w:r>
      <w:proofErr w:type="spellStart"/>
      <w:r>
        <w:t>Gimbutas</w:t>
      </w:r>
      <w:proofErr w:type="spellEnd"/>
      <w:r>
        <w:t xml:space="preserve"> 1989: 142), which is a similar time frame as the Venus of </w:t>
      </w:r>
      <w:proofErr w:type="spellStart"/>
      <w:r>
        <w:t>Willendorf</w:t>
      </w:r>
      <w:proofErr w:type="spellEnd"/>
      <w:r>
        <w:t>. The relief has many similarities to that of the figurine, firstly the relief has a coating of red ochre paint, secondly the bowed head and hairstyle or cap of the relief, and finally the similarities in body shape and emphasis on the key sexual aspects of a female</w:t>
      </w:r>
      <w:r w:rsidR="00273F59">
        <w:t>’</w:t>
      </w:r>
      <w:r>
        <w:t>s body (Figure 4). Due to these bodily proportions some scholars such as James suggest they are emphasising female sexuality (James</w:t>
      </w:r>
      <w:r w:rsidR="00273F59">
        <w:t xml:space="preserve"> 1959: 13-15); however, </w:t>
      </w:r>
      <w:r>
        <w:t xml:space="preserve">when looking at the Venus of </w:t>
      </w:r>
      <w:proofErr w:type="spellStart"/>
      <w:r>
        <w:t>Laussel</w:t>
      </w:r>
      <w:proofErr w:type="spellEnd"/>
      <w:r>
        <w:t xml:space="preserve"> her arms are not indicating to her breasts like </w:t>
      </w:r>
      <w:r w:rsidR="00273F59">
        <w:t xml:space="preserve">the Venus of </w:t>
      </w:r>
      <w:proofErr w:type="spellStart"/>
      <w:r w:rsidR="00273F59">
        <w:t>Willendorf</w:t>
      </w:r>
      <w:proofErr w:type="spellEnd"/>
      <w:r w:rsidR="00273F59">
        <w:t>, but on</w:t>
      </w:r>
      <w:r>
        <w:t>to her stomach which is swollen which would indicate pregnancy (</w:t>
      </w:r>
      <w:proofErr w:type="spellStart"/>
      <w:r>
        <w:t>Gimbutas</w:t>
      </w:r>
      <w:proofErr w:type="spellEnd"/>
      <w:r>
        <w:t xml:space="preserve"> 1989: 142), another arm is holding what is possibly a ram</w:t>
      </w:r>
      <w:r w:rsidR="00273F59">
        <w:t>’</w:t>
      </w:r>
      <w:r>
        <w:t xml:space="preserve">s horn (Figure 4). This may suggest possible music which would give insight into a possible ritual involving figurines or women during this dangerous time of their lives, or it may be purely the symbolism of the ram’s horn to which the meaning has been lost. Although we do not know what it may have represented in the Palaeolithic era, if we take religious evolutionary theory into account, in which all religions are adopted and then adapted by new culture upon contact with other cultures (Wilson 2002: 45). The ram has been associated with the divine throughout Indo-Europe within many polytheistic religions, for example it is often used </w:t>
      </w:r>
      <w:r w:rsidR="00273F59">
        <w:t xml:space="preserve">as </w:t>
      </w:r>
      <w:r>
        <w:t>a sacrificial animal in ancient Greece to both Zeus and Athena (</w:t>
      </w:r>
      <w:proofErr w:type="spellStart"/>
      <w:r>
        <w:t>Gimbutas</w:t>
      </w:r>
      <w:proofErr w:type="spellEnd"/>
      <w:r>
        <w:t xml:space="preserve"> 1989: 79). Hodder’s human and thing en</w:t>
      </w:r>
      <w:r w:rsidR="007E5FF7">
        <w:t>tanglement theory tells us that</w:t>
      </w:r>
      <w:r>
        <w:t xml:space="preserve"> all things have a deep seated connection to the past (Hodder 2012: 5), alongside Wilson’s religious evolu</w:t>
      </w:r>
      <w:r w:rsidR="007E5FF7">
        <w:t>tionary theory (Wilson 2002) it can be</w:t>
      </w:r>
      <w:r>
        <w:t xml:space="preserve"> see</w:t>
      </w:r>
      <w:r w:rsidR="007E5FF7">
        <w:t>n</w:t>
      </w:r>
      <w:r>
        <w:t xml:space="preserve"> the strong connections that religion has made with sheep. For example, modern Christianity labels Jesus Christ the Lamb of God (</w:t>
      </w:r>
      <w:proofErr w:type="spellStart"/>
      <w:r>
        <w:t>Schneiders</w:t>
      </w:r>
      <w:proofErr w:type="spellEnd"/>
      <w:r>
        <w:t xml:space="preserve"> 2011), Aphrodite convincing Psyche to gather fleece from the Golden Fleece (</w:t>
      </w:r>
      <w:proofErr w:type="spellStart"/>
      <w:r>
        <w:t>Apollod</w:t>
      </w:r>
      <w:proofErr w:type="spellEnd"/>
      <w:r>
        <w:t xml:space="preserve"> 1.9), the Greco-Roman god Pan (Larson 2007: 150-152), and Egyptian gods such as </w:t>
      </w:r>
      <w:proofErr w:type="spellStart"/>
      <w:r>
        <w:t>Ammun</w:t>
      </w:r>
      <w:proofErr w:type="spellEnd"/>
      <w:r>
        <w:t xml:space="preserve"> whom later became associated with Zeus/Jupiter (Munson 2004: 97) and Khnum were often depicted with ram’s horns (Shorter 1937: 133). This gives reason to believe that the relief may have connections to the ritual and religious sphere. </w:t>
      </w:r>
    </w:p>
    <w:p w:rsidR="002242A6" w:rsidRDefault="00E56181" w:rsidP="001D41F3">
      <w:pPr>
        <w:spacing w:line="480" w:lineRule="auto"/>
        <w:jc w:val="center"/>
      </w:pPr>
      <w:r w:rsidRPr="00E56181">
        <w:rPr>
          <w:noProof/>
          <w:lang w:eastAsia="en-GB"/>
        </w:rPr>
        <w:lastRenderedPageBreak/>
        <w:drawing>
          <wp:inline distT="0" distB="0" distL="0" distR="0">
            <wp:extent cx="3230088" cy="4209367"/>
            <wp:effectExtent l="0" t="0" r="8890" b="1270"/>
            <wp:docPr id="29" name="Picture 29" descr="The Laussel Venus, photo city hall of Bordeau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Laussel Venus, photo city hall of Bordeaux"/>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34818" cy="4215531"/>
                    </a:xfrm>
                    <a:prstGeom prst="rect">
                      <a:avLst/>
                    </a:prstGeom>
                    <a:noFill/>
                    <a:ln>
                      <a:noFill/>
                    </a:ln>
                  </pic:spPr>
                </pic:pic>
              </a:graphicData>
            </a:graphic>
          </wp:inline>
        </w:drawing>
      </w:r>
      <w:r w:rsidR="007B444A">
        <w:br/>
      </w:r>
      <w:r w:rsidR="002242A6">
        <w:t xml:space="preserve">Figure 4: The Venus of </w:t>
      </w:r>
      <w:proofErr w:type="spellStart"/>
      <w:r w:rsidR="002242A6">
        <w:t>Laussel</w:t>
      </w:r>
      <w:proofErr w:type="spellEnd"/>
    </w:p>
    <w:p w:rsidR="002242A6" w:rsidRDefault="002242A6" w:rsidP="001D41F3">
      <w:pPr>
        <w:spacing w:line="480" w:lineRule="auto"/>
        <w:jc w:val="both"/>
      </w:pPr>
      <w:r>
        <w:t xml:space="preserve">Another figurine with similarities to the Venus of </w:t>
      </w:r>
      <w:proofErr w:type="spellStart"/>
      <w:r>
        <w:t>Willendorf</w:t>
      </w:r>
      <w:proofErr w:type="spellEnd"/>
      <w:r>
        <w:t xml:space="preserve"> is the Venus of </w:t>
      </w:r>
      <w:proofErr w:type="spellStart"/>
      <w:r>
        <w:t>Kostenky</w:t>
      </w:r>
      <w:proofErr w:type="spellEnd"/>
      <w:r>
        <w:t xml:space="preserve"> (Hermitage Museum 2018). Dating to approximately 23,000 – 21,000 BC putting it in the same time frame as the </w:t>
      </w:r>
      <w:r w:rsidR="007B444A">
        <w:t>Venus</w:t>
      </w:r>
      <w:r>
        <w:t xml:space="preserve"> of </w:t>
      </w:r>
      <w:proofErr w:type="spellStart"/>
      <w:r>
        <w:t>Laussel</w:t>
      </w:r>
      <w:proofErr w:type="spellEnd"/>
      <w:r>
        <w:t xml:space="preserve"> and the Venus of </w:t>
      </w:r>
      <w:proofErr w:type="spellStart"/>
      <w:r>
        <w:t>Willendorf</w:t>
      </w:r>
      <w:proofErr w:type="spellEnd"/>
      <w:r>
        <w:t xml:space="preserve">. Standing at 10.3 cm in height (Hermitage </w:t>
      </w:r>
      <w:proofErr w:type="spellStart"/>
      <w:r>
        <w:t>Musem</w:t>
      </w:r>
      <w:proofErr w:type="spellEnd"/>
      <w:r>
        <w:t xml:space="preserve"> 2018), the Venus of </w:t>
      </w:r>
      <w:proofErr w:type="spellStart"/>
      <w:r>
        <w:t>Kostenky</w:t>
      </w:r>
      <w:proofErr w:type="spellEnd"/>
      <w:r>
        <w:t xml:space="preserve"> falls in a similar range of size as the Venus of </w:t>
      </w:r>
      <w:proofErr w:type="spellStart"/>
      <w:r>
        <w:t>Willendorf</w:t>
      </w:r>
      <w:proofErr w:type="spellEnd"/>
      <w:r>
        <w:t xml:space="preserve">, but that is not the only similarity. The Venus of </w:t>
      </w:r>
      <w:proofErr w:type="spellStart"/>
      <w:r>
        <w:t>Kostenky</w:t>
      </w:r>
      <w:proofErr w:type="spellEnd"/>
      <w:r>
        <w:t xml:space="preserve"> is also made from limestone, has the same stance and bowed head as the Venus of </w:t>
      </w:r>
      <w:proofErr w:type="spellStart"/>
      <w:r>
        <w:t>Willendorf</w:t>
      </w:r>
      <w:proofErr w:type="spellEnd"/>
      <w:r>
        <w:t>, the exact same hairstyle/cap, and the same exaggerated features (Figure 5) that James believed to bed sexua</w:t>
      </w:r>
      <w:r w:rsidR="007E5FF7">
        <w:t xml:space="preserve">l (James 1959: 13-15); however, </w:t>
      </w:r>
      <w:r>
        <w:t xml:space="preserve">much like the Venus of </w:t>
      </w:r>
      <w:proofErr w:type="spellStart"/>
      <w:r>
        <w:t>Laussel</w:t>
      </w:r>
      <w:proofErr w:type="spellEnd"/>
      <w:r>
        <w:t xml:space="preserve">, the Venus of </w:t>
      </w:r>
      <w:proofErr w:type="spellStart"/>
      <w:r>
        <w:t>Kostenky</w:t>
      </w:r>
      <w:proofErr w:type="spellEnd"/>
      <w:r>
        <w:t xml:space="preserve"> puts emphasis on her stomach rather than her breasts by her arm placement (Figure 5). The mother figurine is not coated in red ochre but has further ornamentation wrapped around the wrists and breasts (Figure 5). There is a frequent occurrence of personal ornamentation found at grave sites from the upper Palaeolithic era, notably the </w:t>
      </w:r>
      <w:proofErr w:type="spellStart"/>
      <w:r>
        <w:t>K</w:t>
      </w:r>
      <w:r w:rsidR="007E5FF7">
        <w:t>rems</w:t>
      </w:r>
      <w:proofErr w:type="spellEnd"/>
      <w:r w:rsidR="007E5FF7">
        <w:t xml:space="preserve"> site previously mentioned </w:t>
      </w:r>
      <w:r>
        <w:t>also has a burials containing ivory beads (</w:t>
      </w:r>
      <w:proofErr w:type="spellStart"/>
      <w:r>
        <w:t>Einwogerer</w:t>
      </w:r>
      <w:proofErr w:type="spellEnd"/>
      <w:r>
        <w:t xml:space="preserve"> et al 2008: 17). The similarity to distinguished mother </w:t>
      </w:r>
      <w:r>
        <w:lastRenderedPageBreak/>
        <w:t xml:space="preserve">figurines and reliefs suggest that the Venus of </w:t>
      </w:r>
      <w:proofErr w:type="spellStart"/>
      <w:r>
        <w:t>Willendorf</w:t>
      </w:r>
      <w:proofErr w:type="spellEnd"/>
      <w:r>
        <w:t xml:space="preserve"> falls into a similar category and may have possibly been used for ritual activity. The problem that </w:t>
      </w:r>
      <w:proofErr w:type="spellStart"/>
      <w:r>
        <w:t>Gimbuates</w:t>
      </w:r>
      <w:proofErr w:type="spellEnd"/>
      <w:r>
        <w:t xml:space="preserve"> mentions with the Venus of </w:t>
      </w:r>
      <w:proofErr w:type="spellStart"/>
      <w:r>
        <w:t>Willendorf’s</w:t>
      </w:r>
      <w:proofErr w:type="spellEnd"/>
      <w:r>
        <w:t xml:space="preserve"> arm indication leading her to believe that the mother statue may not be so called (</w:t>
      </w:r>
      <w:proofErr w:type="spellStart"/>
      <w:r>
        <w:t>Gimbutas</w:t>
      </w:r>
      <w:proofErr w:type="spellEnd"/>
      <w:r>
        <w:t xml:space="preserve"> 1989: 141). </w:t>
      </w:r>
      <w:proofErr w:type="spellStart"/>
      <w:r>
        <w:t>Kostenky</w:t>
      </w:r>
      <w:proofErr w:type="spellEnd"/>
      <w:r>
        <w:t xml:space="preserve"> is approximately just over a two week walk west from where the Venus of </w:t>
      </w:r>
      <w:proofErr w:type="spellStart"/>
      <w:r>
        <w:t>Willendorf</w:t>
      </w:r>
      <w:proofErr w:type="spellEnd"/>
      <w:r>
        <w:t xml:space="preserve"> was found (</w:t>
      </w:r>
      <w:proofErr w:type="spellStart"/>
      <w:r>
        <w:t>Googlemaps</w:t>
      </w:r>
      <w:proofErr w:type="spellEnd"/>
      <w:r>
        <w:t xml:space="preserve"> 2018), suggesting culture contact due to the similarities in the figurines and the proximity, it also suggests that the Venus of </w:t>
      </w:r>
      <w:proofErr w:type="spellStart"/>
      <w:r>
        <w:t>Willendorf</w:t>
      </w:r>
      <w:proofErr w:type="spellEnd"/>
      <w:r>
        <w:t xml:space="preserve"> is indeed a mother figurine.</w:t>
      </w:r>
    </w:p>
    <w:p w:rsidR="002242A6" w:rsidRDefault="007B444A" w:rsidP="001D41F3">
      <w:pPr>
        <w:spacing w:line="480" w:lineRule="auto"/>
        <w:jc w:val="center"/>
      </w:pPr>
      <w:r>
        <w:rPr>
          <w:noProof/>
          <w:lang w:eastAsia="en-GB"/>
        </w:rPr>
        <w:drawing>
          <wp:inline distT="0" distB="0" distL="0" distR="0" wp14:anchorId="3409B4B6">
            <wp:extent cx="3336966" cy="5248417"/>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44885" cy="5260872"/>
                    </a:xfrm>
                    <a:prstGeom prst="rect">
                      <a:avLst/>
                    </a:prstGeom>
                    <a:noFill/>
                  </pic:spPr>
                </pic:pic>
              </a:graphicData>
            </a:graphic>
          </wp:inline>
        </w:drawing>
      </w:r>
      <w:r>
        <w:br/>
      </w:r>
      <w:r w:rsidR="002242A6">
        <w:t xml:space="preserve">Figure 5: The Venus of </w:t>
      </w:r>
      <w:proofErr w:type="spellStart"/>
      <w:r w:rsidR="002242A6">
        <w:t>Kostenky</w:t>
      </w:r>
      <w:proofErr w:type="spellEnd"/>
    </w:p>
    <w:p w:rsidR="002242A6" w:rsidRDefault="002242A6" w:rsidP="001D41F3">
      <w:pPr>
        <w:spacing w:line="480" w:lineRule="auto"/>
        <w:jc w:val="both"/>
      </w:pPr>
      <w:r>
        <w:lastRenderedPageBreak/>
        <w:t xml:space="preserve">Yet another female figurine from the upper Palaeolithic era emerged in France known as the Venus of </w:t>
      </w:r>
      <w:proofErr w:type="spellStart"/>
      <w:r>
        <w:t>Lespugue</w:t>
      </w:r>
      <w:proofErr w:type="spellEnd"/>
      <w:r>
        <w:t xml:space="preserve"> (Figure 6) w</w:t>
      </w:r>
      <w:r w:rsidR="007E5FF7">
        <w:t>hich is approximately 27,000 -</w:t>
      </w:r>
      <w:r>
        <w:t xml:space="preserve"> 20,000 years old. The figurine was carved from ivory (Barber 1995: 4) and has similar exaggerated sexual features to that of the Venus of </w:t>
      </w:r>
      <w:proofErr w:type="spellStart"/>
      <w:r>
        <w:t>Willendorf</w:t>
      </w:r>
      <w:proofErr w:type="spellEnd"/>
      <w:r>
        <w:t xml:space="preserve">, as well as the arm indicated towards her breasts.  Unlike the Venus of </w:t>
      </w:r>
      <w:proofErr w:type="spellStart"/>
      <w:r>
        <w:t>Willendorf</w:t>
      </w:r>
      <w:proofErr w:type="spellEnd"/>
      <w:r>
        <w:t xml:space="preserve"> the figurine has what appears to be woven clothing on (Barber 1995: 43), and the same modest bowed head as the other mother figurines.  This suggests that </w:t>
      </w:r>
      <w:proofErr w:type="spellStart"/>
      <w:r>
        <w:t>Gambutas</w:t>
      </w:r>
      <w:proofErr w:type="spellEnd"/>
      <w:r>
        <w:t xml:space="preserve"> may have been wrong to disregard this style of mother figurine. Breasts, although a sexualised female organ, do have another function surrounding motherhood. Breast feeding was the only way until recently to feed a new born child and it is perhaps this aspect of motherhood that these figurines may have been trying to represent. But, we must also consider the same ‘thing’ does not always represent the same beliefs or practices surrounding it in each individual culture (Hodder 2012: 125-128), which suggests that these figurines may be a part of ritual activity in one area and not in another. </w:t>
      </w:r>
    </w:p>
    <w:p w:rsidR="002242A6" w:rsidRDefault="007B444A" w:rsidP="001D41F3">
      <w:pPr>
        <w:spacing w:line="480" w:lineRule="auto"/>
        <w:jc w:val="center"/>
      </w:pPr>
      <w:r w:rsidRPr="00221AA0">
        <w:rPr>
          <w:noProof/>
          <w:lang w:eastAsia="en-GB"/>
        </w:rPr>
        <w:drawing>
          <wp:inline distT="0" distB="0" distL="0" distR="0" wp14:anchorId="7EA35A34" wp14:editId="5BC87EE4">
            <wp:extent cx="2909455" cy="4303726"/>
            <wp:effectExtent l="0" t="0" r="5715" b="1905"/>
            <wp:docPr id="8" name="Picture 8" descr="Venus de Lespugue Â© MNHN - JC Domen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enus de Lespugue Â© MNHN - JC Domenech"/>
                    <pic:cNvPicPr>
                      <a:picLocks noChangeAspect="1" noChangeArrowheads="1"/>
                    </pic:cNvPicPr>
                  </pic:nvPicPr>
                  <pic:blipFill rotWithShape="1">
                    <a:blip r:embed="rId14">
                      <a:extLst>
                        <a:ext uri="{28A0092B-C50C-407E-A947-70E740481C1C}">
                          <a14:useLocalDpi xmlns:a14="http://schemas.microsoft.com/office/drawing/2010/main" val="0"/>
                        </a:ext>
                      </a:extLst>
                    </a:blip>
                    <a:srcRect l="36067" t="870" r="38337"/>
                    <a:stretch/>
                  </pic:blipFill>
                  <pic:spPr bwMode="auto">
                    <a:xfrm>
                      <a:off x="0" y="0"/>
                      <a:ext cx="2966773" cy="4388512"/>
                    </a:xfrm>
                    <a:prstGeom prst="rect">
                      <a:avLst/>
                    </a:prstGeom>
                    <a:noFill/>
                    <a:ln>
                      <a:noFill/>
                    </a:ln>
                    <a:extLst>
                      <a:ext uri="{53640926-AAD7-44D8-BBD7-CCE9431645EC}">
                        <a14:shadowObscured xmlns:a14="http://schemas.microsoft.com/office/drawing/2010/main"/>
                      </a:ext>
                    </a:extLst>
                  </pic:spPr>
                </pic:pic>
              </a:graphicData>
            </a:graphic>
          </wp:inline>
        </w:drawing>
      </w:r>
      <w:r>
        <w:br/>
      </w:r>
      <w:r w:rsidR="002242A6">
        <w:t xml:space="preserve">Figure 6: The Venus of </w:t>
      </w:r>
      <w:proofErr w:type="spellStart"/>
      <w:r w:rsidR="002242A6">
        <w:t>Lespugue</w:t>
      </w:r>
      <w:proofErr w:type="spellEnd"/>
    </w:p>
    <w:p w:rsidR="002242A6" w:rsidRDefault="002242A6" w:rsidP="001D41F3">
      <w:pPr>
        <w:spacing w:line="480" w:lineRule="auto"/>
        <w:jc w:val="both"/>
      </w:pPr>
      <w:r>
        <w:lastRenderedPageBreak/>
        <w:t xml:space="preserve">Wilson tells us that “differences among religious are culturally based” (Wilson 2002: 11), but he also goes on to say that religions are often adopted and then adapted both by individuals as well as groups and that these cultural practices often spread regardless of the expense of the group or the individual (Wilson 2002: 44). In a nomadic life style groups do roam, as the Venus of </w:t>
      </w:r>
      <w:proofErr w:type="spellStart"/>
      <w:r>
        <w:t>Willendorfs</w:t>
      </w:r>
      <w:proofErr w:type="spellEnd"/>
      <w:r>
        <w:t xml:space="preserve"> materials alone indicate this (Kuiper 2016: 1). Alongside this the artwork found within walking distances, that during a mobile hunter gatherer society would have been a normal distance to walk and roam whilst following game (Marceau &amp; Myers 2006: 753), all indicate similar rituals or symbolism that could be understood between different cultures. However, this does not indicate the same belief system as culture does adapt any given belief systems. </w:t>
      </w:r>
      <w:proofErr w:type="spellStart"/>
      <w:r>
        <w:t>Narr</w:t>
      </w:r>
      <w:proofErr w:type="spellEnd"/>
      <w:r>
        <w:t xml:space="preserve"> says Palaeolithic religion is whatever deals with above natural phenomena (</w:t>
      </w:r>
      <w:proofErr w:type="spellStart"/>
      <w:r>
        <w:t>Narr</w:t>
      </w:r>
      <w:proofErr w:type="spellEnd"/>
      <w:r>
        <w:t xml:space="preserve"> 2005: 6949), birth being a natural phenomenon. However, we must also consider that religion is an intrinsic part of all life events and is used to explain or control a fear of something such as death (</w:t>
      </w:r>
      <w:proofErr w:type="spellStart"/>
      <w:r>
        <w:t>Sewyer</w:t>
      </w:r>
      <w:proofErr w:type="spellEnd"/>
      <w:r>
        <w:t xml:space="preserve"> 2005: 3381), child birth is dangerous and has cost many women their lives and is something that wouldn’t have been fully understood scientific</w:t>
      </w:r>
      <w:r w:rsidR="007E5FF7">
        <w:t>ally until recently. Hodder says</w:t>
      </w:r>
      <w:r>
        <w:t xml:space="preserve"> just because someone may able to understand that by squeezing a ketchup bottle releases the sauce doesn’t mean they understand how the process of applied pressure to air pressure causes the ketchup to squirt from the bottle (Hodder 2012: 3). The same may be said for childbirth, just because you know that sometimes sex leads to pregnan</w:t>
      </w:r>
      <w:r w:rsidR="007E5FF7">
        <w:t>cy and pregnancy leads to child</w:t>
      </w:r>
      <w:r>
        <w:t>birth which may lead to death doesn’t mean you understand egg fertilisation, the growth stages of a foetus, or how births can go wrong and cause infection. Chi</w:t>
      </w:r>
      <w:r w:rsidR="007E5FF7">
        <w:t>ld</w:t>
      </w:r>
      <w:r>
        <w:t>birth may be considered a natural phenomenon to us, but may have been different to people who didn’t fully understand this process yet. This evidence gives reason to suggest that mother figurines from the Upper Palaeolithic era were most likely involved</w:t>
      </w:r>
      <w:r w:rsidR="007E5FF7">
        <w:t xml:space="preserve"> in</w:t>
      </w:r>
      <w:r>
        <w:t xml:space="preserve"> ritual activity, and that many different groups of humans appear to have been in some form of communication of contact either directly or indirectly across into the east due to the somewhat shared customs. This does not mean</w:t>
      </w:r>
      <w:r w:rsidR="007E5FF7">
        <w:t>,</w:t>
      </w:r>
      <w:r>
        <w:t xml:space="preserve"> however, that their rituals or mythologies were identical more that they may have spread and adapted with each culture it came across. </w:t>
      </w:r>
    </w:p>
    <w:p w:rsidR="002242A6" w:rsidRDefault="002242A6" w:rsidP="001D41F3">
      <w:pPr>
        <w:spacing w:line="480" w:lineRule="auto"/>
        <w:jc w:val="both"/>
      </w:pPr>
      <w:r>
        <w:lastRenderedPageBreak/>
        <w:t>Towards the end of the Palaeolithic era humans began to learn to cultivate cereals and animals, areas of the world independently exploiting different areas of farming and domestication bringing humans into the Neolit</w:t>
      </w:r>
      <w:r w:rsidR="00F81551">
        <w:t>hic age (</w:t>
      </w:r>
      <w:proofErr w:type="spellStart"/>
      <w:r w:rsidR="00F81551">
        <w:t>Srejovic</w:t>
      </w:r>
      <w:proofErr w:type="spellEnd"/>
      <w:r w:rsidR="00F81551">
        <w:t xml:space="preserve"> 2005: 6459). This was c</w:t>
      </w:r>
      <w:r>
        <w:t>haracterised by the propping up of permanent settlements, increased evidence of ritual activity, and later by early temples and the introduction of pottery (</w:t>
      </w:r>
      <w:proofErr w:type="spellStart"/>
      <w:r>
        <w:t>Srejovic</w:t>
      </w:r>
      <w:proofErr w:type="spellEnd"/>
      <w:r>
        <w:t xml:space="preserve"> 2005: 6459). The Neolithic era began a wave within human society and caused changes that have l</w:t>
      </w:r>
      <w:r w:rsidR="00F81551">
        <w:t>ed to our current way of living.</w:t>
      </w:r>
      <w:r>
        <w:t xml:space="preserve"> </w:t>
      </w:r>
      <w:r w:rsidR="00F81551">
        <w:t>N</w:t>
      </w:r>
      <w:r>
        <w:t xml:space="preserve">ever before proceeded of during the Palaeolithic era. Forms of mother statues appear in abundance throughout the Mediterranean during this period, predominantly in the Fertile Crescent (James 1959: 22-31) in which women are often credited with the successful </w:t>
      </w:r>
      <w:r w:rsidR="00F81551">
        <w:t>cultivation of</w:t>
      </w:r>
      <w:r>
        <w:t xml:space="preserve"> cereal crops, leading to the slow decline of hunting and increase of farming (</w:t>
      </w:r>
      <w:proofErr w:type="spellStart"/>
      <w:r>
        <w:t>Kuijt</w:t>
      </w:r>
      <w:proofErr w:type="spellEnd"/>
      <w:r>
        <w:t xml:space="preserve"> 2000: 3). Neolithic religious activity begins to change from the Palaeolithic stone reliance to the Neolithic reliance of the earth (</w:t>
      </w:r>
      <w:proofErr w:type="spellStart"/>
      <w:r>
        <w:t>Srejovic</w:t>
      </w:r>
      <w:proofErr w:type="spellEnd"/>
      <w:r>
        <w:t xml:space="preserve"> 2005: 6459), we notice many mother figurines have been deliberately buried under household shrines (</w:t>
      </w:r>
      <w:proofErr w:type="spellStart"/>
      <w:r>
        <w:t>Rollefson</w:t>
      </w:r>
      <w:proofErr w:type="spellEnd"/>
      <w:r>
        <w:t xml:space="preserve"> 2000: 169-170), under hearths (</w:t>
      </w:r>
      <w:proofErr w:type="spellStart"/>
      <w:r>
        <w:t>Rollefson</w:t>
      </w:r>
      <w:proofErr w:type="spellEnd"/>
      <w:r>
        <w:t xml:space="preserve"> 2000: 168-170), and in grain supplies (</w:t>
      </w:r>
      <w:proofErr w:type="spellStart"/>
      <w:r>
        <w:t>Gimbuats</w:t>
      </w:r>
      <w:proofErr w:type="spellEnd"/>
      <w:r>
        <w:t xml:space="preserve"> 1989: 107).  Many burials survive during this time period </w:t>
      </w:r>
      <w:r w:rsidR="00F81551">
        <w:t xml:space="preserve">with </w:t>
      </w:r>
      <w:r>
        <w:t xml:space="preserve">a lot of graves obtaining wild animals (Goring-Morris 2000: 121), there is also evidence of many places within Anatolia sharing a similar belief system which can be seen with the early Neolithic site </w:t>
      </w:r>
      <w:proofErr w:type="spellStart"/>
      <w:r>
        <w:t>Gobekli</w:t>
      </w:r>
      <w:proofErr w:type="spellEnd"/>
      <w:r>
        <w:t xml:space="preserve"> </w:t>
      </w:r>
      <w:proofErr w:type="spellStart"/>
      <w:r>
        <w:t>Tepe</w:t>
      </w:r>
      <w:proofErr w:type="spellEnd"/>
      <w:r>
        <w:t xml:space="preserve"> (</w:t>
      </w:r>
      <w:proofErr w:type="spellStart"/>
      <w:r>
        <w:t>Shmidt</w:t>
      </w:r>
      <w:proofErr w:type="spellEnd"/>
      <w:r>
        <w:t xml:space="preserve"> 2010: 242). Notably the site has been interpreted to be a place where many different communities g</w:t>
      </w:r>
      <w:r w:rsidR="00F81551">
        <w:t>athered together to construct</w:t>
      </w:r>
      <w:r>
        <w:t xml:space="preserve"> a ritual site (</w:t>
      </w:r>
      <w:proofErr w:type="spellStart"/>
      <w:r>
        <w:t>Shmidt</w:t>
      </w:r>
      <w:proofErr w:type="spellEnd"/>
      <w:r>
        <w:t xml:space="preserve"> 2010: 240) which may be seen through its processional way (</w:t>
      </w:r>
      <w:proofErr w:type="spellStart"/>
      <w:r>
        <w:t>Deitrich</w:t>
      </w:r>
      <w:proofErr w:type="spellEnd"/>
      <w:r>
        <w:t xml:space="preserve"> et al 2013: 30) and the amount of labour used to carve it from limestone (</w:t>
      </w:r>
      <w:proofErr w:type="spellStart"/>
      <w:r>
        <w:t>Deitrich</w:t>
      </w:r>
      <w:proofErr w:type="spellEnd"/>
      <w:r>
        <w:t xml:space="preserve"> 2016: 1). Obsidian (Banning 2011: 624) and mother figurines (</w:t>
      </w:r>
      <w:proofErr w:type="spellStart"/>
      <w:r>
        <w:t>Shmidt</w:t>
      </w:r>
      <w:proofErr w:type="spellEnd"/>
      <w:r>
        <w:t xml:space="preserve"> 2003: 20) were also found to be buried at the site, placed there before the site</w:t>
      </w:r>
      <w:r w:rsidR="00F81551">
        <w:t>’</w:t>
      </w:r>
      <w:r>
        <w:t xml:space="preserve">s abandonment and burial (Schmidt 2010: 242). As well as the </w:t>
      </w:r>
      <w:r w:rsidR="00F81551">
        <w:t>emergence</w:t>
      </w:r>
      <w:r>
        <w:t xml:space="preserve"> of cult spaces a potential ‘twin goddess’ also appears during the early Neolithic era (</w:t>
      </w:r>
      <w:proofErr w:type="spellStart"/>
      <w:r>
        <w:t>Srejovic</w:t>
      </w:r>
      <w:proofErr w:type="spellEnd"/>
      <w:r>
        <w:t xml:space="preserve"> 2005: 6462). Scholars appear to not discuss in depth the idea or purpose of a twin goddess but some do agree in its emergence (</w:t>
      </w:r>
      <w:proofErr w:type="spellStart"/>
      <w:r>
        <w:t>Srejovic</w:t>
      </w:r>
      <w:proofErr w:type="spellEnd"/>
      <w:r>
        <w:t xml:space="preserve"> 2005: 6462) (Barstow 1978: 13). The archaeological evidence of the twin goddess may be seen with figurines that are double headed that have been found at Ain Ghazal (Figure 7), </w:t>
      </w:r>
      <w:proofErr w:type="spellStart"/>
      <w:r>
        <w:t>Catalhoyuk</w:t>
      </w:r>
      <w:proofErr w:type="spellEnd"/>
      <w:r>
        <w:t xml:space="preserve"> (Figure 8), and Malta </w:t>
      </w:r>
      <w:r w:rsidR="00F81551">
        <w:t>(</w:t>
      </w:r>
      <w:proofErr w:type="spellStart"/>
      <w:r w:rsidR="00F81551">
        <w:t>Rountree</w:t>
      </w:r>
      <w:proofErr w:type="spellEnd"/>
      <w:r w:rsidR="00F81551">
        <w:t xml:space="preserve"> 2003: 39)(Figure 9). This suggests</w:t>
      </w:r>
      <w:r>
        <w:t xml:space="preserve"> that perhaps these places had </w:t>
      </w:r>
      <w:r>
        <w:lastRenderedPageBreak/>
        <w:t>contact with one another, which may now be seen through the traceable DNA through Anatolia and the Mediterranean islands (</w:t>
      </w:r>
      <w:proofErr w:type="spellStart"/>
      <w:r>
        <w:t>Paschou</w:t>
      </w:r>
      <w:proofErr w:type="spellEnd"/>
      <w:r>
        <w:t xml:space="preserve"> et al 2014 9212-9213), but does not suggest the same beliefs behind a similar motif. </w:t>
      </w:r>
      <w:proofErr w:type="spellStart"/>
      <w:r>
        <w:t>Srejovic</w:t>
      </w:r>
      <w:proofErr w:type="spellEnd"/>
      <w:r>
        <w:t xml:space="preserve"> mentions that reliance transfers from stone to earth (</w:t>
      </w:r>
      <w:proofErr w:type="spellStart"/>
      <w:r>
        <w:t>Srejovic</w:t>
      </w:r>
      <w:proofErr w:type="spellEnd"/>
      <w:r>
        <w:t xml:space="preserve"> 2005: 6459), this is emulated as figurines begin to be made from more earthen materials such as clay (</w:t>
      </w:r>
      <w:proofErr w:type="spellStart"/>
      <w:r>
        <w:t>Muscarella</w:t>
      </w:r>
      <w:proofErr w:type="spellEnd"/>
      <w:r>
        <w:t xml:space="preserve"> 1971: 77) and reeds and plaster (</w:t>
      </w:r>
      <w:proofErr w:type="spellStart"/>
      <w:r>
        <w:t>Rollefson</w:t>
      </w:r>
      <w:proofErr w:type="spellEnd"/>
      <w:r>
        <w:t xml:space="preserve"> 2000: 169-170). Religi</w:t>
      </w:r>
      <w:r w:rsidR="00F81551">
        <w:t xml:space="preserve">on often adapts to the needs of </w:t>
      </w:r>
      <w:r>
        <w:t>the people whom use it (Wilson 2002: 6), It may be possible that the different needs of human civilisation, during this time period, may have led to a transition in needs from their deities without want</w:t>
      </w:r>
      <w:r w:rsidR="001D41F3">
        <w:t xml:space="preserve">ing to disregard the old ones. </w:t>
      </w:r>
    </w:p>
    <w:p w:rsidR="002242A6" w:rsidRDefault="007B444A" w:rsidP="001D41F3">
      <w:pPr>
        <w:spacing w:line="480" w:lineRule="auto"/>
        <w:jc w:val="center"/>
      </w:pPr>
      <w:r>
        <w:rPr>
          <w:noProof/>
          <w:lang w:eastAsia="en-GB"/>
        </w:rPr>
        <w:drawing>
          <wp:inline distT="0" distB="0" distL="0" distR="0" wp14:anchorId="77DB0633">
            <wp:extent cx="2545336" cy="3825369"/>
            <wp:effectExtent l="0" t="0" r="762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58459" cy="3845092"/>
                    </a:xfrm>
                    <a:prstGeom prst="rect">
                      <a:avLst/>
                    </a:prstGeom>
                    <a:noFill/>
                  </pic:spPr>
                </pic:pic>
              </a:graphicData>
            </a:graphic>
          </wp:inline>
        </w:drawing>
      </w:r>
      <w:r>
        <w:rPr>
          <w:noProof/>
          <w:lang w:eastAsia="en-GB"/>
        </w:rPr>
        <w:drawing>
          <wp:inline distT="0" distB="0" distL="0" distR="0" wp14:anchorId="13E98444">
            <wp:extent cx="2683823" cy="3821211"/>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08588" cy="3856471"/>
                    </a:xfrm>
                    <a:prstGeom prst="rect">
                      <a:avLst/>
                    </a:prstGeom>
                    <a:noFill/>
                  </pic:spPr>
                </pic:pic>
              </a:graphicData>
            </a:graphic>
          </wp:inline>
        </w:drawing>
      </w:r>
      <w:r>
        <w:br/>
      </w:r>
      <w:r w:rsidR="004F7868">
        <w:t>Figure 7: T</w:t>
      </w:r>
      <w:r w:rsidR="002242A6">
        <w:t xml:space="preserve">wo headed statue Ain Ghazal.       Figure 8: </w:t>
      </w:r>
      <w:proofErr w:type="spellStart"/>
      <w:r w:rsidR="002242A6">
        <w:t>Catalhoyuk</w:t>
      </w:r>
      <w:proofErr w:type="spellEnd"/>
      <w:r w:rsidR="002242A6">
        <w:t xml:space="preserve"> double goddess figurine.</w:t>
      </w:r>
    </w:p>
    <w:p w:rsidR="002242A6" w:rsidRDefault="004F7868" w:rsidP="001D41F3">
      <w:pPr>
        <w:spacing w:line="480" w:lineRule="auto"/>
        <w:jc w:val="center"/>
      </w:pPr>
      <w:r w:rsidRPr="004F7868">
        <w:rPr>
          <w:noProof/>
          <w:lang w:eastAsia="en-GB"/>
        </w:rPr>
        <w:lastRenderedPageBreak/>
        <w:drawing>
          <wp:inline distT="0" distB="0" distL="0" distR="0">
            <wp:extent cx="4120738" cy="4445442"/>
            <wp:effectExtent l="0" t="0" r="0" b="0"/>
            <wp:docPr id="30" name="Picture 30" descr="Image result for malta twin godd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malta twin goddes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27968" cy="4453242"/>
                    </a:xfrm>
                    <a:prstGeom prst="rect">
                      <a:avLst/>
                    </a:prstGeom>
                    <a:noFill/>
                    <a:ln>
                      <a:noFill/>
                    </a:ln>
                  </pic:spPr>
                </pic:pic>
              </a:graphicData>
            </a:graphic>
          </wp:inline>
        </w:drawing>
      </w:r>
      <w:r w:rsidR="007B444A">
        <w:br/>
      </w:r>
      <w:r w:rsidR="002242A6">
        <w:t>Figure 9: Malta</w:t>
      </w:r>
      <w:r>
        <w:t>’</w:t>
      </w:r>
      <w:r w:rsidR="002242A6">
        <w:t>s twin goddess figurine.</w:t>
      </w:r>
    </w:p>
    <w:p w:rsidR="002242A6" w:rsidRDefault="002242A6" w:rsidP="001D41F3">
      <w:pPr>
        <w:spacing w:line="480" w:lineRule="auto"/>
        <w:jc w:val="both"/>
      </w:pPr>
      <w:r>
        <w:t xml:space="preserve">The most renowned mother figurines of the early Neolithic settlements come from the town of </w:t>
      </w:r>
      <w:proofErr w:type="spellStart"/>
      <w:r>
        <w:t>Catalhoyuk</w:t>
      </w:r>
      <w:proofErr w:type="spellEnd"/>
      <w:r>
        <w:t xml:space="preserve">, located in </w:t>
      </w:r>
      <w:r w:rsidR="00F81551">
        <w:t>southeast Anatolia, modern day T</w:t>
      </w:r>
      <w:r>
        <w:t>urkey (Voigt 2000: 253). The town is known for its roof top entrances (During 2007: 134), thought to keep the residence safe from predatory animals, the town is also known for its heavy bull imagery (</w:t>
      </w:r>
      <w:proofErr w:type="spellStart"/>
      <w:r>
        <w:t>Balter</w:t>
      </w:r>
      <w:proofErr w:type="spellEnd"/>
      <w:r>
        <w:t xml:space="preserve"> 2006: 323) as house décor and its early frescos (During 2007: 135). Two of the most beautiful and well preserved mother figurines were found at this settlement, one seated on a throne side by side with two big cats (Figure 10), and one can be identified as a female lion (</w:t>
      </w:r>
      <w:proofErr w:type="spellStart"/>
      <w:r>
        <w:t>Mellart</w:t>
      </w:r>
      <w:proofErr w:type="spellEnd"/>
      <w:r>
        <w:t xml:space="preserve"> 1962: 93). The female appears to be in the middle of labour as what is possibly a baby’s head can be seen coming from in-between the figurine</w:t>
      </w:r>
      <w:r w:rsidR="003D321D">
        <w:t>’</w:t>
      </w:r>
      <w:r>
        <w:t>s legs, showing that the focus of these figurines are still aimed at motherhood (</w:t>
      </w:r>
      <w:proofErr w:type="spellStart"/>
      <w:r>
        <w:t>Gimbutas</w:t>
      </w:r>
      <w:proofErr w:type="spellEnd"/>
      <w:r>
        <w:t xml:space="preserve"> 1989: 107). The figurine was found in a grain bin (</w:t>
      </w:r>
      <w:proofErr w:type="spellStart"/>
      <w:r>
        <w:t>Gimbuats</w:t>
      </w:r>
      <w:proofErr w:type="spellEnd"/>
      <w:r>
        <w:t xml:space="preserve"> 1989: 107), possibly placed there in hopes of grain fertility (</w:t>
      </w:r>
      <w:proofErr w:type="spellStart"/>
      <w:r>
        <w:t>Mellart</w:t>
      </w:r>
      <w:proofErr w:type="spellEnd"/>
      <w:r>
        <w:t xml:space="preserve"> 1963: 95). The figurine is made of clay (</w:t>
      </w:r>
      <w:proofErr w:type="spellStart"/>
      <w:r>
        <w:t>Mellart</w:t>
      </w:r>
      <w:proofErr w:type="spellEnd"/>
      <w:r>
        <w:t xml:space="preserve"> 1963: 93) and stands at 11.8 cm in height (</w:t>
      </w:r>
      <w:proofErr w:type="spellStart"/>
      <w:r>
        <w:t>Gimbutas</w:t>
      </w:r>
      <w:proofErr w:type="spellEnd"/>
      <w:r>
        <w:t xml:space="preserve"> </w:t>
      </w:r>
      <w:r>
        <w:lastRenderedPageBreak/>
        <w:t xml:space="preserve">1989: 107), found </w:t>
      </w:r>
      <w:r w:rsidR="003D321D">
        <w:t>in a level II shrine alongside nine</w:t>
      </w:r>
      <w:r>
        <w:t xml:space="preserve"> other female figurines either indicating towards their breasts or stomachs, some wearing leopard garments, most were headless and standing (</w:t>
      </w:r>
      <w:proofErr w:type="spellStart"/>
      <w:r>
        <w:t>Mellart</w:t>
      </w:r>
      <w:proofErr w:type="spellEnd"/>
      <w:r>
        <w:t xml:space="preserve"> 1963: 93). Found in context of a ritual/religious sphere indicating its connecti</w:t>
      </w:r>
      <w:r w:rsidR="003D321D">
        <w:t>on to it, a cult defining child</w:t>
      </w:r>
      <w:r>
        <w:t xml:space="preserve">birth and fertility may be established from this evidence, but this does not suggest any connection to the Palaeolithic figurines other than the similarities in motifs.  </w:t>
      </w:r>
    </w:p>
    <w:p w:rsidR="002242A6" w:rsidRDefault="007B444A" w:rsidP="001D41F3">
      <w:pPr>
        <w:spacing w:line="480" w:lineRule="auto"/>
        <w:jc w:val="center"/>
      </w:pPr>
      <w:r>
        <w:rPr>
          <w:noProof/>
          <w:lang w:eastAsia="en-GB"/>
        </w:rPr>
        <w:drawing>
          <wp:inline distT="0" distB="0" distL="0" distR="0" wp14:anchorId="394FB8AA" wp14:editId="426C18A4">
            <wp:extent cx="3762995" cy="3631240"/>
            <wp:effectExtent l="8573"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0241" t="28269" r="35340" b="11900"/>
                    <a:stretch/>
                  </pic:blipFill>
                  <pic:spPr bwMode="auto">
                    <a:xfrm rot="5400000">
                      <a:off x="0" y="0"/>
                      <a:ext cx="3779810" cy="3647466"/>
                    </a:xfrm>
                    <a:prstGeom prst="rect">
                      <a:avLst/>
                    </a:prstGeom>
                    <a:ln>
                      <a:noFill/>
                    </a:ln>
                    <a:extLst>
                      <a:ext uri="{53640926-AAD7-44D8-BBD7-CCE9431645EC}">
                        <a14:shadowObscured xmlns:a14="http://schemas.microsoft.com/office/drawing/2010/main"/>
                      </a:ext>
                    </a:extLst>
                  </pic:spPr>
                </pic:pic>
              </a:graphicData>
            </a:graphic>
          </wp:inline>
        </w:drawing>
      </w:r>
      <w:r>
        <w:br/>
      </w:r>
      <w:r w:rsidR="002242A6">
        <w:t xml:space="preserve">Figure 10: Seated female figurine from </w:t>
      </w:r>
      <w:proofErr w:type="spellStart"/>
      <w:r w:rsidR="002242A6">
        <w:t>Catalhoyuk</w:t>
      </w:r>
      <w:proofErr w:type="spellEnd"/>
      <w:r w:rsidR="002242A6">
        <w:t>.</w:t>
      </w:r>
    </w:p>
    <w:p w:rsidR="002242A6" w:rsidRDefault="002242A6" w:rsidP="001D41F3">
      <w:pPr>
        <w:spacing w:line="480" w:lineRule="auto"/>
        <w:jc w:val="both"/>
      </w:pPr>
      <w:r>
        <w:t xml:space="preserve">A second notably beautiful figurine from </w:t>
      </w:r>
      <w:proofErr w:type="spellStart"/>
      <w:r>
        <w:t>Catalhoyuk</w:t>
      </w:r>
      <w:proofErr w:type="spellEnd"/>
      <w:r>
        <w:t>, is a standing mother figurine with her hands indicating towards her breasts (Figure 1</w:t>
      </w:r>
      <w:r w:rsidR="009D5675">
        <w:t>2</w:t>
      </w:r>
      <w:r>
        <w:t>), standing at 17cm in height and made from recrystallizing limestone, the figurine is beautifully preserved and made with a very high level of craftsmanship (</w:t>
      </w:r>
      <w:proofErr w:type="spellStart"/>
      <w:r>
        <w:t>Kark</w:t>
      </w:r>
      <w:proofErr w:type="spellEnd"/>
      <w:r>
        <w:t xml:space="preserve"> 2016: 1-2). The figurine was found buried under the foundations of what is identified as a house with a lot of evidence for heavy ritual activity (</w:t>
      </w:r>
      <w:proofErr w:type="spellStart"/>
      <w:r>
        <w:t>Kark</w:t>
      </w:r>
      <w:proofErr w:type="spellEnd"/>
      <w:r>
        <w:t xml:space="preserve"> 2016: 1-2). Much like in the Palaeolithic era the archaeological record has produced mother figurines of similar natures both representing birth and pregnancy as well as the life force of mother’s milk for new life</w:t>
      </w:r>
      <w:r w:rsidR="003D321D">
        <w:t>.</w:t>
      </w:r>
      <w:r>
        <w:t xml:space="preserve"> </w:t>
      </w:r>
      <w:r w:rsidR="003D321D">
        <w:t>Unlike</w:t>
      </w:r>
      <w:r>
        <w:t xml:space="preserve"> the Palaeolithic era more evidence of beliefs and symbolic representations of them survive due to the beginnings of these </w:t>
      </w:r>
      <w:r>
        <w:lastRenderedPageBreak/>
        <w:t>permeant settlements (</w:t>
      </w:r>
      <w:proofErr w:type="spellStart"/>
      <w:r>
        <w:t>Kuijt</w:t>
      </w:r>
      <w:proofErr w:type="spellEnd"/>
      <w:r>
        <w:t xml:space="preserve"> 2000: 3-5). The second figurine was found next to an obsidian blade (</w:t>
      </w:r>
      <w:proofErr w:type="spellStart"/>
      <w:r>
        <w:t>Kark</w:t>
      </w:r>
      <w:proofErr w:type="spellEnd"/>
      <w:r>
        <w:t xml:space="preserve"> 2016: 1-2) which makes occurrences at sites such as </w:t>
      </w:r>
      <w:proofErr w:type="spellStart"/>
      <w:r>
        <w:t>Gobekli</w:t>
      </w:r>
      <w:proofErr w:type="spellEnd"/>
      <w:r>
        <w:t xml:space="preserve"> </w:t>
      </w:r>
      <w:proofErr w:type="spellStart"/>
      <w:r>
        <w:t>Tepe</w:t>
      </w:r>
      <w:proofErr w:type="spellEnd"/>
      <w:r>
        <w:t xml:space="preserve"> (Banning 2011: 624), in what appears to be household shrines at places like Ain Ghazel (</w:t>
      </w:r>
      <w:proofErr w:type="spellStart"/>
      <w:r>
        <w:t>Verhoeven</w:t>
      </w:r>
      <w:proofErr w:type="spellEnd"/>
      <w:r>
        <w:t xml:space="preserve"> 2002: 236), there is also evidence of an obsidian trade in Europe spreading into the near east during the Neolithic (</w:t>
      </w:r>
      <w:proofErr w:type="spellStart"/>
      <w:r>
        <w:t>Gratuze</w:t>
      </w:r>
      <w:proofErr w:type="spellEnd"/>
      <w:r>
        <w:t xml:space="preserve"> 1999). Not only does this suggest a reliance on the material, but also the contact that these settlements had with one another. It also gives a potential link between the Palaeolithic European figurines and Near eastern Neolithic figurines beyond motif. The Neolithic obsidian trade was somewhat extensive, knowing to have spread from multiple sources throughout the Mediterranean (</w:t>
      </w:r>
      <w:proofErr w:type="spellStart"/>
      <w:r>
        <w:t>Gratuze</w:t>
      </w:r>
      <w:proofErr w:type="spellEnd"/>
      <w:r>
        <w:t xml:space="preserve"> 1999: 869). Although </w:t>
      </w:r>
      <w:proofErr w:type="spellStart"/>
      <w:r>
        <w:t>Catalhoyuk’s</w:t>
      </w:r>
      <w:proofErr w:type="spellEnd"/>
      <w:r>
        <w:t xml:space="preserve"> obsidian has </w:t>
      </w:r>
      <w:r w:rsidR="003D321D">
        <w:t>been traced to several central T</w:t>
      </w:r>
      <w:r>
        <w:t xml:space="preserve">urkey sources (Carter &amp; </w:t>
      </w:r>
      <w:proofErr w:type="spellStart"/>
      <w:r>
        <w:t>Milic</w:t>
      </w:r>
      <w:proofErr w:type="spellEnd"/>
      <w:r>
        <w:t xml:space="preserve"> 2013: 498), much of the near east and </w:t>
      </w:r>
      <w:proofErr w:type="gramStart"/>
      <w:r>
        <w:t>eastern</w:t>
      </w:r>
      <w:proofErr w:type="gramEnd"/>
      <w:r>
        <w:t xml:space="preserve"> Europe had trade between one another sh</w:t>
      </w:r>
      <w:r w:rsidR="003D321D">
        <w:t>owing sources being traced past the Black S</w:t>
      </w:r>
      <w:r>
        <w:t>ea as well as through sea routes from places such as Cyprus (</w:t>
      </w:r>
      <w:proofErr w:type="spellStart"/>
      <w:r>
        <w:t>Gratuze</w:t>
      </w:r>
      <w:proofErr w:type="spellEnd"/>
      <w:r>
        <w:t xml:space="preserve"> 1999: 877). DNA evidence that has been collected over years has proved the genetic links during the second wave of homo-sapiens colonising through Europe during the Neolithic era, the evidence has definitively proves the genetic links between the Mediterranean islands and central Anatolia (</w:t>
      </w:r>
      <w:proofErr w:type="spellStart"/>
      <w:r>
        <w:t>Paschou</w:t>
      </w:r>
      <w:proofErr w:type="spellEnd"/>
      <w:r>
        <w:t xml:space="preserve"> et al 2014 9212-9213). This suggests that it is entirely possible for religious ideas to spread and be adapted by other cultures (Wilson 2002: 44), although not all contact would have been direct between Europe and the Middle East/ Anatolia, indirect contact is viable through several trading systems that are proven with DNA (</w:t>
      </w:r>
      <w:proofErr w:type="spellStart"/>
      <w:r>
        <w:t>Paschou</w:t>
      </w:r>
      <w:proofErr w:type="spellEnd"/>
      <w:r>
        <w:t xml:space="preserve"> et al 2014: 9212)(Figure (11).</w:t>
      </w:r>
    </w:p>
    <w:p w:rsidR="002242A6" w:rsidRDefault="007B444A" w:rsidP="001D41F3">
      <w:pPr>
        <w:spacing w:line="480" w:lineRule="auto"/>
        <w:jc w:val="center"/>
      </w:pPr>
      <w:r>
        <w:rPr>
          <w:noProof/>
          <w:lang w:eastAsia="en-GB"/>
        </w:rPr>
        <w:lastRenderedPageBreak/>
        <w:drawing>
          <wp:inline distT="0" distB="0" distL="0" distR="0" wp14:anchorId="7D095A49" wp14:editId="6AD99D40">
            <wp:extent cx="3942608" cy="3060875"/>
            <wp:effectExtent l="0" t="0" r="127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3600" t="22758" r="24384" b="5418"/>
                    <a:stretch/>
                  </pic:blipFill>
                  <pic:spPr bwMode="auto">
                    <a:xfrm>
                      <a:off x="0" y="0"/>
                      <a:ext cx="3969058" cy="3081409"/>
                    </a:xfrm>
                    <a:prstGeom prst="rect">
                      <a:avLst/>
                    </a:prstGeom>
                    <a:ln>
                      <a:noFill/>
                    </a:ln>
                    <a:extLst>
                      <a:ext uri="{53640926-AAD7-44D8-BBD7-CCE9431645EC}">
                        <a14:shadowObscured xmlns:a14="http://schemas.microsoft.com/office/drawing/2010/main"/>
                      </a:ext>
                    </a:extLst>
                  </pic:spPr>
                </pic:pic>
              </a:graphicData>
            </a:graphic>
          </wp:inline>
        </w:drawing>
      </w:r>
      <w:r>
        <w:br/>
      </w:r>
      <w:r w:rsidR="002242A6">
        <w:t xml:space="preserve">Figure 11: </w:t>
      </w:r>
      <w:proofErr w:type="spellStart"/>
      <w:r w:rsidR="002242A6">
        <w:t>Paschou</w:t>
      </w:r>
      <w:proofErr w:type="spellEnd"/>
      <w:r w:rsidR="002242A6">
        <w:t xml:space="preserve"> et al Genetic map showing the DNA connections in the Mediterranean.</w:t>
      </w:r>
    </w:p>
    <w:p w:rsidR="002242A6" w:rsidRDefault="007B444A" w:rsidP="001D41F3">
      <w:pPr>
        <w:spacing w:line="480" w:lineRule="auto"/>
        <w:jc w:val="center"/>
      </w:pPr>
      <w:r>
        <w:rPr>
          <w:noProof/>
          <w:lang w:eastAsia="en-GB"/>
        </w:rPr>
        <w:drawing>
          <wp:inline distT="0" distB="0" distL="0" distR="0" wp14:anchorId="15793BD3">
            <wp:extent cx="2956955" cy="4431390"/>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63290" cy="4440884"/>
                    </a:xfrm>
                    <a:prstGeom prst="rect">
                      <a:avLst/>
                    </a:prstGeom>
                    <a:noFill/>
                  </pic:spPr>
                </pic:pic>
              </a:graphicData>
            </a:graphic>
          </wp:inline>
        </w:drawing>
      </w:r>
      <w:r>
        <w:br/>
      </w:r>
      <w:r w:rsidR="002242A6">
        <w:t xml:space="preserve">Figure 12: Standing mother figurine </w:t>
      </w:r>
      <w:proofErr w:type="spellStart"/>
      <w:r w:rsidR="002242A6">
        <w:t>Catalhoyuk</w:t>
      </w:r>
      <w:proofErr w:type="spellEnd"/>
      <w:r w:rsidR="002242A6">
        <w:t>.</w:t>
      </w:r>
    </w:p>
    <w:p w:rsidR="002242A6" w:rsidRDefault="002242A6" w:rsidP="001D41F3">
      <w:pPr>
        <w:spacing w:line="480" w:lineRule="auto"/>
        <w:jc w:val="both"/>
      </w:pPr>
      <w:proofErr w:type="spellStart"/>
      <w:r>
        <w:lastRenderedPageBreak/>
        <w:t>Srejovic</w:t>
      </w:r>
      <w:proofErr w:type="spellEnd"/>
      <w:r>
        <w:t xml:space="preserve"> says that the best way to understand the religious aspects of the Neolithic era is to not only look at religious figurines and instruments but the cemeteries and sanctuaries within the community too (</w:t>
      </w:r>
      <w:proofErr w:type="spellStart"/>
      <w:r>
        <w:t>Srejovic</w:t>
      </w:r>
      <w:proofErr w:type="spellEnd"/>
      <w:r>
        <w:t xml:space="preserve"> 2005: 6460). House burials under sleeping platforms are common along with secondary burials (</w:t>
      </w:r>
      <w:proofErr w:type="spellStart"/>
      <w:r>
        <w:t>Mellart</w:t>
      </w:r>
      <w:proofErr w:type="spellEnd"/>
      <w:r>
        <w:t xml:space="preserve"> 1963: 95), suggesting a somewhat sacred role of mother figurines that may have been buried in houses. An interesting occurrence at </w:t>
      </w:r>
      <w:proofErr w:type="spellStart"/>
      <w:r>
        <w:t>Catalhoyuk</w:t>
      </w:r>
      <w:proofErr w:type="spellEnd"/>
      <w:r>
        <w:t xml:space="preserve"> is the red ochre burials in which bones were covered in the paint material. A material that is connected to the original Palaeolithic mother figurines and European Palaeolithic burials, suggesting the adoption of these religious beliefs whilst adapting them (Wilson 2002: 44). The adaption that the Neolithic </w:t>
      </w:r>
      <w:proofErr w:type="spellStart"/>
      <w:r>
        <w:t>Catalhoyuk</w:t>
      </w:r>
      <w:proofErr w:type="spellEnd"/>
      <w:r>
        <w:t xml:space="preserve"> culture appears to have made to the original figurine is the splitting of what was once perhaps one goddess into two twin goddesses with similar purposes. Ritual activity at </w:t>
      </w:r>
      <w:proofErr w:type="spellStart"/>
      <w:r>
        <w:t>Catalhoyuk</w:t>
      </w:r>
      <w:proofErr w:type="spellEnd"/>
      <w:r>
        <w:t xml:space="preserve"> was mostly conducted in the homes, certain homes having personal shrines (</w:t>
      </w:r>
      <w:proofErr w:type="spellStart"/>
      <w:r>
        <w:t>Mellart</w:t>
      </w:r>
      <w:proofErr w:type="spellEnd"/>
      <w:r>
        <w:t xml:space="preserve"> 1963: 45). It is the context in which the mother figurines w</w:t>
      </w:r>
      <w:r w:rsidR="003D321D">
        <w:t>ere found</w:t>
      </w:r>
      <w:r>
        <w:t xml:space="preserve"> that give an idea of their spheres of influence. One goddess possibly represented rebirth/renewal in connection to death (</w:t>
      </w:r>
      <w:proofErr w:type="spellStart"/>
      <w:r>
        <w:t>Mellart</w:t>
      </w:r>
      <w:proofErr w:type="spellEnd"/>
      <w:r>
        <w:t xml:space="preserve"> 1962: 45) and stone (</w:t>
      </w:r>
      <w:proofErr w:type="spellStart"/>
      <w:r>
        <w:t>Srejovic</w:t>
      </w:r>
      <w:proofErr w:type="spellEnd"/>
      <w:r>
        <w:t xml:space="preserve"> 2005: 6459), due to its discovery of being found under a house (</w:t>
      </w:r>
      <w:proofErr w:type="spellStart"/>
      <w:r>
        <w:t>Kark</w:t>
      </w:r>
      <w:proofErr w:type="spellEnd"/>
      <w:r>
        <w:t xml:space="preserve"> 2016: 1-2). The other possibly representing the original purpose of human motherhood and childbirth (</w:t>
      </w:r>
      <w:proofErr w:type="spellStart"/>
      <w:r>
        <w:t>Gimbutas</w:t>
      </w:r>
      <w:proofErr w:type="spellEnd"/>
      <w:r>
        <w:t xml:space="preserve"> 1989: 107), but now in connection to growth of crops (</w:t>
      </w:r>
      <w:proofErr w:type="spellStart"/>
      <w:r>
        <w:t>Mellart</w:t>
      </w:r>
      <w:proofErr w:type="spellEnd"/>
      <w:r>
        <w:t xml:space="preserve"> 1962: 95) too due to its burial context being in a grain bin (</w:t>
      </w:r>
      <w:proofErr w:type="spellStart"/>
      <w:r>
        <w:t>Gimbutas</w:t>
      </w:r>
      <w:proofErr w:type="spellEnd"/>
      <w:r>
        <w:t xml:space="preserve"> 1989: 107). Wilson tells us that things are designed and adapted to suit a purpose and that this functionalist thinking may also be applied to religion (Wilson 2002: 6).</w:t>
      </w:r>
    </w:p>
    <w:p w:rsidR="002242A6" w:rsidRDefault="002242A6" w:rsidP="001D41F3">
      <w:pPr>
        <w:spacing w:line="480" w:lineRule="auto"/>
        <w:jc w:val="both"/>
      </w:pPr>
      <w:r>
        <w:t>Towards the end of the Neolithic era communal shrines begin to emerge within permanent settlements (</w:t>
      </w:r>
      <w:proofErr w:type="spellStart"/>
      <w:r>
        <w:t>Narr</w:t>
      </w:r>
      <w:proofErr w:type="spellEnd"/>
      <w:r>
        <w:t xml:space="preserve"> 2005: 6461). One of the more famous later Neolithic sites is </w:t>
      </w:r>
      <w:proofErr w:type="spellStart"/>
      <w:r>
        <w:t>Hacilar</w:t>
      </w:r>
      <w:proofErr w:type="spellEnd"/>
      <w:r>
        <w:t>, at the North-East corner of the site lies a level II building, built during the pottery Neolithic, that has been identified as a shrine (</w:t>
      </w:r>
      <w:proofErr w:type="spellStart"/>
      <w:r>
        <w:t>Mellart</w:t>
      </w:r>
      <w:proofErr w:type="spellEnd"/>
      <w:r>
        <w:t xml:space="preserve"> 1959: 100). In one of the rooms within the shrine lay a hearth with a skeleton of a man presumable killed by fire, buried underneath the hearth lay a series of burials of women and young children (</w:t>
      </w:r>
      <w:proofErr w:type="spellStart"/>
      <w:r>
        <w:t>Mellart</w:t>
      </w:r>
      <w:proofErr w:type="spellEnd"/>
      <w:r>
        <w:t xml:space="preserve"> 1959: 102). Many ovens and charcoal remains of burnt food a</w:t>
      </w:r>
      <w:r w:rsidR="003D321D">
        <w:t>re apparent in the shrine and are</w:t>
      </w:r>
      <w:r>
        <w:t xml:space="preserve"> interpreted as a site for the worship of fertility (Figure 13) (</w:t>
      </w:r>
      <w:proofErr w:type="spellStart"/>
      <w:r>
        <w:t>Mellart</w:t>
      </w:r>
      <w:proofErr w:type="spellEnd"/>
      <w:r>
        <w:t xml:space="preserve"> 1960: 102). Figurines from </w:t>
      </w:r>
      <w:proofErr w:type="spellStart"/>
      <w:r>
        <w:t>Hacilar</w:t>
      </w:r>
      <w:proofErr w:type="spellEnd"/>
      <w:r>
        <w:t xml:space="preserve"> stick out in particular, made from terracotta clay, and painted with striped red </w:t>
      </w:r>
      <w:r>
        <w:lastRenderedPageBreak/>
        <w:t>brown colours (Figure 13) (</w:t>
      </w:r>
      <w:proofErr w:type="spellStart"/>
      <w:r>
        <w:t>Mellart</w:t>
      </w:r>
      <w:proofErr w:type="spellEnd"/>
      <w:r>
        <w:t xml:space="preserve"> 1960: 104). Many of the same motifs used on these figurines are also found on pottery painted with red ochre (</w:t>
      </w:r>
      <w:proofErr w:type="spellStart"/>
      <w:r>
        <w:t>Mellart</w:t>
      </w:r>
      <w:proofErr w:type="spellEnd"/>
      <w:r>
        <w:t xml:space="preserve"> 1960: 87) (Figure 15), which has been connected to many ritual activities seen previously. This does not mean that it holds the same meaning for each culture, and that red ochre is considered sacred in this culture. The transference into more earth based materials has become more predominant by the late Neolithic (</w:t>
      </w:r>
      <w:proofErr w:type="spellStart"/>
      <w:r>
        <w:t>Srejovic</w:t>
      </w:r>
      <w:proofErr w:type="spellEnd"/>
      <w:r>
        <w:t xml:space="preserve"> 2005: 6459), possibly connected with a full reliance o</w:t>
      </w:r>
      <w:r w:rsidR="00FB00B6">
        <w:t>n</w:t>
      </w:r>
      <w:r>
        <w:t xml:space="preserve"> farmed food (</w:t>
      </w:r>
      <w:proofErr w:type="spellStart"/>
      <w:r>
        <w:t>Rollefson</w:t>
      </w:r>
      <w:proofErr w:type="spellEnd"/>
      <w:r>
        <w:t xml:space="preserve"> et al 1992: 452-453), as things and society are co-produced (Hodder 2012: 2).</w:t>
      </w:r>
    </w:p>
    <w:p w:rsidR="002242A6" w:rsidRDefault="007B444A" w:rsidP="001D41F3">
      <w:pPr>
        <w:spacing w:line="480" w:lineRule="auto"/>
        <w:jc w:val="center"/>
      </w:pPr>
      <w:r>
        <w:rPr>
          <w:noProof/>
          <w:lang w:eastAsia="en-GB"/>
        </w:rPr>
        <w:drawing>
          <wp:inline distT="0" distB="0" distL="0" distR="0" wp14:anchorId="361E8B26" wp14:editId="4CCCF1D8">
            <wp:extent cx="5737656" cy="3847605"/>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0275" t="23941" r="23222" b="8670"/>
                    <a:stretch/>
                  </pic:blipFill>
                  <pic:spPr bwMode="auto">
                    <a:xfrm>
                      <a:off x="0" y="0"/>
                      <a:ext cx="5774461" cy="3872286"/>
                    </a:xfrm>
                    <a:prstGeom prst="rect">
                      <a:avLst/>
                    </a:prstGeom>
                    <a:ln>
                      <a:noFill/>
                    </a:ln>
                    <a:extLst>
                      <a:ext uri="{53640926-AAD7-44D8-BBD7-CCE9431645EC}">
                        <a14:shadowObscured xmlns:a14="http://schemas.microsoft.com/office/drawing/2010/main"/>
                      </a:ext>
                    </a:extLst>
                  </pic:spPr>
                </pic:pic>
              </a:graphicData>
            </a:graphic>
          </wp:inline>
        </w:drawing>
      </w:r>
      <w:r>
        <w:br/>
      </w:r>
      <w:r w:rsidR="002242A6">
        <w:t xml:space="preserve">Figure 13: </w:t>
      </w:r>
      <w:proofErr w:type="spellStart"/>
      <w:r w:rsidR="002242A6">
        <w:t>Hacilar</w:t>
      </w:r>
      <w:proofErr w:type="spellEnd"/>
      <w:r w:rsidR="002242A6">
        <w:t xml:space="preserve"> shrine.</w:t>
      </w:r>
    </w:p>
    <w:p w:rsidR="002242A6" w:rsidRDefault="007B444A" w:rsidP="001D41F3">
      <w:pPr>
        <w:spacing w:line="480" w:lineRule="auto"/>
        <w:jc w:val="center"/>
      </w:pPr>
      <w:r>
        <w:rPr>
          <w:noProof/>
          <w:lang w:eastAsia="en-GB"/>
        </w:rPr>
        <w:lastRenderedPageBreak/>
        <w:drawing>
          <wp:inline distT="0" distB="0" distL="0" distR="0" wp14:anchorId="0C2953E1">
            <wp:extent cx="5806557" cy="2719449"/>
            <wp:effectExtent l="0" t="0" r="381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23970" cy="2727604"/>
                    </a:xfrm>
                    <a:prstGeom prst="rect">
                      <a:avLst/>
                    </a:prstGeom>
                    <a:noFill/>
                  </pic:spPr>
                </pic:pic>
              </a:graphicData>
            </a:graphic>
          </wp:inline>
        </w:drawing>
      </w:r>
      <w:r>
        <w:br/>
      </w:r>
      <w:r w:rsidR="002242A6">
        <w:t xml:space="preserve">Figure 14: </w:t>
      </w:r>
      <w:proofErr w:type="spellStart"/>
      <w:r w:rsidR="002242A6">
        <w:t>Hacilar</w:t>
      </w:r>
      <w:proofErr w:type="spellEnd"/>
      <w:r w:rsidR="002242A6">
        <w:t xml:space="preserve"> painted figurine.</w:t>
      </w:r>
    </w:p>
    <w:p w:rsidR="002242A6" w:rsidRDefault="007B444A" w:rsidP="001D41F3">
      <w:pPr>
        <w:spacing w:line="480" w:lineRule="auto"/>
        <w:jc w:val="center"/>
      </w:pPr>
      <w:r>
        <w:rPr>
          <w:noProof/>
          <w:lang w:eastAsia="en-GB"/>
        </w:rPr>
        <w:drawing>
          <wp:inline distT="0" distB="0" distL="0" distR="0" wp14:anchorId="7DC7AA25" wp14:editId="6FD7409B">
            <wp:extent cx="3617232" cy="4490357"/>
            <wp:effectExtent l="0" t="0" r="254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1742" t="18621" r="34522" b="6896"/>
                    <a:stretch/>
                  </pic:blipFill>
                  <pic:spPr bwMode="auto">
                    <a:xfrm>
                      <a:off x="0" y="0"/>
                      <a:ext cx="3646709" cy="4526949"/>
                    </a:xfrm>
                    <a:prstGeom prst="rect">
                      <a:avLst/>
                    </a:prstGeom>
                    <a:ln>
                      <a:noFill/>
                    </a:ln>
                    <a:extLst>
                      <a:ext uri="{53640926-AAD7-44D8-BBD7-CCE9431645EC}">
                        <a14:shadowObscured xmlns:a14="http://schemas.microsoft.com/office/drawing/2010/main"/>
                      </a:ext>
                    </a:extLst>
                  </pic:spPr>
                </pic:pic>
              </a:graphicData>
            </a:graphic>
          </wp:inline>
        </w:drawing>
      </w:r>
      <w:r>
        <w:br/>
      </w:r>
      <w:r w:rsidR="002242A6">
        <w:t xml:space="preserve">Figure 15: </w:t>
      </w:r>
      <w:proofErr w:type="spellStart"/>
      <w:r w:rsidR="002242A6">
        <w:t>Hacilar</w:t>
      </w:r>
      <w:proofErr w:type="spellEnd"/>
      <w:r w:rsidR="002242A6">
        <w:t xml:space="preserve"> Pottery.</w:t>
      </w:r>
    </w:p>
    <w:p w:rsidR="002242A6" w:rsidRDefault="002242A6" w:rsidP="001D41F3">
      <w:pPr>
        <w:spacing w:line="480" w:lineRule="auto"/>
        <w:jc w:val="both"/>
      </w:pPr>
      <w:r>
        <w:lastRenderedPageBreak/>
        <w:t xml:space="preserve">One figurine from </w:t>
      </w:r>
      <w:proofErr w:type="spellStart"/>
      <w:r>
        <w:t>Hacilar</w:t>
      </w:r>
      <w:proofErr w:type="spellEnd"/>
      <w:r>
        <w:t xml:space="preserve"> stands out for its beauty and craftsmanship (Figure 16). A standing figurine that indicates towards a pregnant stomach, that is 9.2cm tall (</w:t>
      </w:r>
      <w:proofErr w:type="spellStart"/>
      <w:r>
        <w:t>Mellart</w:t>
      </w:r>
      <w:proofErr w:type="spellEnd"/>
      <w:r>
        <w:t xml:space="preserve"> 1961: 54). The figurine has a long braided hairstyle that wraps around the head in a bee hive shape, with a leopard held under the left arm, the mother figure wears a loin cloth with a long tail down the back, possibly in representation of another big cat (</w:t>
      </w:r>
      <w:proofErr w:type="spellStart"/>
      <w:r>
        <w:t>Mellart</w:t>
      </w:r>
      <w:proofErr w:type="spellEnd"/>
      <w:r>
        <w:t xml:space="preserve"> 1961: 54). When comparing this figurine to other female figurines of the Neolithic the symbols of pregnancy and big cats are a re-occurring theme. Other figurines such as the two known as ‘the mistress of animals’ were found at </w:t>
      </w:r>
      <w:proofErr w:type="spellStart"/>
      <w:r>
        <w:t>Hacilar</w:t>
      </w:r>
      <w:proofErr w:type="spellEnd"/>
      <w:r>
        <w:t xml:space="preserve"> (</w:t>
      </w:r>
      <w:proofErr w:type="spellStart"/>
      <w:r>
        <w:t>Mellart</w:t>
      </w:r>
      <w:proofErr w:type="spellEnd"/>
      <w:r>
        <w:t xml:space="preserve"> 1961: 60). One large older woman seated upon a stool designed like a leopard whilst holding a cub (Figure 17), and one younger woman indicating towards her breasts (Figure 18). </w:t>
      </w:r>
      <w:proofErr w:type="spellStart"/>
      <w:r>
        <w:t>Hacilar</w:t>
      </w:r>
      <w:proofErr w:type="spellEnd"/>
      <w:r>
        <w:t xml:space="preserve"> and </w:t>
      </w:r>
      <w:proofErr w:type="spellStart"/>
      <w:r>
        <w:t>Catalhuyuk</w:t>
      </w:r>
      <w:proofErr w:type="spellEnd"/>
      <w:r>
        <w:t xml:space="preserve"> were both approximately occurring during the same time frame. Obsidian was found at both sites (</w:t>
      </w:r>
      <w:proofErr w:type="spellStart"/>
      <w:r>
        <w:t>Mellart</w:t>
      </w:r>
      <w:proofErr w:type="spellEnd"/>
      <w:r>
        <w:t xml:space="preserve"> 1958: 133) (</w:t>
      </w:r>
      <w:proofErr w:type="spellStart"/>
      <w:r>
        <w:t>Kark</w:t>
      </w:r>
      <w:proofErr w:type="spellEnd"/>
      <w:r>
        <w:t xml:space="preserve"> 2016: 1-2) coming from central Anatolia </w:t>
      </w:r>
      <w:proofErr w:type="spellStart"/>
      <w:r>
        <w:t>Gollu</w:t>
      </w:r>
      <w:proofErr w:type="spellEnd"/>
      <w:r>
        <w:t xml:space="preserve"> Dag (Carter &amp; </w:t>
      </w:r>
      <w:proofErr w:type="spellStart"/>
      <w:r>
        <w:t>Milic</w:t>
      </w:r>
      <w:proofErr w:type="spellEnd"/>
      <w:r>
        <w:t xml:space="preserve"> 2013: 498) which is approximately a day and a half walk from </w:t>
      </w:r>
      <w:proofErr w:type="spellStart"/>
      <w:r>
        <w:t>Hacilar</w:t>
      </w:r>
      <w:proofErr w:type="spellEnd"/>
      <w:r>
        <w:t xml:space="preserve"> (</w:t>
      </w:r>
      <w:proofErr w:type="spellStart"/>
      <w:r>
        <w:t>Googlemaps</w:t>
      </w:r>
      <w:proofErr w:type="spellEnd"/>
      <w:r>
        <w:t xml:space="preserve"> 2018), and approximately a three day walk from </w:t>
      </w:r>
      <w:proofErr w:type="spellStart"/>
      <w:r>
        <w:t>Catalhoyuk</w:t>
      </w:r>
      <w:proofErr w:type="spellEnd"/>
      <w:r>
        <w:t xml:space="preserve"> (</w:t>
      </w:r>
      <w:proofErr w:type="spellStart"/>
      <w:r>
        <w:t>Googlemaps</w:t>
      </w:r>
      <w:proofErr w:type="spellEnd"/>
      <w:r>
        <w:t xml:space="preserve"> 2018), giving reason to believe that these cultures were in contact with one another, which would allow for the spread of religious ideologies (Wilson 2002: 31). “Differences among religions are culturally based” (Wilson 2002: 11) which suggest that similar belief systems may be in place, but the different cultures </w:t>
      </w:r>
      <w:r w:rsidR="00FB00B6">
        <w:t xml:space="preserve">show </w:t>
      </w:r>
      <w:r>
        <w:t xml:space="preserve">differences in the religion. The differences in representations may be indicative of the settlements in which are producing the artefact. </w:t>
      </w:r>
      <w:proofErr w:type="spellStart"/>
      <w:r>
        <w:t>Hacilar</w:t>
      </w:r>
      <w:proofErr w:type="spellEnd"/>
      <w:r>
        <w:t xml:space="preserve"> does not appear to have an indication of a twin goddess, suggesting that perhap</w:t>
      </w:r>
      <w:r w:rsidR="00FB00B6">
        <w:t>s these are the same woman with</w:t>
      </w:r>
      <w:r>
        <w:t>in different stages of her life.</w:t>
      </w:r>
    </w:p>
    <w:p w:rsidR="002242A6" w:rsidRDefault="007B444A" w:rsidP="001D41F3">
      <w:pPr>
        <w:spacing w:line="480" w:lineRule="auto"/>
        <w:jc w:val="center"/>
      </w:pPr>
      <w:r>
        <w:rPr>
          <w:noProof/>
          <w:lang w:eastAsia="en-GB"/>
        </w:rPr>
        <w:lastRenderedPageBreak/>
        <w:drawing>
          <wp:inline distT="0" distB="0" distL="0" distR="0" wp14:anchorId="25746E4E" wp14:editId="7EB86D4A">
            <wp:extent cx="5044534" cy="3586348"/>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9249" t="23645" r="28207" b="22561"/>
                    <a:stretch/>
                  </pic:blipFill>
                  <pic:spPr bwMode="auto">
                    <a:xfrm>
                      <a:off x="0" y="0"/>
                      <a:ext cx="5125870" cy="3644173"/>
                    </a:xfrm>
                    <a:prstGeom prst="rect">
                      <a:avLst/>
                    </a:prstGeom>
                    <a:ln>
                      <a:noFill/>
                    </a:ln>
                    <a:extLst>
                      <a:ext uri="{53640926-AAD7-44D8-BBD7-CCE9431645EC}">
                        <a14:shadowObscured xmlns:a14="http://schemas.microsoft.com/office/drawing/2010/main"/>
                      </a:ext>
                    </a:extLst>
                  </pic:spPr>
                </pic:pic>
              </a:graphicData>
            </a:graphic>
          </wp:inline>
        </w:drawing>
      </w:r>
      <w:r>
        <w:br/>
      </w:r>
      <w:r w:rsidR="002242A6">
        <w:t xml:space="preserve">Figure 16: Standing </w:t>
      </w:r>
      <w:proofErr w:type="spellStart"/>
      <w:r w:rsidR="002242A6">
        <w:t>Hacilar</w:t>
      </w:r>
      <w:proofErr w:type="spellEnd"/>
      <w:r w:rsidR="002242A6">
        <w:t xml:space="preserve"> Mother Figurine Holding a Leopard Cub.</w:t>
      </w:r>
    </w:p>
    <w:p w:rsidR="002242A6" w:rsidRDefault="007B444A" w:rsidP="001D41F3">
      <w:pPr>
        <w:spacing w:line="480" w:lineRule="auto"/>
        <w:jc w:val="center"/>
      </w:pPr>
      <w:r>
        <w:rPr>
          <w:noProof/>
          <w:lang w:eastAsia="en-GB"/>
        </w:rPr>
        <w:drawing>
          <wp:inline distT="0" distB="0" distL="0" distR="0" wp14:anchorId="4DEF307C">
            <wp:extent cx="5449797" cy="3253839"/>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57150" cy="3258229"/>
                    </a:xfrm>
                    <a:prstGeom prst="rect">
                      <a:avLst/>
                    </a:prstGeom>
                    <a:noFill/>
                  </pic:spPr>
                </pic:pic>
              </a:graphicData>
            </a:graphic>
          </wp:inline>
        </w:drawing>
      </w:r>
      <w:r>
        <w:br/>
      </w:r>
      <w:r w:rsidR="002242A6">
        <w:t>Figure 17: Older Mistress of Animals.</w:t>
      </w:r>
    </w:p>
    <w:p w:rsidR="002242A6" w:rsidRDefault="007B444A" w:rsidP="001D41F3">
      <w:pPr>
        <w:spacing w:line="480" w:lineRule="auto"/>
        <w:jc w:val="center"/>
      </w:pPr>
      <w:r>
        <w:rPr>
          <w:noProof/>
          <w:lang w:eastAsia="en-GB"/>
        </w:rPr>
        <w:lastRenderedPageBreak/>
        <w:drawing>
          <wp:inline distT="0" distB="0" distL="0" distR="0" wp14:anchorId="565AF95C">
            <wp:extent cx="5618305" cy="3277590"/>
            <wp:effectExtent l="0" t="0" r="190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31915" cy="3285530"/>
                    </a:xfrm>
                    <a:prstGeom prst="rect">
                      <a:avLst/>
                    </a:prstGeom>
                    <a:noFill/>
                  </pic:spPr>
                </pic:pic>
              </a:graphicData>
            </a:graphic>
          </wp:inline>
        </w:drawing>
      </w:r>
      <w:r>
        <w:br/>
      </w:r>
      <w:r w:rsidR="002242A6">
        <w:t>Figure 18: Younger Mistress of Animals.</w:t>
      </w:r>
    </w:p>
    <w:p w:rsidR="002242A6" w:rsidRDefault="002242A6" w:rsidP="001D41F3">
      <w:pPr>
        <w:spacing w:line="480" w:lineRule="auto"/>
        <w:jc w:val="both"/>
      </w:pPr>
      <w:r>
        <w:t>At the end of the Neolithic era emerges the Bronze Age, a time period that is defined by the use of new metals within human history (</w:t>
      </w:r>
      <w:proofErr w:type="spellStart"/>
      <w:r>
        <w:t>Fokkens</w:t>
      </w:r>
      <w:proofErr w:type="spellEnd"/>
      <w:r>
        <w:t xml:space="preserve"> &amp; Harding 2013: 3) and the rise of major city states and civilisations that emerged out of growing permanent settlements that were established during the Neolithic era (</w:t>
      </w:r>
      <w:proofErr w:type="spellStart"/>
      <w:r>
        <w:t>Kienlin</w:t>
      </w:r>
      <w:proofErr w:type="spellEnd"/>
      <w:r>
        <w:t xml:space="preserve"> 2013: 424). During this era great empires appear in the Middle East and North Africa, such as: the Hittites (Mark 2018: 1), the ancient Egyptians (</w:t>
      </w:r>
      <w:proofErr w:type="spellStart"/>
      <w:r>
        <w:t>Wente</w:t>
      </w:r>
      <w:proofErr w:type="spellEnd"/>
      <w:r>
        <w:t xml:space="preserve"> et al 2018: 1), and the Mesopotamians (</w:t>
      </w:r>
      <w:proofErr w:type="spellStart"/>
      <w:r>
        <w:t>Heyd</w:t>
      </w:r>
      <w:proofErr w:type="spellEnd"/>
      <w:r>
        <w:t xml:space="preserve"> 2013: 48). The growing populations of permanent settlements meant that a power structure was needed to maintain trade and to keep the city safe, which was done by gathering soldiers and building huge city walls and trade forts (</w:t>
      </w:r>
      <w:proofErr w:type="spellStart"/>
      <w:r>
        <w:t>Sebag</w:t>
      </w:r>
      <w:proofErr w:type="spellEnd"/>
      <w:r>
        <w:t xml:space="preserve"> 2005: 224). The Mediterranean trade networks were huge during the Bronze Age, trade networks have been discovered through tablets and archaeological evidence between central Anatolia and Assyria (</w:t>
      </w:r>
      <w:proofErr w:type="spellStart"/>
      <w:r>
        <w:t>Barjamovic</w:t>
      </w:r>
      <w:proofErr w:type="spellEnd"/>
      <w:r>
        <w:t xml:space="preserve"> et al 2017: 2-3), as well as Cypriot copper trade throughout the Mediterranean and Middle East (</w:t>
      </w:r>
      <w:proofErr w:type="spellStart"/>
      <w:r>
        <w:t>Kassianidou</w:t>
      </w:r>
      <w:proofErr w:type="spellEnd"/>
      <w:r>
        <w:t xml:space="preserve"> 2013).  The extent of growth that cities were seeing during this era led to the need of precise administration, with symbols and numbers slowly growing into written syllabic languages that eventually evolved into alphabetical languages that then spread across Europe (Barton 2007). With written languages came the beginnings to religious scripture, giving academics textual evidence to coincide with archaeological </w:t>
      </w:r>
      <w:r>
        <w:lastRenderedPageBreak/>
        <w:t>evidence, helping to understand more information than what could be perceived before (</w:t>
      </w:r>
      <w:proofErr w:type="spellStart"/>
      <w:r>
        <w:t>Fokkens</w:t>
      </w:r>
      <w:proofErr w:type="spellEnd"/>
      <w:r>
        <w:t xml:space="preserve"> &amp; Harding 2013: 3-4). But, by the Bronze Age many myths were already deeply rooted into these cultures before the religious texts were written, meaning that a lot of changes within the religions that happened prior to this era have been lost; however, the written text does allow for an easier understanding of ancient religions and their pantheons. </w:t>
      </w:r>
    </w:p>
    <w:p w:rsidR="002242A6" w:rsidRDefault="002242A6" w:rsidP="001D41F3">
      <w:pPr>
        <w:spacing w:line="480" w:lineRule="auto"/>
        <w:jc w:val="both"/>
      </w:pPr>
      <w:r>
        <w:t xml:space="preserve">One of the largest Bronze Age empires was the Hittite Empire, an empire expanding much </w:t>
      </w:r>
      <w:r w:rsidR="00FB00B6">
        <w:t xml:space="preserve">in </w:t>
      </w:r>
      <w:r>
        <w:t>Anatolia during the late Bronze Age (Collins 2007: 1). Despite almost disappearing from history the Hitt</w:t>
      </w:r>
      <w:r w:rsidR="00FB00B6">
        <w:t>ites had a long lasting culture</w:t>
      </w:r>
      <w:r>
        <w:t xml:space="preserve">, beginning before the empire and survive Post Empire (Collins 2007: 1-2). It is thought that the Hittites migrated from the North-East into central </w:t>
      </w:r>
      <w:proofErr w:type="spellStart"/>
      <w:r>
        <w:t>Antolia</w:t>
      </w:r>
      <w:proofErr w:type="spellEnd"/>
      <w:r>
        <w:t xml:space="preserve"> around 2300 BC ascribing to what is thought to be an Indo-European culture (</w:t>
      </w:r>
      <w:proofErr w:type="spellStart"/>
      <w:r>
        <w:t>Hoffner</w:t>
      </w:r>
      <w:proofErr w:type="spellEnd"/>
      <w:r>
        <w:t xml:space="preserve"> &amp; Beckman 1998: 2), within a similar sphere of influence through trade and culture contact as </w:t>
      </w:r>
      <w:proofErr w:type="spellStart"/>
      <w:r>
        <w:t>Hacilar</w:t>
      </w:r>
      <w:proofErr w:type="spellEnd"/>
      <w:r>
        <w:t xml:space="preserve"> and </w:t>
      </w:r>
      <w:proofErr w:type="spellStart"/>
      <w:r>
        <w:t>Catalhoyuk</w:t>
      </w:r>
      <w:proofErr w:type="spellEnd"/>
      <w:r>
        <w:t xml:space="preserve"> many years before. Discovered at Hattusa the Hittite capital, a series of tablets surviving from their later period were found giving brief information about a number of gods and goddesses in their pantheon and the myths surrounding them (</w:t>
      </w:r>
      <w:proofErr w:type="spellStart"/>
      <w:r>
        <w:t>Hoffner</w:t>
      </w:r>
      <w:proofErr w:type="spellEnd"/>
      <w:r>
        <w:t xml:space="preserve"> &amp; Beckman 1998: 2-4). Some of the most notable consist of </w:t>
      </w:r>
      <w:proofErr w:type="spellStart"/>
      <w:r>
        <w:t>Hannahanna</w:t>
      </w:r>
      <w:proofErr w:type="spellEnd"/>
      <w:r>
        <w:t xml:space="preserve"> a mother goddess connected with bees, as in her mythologies she is frequently helped by bees to find hiding gods/goddesses that have abandoned their land (</w:t>
      </w:r>
      <w:proofErr w:type="spellStart"/>
      <w:r>
        <w:t>Hoffner</w:t>
      </w:r>
      <w:proofErr w:type="spellEnd"/>
      <w:r>
        <w:t xml:space="preserve"> &amp; Beckman 1998: 14-18). She is frequently associated in myth with the coming of spring and bringing home the storm god’s son </w:t>
      </w:r>
      <w:proofErr w:type="spellStart"/>
      <w:r>
        <w:t>Tellpinu</w:t>
      </w:r>
      <w:proofErr w:type="spellEnd"/>
      <w:r>
        <w:t xml:space="preserve"> the god of harvest and plant growth (</w:t>
      </w:r>
      <w:proofErr w:type="spellStart"/>
      <w:r>
        <w:t>Hoffner</w:t>
      </w:r>
      <w:proofErr w:type="spellEnd"/>
      <w:r>
        <w:t xml:space="preserve"> &amp; Beckman 1998: 14-18). Hittite religious rituals often weren’t at specific times of the year but, often coincided with hard times or rites of passage (Beckman 1989: 105-106). The significance of </w:t>
      </w:r>
      <w:proofErr w:type="spellStart"/>
      <w:r>
        <w:t>Hannahanna</w:t>
      </w:r>
      <w:proofErr w:type="spellEnd"/>
      <w:r>
        <w:t xml:space="preserve"> is the bringing forth of spring and the relevance to plant growth, a connection seen at </w:t>
      </w:r>
      <w:proofErr w:type="spellStart"/>
      <w:r>
        <w:t>Catalhoyuk</w:t>
      </w:r>
      <w:proofErr w:type="spellEnd"/>
      <w:r>
        <w:t xml:space="preserve"> with the placement of a mother figurine in a grain bin. Bees and lions appear to have connection within the Hittite culture for examp</w:t>
      </w:r>
      <w:r w:rsidR="00FB00B6">
        <w:t>le at Carchemish in modern day T</w:t>
      </w:r>
      <w:r>
        <w:t>urkey a funerary stelae was found (</w:t>
      </w:r>
      <w:proofErr w:type="spellStart"/>
      <w:r>
        <w:t>Ransome</w:t>
      </w:r>
      <w:proofErr w:type="spellEnd"/>
      <w:r>
        <w:t xml:space="preserve"> 2007: 60), showing a woman seated on a feline throne, surrounding her are priestesses with belts and headdresses like that of a honeycomb (Figure 19), a motif that is frequently associated with </w:t>
      </w:r>
      <w:proofErr w:type="spellStart"/>
      <w:r>
        <w:t>Hannahanna</w:t>
      </w:r>
      <w:proofErr w:type="spellEnd"/>
      <w:r>
        <w:t xml:space="preserve"> (</w:t>
      </w:r>
      <w:proofErr w:type="spellStart"/>
      <w:r>
        <w:t>Ransome</w:t>
      </w:r>
      <w:proofErr w:type="spellEnd"/>
      <w:r>
        <w:t xml:space="preserve"> 2007: 60). Four lion paws along with several honeycomb motifs decorate the top of the stel</w:t>
      </w:r>
      <w:r w:rsidR="00FB00B6">
        <w:t>a</w:t>
      </w:r>
      <w:r>
        <w:t xml:space="preserve">e (Figure 19). </w:t>
      </w:r>
      <w:proofErr w:type="spellStart"/>
      <w:r>
        <w:lastRenderedPageBreak/>
        <w:t>Hannahanna</w:t>
      </w:r>
      <w:proofErr w:type="spellEnd"/>
      <w:r>
        <w:t xml:space="preserve"> has often been compared with the likes</w:t>
      </w:r>
      <w:r w:rsidR="00FB00B6">
        <w:t xml:space="preserve"> of the Minoan goddess Rhea who</w:t>
      </w:r>
      <w:r>
        <w:t xml:space="preserve"> was also associated with bees (</w:t>
      </w:r>
      <w:proofErr w:type="spellStart"/>
      <w:r>
        <w:t>Ransome</w:t>
      </w:r>
      <w:proofErr w:type="spellEnd"/>
      <w:r>
        <w:t xml:space="preserve"> 2007: 58). This link between the two goddesses may be explained by the trade contact throughout the Mediterranean during the Neolithic, directly linking Crete and southern Anatolia (</w:t>
      </w:r>
      <w:proofErr w:type="spellStart"/>
      <w:r>
        <w:t>Paschou</w:t>
      </w:r>
      <w:proofErr w:type="spellEnd"/>
      <w:r>
        <w:t xml:space="preserve"> et al 2014: 9212-9213). The honeycomb motif may also be connected to that of the figurines found at </w:t>
      </w:r>
      <w:proofErr w:type="spellStart"/>
      <w:r>
        <w:t>Hacilar</w:t>
      </w:r>
      <w:proofErr w:type="spellEnd"/>
      <w:r>
        <w:t xml:space="preserve"> (Figure 16), the feline throne can be suggested through archaeological evidence to date to that of the </w:t>
      </w:r>
      <w:proofErr w:type="spellStart"/>
      <w:r>
        <w:t>Catalhoyuk</w:t>
      </w:r>
      <w:proofErr w:type="spellEnd"/>
      <w:r>
        <w:t xml:space="preserve"> culture (Figure 10). Hodder explains that things have a deep seated roots to our pasts (Hodder 2012: 5), he explains this through his wrist watch principle that ties ou</w:t>
      </w:r>
      <w:r w:rsidR="00FB00B6">
        <w:t>r wrist watches to that of the R</w:t>
      </w:r>
      <w:r>
        <w:t>oman emperors through the use of our calendars and the way we understand time (Hodder 2012: 5). Alongside Wilson</w:t>
      </w:r>
      <w:r w:rsidR="00FB00B6">
        <w:t>’</w:t>
      </w:r>
      <w:r>
        <w:t xml:space="preserve">s evolutionary theory (Wilson 2002) this may be applied to religious artefacts not just everyday items.  Religion is often adopted by cultures in contact with one another (Wilson 2002: 44), The Hittites ruled over most of Anatolia, suggesting the spread of an ancient Neolithic Anatolian goddess is entirely possible. The Minoans and Hittites were both known to have had contact with the ancient Egyptians (Collins 2007), which would suggest that these cultures also </w:t>
      </w:r>
      <w:r w:rsidR="00FB00B6">
        <w:t>k</w:t>
      </w:r>
      <w:r>
        <w:t>new of each other, which may explain the link between their goddesses. Religion non</w:t>
      </w:r>
      <w:r w:rsidR="00FB00B6">
        <w:t>e</w:t>
      </w:r>
      <w:r>
        <w:t xml:space="preserve"> the less</w:t>
      </w:r>
      <w:r w:rsidR="00FB00B6">
        <w:t xml:space="preserve"> is often adapted and prescribes</w:t>
      </w:r>
      <w:r>
        <w:t xml:space="preserve"> new rituals and cults depending upon the culture it is in (Wilson 2002: 44), which explains its differences also. </w:t>
      </w:r>
    </w:p>
    <w:p w:rsidR="002242A6" w:rsidRDefault="002242A6" w:rsidP="001D41F3">
      <w:pPr>
        <w:spacing w:line="480" w:lineRule="auto"/>
      </w:pPr>
      <w:r>
        <w:t xml:space="preserve">  </w:t>
      </w:r>
    </w:p>
    <w:p w:rsidR="002242A6" w:rsidRDefault="007B444A" w:rsidP="001D41F3">
      <w:pPr>
        <w:spacing w:line="480" w:lineRule="auto"/>
        <w:jc w:val="center"/>
      </w:pPr>
      <w:r w:rsidRPr="00696550">
        <w:rPr>
          <w:noProof/>
          <w:lang w:eastAsia="en-GB"/>
        </w:rPr>
        <w:lastRenderedPageBreak/>
        <w:drawing>
          <wp:inline distT="0" distB="0" distL="0" distR="0" wp14:anchorId="2F50443C" wp14:editId="355685CB">
            <wp:extent cx="2752857" cy="3539797"/>
            <wp:effectExtent l="0" t="0" r="0" b="3810"/>
            <wp:docPr id="20" name="Picture 20" descr="B. Bilgin, 2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 Bilgin, 2006"/>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b="6582"/>
                    <a:stretch/>
                  </pic:blipFill>
                  <pic:spPr bwMode="auto">
                    <a:xfrm>
                      <a:off x="0" y="0"/>
                      <a:ext cx="2808477" cy="3611316"/>
                    </a:xfrm>
                    <a:prstGeom prst="rect">
                      <a:avLst/>
                    </a:prstGeom>
                    <a:noFill/>
                    <a:ln>
                      <a:noFill/>
                    </a:ln>
                    <a:extLst>
                      <a:ext uri="{53640926-AAD7-44D8-BBD7-CCE9431645EC}">
                        <a14:shadowObscured xmlns:a14="http://schemas.microsoft.com/office/drawing/2010/main"/>
                      </a:ext>
                    </a:extLst>
                  </pic:spPr>
                </pic:pic>
              </a:graphicData>
            </a:graphic>
          </wp:inline>
        </w:drawing>
      </w:r>
      <w:r w:rsidRPr="00696550">
        <w:rPr>
          <w:noProof/>
          <w:lang w:eastAsia="en-GB"/>
        </w:rPr>
        <w:drawing>
          <wp:inline distT="0" distB="0" distL="0" distR="0" wp14:anchorId="380DDDF8" wp14:editId="070944FF">
            <wp:extent cx="2908448" cy="3538345"/>
            <wp:effectExtent l="0" t="0" r="6350" b="5080"/>
            <wp:docPr id="21" name="Picture 21" descr="B. Bilgin, 2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 Bilgin, 2006"/>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b="7115"/>
                    <a:stretch/>
                  </pic:blipFill>
                  <pic:spPr bwMode="auto">
                    <a:xfrm>
                      <a:off x="0" y="0"/>
                      <a:ext cx="2942965" cy="3580337"/>
                    </a:xfrm>
                    <a:prstGeom prst="rect">
                      <a:avLst/>
                    </a:prstGeom>
                    <a:noFill/>
                    <a:ln>
                      <a:noFill/>
                    </a:ln>
                    <a:extLst>
                      <a:ext uri="{53640926-AAD7-44D8-BBD7-CCE9431645EC}">
                        <a14:shadowObscured xmlns:a14="http://schemas.microsoft.com/office/drawing/2010/main"/>
                      </a:ext>
                    </a:extLst>
                  </pic:spPr>
                </pic:pic>
              </a:graphicData>
            </a:graphic>
          </wp:inline>
        </w:drawing>
      </w:r>
    </w:p>
    <w:p w:rsidR="002242A6" w:rsidRDefault="007B444A" w:rsidP="001D41F3">
      <w:pPr>
        <w:spacing w:line="480" w:lineRule="auto"/>
        <w:jc w:val="center"/>
      </w:pPr>
      <w:r w:rsidRPr="00365B78">
        <w:rPr>
          <w:noProof/>
          <w:lang w:eastAsia="en-GB"/>
        </w:rPr>
        <w:drawing>
          <wp:inline distT="0" distB="0" distL="0" distR="0" wp14:anchorId="7CDA3EC5" wp14:editId="5BA719B4">
            <wp:extent cx="2742349" cy="3457196"/>
            <wp:effectExtent l="0" t="0" r="1270" b="0"/>
            <wp:docPr id="22" name="Picture 22" descr="B. Bilgin, 2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 Bilgin, 2006"/>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b="6082"/>
                    <a:stretch/>
                  </pic:blipFill>
                  <pic:spPr bwMode="auto">
                    <a:xfrm>
                      <a:off x="0" y="0"/>
                      <a:ext cx="2752823" cy="3470400"/>
                    </a:xfrm>
                    <a:prstGeom prst="rect">
                      <a:avLst/>
                    </a:prstGeom>
                    <a:noFill/>
                    <a:ln>
                      <a:noFill/>
                    </a:ln>
                    <a:extLst>
                      <a:ext uri="{53640926-AAD7-44D8-BBD7-CCE9431645EC}">
                        <a14:shadowObscured xmlns:a14="http://schemas.microsoft.com/office/drawing/2010/main"/>
                      </a:ext>
                    </a:extLst>
                  </pic:spPr>
                </pic:pic>
              </a:graphicData>
            </a:graphic>
          </wp:inline>
        </w:drawing>
      </w:r>
      <w:r w:rsidRPr="00365B78">
        <w:rPr>
          <w:noProof/>
          <w:lang w:eastAsia="en-GB"/>
        </w:rPr>
        <w:drawing>
          <wp:inline distT="0" distB="0" distL="0" distR="0" wp14:anchorId="64BA0E0D" wp14:editId="50B9F85D">
            <wp:extent cx="2980260" cy="3443844"/>
            <wp:effectExtent l="0" t="0" r="0" b="4445"/>
            <wp:docPr id="23" name="Picture 23" descr="B. Bilgin, 2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 Bilgin, 2006"/>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b="12535"/>
                    <a:stretch/>
                  </pic:blipFill>
                  <pic:spPr bwMode="auto">
                    <a:xfrm>
                      <a:off x="0" y="0"/>
                      <a:ext cx="3026015" cy="3496717"/>
                    </a:xfrm>
                    <a:prstGeom prst="rect">
                      <a:avLst/>
                    </a:prstGeom>
                    <a:noFill/>
                    <a:ln>
                      <a:noFill/>
                    </a:ln>
                    <a:extLst>
                      <a:ext uri="{53640926-AAD7-44D8-BBD7-CCE9431645EC}">
                        <a14:shadowObscured xmlns:a14="http://schemas.microsoft.com/office/drawing/2010/main"/>
                      </a:ext>
                    </a:extLst>
                  </pic:spPr>
                </pic:pic>
              </a:graphicData>
            </a:graphic>
          </wp:inline>
        </w:drawing>
      </w:r>
      <w:r w:rsidR="002242A6">
        <w:t>Figure 19: Hittite Funerary Stele</w:t>
      </w:r>
    </w:p>
    <w:p w:rsidR="002242A6" w:rsidRDefault="002242A6" w:rsidP="001D41F3">
      <w:pPr>
        <w:spacing w:line="480" w:lineRule="auto"/>
        <w:jc w:val="both"/>
      </w:pPr>
      <w:r>
        <w:t>Another goddess within the Hittite culture also has a connection to lions, brought into the Hittite pantheon during 15th c</w:t>
      </w:r>
      <w:r w:rsidR="00FB00B6">
        <w:t>entury BCE (Mark 2010: 1-2) by K</w:t>
      </w:r>
      <w:r>
        <w:t xml:space="preserve">ing </w:t>
      </w:r>
      <w:proofErr w:type="spellStart"/>
      <w:r>
        <w:t>Hattusili</w:t>
      </w:r>
      <w:proofErr w:type="spellEnd"/>
      <w:r>
        <w:t xml:space="preserve"> (Encyclopaedia Britannica 1998). The Goddess was adopted by the royal family upon his joining in matrimony to a daughter of a high </w:t>
      </w:r>
      <w:r>
        <w:lastRenderedPageBreak/>
        <w:t xml:space="preserve">priest within the </w:t>
      </w:r>
      <w:proofErr w:type="spellStart"/>
      <w:r>
        <w:t>Hurrrian</w:t>
      </w:r>
      <w:proofErr w:type="spellEnd"/>
      <w:r>
        <w:t xml:space="preserve"> cult, and continued from then on to be associated with the Hittite ruling family (Gurney 1999). </w:t>
      </w:r>
      <w:proofErr w:type="spellStart"/>
      <w:r>
        <w:t>Sauska</w:t>
      </w:r>
      <w:proofErr w:type="spellEnd"/>
      <w:r>
        <w:t xml:space="preserve"> was a goddess of fertility, war, and healing, she is often known as a wrathful goddess and is associated with the colour red, often depicted with wings and a foot resting upon a lion (</w:t>
      </w:r>
      <w:proofErr w:type="spellStart"/>
      <w:r>
        <w:t>Lurker</w:t>
      </w:r>
      <w:proofErr w:type="spellEnd"/>
      <w:r>
        <w:t xml:space="preserve"> 2004: 313). Her similarities to that of </w:t>
      </w:r>
      <w:proofErr w:type="spellStart"/>
      <w:r>
        <w:t>Hannahanna</w:t>
      </w:r>
      <w:proofErr w:type="spellEnd"/>
      <w:r>
        <w:t xml:space="preserve"> may be seen; however, her mythology is somewhat different portraying her as a sexual and flirtatious god, often connected to music and feminine seduction. Religious differences stem from the cultures they are situated within (Wilson 2002: 11), it may appear that different myths, and ideologies connected with the ancient Anatolian goddesses have been adopted by the later empires within these areas. The depictions of the goddesses appear to have been adopted by many cultures that were in contact with one another, but the differences may be explained by their adaptions before being adopted further by another culture (Wilson 2002: 44). This gives reason to believe that both of these goddesses may share motifs and similarities due to their spread throughout Anatolia and the Middle East through the Neolithic Obsidian trade (</w:t>
      </w:r>
      <w:proofErr w:type="spellStart"/>
      <w:r w:rsidR="00FB00B6">
        <w:t>Gratuze</w:t>
      </w:r>
      <w:proofErr w:type="spellEnd"/>
      <w:r w:rsidR="00FB00B6">
        <w:t xml:space="preserve"> 1999)</w:t>
      </w:r>
      <w:r>
        <w:t xml:space="preserve">, before being adapted by individual cultures. Another example of this within the Bronze Age may be seen by the Sumerian goddess </w:t>
      </w:r>
      <w:proofErr w:type="spellStart"/>
      <w:r>
        <w:t>Innana</w:t>
      </w:r>
      <w:proofErr w:type="spellEnd"/>
      <w:r>
        <w:t xml:space="preserve"> whom </w:t>
      </w:r>
      <w:r w:rsidR="00FB00B6">
        <w:t xml:space="preserve">is </w:t>
      </w:r>
      <w:r>
        <w:t>also often depicted with horns (Figure 20), and t</w:t>
      </w:r>
      <w:r w:rsidR="00FB00B6">
        <w:t>he Assyrian goddess Ishtar, who</w:t>
      </w:r>
      <w:r>
        <w:t xml:space="preserve"> both share similarities (Mark 2010: 1). Ishtar is often represented presenting her breasts much like the goddesses from the Palaeolithic and Neolithic eras, the Burney relief</w:t>
      </w:r>
      <w:r w:rsidR="0062094D">
        <w:t>, now kept at the British Museum</w:t>
      </w:r>
      <w:r>
        <w:t xml:space="preserve"> is argued to depict Ishtar (Figure 21), chemical analysis tells us of the use of red ochre on the relief (</w:t>
      </w:r>
      <w:proofErr w:type="spellStart"/>
      <w:r>
        <w:t>BritishMuseum</w:t>
      </w:r>
      <w:proofErr w:type="spellEnd"/>
      <w:r>
        <w:t xml:space="preserve"> 2018), something that further connects the goddess to previous beliefs. Eventually these two goddesses also combined by the epic of Gilgamesh, due to their similar sphere of influences, fertility, war an</w:t>
      </w:r>
      <w:r w:rsidR="0062094D">
        <w:t>d wrath (Mark 2010: 1-3) show</w:t>
      </w:r>
      <w:r>
        <w:t xml:space="preserve"> further religious evolution of these connected goddesses. </w:t>
      </w:r>
    </w:p>
    <w:p w:rsidR="002242A6" w:rsidRDefault="007B444A" w:rsidP="001D41F3">
      <w:pPr>
        <w:spacing w:line="480" w:lineRule="auto"/>
        <w:jc w:val="center"/>
      </w:pPr>
      <w:r>
        <w:rPr>
          <w:noProof/>
          <w:lang w:eastAsia="en-GB"/>
        </w:rPr>
        <w:lastRenderedPageBreak/>
        <w:drawing>
          <wp:inline distT="0" distB="0" distL="0" distR="0" wp14:anchorId="5F3E536B" wp14:editId="751306A3">
            <wp:extent cx="3526971" cy="2774021"/>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4235" t="43448" r="36185" b="15172"/>
                    <a:stretch/>
                  </pic:blipFill>
                  <pic:spPr bwMode="auto">
                    <a:xfrm>
                      <a:off x="0" y="0"/>
                      <a:ext cx="3565075" cy="2803991"/>
                    </a:xfrm>
                    <a:prstGeom prst="rect">
                      <a:avLst/>
                    </a:prstGeom>
                    <a:ln>
                      <a:noFill/>
                    </a:ln>
                    <a:extLst>
                      <a:ext uri="{53640926-AAD7-44D8-BBD7-CCE9431645EC}">
                        <a14:shadowObscured xmlns:a14="http://schemas.microsoft.com/office/drawing/2010/main"/>
                      </a:ext>
                    </a:extLst>
                  </pic:spPr>
                </pic:pic>
              </a:graphicData>
            </a:graphic>
          </wp:inline>
        </w:drawing>
      </w:r>
      <w:r>
        <w:br/>
      </w:r>
      <w:r w:rsidR="002242A6">
        <w:t>Figure 20: Sumerian horned goddess Inanna</w:t>
      </w:r>
      <w:r w:rsidR="00290AE6">
        <w:t>.</w:t>
      </w:r>
    </w:p>
    <w:p w:rsidR="002242A6" w:rsidRDefault="007B444A" w:rsidP="001D41F3">
      <w:pPr>
        <w:spacing w:line="480" w:lineRule="auto"/>
        <w:jc w:val="center"/>
      </w:pPr>
      <w:r w:rsidRPr="00CE5976">
        <w:rPr>
          <w:noProof/>
          <w:lang w:eastAsia="en-GB"/>
        </w:rPr>
        <w:drawing>
          <wp:inline distT="0" distB="0" distL="0" distR="0" wp14:anchorId="5E0E41FD" wp14:editId="64067D4C">
            <wp:extent cx="3099460" cy="4037455"/>
            <wp:effectExtent l="0" t="0" r="5715" b="1270"/>
            <wp:docPr id="25" name="Picture 25" descr="COMPASS Title: The 'Queen of the Night' Reli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MPASS Title: The 'Queen of the Night' Relief"/>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134132" cy="4082620"/>
                    </a:xfrm>
                    <a:prstGeom prst="rect">
                      <a:avLst/>
                    </a:prstGeom>
                    <a:noFill/>
                    <a:ln>
                      <a:noFill/>
                    </a:ln>
                  </pic:spPr>
                </pic:pic>
              </a:graphicData>
            </a:graphic>
          </wp:inline>
        </w:drawing>
      </w:r>
      <w:r>
        <w:br/>
      </w:r>
      <w:r w:rsidR="002242A6">
        <w:t>Figure 21: Burney relief depicting Ishtar</w:t>
      </w:r>
    </w:p>
    <w:p w:rsidR="002242A6" w:rsidRDefault="002242A6" w:rsidP="001D41F3">
      <w:pPr>
        <w:spacing w:line="480" w:lineRule="auto"/>
        <w:jc w:val="both"/>
      </w:pPr>
      <w:r>
        <w:t xml:space="preserve">The stories of the Sumerian and Mesopotamian sister goddesses </w:t>
      </w:r>
      <w:proofErr w:type="spellStart"/>
      <w:r>
        <w:t>Innana</w:t>
      </w:r>
      <w:proofErr w:type="spellEnd"/>
      <w:r>
        <w:t xml:space="preserve"> and </w:t>
      </w:r>
      <w:proofErr w:type="spellStart"/>
      <w:r>
        <w:t>Erishkigal</w:t>
      </w:r>
      <w:proofErr w:type="spellEnd"/>
      <w:r>
        <w:t xml:space="preserve"> (</w:t>
      </w:r>
      <w:proofErr w:type="spellStart"/>
      <w:r>
        <w:t>Leeming</w:t>
      </w:r>
      <w:proofErr w:type="spellEnd"/>
      <w:r>
        <w:t xml:space="preserve"> 2005) holds some ideas that may possible help understand earlier materials that have been interoperated </w:t>
      </w:r>
      <w:r>
        <w:lastRenderedPageBreak/>
        <w:t>to possibly represent twin of sister goddesses (</w:t>
      </w:r>
      <w:proofErr w:type="spellStart"/>
      <w:r>
        <w:t>Srejovic</w:t>
      </w:r>
      <w:proofErr w:type="spellEnd"/>
      <w:r>
        <w:t xml:space="preserve"> 2005: 6462) . </w:t>
      </w:r>
      <w:proofErr w:type="spellStart"/>
      <w:r>
        <w:t>Innana’s</w:t>
      </w:r>
      <w:proofErr w:type="spellEnd"/>
      <w:r>
        <w:t xml:space="preserve"> mythos describes a young goddess with no speciality, going through trials and causing mischief in order to steal the elements of ‘me’, the Sumerian idea of moral justness and the right order, by doing so she becomes one of the most important goddesses in the pantheon (</w:t>
      </w:r>
      <w:proofErr w:type="spellStart"/>
      <w:r>
        <w:t>Leeming</w:t>
      </w:r>
      <w:proofErr w:type="spellEnd"/>
      <w:r>
        <w:t xml:space="preserve"> 2005). Upon this the goddess whom is known for her fertility, marries and eagerly consummates her marriage (</w:t>
      </w:r>
      <w:proofErr w:type="spellStart"/>
      <w:r>
        <w:t>Leeming</w:t>
      </w:r>
      <w:proofErr w:type="spellEnd"/>
      <w:r>
        <w:t xml:space="preserve"> 2005). An interesting motif within the consummation is when </w:t>
      </w:r>
      <w:proofErr w:type="spellStart"/>
      <w:r>
        <w:t>Innana</w:t>
      </w:r>
      <w:proofErr w:type="spellEnd"/>
      <w:r>
        <w:t xml:space="preserve"> calls for a horn (</w:t>
      </w:r>
      <w:proofErr w:type="spellStart"/>
      <w:r>
        <w:t>Leeming</w:t>
      </w:r>
      <w:proofErr w:type="spellEnd"/>
      <w:r>
        <w:t xml:space="preserve"> 2005), a symbol that has been connected with individual mother depictions throughout time, dating to the Palaeolithic era (Figure 4). As </w:t>
      </w:r>
      <w:proofErr w:type="spellStart"/>
      <w:r>
        <w:t>Innana</w:t>
      </w:r>
      <w:proofErr w:type="spellEnd"/>
      <w:r>
        <w:t xml:space="preserve"> calls out in the heat of passion it may be plausible to think that the horn may represent male fertility the way the goddess represents female fertility. Her sister </w:t>
      </w:r>
      <w:proofErr w:type="spellStart"/>
      <w:r>
        <w:t>Erishkigal</w:t>
      </w:r>
      <w:proofErr w:type="spellEnd"/>
      <w:r>
        <w:t xml:space="preserve"> is known as the goddess of the underworld, originally infertile to counteract her sister fertility (</w:t>
      </w:r>
      <w:proofErr w:type="spellStart"/>
      <w:r>
        <w:t>Leeming</w:t>
      </w:r>
      <w:proofErr w:type="spellEnd"/>
      <w:r>
        <w:t xml:space="preserve"> 2005 2). But later Babylonian adaptions of the myth tell of a storey in which the goddess is married to </w:t>
      </w:r>
      <w:proofErr w:type="spellStart"/>
      <w:r>
        <w:t>Gugalanna</w:t>
      </w:r>
      <w:proofErr w:type="spellEnd"/>
      <w:r>
        <w:t xml:space="preserve"> ‘Wild Bull of </w:t>
      </w:r>
      <w:proofErr w:type="spellStart"/>
      <w:r>
        <w:t>Anu</w:t>
      </w:r>
      <w:proofErr w:type="spellEnd"/>
      <w:r>
        <w:t>’, (</w:t>
      </w:r>
      <w:proofErr w:type="spellStart"/>
      <w:r>
        <w:t>Leeming</w:t>
      </w:r>
      <w:proofErr w:type="spellEnd"/>
      <w:r>
        <w:t xml:space="preserve"> 2005 2) once again connecting fertility to bulls and horns. The myth tells of the husband and wife’s seven</w:t>
      </w:r>
      <w:r w:rsidR="0062094D">
        <w:t xml:space="preserve"> day uninterrupted copulation (</w:t>
      </w:r>
      <w:proofErr w:type="spellStart"/>
      <w:r w:rsidR="0062094D">
        <w:t>L</w:t>
      </w:r>
      <w:r>
        <w:t>eeming</w:t>
      </w:r>
      <w:proofErr w:type="spellEnd"/>
      <w:r>
        <w:t xml:space="preserve"> 2005 2). Sister goddesses are found throughout different cultures in the Mediterranean, both usually representing fertility like Isis and Hathor in ancient Egypt (Shorter 1937: 130-133). It may be very possible that these myths may have stemmed from a split in purpose of mother figurines, fertility, life and death, and the connection to the earth. </w:t>
      </w:r>
    </w:p>
    <w:p w:rsidR="002242A6" w:rsidRDefault="002242A6" w:rsidP="001D41F3">
      <w:pPr>
        <w:spacing w:line="480" w:lineRule="auto"/>
        <w:jc w:val="both"/>
      </w:pPr>
      <w:r>
        <w:t xml:space="preserve">The Hittite kingdoms influence expanded </w:t>
      </w:r>
      <w:r w:rsidR="0062094D">
        <w:t xml:space="preserve">to cover </w:t>
      </w:r>
      <w:r>
        <w:t>much of the known ancient world, their connection to ancient Egypt is apparent through their correspondence recorded in the Amarna tablets, dating to the late Amarna period in the 14th century BC (</w:t>
      </w:r>
      <w:proofErr w:type="spellStart"/>
      <w:r>
        <w:t>Scoville</w:t>
      </w:r>
      <w:proofErr w:type="spellEnd"/>
      <w:r>
        <w:t xml:space="preserve"> 2015: 1-2).  However, the appearance of </w:t>
      </w:r>
      <w:proofErr w:type="spellStart"/>
      <w:r>
        <w:t>Sekhemet</w:t>
      </w:r>
      <w:proofErr w:type="spellEnd"/>
      <w:r>
        <w:t xml:space="preserve"> (Figure 22) occurs during the 12th dynasty, during the 19th century BC (Pinch 2003: 116), suggesting that possibly correspondence may have occurred before the 14th century, or that the goddess was passed through the Sumerian culture that collapsed during this era (Mark 2011).  Much like </w:t>
      </w:r>
      <w:proofErr w:type="spellStart"/>
      <w:r>
        <w:t>Sauska</w:t>
      </w:r>
      <w:proofErr w:type="spellEnd"/>
      <w:r>
        <w:t xml:space="preserve">, Inanna, and Ishtar, Sekhmet was the goddess of war and healing (Encyclopaedia Britannica 1999), and was heavily associated with kingship (Shorter 1937: 11). The goddess was known for her temperamental nature, often described as vengeful and wrathful, explaining why the goddess is </w:t>
      </w:r>
      <w:r>
        <w:lastRenderedPageBreak/>
        <w:t xml:space="preserve">heavily associated with the colour red (Pinch 2003: 71-74), giving connection to previous goddesses from the </w:t>
      </w:r>
      <w:r w:rsidR="0062094D">
        <w:t>Palaeolithic leading up to the Bronze A</w:t>
      </w:r>
      <w:r>
        <w:t xml:space="preserve">ge. The goddess’s symbols are often associated with lions, as this was her zoomorphic form (Encyclopaedia Britannica 1999). Egyptians were known to celebrate festivals dedicated to the goddess upon return from war, as well as incorporating her into the yearly </w:t>
      </w:r>
      <w:r w:rsidR="0062094D">
        <w:t xml:space="preserve">festival </w:t>
      </w:r>
      <w:r>
        <w:t>held at the beginning of the Egyptian year in which rituals involved intoxication and music to sooth Sekhmet (Pinch 2003: 187-188) . This festival appears to be connected to the myth in which Sekhmet destroyed humanity causing the Nile to run red with blood (Pinch 2003: 187-188). Much like the Hittite, Sumerian and Mesopotamian goddesses the similarities can be seen, Wilson</w:t>
      </w:r>
      <w:r w:rsidR="0062094D">
        <w:t>’</w:t>
      </w:r>
      <w:r>
        <w:t xml:space="preserve">s evolutionary theory would explain the differences being due to the adoption and adaptions made to the cult because of the differences in the cultures (Wilson 2002: 44). </w:t>
      </w:r>
    </w:p>
    <w:p w:rsidR="002242A6" w:rsidRDefault="007B444A" w:rsidP="001D41F3">
      <w:pPr>
        <w:spacing w:line="480" w:lineRule="auto"/>
        <w:jc w:val="center"/>
      </w:pPr>
      <w:r w:rsidRPr="00125D21">
        <w:rPr>
          <w:noProof/>
          <w:lang w:eastAsia="en-GB"/>
        </w:rPr>
        <w:drawing>
          <wp:inline distT="0" distB="0" distL="0" distR="0" wp14:anchorId="54CBC5E0" wp14:editId="2873020F">
            <wp:extent cx="3272985" cy="4393870"/>
            <wp:effectExtent l="0" t="0" r="3810" b="6985"/>
            <wp:docPr id="27" name="Picture 27" descr="https://www.louvre.fr/sites/default/files/imagecache/235x196/medias/medias_images/images/louvre-deesse-sekhmet_0.jpg?1524879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www.louvre.fr/sites/default/files/imagecache/235x196/medias/medias_images/images/louvre-deesse-sekhmet_0.jpg?152487943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402840" cy="4568196"/>
                    </a:xfrm>
                    <a:prstGeom prst="rect">
                      <a:avLst/>
                    </a:prstGeom>
                    <a:noFill/>
                    <a:ln>
                      <a:noFill/>
                    </a:ln>
                  </pic:spPr>
                </pic:pic>
              </a:graphicData>
            </a:graphic>
          </wp:inline>
        </w:drawing>
      </w:r>
      <w:r>
        <w:br/>
      </w:r>
      <w:r w:rsidR="002242A6">
        <w:t>Figure 22: Egyptian Goddess Sekhmet</w:t>
      </w:r>
      <w:r w:rsidR="0073604E">
        <w:t>.</w:t>
      </w:r>
    </w:p>
    <w:p w:rsidR="002242A6" w:rsidRDefault="002242A6" w:rsidP="001D41F3">
      <w:pPr>
        <w:spacing w:line="480" w:lineRule="auto"/>
        <w:jc w:val="both"/>
      </w:pPr>
      <w:r>
        <w:lastRenderedPageBreak/>
        <w:t xml:space="preserve">Towards the end of the Bronze Age a new super power began to emerge in Europe, later spreading across most of the Mediterranean and north of Europe (Mark 2018 2: 1-3). The Roman Empire was known for adopting a Greek cult of Cybele and creating the cult of Magna Meter, Mountain mother (James 1959: 161-164). The Greco-Roman culture shared virtually identical religions, this playing a huge part in the development of religious evolutionary theory (Wilson 2002: 88-205). The goddess is frequently thought to have originally been worshipped in Phrygian culture in the Anatolian mountains (James 1959: 161) in modern day Turkey, which gives the Neolithic links and early Bronze Age links of a mother goddess that had been adopted and then adapted by many cultures (Wilson 2002: 44) previous to the emergence of the Greek cult of Cybele (James 1959: 165). Manga Mater is known as the mistress of animals, and is often depicted sat atop a throne either depicted like a lion or, with lions surrounding her at her feet (Figure 23) (James 1959: 165). The image motifs connect Magna Mater to that of the early </w:t>
      </w:r>
      <w:r w:rsidR="0062094D">
        <w:t>religions, but it is apparent that change made by the R</w:t>
      </w:r>
      <w:r>
        <w:t xml:space="preserve">omans and Greeks from the original religion. The goddess is once again heavily associated with music (James 1959: 165) suggesting links that go as far back as the Palaeolithic era to the Venus of </w:t>
      </w:r>
      <w:proofErr w:type="spellStart"/>
      <w:r>
        <w:t>Lassaul</w:t>
      </w:r>
      <w:proofErr w:type="spellEnd"/>
      <w:r>
        <w:t xml:space="preserve"> (Figure 4), a character trait that has remained despite the cult’s constant adaption (Wilson 2002: 44). The goddess is also once again associated with bulls and horns also, further motifs that survived through many cultures (James 1959: 161-165). Interestingly, the goddess’s festival is during the beginning of March, as she is often associated as a goddess of fertility and crop abundance (James 1959: 165). During the festival a pine tree was cut down and brought to her shrine, and violets and other flowers were used to decorate it (Encyclopaedia Britanni</w:t>
      </w:r>
      <w:r w:rsidR="0062094D">
        <w:t>ca 1998 2). Towards the end of M</w:t>
      </w:r>
      <w:r>
        <w:t>arch at her annual festival a priest would draw blood from his arms and offer it to the goddess (Encyclopaedia B</w:t>
      </w:r>
      <w:r w:rsidR="0062094D">
        <w:t>ritannica 1998 2), clearly the R</w:t>
      </w:r>
      <w:r>
        <w:t xml:space="preserve">omans have adapted and yet kept the idea of the goddess being connected to blood.  The goddess has kept many adoptions associated with previous cults but have indeed ‘Romanised’ the cult also, adapting it to fit into their own pantheon and culture.   </w:t>
      </w:r>
    </w:p>
    <w:p w:rsidR="002242A6" w:rsidRDefault="00C02AE2" w:rsidP="001D41F3">
      <w:pPr>
        <w:spacing w:line="480" w:lineRule="auto"/>
        <w:jc w:val="center"/>
      </w:pPr>
      <w:r w:rsidRPr="00125D21">
        <w:rPr>
          <w:noProof/>
          <w:lang w:eastAsia="en-GB"/>
        </w:rPr>
        <w:lastRenderedPageBreak/>
        <w:drawing>
          <wp:inline distT="0" distB="0" distL="0" distR="0" wp14:anchorId="6C0C907D" wp14:editId="390FF762">
            <wp:extent cx="3063834" cy="4495298"/>
            <wp:effectExtent l="0" t="0" r="3810" b="635"/>
            <wp:docPr id="28" name="Picture 28" descr="Cybele | Greco-Roman marble statue | Museum 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ybele | Greco-Roman marble statue | Museum Rom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82540" cy="4522743"/>
                    </a:xfrm>
                    <a:prstGeom prst="rect">
                      <a:avLst/>
                    </a:prstGeom>
                    <a:noFill/>
                    <a:ln>
                      <a:noFill/>
                    </a:ln>
                  </pic:spPr>
                </pic:pic>
              </a:graphicData>
            </a:graphic>
          </wp:inline>
        </w:drawing>
      </w:r>
      <w:r>
        <w:br/>
      </w:r>
      <w:r w:rsidR="002242A6">
        <w:t>Figu</w:t>
      </w:r>
      <w:r w:rsidR="00DA5B10">
        <w:t>re 23: Roman Goddess Magna Mater</w:t>
      </w:r>
      <w:r w:rsidR="0073604E">
        <w:t>.</w:t>
      </w:r>
    </w:p>
    <w:p w:rsidR="002242A6" w:rsidRDefault="002242A6" w:rsidP="001D41F3">
      <w:pPr>
        <w:spacing w:line="480" w:lineRule="auto"/>
        <w:jc w:val="both"/>
      </w:pPr>
      <w:r>
        <w:t>The biggest criticism of the ‘universal mother goddess’ debate was that its links were questionable, particularly regarding the links from the Palaeolithic era to the Neolithic era (Fleming 1969: 252). Firstly, mobile hunter gatherer tribes were constantly moving with the food resources (</w:t>
      </w:r>
      <w:proofErr w:type="spellStart"/>
      <w:r>
        <w:t>Narr</w:t>
      </w:r>
      <w:proofErr w:type="spellEnd"/>
      <w:r>
        <w:t xml:space="preserve"> 2005: 6949), the motifs surrounding the mother figurines of the era all appear to be interconnected</w:t>
      </w:r>
      <w:r w:rsidR="0062094D">
        <w:t>. T</w:t>
      </w:r>
      <w:r>
        <w:t>his suggests that these tribal communities had some sort of communication network between them, although these networks may need further work done surrounding them to precisely pin what cultures, where, and how they knew of one another. The figurines do</w:t>
      </w:r>
      <w:r w:rsidR="0062094D">
        <w:t>,</w:t>
      </w:r>
      <w:r>
        <w:t xml:space="preserve"> however, suggest the spread of ideas from west to east Europe, adaption from different cultures being implemented along the way (Wilson 2002). The majority of mother figurines from the Neolithic are found in the Levant (James 1959:22-25). Obsidian trade does connect the Levant to Eastern Europe not just via land, but also through maritime trade that connected Europe and the Middle East through Cyprus (</w:t>
      </w:r>
      <w:proofErr w:type="spellStart"/>
      <w:r>
        <w:t>Gratuze</w:t>
      </w:r>
      <w:proofErr w:type="spellEnd"/>
      <w:r>
        <w:t xml:space="preserve"> 1999). </w:t>
      </w:r>
      <w:r>
        <w:lastRenderedPageBreak/>
        <w:t>It is this early trade that gives the link of the European cult to that of the Anatolian and Levantine religion, since there is evidence to show these places had contact with one another, granted not always direct contact with original sources,</w:t>
      </w:r>
      <w:r w:rsidR="0062094D">
        <w:t xml:space="preserve"> but</w:t>
      </w:r>
      <w:r>
        <w:t xml:space="preserve"> it does suggest the spread of religious ideas was entirely possible. If the spread of farming, and technologies can be seen to spread from the Levant across the world (Bogucki 1996), then why are archaeologists so quick to dismiss the spread of religious ideas alongside this? These figurines are themselves the proof alongside</w:t>
      </w:r>
      <w:r w:rsidR="0062094D">
        <w:t>, the</w:t>
      </w:r>
      <w:r>
        <w:t xml:space="preserve"> Obsidian trade that does show this spread of religious ideas. Th</w:t>
      </w:r>
      <w:r w:rsidR="00C10142">
        <w:t>e links from the Neolithic and Bronze A</w:t>
      </w:r>
      <w:r>
        <w:t>ge are far less dubious due to more characterised artwork that was distinct per culture, but also due to very obvious overlapping motifs, beyond that of style of</w:t>
      </w:r>
      <w:r w:rsidR="00C10142">
        <w:t xml:space="preserve"> the</w:t>
      </w:r>
      <w:r>
        <w:t xml:space="preserve"> mother figurine. Written language during the Bronze Age has also helped decipher the spread of the cult (Barton 2007) back into the European part of the Mediterranean, as well as its spread possibly back to the original origins of North Africa. This does not mean that the cult of the mother goddess was the same in each culture (Wilson 2002). The myths surrounding the goddess were changed and adapted to suit each culture</w:t>
      </w:r>
      <w:r w:rsidR="00C10142">
        <w:t>’s history and current pantheons. T</w:t>
      </w:r>
      <w:r>
        <w:t>he goddess and her appearance was changed as well to suit cultural ideas and perceptions of deities, rituals and fe</w:t>
      </w:r>
      <w:r w:rsidR="00C10142">
        <w:t>stivals surrounding the deity which</w:t>
      </w:r>
      <w:r>
        <w:t xml:space="preserve"> also adapted by each culture that adopted her. Each culture assimilated the goddess into each of their cultures, changing and maintaining parts of her myth and life as a deity (Wilson 2002).  </w:t>
      </w:r>
    </w:p>
    <w:p w:rsidR="00E20098" w:rsidRDefault="00E20098" w:rsidP="001D41F3">
      <w:pPr>
        <w:spacing w:line="480" w:lineRule="auto"/>
        <w:jc w:val="both"/>
      </w:pPr>
    </w:p>
    <w:p w:rsidR="00E20098" w:rsidRDefault="00E20098" w:rsidP="001D41F3">
      <w:pPr>
        <w:spacing w:line="480" w:lineRule="auto"/>
        <w:jc w:val="both"/>
      </w:pPr>
    </w:p>
    <w:p w:rsidR="00E20098" w:rsidRDefault="00E20098" w:rsidP="001D41F3">
      <w:pPr>
        <w:spacing w:line="480" w:lineRule="auto"/>
        <w:jc w:val="both"/>
      </w:pPr>
    </w:p>
    <w:p w:rsidR="00E20098" w:rsidRDefault="00E20098" w:rsidP="001D41F3">
      <w:pPr>
        <w:spacing w:line="480" w:lineRule="auto"/>
        <w:jc w:val="both"/>
      </w:pPr>
    </w:p>
    <w:p w:rsidR="00E20098" w:rsidRDefault="00E20098" w:rsidP="001D41F3">
      <w:pPr>
        <w:spacing w:line="480" w:lineRule="auto"/>
        <w:jc w:val="both"/>
      </w:pPr>
    </w:p>
    <w:p w:rsidR="00E20098" w:rsidRDefault="00E20098" w:rsidP="001D41F3">
      <w:pPr>
        <w:spacing w:line="480" w:lineRule="auto"/>
        <w:jc w:val="both"/>
      </w:pPr>
    </w:p>
    <w:p w:rsidR="00804DA8" w:rsidRDefault="00804DA8" w:rsidP="001D41F3">
      <w:pPr>
        <w:spacing w:line="480" w:lineRule="auto"/>
        <w:jc w:val="both"/>
      </w:pPr>
    </w:p>
    <w:p w:rsidR="00E20098" w:rsidRPr="00E20098" w:rsidRDefault="00E20098" w:rsidP="001D41F3">
      <w:pPr>
        <w:spacing w:line="480" w:lineRule="auto"/>
        <w:jc w:val="both"/>
        <w:rPr>
          <w:sz w:val="24"/>
          <w:szCs w:val="24"/>
          <w:u w:val="single"/>
        </w:rPr>
      </w:pPr>
      <w:r w:rsidRPr="00E20098">
        <w:rPr>
          <w:sz w:val="24"/>
          <w:szCs w:val="24"/>
          <w:u w:val="single"/>
        </w:rPr>
        <w:lastRenderedPageBreak/>
        <w:t xml:space="preserve">Conclusion </w:t>
      </w:r>
    </w:p>
    <w:p w:rsidR="00E20098" w:rsidRDefault="00E20098" w:rsidP="001D41F3">
      <w:pPr>
        <w:spacing w:line="480" w:lineRule="auto"/>
        <w:jc w:val="both"/>
      </w:pPr>
      <w:r>
        <w:t>Mother figurines are a physical link to our past, similar motifs have passed and exchanged between multiple cultures (James 1959) (</w:t>
      </w:r>
      <w:proofErr w:type="spellStart"/>
      <w:r>
        <w:t>Gimbutas</w:t>
      </w:r>
      <w:proofErr w:type="spellEnd"/>
      <w:r>
        <w:t xml:space="preserve"> 1989). The original ‘universal mother goddess theory’ may well indeed of been an over </w:t>
      </w:r>
      <w:r w:rsidR="009C2096">
        <w:t>reaching feminist argument, but</w:t>
      </w:r>
      <w:r>
        <w:t xml:space="preserve"> this theory stemmed from arguments created by male scholars before feminism came to light and became a popular idea within western society (Allen 1999: 1089-1090). The original idea came from early interpretation of Neolithic and Palaeolithic evidence that suggested a matriarchal system during these time periods (</w:t>
      </w:r>
      <w:proofErr w:type="spellStart"/>
      <w:r>
        <w:t>Bachofen</w:t>
      </w:r>
      <w:proofErr w:type="spellEnd"/>
      <w:r>
        <w:t xml:space="preserve"> 1967: 78-79). New evidence, theories, and arguments have since come forward suggesting a more equal system between genders throughout the Mediterranean, which unfortunately does go against the original mother goddess debate (Crawford 2013: </w:t>
      </w:r>
      <w:r w:rsidR="009C2096">
        <w:t>373-375)(</w:t>
      </w:r>
      <w:proofErr w:type="spellStart"/>
      <w:r w:rsidR="009C2096">
        <w:t>Lesure</w:t>
      </w:r>
      <w:proofErr w:type="spellEnd"/>
      <w:r w:rsidR="009C2096">
        <w:t xml:space="preserve"> 2002: 593). But</w:t>
      </w:r>
      <w:r>
        <w:t xml:space="preserve"> this does not mean to say that all of the ideas within the theory were wrong. The criticisms that debunked the original theory are somewhat lacking in evidence themselves and are more posing questions that pointed out the flaws with the original theory (Fleming 1969). </w:t>
      </w:r>
    </w:p>
    <w:p w:rsidR="00E20098" w:rsidRDefault="00E20098" w:rsidP="001D41F3">
      <w:pPr>
        <w:spacing w:line="480" w:lineRule="auto"/>
        <w:jc w:val="both"/>
      </w:pPr>
      <w:r>
        <w:t xml:space="preserve">Depiction of women appear to be common within the Palaeolithic and Neolithic eras, they are frequently shown through representations of sexual and reproductive organs (James 1959 11-15). Figurines are frequently representing either pregnant women or possibly new mothers due to the lack of obesity during these time eras in which lifestyles would have been highly physical (Colman 1998: 58-59). The figurines appear to stand alone as individuals, but do appear to have interconnections with one another (Figure A). This may suggest the contact in which different tribal cultures had with one another across Europe during the Palaeolithic era. The reason behind mostly female figurines is somewhat more alluding. Pregnancy and childbirth even in this modern era, may be considered a dangerous and life threatening thing. “Religion cannot be separated out and studied in a vacuum apart from other matters, family, economics, politics, law, and so on. Religion in all its forms was an intrinsic part of life, intertwined with seasons, birth, marriage, death, and it resonated with the hopes and fears of men and women throughout their lives.” (Sawyer 2005: 3381). Suggesting that these figurines may </w:t>
      </w:r>
      <w:r>
        <w:lastRenderedPageBreak/>
        <w:t>have been created for comfort, as well as to resemble a possible deity and the fertility cult created surrounding this scary and dangerous time in women’s lives (James 1959: 11-13). The reasoning to believe in possible religious connections that these figurines may have held is due to the idea that Palaeolithic religion may be deemed by anything that looks to deal with the supernatural (</w:t>
      </w:r>
      <w:proofErr w:type="spellStart"/>
      <w:r>
        <w:t>Narr</w:t>
      </w:r>
      <w:proofErr w:type="spellEnd"/>
      <w:r>
        <w:t xml:space="preserve"> 2005: 6949). Despite understanding women could produce children, the understanding of the scientific knowledge involved within these s</w:t>
      </w:r>
      <w:r w:rsidR="009C2096">
        <w:t xml:space="preserve">teps was unknown until recently, </w:t>
      </w:r>
      <w:r>
        <w:t xml:space="preserve">pushing childbirth and pregnancy into the realm of the supernatural. </w:t>
      </w:r>
    </w:p>
    <w:p w:rsidR="00E20098" w:rsidRDefault="00E20098" w:rsidP="001D41F3">
      <w:pPr>
        <w:spacing w:line="480" w:lineRule="auto"/>
        <w:jc w:val="both"/>
      </w:pPr>
      <w:r>
        <w:t xml:space="preserve">The only criticism that well and truly pulled apart the original ‘universal mother goddess’ theory was the dubious linkable evidence between the Palaeolithic era and the Neolithic (Fleming 1969: 252). As the links between Bronze Age and the Neolithic appear to be a lot stronger. The idea of one goddess worshipped universally was a far reaching argument as it was, and the differences between the original Palaeolithic mother figurines (Figures 3-6) and the Greco-Roman god </w:t>
      </w:r>
      <w:proofErr w:type="spellStart"/>
      <w:r>
        <w:t>Cyble</w:t>
      </w:r>
      <w:proofErr w:type="spellEnd"/>
      <w:r>
        <w:t xml:space="preserve">/Magna </w:t>
      </w:r>
      <w:proofErr w:type="spellStart"/>
      <w:r>
        <w:t>Matre</w:t>
      </w:r>
      <w:proofErr w:type="spellEnd"/>
      <w:r>
        <w:t xml:space="preserve"> (Figure 22) are extreme. This gives indication of multiple goddesses inspired by another cultures goddess or previous religions that are either connected through trade or boarder contact (Wilson 2002: 5-44). A huge mistake the original theory made was distinguishing what was and was not mother figurines (</w:t>
      </w:r>
      <w:proofErr w:type="spellStart"/>
      <w:r>
        <w:t>Gimbutas</w:t>
      </w:r>
      <w:proofErr w:type="spellEnd"/>
      <w:r>
        <w:t xml:space="preserve"> 1989). With the correct contexts and figurines placed into the archaeological record, links across Europe interlinking these figurines (Figure A), pushing into the east and Russia suggesting linkable evidence that may not have been seen before. </w:t>
      </w:r>
    </w:p>
    <w:p w:rsidR="00E20098" w:rsidRDefault="00E20098" w:rsidP="001D41F3">
      <w:pPr>
        <w:spacing w:line="480" w:lineRule="auto"/>
        <w:jc w:val="both"/>
      </w:pPr>
      <w:r>
        <w:t>The possible early origins of the Palaeolithic figurines may be somewhat debated due their ages (</w:t>
      </w:r>
      <w:proofErr w:type="spellStart"/>
      <w:r>
        <w:t>Marshack</w:t>
      </w:r>
      <w:proofErr w:type="spellEnd"/>
      <w:r>
        <w:t xml:space="preserve"> 1997: 328). The Venus of </w:t>
      </w:r>
      <w:proofErr w:type="spellStart"/>
      <w:r>
        <w:t>Berekhat</w:t>
      </w:r>
      <w:proofErr w:type="spellEnd"/>
      <w:r>
        <w:t xml:space="preserve"> ram and the Venus of </w:t>
      </w:r>
      <w:proofErr w:type="spellStart"/>
      <w:r>
        <w:t>Tantan</w:t>
      </w:r>
      <w:proofErr w:type="spellEnd"/>
      <w:r>
        <w:t xml:space="preserve"> both, using chemical analysis, show that natural rocks had been modified (</w:t>
      </w:r>
      <w:proofErr w:type="spellStart"/>
      <w:r>
        <w:t>Marshack</w:t>
      </w:r>
      <w:proofErr w:type="spellEnd"/>
      <w:r>
        <w:t xml:space="preserve"> 1997: 327) (Bednarik 2003: 411), one in particular had been coated in red o</w:t>
      </w:r>
      <w:r w:rsidR="009C2096">
        <w:t>chre (Bednarik 2003: 411). Their</w:t>
      </w:r>
      <w:r>
        <w:t xml:space="preserve"> motifs are unclear but a resemblance to the subsequent Palaeolithic figurines may be seen (Figures 1-6) along with the use of red ochre (Figure 3). Although there is no theory and very little evidence of these figurines being </w:t>
      </w:r>
      <w:r>
        <w:lastRenderedPageBreak/>
        <w:t>involved in or surrounded by ritual or religious bel</w:t>
      </w:r>
      <w:r w:rsidR="009C2096">
        <w:t>iefs it is only safe to say that these</w:t>
      </w:r>
      <w:r>
        <w:t xml:space="preserve"> may be considered some of the earliest pieces of art (</w:t>
      </w:r>
      <w:proofErr w:type="spellStart"/>
      <w:r>
        <w:t>Marshack</w:t>
      </w:r>
      <w:proofErr w:type="spellEnd"/>
      <w:r>
        <w:t xml:space="preserve"> 1997: 335).</w:t>
      </w:r>
    </w:p>
    <w:p w:rsidR="00E20098" w:rsidRDefault="00E20098" w:rsidP="001D41F3">
      <w:pPr>
        <w:spacing w:line="480" w:lineRule="auto"/>
        <w:jc w:val="both"/>
      </w:pPr>
      <w:r>
        <w:t xml:space="preserve">The Venus of </w:t>
      </w:r>
      <w:proofErr w:type="spellStart"/>
      <w:r>
        <w:t>Willendorf</w:t>
      </w:r>
      <w:proofErr w:type="spellEnd"/>
      <w:r>
        <w:t xml:space="preserve"> is an interesting example of missing ritual connection due to her gesture (</w:t>
      </w:r>
      <w:proofErr w:type="spellStart"/>
      <w:r>
        <w:t>Gimbutas</w:t>
      </w:r>
      <w:proofErr w:type="spellEnd"/>
      <w:r>
        <w:t xml:space="preserve"> 1989: 141). The red ochre coating the figurine (Kuiper 2016: 1) suggests connection that is linked with child burials (</w:t>
      </w:r>
      <w:proofErr w:type="spellStart"/>
      <w:r>
        <w:t>Einwogerer</w:t>
      </w:r>
      <w:proofErr w:type="spellEnd"/>
      <w:r>
        <w:t xml:space="preserve"> et al 2006: 17-19) and further connections to other depictions with the same motif (Figures 4-6). This connects the figurines to ritual activity, giving reason to believe that these figurines do have connection to religious belief (</w:t>
      </w:r>
      <w:proofErr w:type="spellStart"/>
      <w:r>
        <w:t>Narr</w:t>
      </w:r>
      <w:proofErr w:type="spellEnd"/>
      <w:r>
        <w:t xml:space="preserve"> 2</w:t>
      </w:r>
      <w:r w:rsidR="009C2096">
        <w:t xml:space="preserve">005: 6949-6950); </w:t>
      </w:r>
      <w:proofErr w:type="gramStart"/>
      <w:r w:rsidR="009C2096">
        <w:t>Nevertheless</w:t>
      </w:r>
      <w:proofErr w:type="gramEnd"/>
      <w:r w:rsidR="009C2096">
        <w:t>, t</w:t>
      </w:r>
      <w:r>
        <w:t>his does not necessarily prove that they are depictions of a goddess.</w:t>
      </w:r>
    </w:p>
    <w:p w:rsidR="00E20098" w:rsidRDefault="00E20098" w:rsidP="001D41F3">
      <w:pPr>
        <w:spacing w:line="480" w:lineRule="auto"/>
        <w:jc w:val="both"/>
      </w:pPr>
      <w:r>
        <w:t>During the subsequent Neolithic era the majority of mother type figurines emerge</w:t>
      </w:r>
      <w:r w:rsidR="009C2096">
        <w:t>d</w:t>
      </w:r>
      <w:r>
        <w:t xml:space="preserve"> in Anatolia and the Levant that show large women indicating towards their breasts, stomachs, or even in labour (James 1959: 13-15). Possible links between the European Palaeolithic figurines and the Neolithic Middle East figurines may be seen through trade networks connecting the obsidian trade of central Anatolia and the Levant (</w:t>
      </w:r>
      <w:proofErr w:type="spellStart"/>
      <w:r>
        <w:t>Gratuze</w:t>
      </w:r>
      <w:proofErr w:type="spellEnd"/>
      <w:r>
        <w:t xml:space="preserve"> 1999: 869). As well as this DNA evidence that links the Mediterranean European islands directly with DNA in Anatolia (</w:t>
      </w:r>
      <w:proofErr w:type="spellStart"/>
      <w:r>
        <w:t>Paschou</w:t>
      </w:r>
      <w:proofErr w:type="spellEnd"/>
      <w:r>
        <w:t xml:space="preserve"> et al 2014: 9212). This suggests that it may have been entirely possible for the spread of religious ideas, much like the spread of farming. Nevertheless cultural differences may be seen in th</w:t>
      </w:r>
      <w:r w:rsidR="009C2096">
        <w:t>e figurines suggesting that</w:t>
      </w:r>
      <w:r>
        <w:t xml:space="preserve"> the movement of religious ideas coincided with each individual culture that adopted it, they also created their own adaption, assimilating the religion to their own culture (Wilson 2002: 44). Often knowing the original purpose of a figurine may be seen by t</w:t>
      </w:r>
      <w:r w:rsidR="009C2096">
        <w:t>he context in which was unearthed in,</w:t>
      </w:r>
      <w:r>
        <w:t xml:space="preserve"> for example figurines have often been found in grain stores, possibly in connection to the keeping of crops and putting famine at bay (</w:t>
      </w:r>
      <w:proofErr w:type="spellStart"/>
      <w:r>
        <w:t>Mellart</w:t>
      </w:r>
      <w:proofErr w:type="spellEnd"/>
      <w:r>
        <w:t xml:space="preserve"> 1962: 45), which was reasonably common during this era </w:t>
      </w:r>
      <w:proofErr w:type="spellStart"/>
      <w:r>
        <w:t>Mellart</w:t>
      </w:r>
      <w:proofErr w:type="spellEnd"/>
      <w:r>
        <w:t xml:space="preserve"> 1962: 95), especially during the first years of the full transference onto farming alone (</w:t>
      </w:r>
      <w:proofErr w:type="spellStart"/>
      <w:r>
        <w:t>Rollefson</w:t>
      </w:r>
      <w:proofErr w:type="spellEnd"/>
      <w:r>
        <w:t xml:space="preserve"> et al 1992: 452-453). </w:t>
      </w:r>
    </w:p>
    <w:p w:rsidR="00E20098" w:rsidRDefault="00E20098" w:rsidP="001D41F3">
      <w:pPr>
        <w:spacing w:line="480" w:lineRule="auto"/>
        <w:jc w:val="both"/>
      </w:pPr>
      <w:r>
        <w:t>During the Neolithic era a possible ‘twin goddess’ emerges (</w:t>
      </w:r>
      <w:proofErr w:type="spellStart"/>
      <w:r>
        <w:t>Srejovic</w:t>
      </w:r>
      <w:proofErr w:type="spellEnd"/>
      <w:r>
        <w:t xml:space="preserve"> 2005: 6462). During this era humans began to leave behind the use of stone</w:t>
      </w:r>
      <w:r w:rsidR="009C2096">
        <w:t xml:space="preserve"> and bega</w:t>
      </w:r>
      <w:r>
        <w:t xml:space="preserve">n to rely on earth, farming and pottery </w:t>
      </w:r>
      <w:r>
        <w:lastRenderedPageBreak/>
        <w:t>became staple parts of human life (</w:t>
      </w:r>
      <w:proofErr w:type="spellStart"/>
      <w:r>
        <w:t>Narr</w:t>
      </w:r>
      <w:proofErr w:type="spellEnd"/>
      <w:r>
        <w:t xml:space="preserve"> 2005: 6949). This may have caused a slight deviation with religious ideas, needing to split the needs that certain rituals may have met (Wilson 2002: 6). The idea that two goddesses that served similar functions one originating earlier and another appearing alongside the new human needs during this time period. One of the goddesses appears to possibly have feline connections (Figure 10) and another often connected with stone still represent earlier standards of mother figurines (Figure 11). </w:t>
      </w:r>
    </w:p>
    <w:p w:rsidR="00E20098" w:rsidRDefault="00E20098" w:rsidP="001D41F3">
      <w:pPr>
        <w:spacing w:line="480" w:lineRule="auto"/>
        <w:jc w:val="both"/>
      </w:pPr>
      <w:r>
        <w:t xml:space="preserve">The emergence of the feline motif with mother figurines initially may be seen at </w:t>
      </w:r>
      <w:proofErr w:type="spellStart"/>
      <w:r>
        <w:t>Catalhoyuk</w:t>
      </w:r>
      <w:proofErr w:type="spellEnd"/>
      <w:r>
        <w:t xml:space="preserve"> (</w:t>
      </w:r>
      <w:proofErr w:type="spellStart"/>
      <w:r>
        <w:t>Mellart</w:t>
      </w:r>
      <w:proofErr w:type="spellEnd"/>
      <w:r>
        <w:t xml:space="preserve"> 1962: 93-95), this motif connects mother figurines in other parts of central Anatolia that share an obsidian source (Carter &amp; </w:t>
      </w:r>
      <w:proofErr w:type="spellStart"/>
      <w:r>
        <w:t>Milic</w:t>
      </w:r>
      <w:proofErr w:type="spellEnd"/>
      <w:r>
        <w:t xml:space="preserve">: 498), which suggests the expansion of religious ideas between the two places in entirely possible (Wilson 2002: 44). Figurines found at </w:t>
      </w:r>
      <w:proofErr w:type="spellStart"/>
      <w:r>
        <w:t>Hacilar</w:t>
      </w:r>
      <w:proofErr w:type="spellEnd"/>
      <w:r>
        <w:t xml:space="preserve"> show a seated woman in multiple stages of female life, often connected with fertility (Figures 15-17). Also found at </w:t>
      </w:r>
      <w:proofErr w:type="spellStart"/>
      <w:r>
        <w:t>Hacilar</w:t>
      </w:r>
      <w:proofErr w:type="spellEnd"/>
      <w:r>
        <w:t xml:space="preserve"> is an identified shrine that was connected with child and mother burials, most of which were young women (</w:t>
      </w:r>
      <w:proofErr w:type="spellStart"/>
      <w:r>
        <w:t>Mellart</w:t>
      </w:r>
      <w:proofErr w:type="spellEnd"/>
      <w:r>
        <w:t xml:space="preserve"> 1959: 102). This connects the Neolithic figurines to that of ritual activity also reaffirming the idea that the original figurines may be con</w:t>
      </w:r>
      <w:r w:rsidR="009C2096">
        <w:t>nected to religious beliefs</w:t>
      </w:r>
      <w:r>
        <w:t xml:space="preserve">. </w:t>
      </w:r>
    </w:p>
    <w:p w:rsidR="00E20098" w:rsidRDefault="00E20098" w:rsidP="001D41F3">
      <w:pPr>
        <w:spacing w:line="480" w:lineRule="auto"/>
        <w:jc w:val="both"/>
      </w:pPr>
      <w:r>
        <w:t>What gives the impression that these depictions may represent goddess</w:t>
      </w:r>
      <w:r w:rsidR="009C2096">
        <w:t>es is the connections into the Bronze A</w:t>
      </w:r>
      <w:r>
        <w:t>ge in which textual evidence of: myth, rituals, festivals, and deities appear (</w:t>
      </w:r>
      <w:proofErr w:type="spellStart"/>
      <w:r>
        <w:t>Hoffner</w:t>
      </w:r>
      <w:proofErr w:type="spellEnd"/>
      <w:r>
        <w:t xml:space="preserve"> &amp; Beckman 1998: 2-4). These belief systems by this time are extremely advanced and clearly have deep seated roots in previous eras. The possible connections between individual cults may be seen with the lion motif that was initially established during the Neolithic era (Figures 18-21). We frequently see that the goddesses surrounding this motif are often credited with bringing back spring with the assistance of bees, a motif that appears to attach itself to goddesses during the Bronze Age (</w:t>
      </w:r>
      <w:proofErr w:type="spellStart"/>
      <w:r>
        <w:t>Hoffner</w:t>
      </w:r>
      <w:proofErr w:type="spellEnd"/>
      <w:r>
        <w:t xml:space="preserve"> &amp; Beckman 1998: 14-18). Each culture in the Bronze Age appears to assimilate the spread of a goddess into their culture (Wilson 2002: 44) and the written evidence alongside the archaeological evidence helps define this easier than previous eras, but does suggest it would have been possible previously for</w:t>
      </w:r>
      <w:r w:rsidR="009C2096">
        <w:t xml:space="preserve"> a</w:t>
      </w:r>
      <w:r>
        <w:t xml:space="preserve"> similar movement of ideas to happen. Goddesses with similar motifs appear to have been adopted across the </w:t>
      </w:r>
      <w:r>
        <w:lastRenderedPageBreak/>
        <w:t>Middle East during the Neolithic era (James 1959), each culture assimilating them (Wilson 2002: 44), these ideas grew into individual cultures during the Bronze Age and began to spread further to places such as Greece, Rome (James 1959: 165), and Egypt (</w:t>
      </w:r>
      <w:proofErr w:type="spellStart"/>
      <w:r>
        <w:t>Scoville</w:t>
      </w:r>
      <w:proofErr w:type="spellEnd"/>
      <w:r>
        <w:t xml:space="preserve"> 2015: 1-2). </w:t>
      </w:r>
    </w:p>
    <w:p w:rsidR="00E20098" w:rsidRDefault="00E20098" w:rsidP="001D41F3">
      <w:pPr>
        <w:spacing w:line="480" w:lineRule="auto"/>
        <w:jc w:val="both"/>
      </w:pPr>
      <w:r>
        <w:t xml:space="preserve">Sister goddesses with similar motifs and areas </w:t>
      </w:r>
      <w:r w:rsidR="009C2096">
        <w:t xml:space="preserve">of </w:t>
      </w:r>
      <w:r>
        <w:t>influences are found in some cultures (</w:t>
      </w:r>
      <w:proofErr w:type="spellStart"/>
      <w:r>
        <w:t>Leeming</w:t>
      </w:r>
      <w:proofErr w:type="spellEnd"/>
      <w:r>
        <w:t xml:space="preserve"> 2005). This may suggest that some cultures kept the ideas of twin goddesses that were possibly first established in the Neolithic era in which resources changed to earth</w:t>
      </w:r>
      <w:r w:rsidR="009C2096">
        <w:t>,</w:t>
      </w:r>
      <w:r>
        <w:t xml:space="preserve"> suggesting that the purposes of deities/rituals may have changed. All of these goddesses are different but do have similarities that may be explained from the spread of religious ideas with a reoccurring theme (Wilson 2002: 44). This may be explained by the beginnings of a sort of globalisation of the known world during these time periods, each culture adopting religious ideas upon contact with another culture, and then assimilating these ideas into their own culture (Wilson 2002). These sister goddesses remained connected to fertility (</w:t>
      </w:r>
      <w:proofErr w:type="spellStart"/>
      <w:r>
        <w:t>Leeming</w:t>
      </w:r>
      <w:proofErr w:type="spellEnd"/>
      <w:r>
        <w:t xml:space="preserve"> 2005) a symbol that had originated in the Palaeolithic era (Figures 3-6), or possibly earlier (Figures 1-2). This gives reason to suggest that the early figurines were depictions of fertility goddesses. </w:t>
      </w:r>
    </w:p>
    <w:p w:rsidR="00E20098" w:rsidRDefault="00E20098" w:rsidP="001D41F3">
      <w:pPr>
        <w:spacing w:line="480" w:lineRule="auto"/>
        <w:jc w:val="both"/>
      </w:pPr>
      <w:r>
        <w:t>All of these goddesses appear to have similar motifs and re</w:t>
      </w:r>
      <w:r w:rsidR="009C2096">
        <w:t>-</w:t>
      </w:r>
      <w:r>
        <w:t xml:space="preserve">occurring themes that stretch throughout a huge portion of human history (Figures 1-22). It is understandable why the ‘universal mother goddess’ theory was created considering the evidence that has been brought to light; nonetheless, each individual culture that adopted a goddess from a previous one, through cultural contact has made its own adaptions (Wilson 2002: 44). There is not one singular goddess there are multiple goddesses with similar motifs and spheres of influence which may be explained through the transference of religious ideas and religious evolution (Wilson 2002: 44) (Figures 1-22). </w:t>
      </w:r>
    </w:p>
    <w:p w:rsidR="00E20098" w:rsidRDefault="00E20098" w:rsidP="001D41F3">
      <w:pPr>
        <w:spacing w:line="480" w:lineRule="auto"/>
        <w:jc w:val="both"/>
      </w:pPr>
    </w:p>
    <w:p w:rsidR="00D618C1" w:rsidRDefault="00D618C1" w:rsidP="001D41F3">
      <w:pPr>
        <w:spacing w:line="480" w:lineRule="auto"/>
        <w:jc w:val="both"/>
      </w:pPr>
    </w:p>
    <w:p w:rsidR="008059AF" w:rsidRDefault="008059AF" w:rsidP="001D41F3">
      <w:pPr>
        <w:spacing w:line="480" w:lineRule="auto"/>
      </w:pPr>
    </w:p>
    <w:p w:rsidR="00D618C1" w:rsidRPr="00D618C1" w:rsidRDefault="00D618C1" w:rsidP="001D41F3">
      <w:pPr>
        <w:spacing w:line="480" w:lineRule="auto"/>
        <w:rPr>
          <w:sz w:val="24"/>
          <w:szCs w:val="24"/>
          <w:u w:val="single"/>
        </w:rPr>
      </w:pPr>
      <w:r w:rsidRPr="00D618C1">
        <w:rPr>
          <w:sz w:val="24"/>
          <w:szCs w:val="24"/>
          <w:u w:val="single"/>
        </w:rPr>
        <w:lastRenderedPageBreak/>
        <w:t xml:space="preserve">Reference list </w:t>
      </w:r>
    </w:p>
    <w:p w:rsidR="00D618C1" w:rsidRDefault="00D618C1" w:rsidP="001D41F3">
      <w:pPr>
        <w:spacing w:line="480" w:lineRule="auto"/>
      </w:pPr>
      <w:r w:rsidRPr="000533D5">
        <w:t>Allen, A.T. 1999. Feminism, Social Science, and the Meanings of Modernity: The Debate on the Origin of the Family in Europe and the United States, 1860-1914. The American Historical review. 104(4) 1085-1113.</w:t>
      </w:r>
    </w:p>
    <w:p w:rsidR="004F7868" w:rsidRDefault="004F7868" w:rsidP="001D41F3">
      <w:pPr>
        <w:spacing w:line="480" w:lineRule="auto"/>
      </w:pPr>
      <w:r>
        <w:t xml:space="preserve">Amin, O.S.M. 2018. Two-Headed Statue from Ain Ghazal. Ancient History Encyclopaedia. Available from: </w:t>
      </w:r>
      <w:hyperlink r:id="rId35" w:history="1">
        <w:r w:rsidRPr="00305169">
          <w:rPr>
            <w:rStyle w:val="Hyperlink"/>
          </w:rPr>
          <w:t>https://www.ancient.eu/image/8521/</w:t>
        </w:r>
      </w:hyperlink>
      <w:r>
        <w:t xml:space="preserve"> [Accessed 27/05/2018]. </w:t>
      </w:r>
    </w:p>
    <w:p w:rsidR="00D618C1" w:rsidRDefault="00D618C1" w:rsidP="001D41F3">
      <w:pPr>
        <w:spacing w:line="480" w:lineRule="auto"/>
      </w:pPr>
      <w:proofErr w:type="spellStart"/>
      <w:r>
        <w:t>Apollodorus</w:t>
      </w:r>
      <w:proofErr w:type="spellEnd"/>
      <w:r>
        <w:t xml:space="preserve">. </w:t>
      </w:r>
      <w:proofErr w:type="spellStart"/>
      <w:r>
        <w:rPr>
          <w:i/>
        </w:rPr>
        <w:t>Apollodorus</w:t>
      </w:r>
      <w:proofErr w:type="spellEnd"/>
      <w:r>
        <w:rPr>
          <w:i/>
        </w:rPr>
        <w:t xml:space="preserve">. </w:t>
      </w:r>
      <w:r>
        <w:t>1921. Sir James George (</w:t>
      </w:r>
      <w:proofErr w:type="gramStart"/>
      <w:r>
        <w:t>trans</w:t>
      </w:r>
      <w:proofErr w:type="gramEnd"/>
      <w:r>
        <w:t>). Cambridge: Harvard University Press.</w:t>
      </w:r>
    </w:p>
    <w:p w:rsidR="00D618C1" w:rsidRDefault="00D618C1" w:rsidP="001D41F3">
      <w:pPr>
        <w:spacing w:line="480" w:lineRule="auto"/>
      </w:pPr>
      <w:r>
        <w:t>Asher-</w:t>
      </w:r>
      <w:proofErr w:type="spellStart"/>
      <w:r>
        <w:t>Greve</w:t>
      </w:r>
      <w:proofErr w:type="spellEnd"/>
      <w:r>
        <w:t>, J.M. (</w:t>
      </w:r>
      <w:proofErr w:type="spellStart"/>
      <w:proofErr w:type="gramStart"/>
      <w:r>
        <w:t>ed</w:t>
      </w:r>
      <w:proofErr w:type="spellEnd"/>
      <w:proofErr w:type="gramEnd"/>
      <w:r>
        <w:t xml:space="preserve">) 2003. </w:t>
      </w:r>
      <w:r>
        <w:rPr>
          <w:i/>
        </w:rPr>
        <w:t xml:space="preserve">Women </w:t>
      </w:r>
      <w:proofErr w:type="gramStart"/>
      <w:r>
        <w:rPr>
          <w:i/>
        </w:rPr>
        <w:t>Under</w:t>
      </w:r>
      <w:proofErr w:type="gramEnd"/>
      <w:r>
        <w:rPr>
          <w:i/>
        </w:rPr>
        <w:t xml:space="preserve"> </w:t>
      </w:r>
      <w:proofErr w:type="spellStart"/>
      <w:r>
        <w:rPr>
          <w:i/>
        </w:rPr>
        <w:t>Akadian</w:t>
      </w:r>
      <w:proofErr w:type="spellEnd"/>
      <w:r>
        <w:rPr>
          <w:i/>
        </w:rPr>
        <w:t xml:space="preserve"> Rule. </w:t>
      </w:r>
      <w:r>
        <w:t>369-375. London: Routledge.</w:t>
      </w:r>
    </w:p>
    <w:p w:rsidR="00D618C1" w:rsidRDefault="00D618C1" w:rsidP="001D41F3">
      <w:pPr>
        <w:spacing w:line="480" w:lineRule="auto"/>
      </w:pPr>
      <w:proofErr w:type="spellStart"/>
      <w:r>
        <w:t>Assman</w:t>
      </w:r>
      <w:proofErr w:type="spellEnd"/>
      <w:r>
        <w:t xml:space="preserve">, J. 1995. Cultural memory and cultural identity. </w:t>
      </w:r>
      <w:r>
        <w:rPr>
          <w:i/>
        </w:rPr>
        <w:t xml:space="preserve">New German Critique. </w:t>
      </w:r>
      <w:r>
        <w:t>65 125-133.</w:t>
      </w:r>
    </w:p>
    <w:p w:rsidR="00D618C1" w:rsidRDefault="00D618C1" w:rsidP="001D41F3">
      <w:pPr>
        <w:spacing w:line="480" w:lineRule="auto"/>
      </w:pPr>
      <w:proofErr w:type="spellStart"/>
      <w:r>
        <w:t>Balter</w:t>
      </w:r>
      <w:proofErr w:type="spellEnd"/>
      <w:r>
        <w:t xml:space="preserve">, M. 2006. </w:t>
      </w:r>
      <w:r w:rsidRPr="00496021">
        <w:rPr>
          <w:i/>
        </w:rPr>
        <w:t xml:space="preserve">The Goddess and the Bull: </w:t>
      </w:r>
      <w:proofErr w:type="spellStart"/>
      <w:r w:rsidRPr="00496021">
        <w:rPr>
          <w:i/>
        </w:rPr>
        <w:t>Çatalhöyük</w:t>
      </w:r>
      <w:proofErr w:type="spellEnd"/>
      <w:r w:rsidRPr="00496021">
        <w:rPr>
          <w:i/>
        </w:rPr>
        <w:t xml:space="preserve">: An Archaeological Journey to the Dawn of Civilization. </w:t>
      </w:r>
      <w:r>
        <w:t>London: Routledge.</w:t>
      </w:r>
    </w:p>
    <w:p w:rsidR="00D618C1" w:rsidRDefault="00D618C1" w:rsidP="001D41F3">
      <w:pPr>
        <w:spacing w:line="480" w:lineRule="auto"/>
      </w:pPr>
      <w:r w:rsidRPr="00B36263">
        <w:t xml:space="preserve">Banning, E.B. 2011. So Fair a House, </w:t>
      </w:r>
      <w:proofErr w:type="spellStart"/>
      <w:r w:rsidRPr="00B36263">
        <w:t>Go¨bekli</w:t>
      </w:r>
      <w:proofErr w:type="spellEnd"/>
      <w:r w:rsidRPr="00B36263">
        <w:t xml:space="preserve"> </w:t>
      </w:r>
      <w:proofErr w:type="spellStart"/>
      <w:r w:rsidRPr="00B36263">
        <w:t>Tepe</w:t>
      </w:r>
      <w:proofErr w:type="spellEnd"/>
      <w:r w:rsidRPr="00B36263">
        <w:t xml:space="preserve"> and the Identification of Temples in the Pre-Pottery Neolithic of the Near East. Current Anthropology. 52(5). 619-660.</w:t>
      </w:r>
    </w:p>
    <w:p w:rsidR="00D618C1" w:rsidRDefault="00D618C1" w:rsidP="001D41F3">
      <w:pPr>
        <w:spacing w:line="480" w:lineRule="auto"/>
      </w:pPr>
      <w:r>
        <w:t xml:space="preserve">Barber, E.W. 1995. </w:t>
      </w:r>
      <w:r w:rsidRPr="00AB54A4">
        <w:rPr>
          <w:i/>
        </w:rPr>
        <w:t>Women's Work: The First 20,000 Years Women, Cloth, and Society in Early Times.</w:t>
      </w:r>
      <w:r>
        <w:rPr>
          <w:i/>
        </w:rPr>
        <w:t xml:space="preserve"> </w:t>
      </w:r>
      <w:r>
        <w:t xml:space="preserve">London: W.W. Norton &amp; Company. </w:t>
      </w:r>
    </w:p>
    <w:p w:rsidR="00D618C1" w:rsidRPr="000533D5" w:rsidRDefault="00D618C1" w:rsidP="001D41F3">
      <w:pPr>
        <w:spacing w:line="480" w:lineRule="auto"/>
      </w:pPr>
      <w:proofErr w:type="spellStart"/>
      <w:r w:rsidRPr="000533D5">
        <w:t>Barjamovic</w:t>
      </w:r>
      <w:proofErr w:type="spellEnd"/>
      <w:r w:rsidRPr="000533D5">
        <w:t xml:space="preserve">, G. Chaney, T. </w:t>
      </w:r>
      <w:proofErr w:type="spellStart"/>
      <w:r w:rsidRPr="000533D5">
        <w:t>Coşar</w:t>
      </w:r>
      <w:proofErr w:type="spellEnd"/>
      <w:r w:rsidRPr="000533D5">
        <w:t xml:space="preserve">, K. and </w:t>
      </w:r>
      <w:proofErr w:type="spellStart"/>
      <w:r w:rsidRPr="000533D5">
        <w:t>Hortaçsu</w:t>
      </w:r>
      <w:proofErr w:type="spellEnd"/>
      <w:r w:rsidRPr="000533D5">
        <w:t>, A. 2017. Trade, Merchants, and the Lost Cities of the Bronze Age. EDU.</w:t>
      </w:r>
    </w:p>
    <w:p w:rsidR="00D618C1" w:rsidRDefault="00D618C1" w:rsidP="001D41F3">
      <w:pPr>
        <w:spacing w:line="480" w:lineRule="auto"/>
      </w:pPr>
      <w:r w:rsidRPr="000533D5">
        <w:t xml:space="preserve">Barstow, A. 1978. The Uses of Archaeology for Women’s History: James </w:t>
      </w:r>
      <w:proofErr w:type="spellStart"/>
      <w:r w:rsidRPr="000533D5">
        <w:t>Mellart’s</w:t>
      </w:r>
      <w:proofErr w:type="spellEnd"/>
      <w:r w:rsidRPr="000533D5">
        <w:t xml:space="preserve"> Work on the Neolithic Goddess at </w:t>
      </w:r>
      <w:proofErr w:type="spellStart"/>
      <w:r w:rsidRPr="000533D5">
        <w:t>Catal</w:t>
      </w:r>
      <w:proofErr w:type="spellEnd"/>
      <w:r w:rsidRPr="000533D5">
        <w:t xml:space="preserve"> </w:t>
      </w:r>
      <w:proofErr w:type="spellStart"/>
      <w:r w:rsidRPr="000533D5">
        <w:t>Huyuk</w:t>
      </w:r>
      <w:proofErr w:type="spellEnd"/>
      <w:r w:rsidRPr="000533D5">
        <w:t>. Feminist Studies. 4(3) 7-18.</w:t>
      </w:r>
    </w:p>
    <w:p w:rsidR="00D618C1" w:rsidRDefault="00D618C1" w:rsidP="001D41F3">
      <w:pPr>
        <w:spacing w:line="480" w:lineRule="auto"/>
      </w:pPr>
      <w:r>
        <w:t xml:space="preserve">Barton, D. 2007. </w:t>
      </w:r>
      <w:r w:rsidRPr="002609A1">
        <w:rPr>
          <w:i/>
        </w:rPr>
        <w:t>Literacy: An Introduction to the Ecology of Written Language.</w:t>
      </w:r>
      <w:r>
        <w:rPr>
          <w:i/>
        </w:rPr>
        <w:t xml:space="preserve"> </w:t>
      </w:r>
      <w:r>
        <w:t xml:space="preserve">Oxford: Blackwell Publishing. </w:t>
      </w:r>
    </w:p>
    <w:p w:rsidR="00D618C1" w:rsidRDefault="00D618C1" w:rsidP="001D41F3">
      <w:pPr>
        <w:spacing w:line="480" w:lineRule="auto"/>
      </w:pPr>
      <w:proofErr w:type="spellStart"/>
      <w:r>
        <w:lastRenderedPageBreak/>
        <w:t>Blau</w:t>
      </w:r>
      <w:proofErr w:type="spellEnd"/>
      <w:r>
        <w:t xml:space="preserve">, E.R. 2017. </w:t>
      </w:r>
      <w:proofErr w:type="spellStart"/>
      <w:r w:rsidRPr="00816A5A">
        <w:rPr>
          <w:i/>
        </w:rPr>
        <w:t>Tsirik</w:t>
      </w:r>
      <w:proofErr w:type="spellEnd"/>
      <w:r w:rsidRPr="00816A5A">
        <w:rPr>
          <w:i/>
        </w:rPr>
        <w:t xml:space="preserve"> - fold the leaves so that others may be guided: A study of how the </w:t>
      </w:r>
      <w:proofErr w:type="spellStart"/>
      <w:r w:rsidRPr="00816A5A">
        <w:rPr>
          <w:i/>
        </w:rPr>
        <w:t>BriBri</w:t>
      </w:r>
      <w:proofErr w:type="spellEnd"/>
      <w:r w:rsidRPr="00816A5A">
        <w:rPr>
          <w:i/>
        </w:rPr>
        <w:t xml:space="preserve"> women are preserving their culture to ensure a sustainable future for their community</w:t>
      </w:r>
      <w:r>
        <w:rPr>
          <w:i/>
        </w:rPr>
        <w:t xml:space="preserve">. </w:t>
      </w:r>
      <w:r>
        <w:t>SIT.</w:t>
      </w:r>
    </w:p>
    <w:p w:rsidR="00D618C1" w:rsidRDefault="00D618C1" w:rsidP="001D41F3">
      <w:pPr>
        <w:spacing w:line="480" w:lineRule="auto"/>
      </w:pPr>
      <w:r>
        <w:t xml:space="preserve">Beckman, G. 1989. </w:t>
      </w:r>
      <w:r w:rsidRPr="006C4114">
        <w:t>The Religion of the Hittites</w:t>
      </w:r>
      <w:r>
        <w:rPr>
          <w:i/>
        </w:rPr>
        <w:t xml:space="preserve">. Biblical Archaeology. </w:t>
      </w:r>
      <w:r w:rsidRPr="006C4114">
        <w:t>98-108.</w:t>
      </w:r>
    </w:p>
    <w:p w:rsidR="00D618C1" w:rsidRDefault="00D618C1" w:rsidP="001D41F3">
      <w:pPr>
        <w:spacing w:line="480" w:lineRule="auto"/>
      </w:pPr>
      <w:r w:rsidRPr="006A6065">
        <w:t xml:space="preserve">Bednarik, R., 2003. A Figurine from the African Acheulian. </w:t>
      </w:r>
      <w:r w:rsidRPr="006A6065">
        <w:rPr>
          <w:i/>
        </w:rPr>
        <w:t>Current Anthropology</w:t>
      </w:r>
      <w:r>
        <w:t>. 44(3)</w:t>
      </w:r>
      <w:r w:rsidRPr="006A6065">
        <w:t xml:space="preserve"> 405-413.</w:t>
      </w:r>
    </w:p>
    <w:p w:rsidR="00D618C1" w:rsidRDefault="00D618C1" w:rsidP="001D41F3">
      <w:pPr>
        <w:spacing w:line="480" w:lineRule="auto"/>
      </w:pPr>
      <w:proofErr w:type="spellStart"/>
      <w:r w:rsidRPr="000533D5">
        <w:t>Bochafen</w:t>
      </w:r>
      <w:proofErr w:type="spellEnd"/>
      <w:r w:rsidRPr="000533D5">
        <w:t xml:space="preserve">, J.J. 1967. Myth, Religion, and Mother Right: Selective writings of J.J </w:t>
      </w:r>
      <w:proofErr w:type="spellStart"/>
      <w:r w:rsidRPr="000533D5">
        <w:t>Bochafen</w:t>
      </w:r>
      <w:proofErr w:type="spellEnd"/>
      <w:r w:rsidRPr="000533D5">
        <w:t xml:space="preserve">. </w:t>
      </w:r>
      <w:proofErr w:type="spellStart"/>
      <w:r w:rsidRPr="000533D5">
        <w:t>Campell</w:t>
      </w:r>
      <w:proofErr w:type="spellEnd"/>
      <w:r w:rsidRPr="000533D5">
        <w:t>, J. (</w:t>
      </w:r>
      <w:proofErr w:type="spellStart"/>
      <w:proofErr w:type="gramStart"/>
      <w:r w:rsidRPr="000533D5">
        <w:t>ed</w:t>
      </w:r>
      <w:proofErr w:type="spellEnd"/>
      <w:proofErr w:type="gramEnd"/>
      <w:r w:rsidRPr="000533D5">
        <w:t>) Manheim, R. (trans). New Jersey: Princeton University Press.</w:t>
      </w:r>
    </w:p>
    <w:p w:rsidR="00D618C1" w:rsidRDefault="00D618C1" w:rsidP="001D41F3">
      <w:pPr>
        <w:spacing w:line="480" w:lineRule="auto"/>
      </w:pPr>
      <w:proofErr w:type="spellStart"/>
      <w:r>
        <w:t>Boguki</w:t>
      </w:r>
      <w:proofErr w:type="spellEnd"/>
      <w:r>
        <w:t xml:space="preserve">, P. 1996. The Spread of Early Farming in Europe. </w:t>
      </w:r>
      <w:r>
        <w:rPr>
          <w:i/>
        </w:rPr>
        <w:t xml:space="preserve">America Scientist. </w:t>
      </w:r>
      <w:r>
        <w:t>84(3) 242-253.</w:t>
      </w:r>
    </w:p>
    <w:p w:rsidR="00D618C1" w:rsidRDefault="00D618C1" w:rsidP="001D41F3">
      <w:pPr>
        <w:spacing w:line="480" w:lineRule="auto"/>
      </w:pPr>
      <w:r>
        <w:t xml:space="preserve">The British Museum. 2018. Burney relief. The British Museum. Available from: </w:t>
      </w:r>
      <w:hyperlink r:id="rId36" w:history="1">
        <w:r w:rsidRPr="00305169">
          <w:rPr>
            <w:rStyle w:val="Hyperlink"/>
          </w:rPr>
          <w:t>http://www.britishmuseum.org/research/collection_online/collection_object_details.aspx?objectId=1355376&amp;partId=1</w:t>
        </w:r>
      </w:hyperlink>
      <w:r>
        <w:t xml:space="preserve"> [Accessed 27/05/2018].</w:t>
      </w:r>
    </w:p>
    <w:p w:rsidR="00D618C1" w:rsidRDefault="00D618C1" w:rsidP="001D41F3">
      <w:pPr>
        <w:spacing w:line="480" w:lineRule="auto"/>
      </w:pPr>
      <w:r>
        <w:t xml:space="preserve">Carter, T. &amp; </w:t>
      </w:r>
      <w:proofErr w:type="spellStart"/>
      <w:r>
        <w:t>Millic</w:t>
      </w:r>
      <w:proofErr w:type="spellEnd"/>
      <w:r>
        <w:t>, M. (</w:t>
      </w:r>
      <w:proofErr w:type="spellStart"/>
      <w:proofErr w:type="gramStart"/>
      <w:r>
        <w:t>ed</w:t>
      </w:r>
      <w:proofErr w:type="spellEnd"/>
      <w:proofErr w:type="gramEnd"/>
      <w:r>
        <w:t xml:space="preserve">) 2013. The Consumption of Obsidian at Neolithic </w:t>
      </w:r>
      <w:proofErr w:type="spellStart"/>
      <w:r>
        <w:t>CatalHoyuk</w:t>
      </w:r>
      <w:proofErr w:type="spellEnd"/>
      <w:r>
        <w:t xml:space="preserve">: A Long Term Perspective. Spain: </w:t>
      </w:r>
      <w:proofErr w:type="spellStart"/>
      <w:r>
        <w:t>Servei</w:t>
      </w:r>
      <w:proofErr w:type="spellEnd"/>
      <w:r>
        <w:t xml:space="preserve"> de </w:t>
      </w:r>
      <w:proofErr w:type="spellStart"/>
      <w:r>
        <w:t>Publicians</w:t>
      </w:r>
      <w:proofErr w:type="spellEnd"/>
      <w:r>
        <w:t>.</w:t>
      </w:r>
    </w:p>
    <w:p w:rsidR="00D618C1" w:rsidRDefault="00D618C1" w:rsidP="001D41F3">
      <w:pPr>
        <w:spacing w:line="480" w:lineRule="auto"/>
      </w:pPr>
      <w:proofErr w:type="spellStart"/>
      <w:r w:rsidRPr="000533D5">
        <w:t>Cecillia</w:t>
      </w:r>
      <w:proofErr w:type="spellEnd"/>
      <w:r w:rsidRPr="000533D5">
        <w:t>, S.H. 1987. The weaving of prestige: village women's representations of the social categories of Minangkabau society. Australian National Library.</w:t>
      </w:r>
    </w:p>
    <w:p w:rsidR="00D618C1" w:rsidRDefault="00D618C1" w:rsidP="001D41F3">
      <w:pPr>
        <w:spacing w:line="480" w:lineRule="auto"/>
      </w:pPr>
      <w:r>
        <w:t xml:space="preserve">Collins, B.J. 2007. </w:t>
      </w:r>
      <w:r>
        <w:rPr>
          <w:i/>
        </w:rPr>
        <w:t xml:space="preserve">The Hittites and their World. </w:t>
      </w:r>
      <w:r>
        <w:t xml:space="preserve">Atlanta: Society of Biblical Literature. </w:t>
      </w:r>
    </w:p>
    <w:p w:rsidR="00D618C1" w:rsidRDefault="00D618C1" w:rsidP="001D41F3">
      <w:pPr>
        <w:spacing w:line="480" w:lineRule="auto"/>
      </w:pPr>
      <w:r>
        <w:t xml:space="preserve">Colman, E. 1998. Obesity in the Palaeolithic era? The Venus of </w:t>
      </w:r>
      <w:proofErr w:type="spellStart"/>
      <w:r>
        <w:t>Willendorf</w:t>
      </w:r>
      <w:proofErr w:type="spellEnd"/>
      <w:r>
        <w:t xml:space="preserve">. </w:t>
      </w:r>
      <w:r w:rsidRPr="004D44C2">
        <w:rPr>
          <w:i/>
        </w:rPr>
        <w:t>Endocrine Practice</w:t>
      </w:r>
      <w:r>
        <w:rPr>
          <w:i/>
        </w:rPr>
        <w:t xml:space="preserve">. </w:t>
      </w:r>
      <w:r>
        <w:t>4(1) 58-59.</w:t>
      </w:r>
    </w:p>
    <w:p w:rsidR="00D618C1" w:rsidRDefault="00D618C1" w:rsidP="001D41F3">
      <w:pPr>
        <w:spacing w:line="480" w:lineRule="auto"/>
      </w:pPr>
      <w:proofErr w:type="spellStart"/>
      <w:r w:rsidRPr="00DE43A4">
        <w:t>Deirtrich</w:t>
      </w:r>
      <w:proofErr w:type="spellEnd"/>
      <w:r w:rsidRPr="00DE43A4">
        <w:t xml:space="preserve">, O. </w:t>
      </w:r>
      <w:proofErr w:type="spellStart"/>
      <w:r w:rsidRPr="00DE43A4">
        <w:t>Kurkcuoglu</w:t>
      </w:r>
      <w:proofErr w:type="spellEnd"/>
      <w:r w:rsidRPr="00DE43A4">
        <w:t xml:space="preserve">, S.K.S.C. </w:t>
      </w:r>
      <w:proofErr w:type="spellStart"/>
      <w:r w:rsidRPr="00DE43A4">
        <w:t>Notroff</w:t>
      </w:r>
      <w:proofErr w:type="spellEnd"/>
      <w:r w:rsidRPr="00DE43A4">
        <w:t xml:space="preserve">, J. Schmidt, K. 2013. </w:t>
      </w:r>
      <w:proofErr w:type="spellStart"/>
      <w:r w:rsidRPr="00DE43A4">
        <w:t>Gobekli</w:t>
      </w:r>
      <w:proofErr w:type="spellEnd"/>
      <w:r w:rsidRPr="00DE43A4">
        <w:t xml:space="preserve"> </w:t>
      </w:r>
      <w:proofErr w:type="spellStart"/>
      <w:r w:rsidRPr="00DE43A4">
        <w:t>Tepe</w:t>
      </w:r>
      <w:proofErr w:type="spellEnd"/>
      <w:r w:rsidRPr="00DE43A4">
        <w:t>, A stairway to a circle of boar</w:t>
      </w:r>
      <w:r>
        <w:t>s. Actual Archaeology. 5. 30-31</w:t>
      </w:r>
    </w:p>
    <w:p w:rsidR="00D618C1" w:rsidRDefault="00D618C1" w:rsidP="001D41F3">
      <w:pPr>
        <w:spacing w:line="480" w:lineRule="auto"/>
      </w:pPr>
      <w:proofErr w:type="spellStart"/>
      <w:r>
        <w:t>Deirtrich</w:t>
      </w:r>
      <w:proofErr w:type="spellEnd"/>
      <w:r>
        <w:t xml:space="preserve">, O. 2016. How did they do it? Making and moving monoliths at </w:t>
      </w:r>
      <w:proofErr w:type="spellStart"/>
      <w:r>
        <w:t>Göbekli</w:t>
      </w:r>
      <w:proofErr w:type="spellEnd"/>
      <w:r>
        <w:t xml:space="preserve"> </w:t>
      </w:r>
      <w:proofErr w:type="spellStart"/>
      <w:r>
        <w:t>Tepe</w:t>
      </w:r>
      <w:proofErr w:type="spellEnd"/>
      <w:r>
        <w:t xml:space="preserve">. The </w:t>
      </w:r>
      <w:proofErr w:type="spellStart"/>
      <w:r>
        <w:t>Tepe</w:t>
      </w:r>
      <w:proofErr w:type="spellEnd"/>
      <w:r>
        <w:t xml:space="preserve"> Telegrams. Available from: </w:t>
      </w:r>
      <w:hyperlink r:id="rId37" w:history="1">
        <w:r w:rsidR="007C2887" w:rsidRPr="00305169">
          <w:rPr>
            <w:rStyle w:val="Hyperlink"/>
          </w:rPr>
          <w:t>https://tepetelegrams.wordpress.com/2016/05/03/how-did-they-do-it-making-and-moving-monoliths-at-gobekli-tepe/</w:t>
        </w:r>
      </w:hyperlink>
      <w:r w:rsidR="007C2887">
        <w:t xml:space="preserve"> </w:t>
      </w:r>
      <w:r>
        <w:t>[Accessed on: 26/01/18].</w:t>
      </w:r>
    </w:p>
    <w:p w:rsidR="00D618C1" w:rsidRDefault="00D618C1" w:rsidP="001D41F3">
      <w:pPr>
        <w:spacing w:line="480" w:lineRule="auto"/>
      </w:pPr>
      <w:r w:rsidRPr="00DE43A4">
        <w:lastRenderedPageBreak/>
        <w:t>Dixson, A.F &amp; Dixson, B.J. 2011. Venus Figurines of the European Palaeolithic: Symbols of Fertility or Attractiveness? Journal of Anthropology. 1-11.</w:t>
      </w:r>
    </w:p>
    <w:p w:rsidR="007C2887" w:rsidRDefault="007C2887" w:rsidP="001D41F3">
      <w:pPr>
        <w:spacing w:line="480" w:lineRule="auto"/>
      </w:pPr>
      <w:r>
        <w:t xml:space="preserve">Dordogne, M. The </w:t>
      </w:r>
      <w:proofErr w:type="spellStart"/>
      <w:r>
        <w:t>Laussel</w:t>
      </w:r>
      <w:proofErr w:type="spellEnd"/>
      <w:r>
        <w:t xml:space="preserve"> Venus. </w:t>
      </w:r>
      <w:proofErr w:type="spellStart"/>
      <w:r>
        <w:t>Musee</w:t>
      </w:r>
      <w:proofErr w:type="spellEnd"/>
      <w:r>
        <w:t xml:space="preserve"> </w:t>
      </w:r>
      <w:proofErr w:type="spellStart"/>
      <w:r>
        <w:t>D’Aquitaine</w:t>
      </w:r>
      <w:proofErr w:type="spellEnd"/>
      <w:r>
        <w:t xml:space="preserve">. Available from: </w:t>
      </w:r>
      <w:hyperlink r:id="rId38" w:history="1">
        <w:r w:rsidRPr="00305169">
          <w:rPr>
            <w:rStyle w:val="Hyperlink"/>
          </w:rPr>
          <w:t>http://www.musee-aquitaine-bordeaux.fr/en/laussel-venus</w:t>
        </w:r>
      </w:hyperlink>
      <w:r>
        <w:t xml:space="preserve"> [Accessed 27/05/2018].</w:t>
      </w:r>
    </w:p>
    <w:p w:rsidR="00D618C1" w:rsidRDefault="00D618C1" w:rsidP="001D41F3">
      <w:pPr>
        <w:spacing w:line="480" w:lineRule="auto"/>
      </w:pPr>
      <w:r>
        <w:t>During, B.S. (</w:t>
      </w:r>
      <w:proofErr w:type="spellStart"/>
      <w:proofErr w:type="gramStart"/>
      <w:r>
        <w:t>ed</w:t>
      </w:r>
      <w:proofErr w:type="spellEnd"/>
      <w:proofErr w:type="gramEnd"/>
      <w:r>
        <w:t xml:space="preserve">) 2007. </w:t>
      </w:r>
      <w:r w:rsidRPr="00330E7A">
        <w:rPr>
          <w:i/>
        </w:rPr>
        <w:t xml:space="preserve">The Articulation of Houses at Neolithic </w:t>
      </w:r>
      <w:proofErr w:type="spellStart"/>
      <w:r w:rsidRPr="00330E7A">
        <w:rPr>
          <w:i/>
        </w:rPr>
        <w:t>Çatalhöyük</w:t>
      </w:r>
      <w:proofErr w:type="spellEnd"/>
      <w:r w:rsidRPr="00330E7A">
        <w:rPr>
          <w:i/>
        </w:rPr>
        <w:t>, Turkey</w:t>
      </w:r>
      <w:r>
        <w:rPr>
          <w:i/>
        </w:rPr>
        <w:t xml:space="preserve">. </w:t>
      </w:r>
      <w:r>
        <w:t xml:space="preserve">130-153. </w:t>
      </w:r>
    </w:p>
    <w:p w:rsidR="00D618C1" w:rsidRDefault="00D618C1" w:rsidP="001D41F3">
      <w:pPr>
        <w:spacing w:line="480" w:lineRule="auto"/>
      </w:pPr>
      <w:proofErr w:type="spellStart"/>
      <w:r w:rsidRPr="00DD4E23">
        <w:t>Einwogerer</w:t>
      </w:r>
      <w:proofErr w:type="spellEnd"/>
      <w:r>
        <w:t xml:space="preserve">, T. Handel, M. </w:t>
      </w:r>
      <w:proofErr w:type="spellStart"/>
      <w:r>
        <w:t>Neugebauer-Maresch</w:t>
      </w:r>
      <w:proofErr w:type="spellEnd"/>
      <w:r>
        <w:t xml:space="preserve">, C. Simon, U. </w:t>
      </w:r>
      <w:proofErr w:type="spellStart"/>
      <w:r>
        <w:t>Teschler</w:t>
      </w:r>
      <w:proofErr w:type="spellEnd"/>
      <w:r>
        <w:t>-Nicola, M. (</w:t>
      </w:r>
      <w:proofErr w:type="spellStart"/>
      <w:proofErr w:type="gramStart"/>
      <w:r>
        <w:t>ed</w:t>
      </w:r>
      <w:proofErr w:type="spellEnd"/>
      <w:proofErr w:type="gramEnd"/>
      <w:r>
        <w:t xml:space="preserve">). 2008. </w:t>
      </w:r>
      <w:r>
        <w:rPr>
          <w:i/>
        </w:rPr>
        <w:t xml:space="preserve">The </w:t>
      </w:r>
      <w:proofErr w:type="spellStart"/>
      <w:r>
        <w:rPr>
          <w:i/>
        </w:rPr>
        <w:t>Gravettian</w:t>
      </w:r>
      <w:proofErr w:type="spellEnd"/>
      <w:r>
        <w:rPr>
          <w:i/>
        </w:rPr>
        <w:t xml:space="preserve"> infant burials from </w:t>
      </w:r>
      <w:proofErr w:type="spellStart"/>
      <w:r>
        <w:rPr>
          <w:i/>
        </w:rPr>
        <w:t>Krems-Watchburg</w:t>
      </w:r>
      <w:proofErr w:type="spellEnd"/>
      <w:r>
        <w:rPr>
          <w:i/>
        </w:rPr>
        <w:t xml:space="preserve">, Austria. </w:t>
      </w:r>
      <w:r>
        <w:t>Oxford: Hadrian Books Ltd.</w:t>
      </w:r>
    </w:p>
    <w:p w:rsidR="00D618C1" w:rsidRDefault="00D618C1" w:rsidP="001D41F3">
      <w:pPr>
        <w:spacing w:line="480" w:lineRule="auto"/>
      </w:pPr>
      <w:r w:rsidRPr="006C4114">
        <w:t>Encyclopaedia Britannica</w:t>
      </w:r>
      <w:r>
        <w:t xml:space="preserve">. 1998. </w:t>
      </w:r>
      <w:proofErr w:type="spellStart"/>
      <w:r>
        <w:t>Hattsuilis</w:t>
      </w:r>
      <w:proofErr w:type="spellEnd"/>
      <w:r>
        <w:t xml:space="preserve"> I. </w:t>
      </w:r>
      <w:r w:rsidRPr="006C4114">
        <w:t>Encyclopaedia Britannica</w:t>
      </w:r>
      <w:r>
        <w:t xml:space="preserve">. Available from: </w:t>
      </w:r>
      <w:hyperlink r:id="rId39" w:history="1">
        <w:r w:rsidRPr="00305169">
          <w:rPr>
            <w:rStyle w:val="Hyperlink"/>
          </w:rPr>
          <w:t>https://www.britannica.com/biography/Hattusilis-I</w:t>
        </w:r>
      </w:hyperlink>
      <w:r>
        <w:t xml:space="preserve"> [Accessed 227/05/2018].</w:t>
      </w:r>
    </w:p>
    <w:p w:rsidR="00D618C1" w:rsidRDefault="00D618C1" w:rsidP="001D41F3">
      <w:pPr>
        <w:spacing w:line="480" w:lineRule="auto"/>
      </w:pPr>
      <w:r>
        <w:t xml:space="preserve">Encyclopaedia Britannica. 1998. 2. Great Mother of the Gods. Encyclopaedia Britannica. Available from: </w:t>
      </w:r>
      <w:hyperlink r:id="rId40" w:history="1">
        <w:r w:rsidRPr="00305169">
          <w:rPr>
            <w:rStyle w:val="Hyperlink"/>
          </w:rPr>
          <w:t>https://www.britannica.com/topic/Great-Mother-of-the-Gods</w:t>
        </w:r>
      </w:hyperlink>
      <w:r>
        <w:t xml:space="preserve"> [Accessed 27/05/2018]. </w:t>
      </w:r>
    </w:p>
    <w:p w:rsidR="00BD0DA3" w:rsidRDefault="00BD0DA3" w:rsidP="001D41F3">
      <w:pPr>
        <w:spacing w:line="480" w:lineRule="auto"/>
      </w:pPr>
      <w:r>
        <w:t xml:space="preserve">Encyclopaedia Britannica. 1998. Palaeolithic Period. Encyclopaedia Britannica. Available from: </w:t>
      </w:r>
      <w:hyperlink r:id="rId41" w:history="1">
        <w:r w:rsidRPr="00305169">
          <w:rPr>
            <w:rStyle w:val="Hyperlink"/>
          </w:rPr>
          <w:t>https://www.britannica.com/event/Paleolithic-Period</w:t>
        </w:r>
      </w:hyperlink>
      <w:r>
        <w:t xml:space="preserve"> [Accessed 27/05/2018].</w:t>
      </w:r>
    </w:p>
    <w:p w:rsidR="00D618C1" w:rsidRDefault="00D618C1" w:rsidP="001D41F3">
      <w:pPr>
        <w:spacing w:line="480" w:lineRule="auto"/>
      </w:pPr>
      <w:r>
        <w:t xml:space="preserve">Encyclopaedia Britannica. 1999. Sekhmet. Encyclopaedia Britannica. Available from: </w:t>
      </w:r>
      <w:hyperlink r:id="rId42" w:history="1">
        <w:r w:rsidRPr="00305169">
          <w:rPr>
            <w:rStyle w:val="Hyperlink"/>
          </w:rPr>
          <w:t>https://www.britannica.com/topic/Sekhmet</w:t>
        </w:r>
      </w:hyperlink>
      <w:r>
        <w:t xml:space="preserve"> [Accessed 27/05/2018].</w:t>
      </w:r>
    </w:p>
    <w:p w:rsidR="00D618C1" w:rsidRDefault="00D618C1" w:rsidP="001D41F3">
      <w:pPr>
        <w:spacing w:line="480" w:lineRule="auto"/>
      </w:pPr>
      <w:r>
        <w:t xml:space="preserve">Farrar, T. 1997. </w:t>
      </w:r>
      <w:r w:rsidRPr="00816A5A">
        <w:t xml:space="preserve">The </w:t>
      </w:r>
      <w:proofErr w:type="spellStart"/>
      <w:r w:rsidRPr="00816A5A">
        <w:t>Queenmother</w:t>
      </w:r>
      <w:proofErr w:type="spellEnd"/>
      <w:r w:rsidRPr="00816A5A">
        <w:t>, Matriarchy, and the Question of Female Political Authority in Precolonial West African Monarchy</w:t>
      </w:r>
      <w:r>
        <w:t xml:space="preserve">. </w:t>
      </w:r>
      <w:r>
        <w:rPr>
          <w:i/>
        </w:rPr>
        <w:t xml:space="preserve">Journal of Black Studies. </w:t>
      </w:r>
      <w:r>
        <w:t>27(5) 579-597.</w:t>
      </w:r>
    </w:p>
    <w:p w:rsidR="00D618C1" w:rsidRDefault="00D618C1" w:rsidP="001D41F3">
      <w:pPr>
        <w:spacing w:line="480" w:lineRule="auto"/>
      </w:pPr>
      <w:r w:rsidRPr="00DE43A4">
        <w:t>Fleming, A. 1969. The Myth of the Mother Goddess. World Archaeology. 1(2) 247-261.</w:t>
      </w:r>
    </w:p>
    <w:p w:rsidR="00D618C1" w:rsidRDefault="00D618C1" w:rsidP="001D41F3">
      <w:pPr>
        <w:spacing w:line="480" w:lineRule="auto"/>
      </w:pPr>
      <w:proofErr w:type="spellStart"/>
      <w:r w:rsidRPr="00486DF5">
        <w:t>Fokkens</w:t>
      </w:r>
      <w:proofErr w:type="spellEnd"/>
      <w:r>
        <w:t>, H.</w:t>
      </w:r>
      <w:r w:rsidRPr="00486DF5">
        <w:t xml:space="preserve"> &amp; Harding</w:t>
      </w:r>
      <w:r>
        <w:t>, A.</w:t>
      </w:r>
      <w:r w:rsidRPr="00486DF5">
        <w:t xml:space="preserve"> </w:t>
      </w:r>
      <w:r>
        <w:t>(</w:t>
      </w:r>
      <w:proofErr w:type="spellStart"/>
      <w:proofErr w:type="gramStart"/>
      <w:r>
        <w:t>ed</w:t>
      </w:r>
      <w:proofErr w:type="spellEnd"/>
      <w:proofErr w:type="gramEnd"/>
      <w:r>
        <w:t xml:space="preserve">) </w:t>
      </w:r>
      <w:r w:rsidRPr="00486DF5">
        <w:t>2013</w:t>
      </w:r>
      <w:r>
        <w:t xml:space="preserve">. </w:t>
      </w:r>
      <w:r>
        <w:rPr>
          <w:i/>
        </w:rPr>
        <w:t xml:space="preserve">Introduction the Bronze Age of Europe. </w:t>
      </w:r>
      <w:r>
        <w:t xml:space="preserve">Oxford: Oxford University Press. </w:t>
      </w:r>
    </w:p>
    <w:p w:rsidR="00D618C1" w:rsidRDefault="00D618C1" w:rsidP="001D41F3">
      <w:pPr>
        <w:spacing w:line="480" w:lineRule="auto"/>
      </w:pPr>
      <w:r>
        <w:t xml:space="preserve">Fu, Q. </w:t>
      </w:r>
      <w:proofErr w:type="spellStart"/>
      <w:r>
        <w:t>Hajdinjak</w:t>
      </w:r>
      <w:proofErr w:type="spellEnd"/>
      <w:r w:rsidRPr="002563A5">
        <w:t>,</w:t>
      </w:r>
      <w:r>
        <w:t xml:space="preserve"> M. Moldovan, O.T. Constantin, S. </w:t>
      </w:r>
      <w:proofErr w:type="spellStart"/>
      <w:r>
        <w:t>Mallick</w:t>
      </w:r>
      <w:proofErr w:type="spellEnd"/>
      <w:r>
        <w:t xml:space="preserve">, S. </w:t>
      </w:r>
      <w:proofErr w:type="spellStart"/>
      <w:r>
        <w:t>Skoglund</w:t>
      </w:r>
      <w:proofErr w:type="spellEnd"/>
      <w:r>
        <w:t xml:space="preserve">, P. Patterson, N. </w:t>
      </w:r>
      <w:proofErr w:type="spellStart"/>
      <w:r>
        <w:t>Rohland</w:t>
      </w:r>
      <w:proofErr w:type="spellEnd"/>
      <w:r>
        <w:t xml:space="preserve">, N. </w:t>
      </w:r>
      <w:proofErr w:type="spellStart"/>
      <w:r>
        <w:t>Lazardidis</w:t>
      </w:r>
      <w:proofErr w:type="spellEnd"/>
      <w:r>
        <w:t xml:space="preserve">, I. Nickel, B. Viola, B. </w:t>
      </w:r>
      <w:proofErr w:type="spellStart"/>
      <w:r>
        <w:t>Prufer</w:t>
      </w:r>
      <w:proofErr w:type="spellEnd"/>
      <w:r>
        <w:t xml:space="preserve">, K. Meyer, M. Kelso, J. Reich, D. and </w:t>
      </w:r>
      <w:proofErr w:type="spellStart"/>
      <w:r>
        <w:t>Paabo</w:t>
      </w:r>
      <w:proofErr w:type="spellEnd"/>
      <w:r>
        <w:t>, S.</w:t>
      </w:r>
      <w:r w:rsidRPr="002563A5">
        <w:t xml:space="preserve"> 2015. An early modern human from Romania with a recent Neanderthal ancestor. </w:t>
      </w:r>
      <w:r w:rsidRPr="002563A5">
        <w:rPr>
          <w:i/>
        </w:rPr>
        <w:t>Nature</w:t>
      </w:r>
      <w:r>
        <w:t xml:space="preserve">, 524, </w:t>
      </w:r>
      <w:r w:rsidRPr="002563A5">
        <w:t>216-229.</w:t>
      </w:r>
    </w:p>
    <w:p w:rsidR="00D618C1" w:rsidRDefault="00D618C1" w:rsidP="001D41F3">
      <w:pPr>
        <w:spacing w:line="480" w:lineRule="auto"/>
      </w:pPr>
      <w:proofErr w:type="spellStart"/>
      <w:r>
        <w:lastRenderedPageBreak/>
        <w:t>Gimbutas</w:t>
      </w:r>
      <w:proofErr w:type="spellEnd"/>
      <w:r>
        <w:t xml:space="preserve">, M. 1974. </w:t>
      </w:r>
      <w:r>
        <w:rPr>
          <w:i/>
        </w:rPr>
        <w:t xml:space="preserve">The Gods and Goddesses of Old Europe: 7000 to 3500 BC myths, legends and cult images. </w:t>
      </w:r>
      <w:r>
        <w:t xml:space="preserve">California: University of California Press. </w:t>
      </w:r>
    </w:p>
    <w:p w:rsidR="00D618C1" w:rsidRDefault="00D618C1" w:rsidP="001D41F3">
      <w:pPr>
        <w:spacing w:line="480" w:lineRule="auto"/>
      </w:pPr>
      <w:proofErr w:type="spellStart"/>
      <w:r w:rsidRPr="00773EA0">
        <w:t>Gimbutas</w:t>
      </w:r>
      <w:proofErr w:type="spellEnd"/>
      <w:r w:rsidRPr="00773EA0">
        <w:t>, M. 1974</w:t>
      </w:r>
      <w:r w:rsidRPr="00773EA0">
        <w:rPr>
          <w:i/>
        </w:rPr>
        <w:t>. The Language of the Goddess</w:t>
      </w:r>
      <w:r w:rsidRPr="00773EA0">
        <w:t>. London: Thames and Hudson.</w:t>
      </w:r>
    </w:p>
    <w:p w:rsidR="00D618C1" w:rsidRDefault="00D618C1" w:rsidP="001D41F3">
      <w:pPr>
        <w:spacing w:line="480" w:lineRule="auto"/>
      </w:pPr>
      <w:proofErr w:type="spellStart"/>
      <w:r>
        <w:t>Gimbutas</w:t>
      </w:r>
      <w:proofErr w:type="spellEnd"/>
      <w:r>
        <w:t xml:space="preserve">, M. 1991. </w:t>
      </w:r>
      <w:r>
        <w:rPr>
          <w:i/>
        </w:rPr>
        <w:t xml:space="preserve">The Civilization of the Goddess: The World of Old Europe. </w:t>
      </w:r>
      <w:r>
        <w:t>London: HarperCollins.</w:t>
      </w:r>
    </w:p>
    <w:p w:rsidR="00D618C1" w:rsidRDefault="00D618C1" w:rsidP="001D41F3">
      <w:pPr>
        <w:spacing w:line="480" w:lineRule="auto"/>
      </w:pPr>
      <w:proofErr w:type="spellStart"/>
      <w:r>
        <w:t>Gimbutas</w:t>
      </w:r>
      <w:proofErr w:type="spellEnd"/>
      <w:r>
        <w:t xml:space="preserve">, M. 2001. </w:t>
      </w:r>
      <w:r>
        <w:rPr>
          <w:i/>
        </w:rPr>
        <w:t xml:space="preserve">The Living Goddesses. </w:t>
      </w:r>
      <w:r>
        <w:t xml:space="preserve">California: California university press. </w:t>
      </w:r>
    </w:p>
    <w:p w:rsidR="00D618C1" w:rsidRDefault="00D618C1" w:rsidP="001D41F3">
      <w:pPr>
        <w:spacing w:line="480" w:lineRule="auto"/>
      </w:pPr>
      <w:proofErr w:type="spellStart"/>
      <w:r>
        <w:t>Gratuze</w:t>
      </w:r>
      <w:proofErr w:type="spellEnd"/>
      <w:r>
        <w:t xml:space="preserve">, B. 1999. Obsidian Characterization by Laser Ablation ICP-MS and its Application to Prehistoric Trade in the Mediterranean and the Near East: Sources and Distribution within the Aegean and Anatolia. </w:t>
      </w:r>
      <w:r>
        <w:rPr>
          <w:i/>
        </w:rPr>
        <w:t xml:space="preserve">Journal of Archaeological Science. </w:t>
      </w:r>
      <w:r>
        <w:t>26(8) 869-881.</w:t>
      </w:r>
    </w:p>
    <w:p w:rsidR="00D618C1" w:rsidRDefault="00D618C1" w:rsidP="001D41F3">
      <w:pPr>
        <w:spacing w:line="480" w:lineRule="auto"/>
      </w:pPr>
      <w:r>
        <w:t xml:space="preserve">Gonzalez, J.L. 2008 </w:t>
      </w:r>
      <w:r>
        <w:rPr>
          <w:i/>
        </w:rPr>
        <w:t xml:space="preserve">Christianity in Latin America: A History. </w:t>
      </w:r>
      <w:r>
        <w:t>Cambridge: Cambridge University Press.</w:t>
      </w:r>
    </w:p>
    <w:p w:rsidR="009D4704" w:rsidRDefault="009D4704" w:rsidP="001D41F3">
      <w:pPr>
        <w:spacing w:line="480" w:lineRule="auto"/>
      </w:pPr>
      <w:r>
        <w:t xml:space="preserve">Google Images. 2018. Malta’s Twin Goddess, Google images. Available from: </w:t>
      </w:r>
      <w:hyperlink r:id="rId43" w:anchor="imgrc=hqaES7OiK7Wb-M" w:history="1">
        <w:r w:rsidRPr="00305169">
          <w:rPr>
            <w:rStyle w:val="Hyperlink"/>
          </w:rPr>
          <w:t>https://www.google.co.uk/search?q=malta+twin+goddess&amp;rlz=1C1CHBD_en-GBGB686GB689&amp;source=lnms&amp;tbm=isch&amp;sa=X&amp;ved=0ahUKEwj357nCjqjbAhVLa8AKHRKOBacQ_AUICigB&amp;biw=1366&amp;bih=637#imgrc=hqaES7OiK7Wb-M</w:t>
        </w:r>
      </w:hyperlink>
      <w:r w:rsidRPr="009D4704">
        <w:t>:</w:t>
      </w:r>
      <w:r>
        <w:t xml:space="preserve"> [Accessed 27/05/2018].</w:t>
      </w:r>
    </w:p>
    <w:p w:rsidR="00D618C1" w:rsidRDefault="00D618C1" w:rsidP="001D41F3">
      <w:pPr>
        <w:spacing w:line="480" w:lineRule="auto"/>
      </w:pPr>
      <w:proofErr w:type="spellStart"/>
      <w:r>
        <w:t>Googlemaps</w:t>
      </w:r>
      <w:proofErr w:type="spellEnd"/>
      <w:r>
        <w:t xml:space="preserve">. 2018. Available from: </w:t>
      </w:r>
      <w:hyperlink r:id="rId44" w:history="1">
        <w:r w:rsidRPr="00305169">
          <w:rPr>
            <w:rStyle w:val="Hyperlink"/>
          </w:rPr>
          <w:t>https://www.google.co.uk/maps/@52.1157282,-4.0727989,15z</w:t>
        </w:r>
      </w:hyperlink>
      <w:r>
        <w:t xml:space="preserve"> [Accessed: 27/05/2018]</w:t>
      </w:r>
    </w:p>
    <w:p w:rsidR="00D618C1" w:rsidRDefault="00D618C1" w:rsidP="001D41F3">
      <w:pPr>
        <w:spacing w:line="480" w:lineRule="auto"/>
      </w:pPr>
      <w:r>
        <w:t>Goring-Morris, N. (</w:t>
      </w:r>
      <w:proofErr w:type="spellStart"/>
      <w:proofErr w:type="gramStart"/>
      <w:r>
        <w:t>ed</w:t>
      </w:r>
      <w:proofErr w:type="spellEnd"/>
      <w:proofErr w:type="gramEnd"/>
      <w:r>
        <w:t xml:space="preserve">) 2000. </w:t>
      </w:r>
      <w:r>
        <w:rPr>
          <w:i/>
        </w:rPr>
        <w:t xml:space="preserve">The Quick and the Dead: The Social Context of </w:t>
      </w:r>
      <w:proofErr w:type="spellStart"/>
      <w:r>
        <w:rPr>
          <w:i/>
        </w:rPr>
        <w:t>Aceramic</w:t>
      </w:r>
      <w:proofErr w:type="spellEnd"/>
      <w:r>
        <w:rPr>
          <w:i/>
        </w:rPr>
        <w:t xml:space="preserve"> Neolithic Mortuary Practice as seen from </w:t>
      </w:r>
      <w:proofErr w:type="spellStart"/>
      <w:r>
        <w:rPr>
          <w:i/>
        </w:rPr>
        <w:t>Kfar</w:t>
      </w:r>
      <w:proofErr w:type="spellEnd"/>
      <w:r>
        <w:rPr>
          <w:i/>
        </w:rPr>
        <w:t xml:space="preserve"> </w:t>
      </w:r>
      <w:proofErr w:type="spellStart"/>
      <w:r>
        <w:rPr>
          <w:i/>
        </w:rPr>
        <w:t>Hahoresh</w:t>
      </w:r>
      <w:proofErr w:type="spellEnd"/>
      <w:r>
        <w:rPr>
          <w:i/>
        </w:rPr>
        <w:t xml:space="preserve">. </w:t>
      </w:r>
      <w:r>
        <w:t xml:space="preserve">London: Plenum Publishers. </w:t>
      </w:r>
    </w:p>
    <w:p w:rsidR="00D618C1" w:rsidRDefault="00D618C1" w:rsidP="001D41F3">
      <w:pPr>
        <w:spacing w:line="480" w:lineRule="auto"/>
      </w:pPr>
      <w:proofErr w:type="spellStart"/>
      <w:r>
        <w:t>Gratuze</w:t>
      </w:r>
      <w:proofErr w:type="spellEnd"/>
      <w:r>
        <w:t xml:space="preserve">, B. 1999. Obsidian Characterization by Laser Ablation ICP-MS and its Application to Prehistoric Trade in the Mediterranean and the Near East: Sources and Distribution within the Aegean and Anatolia. </w:t>
      </w:r>
      <w:r>
        <w:rPr>
          <w:i/>
        </w:rPr>
        <w:t xml:space="preserve">Journal of Archaeological Science. </w:t>
      </w:r>
      <w:r>
        <w:t>26(8) 869-881.</w:t>
      </w:r>
    </w:p>
    <w:p w:rsidR="00D618C1" w:rsidRDefault="00D618C1" w:rsidP="001D41F3">
      <w:pPr>
        <w:spacing w:line="480" w:lineRule="auto"/>
      </w:pPr>
      <w:r>
        <w:t xml:space="preserve">Gurney, O.R 1999. Anatolian Religion. Encyclopaedia Britannica. Available from: </w:t>
      </w:r>
      <w:hyperlink r:id="rId45" w:anchor="ref559588" w:history="1">
        <w:r w:rsidRPr="00305169">
          <w:rPr>
            <w:rStyle w:val="Hyperlink"/>
          </w:rPr>
          <w:t>https://www.britannica.com/topic/Anatolian-religion#ref559588</w:t>
        </w:r>
      </w:hyperlink>
      <w:r>
        <w:t xml:space="preserve"> [Accessed 27/05/2018].</w:t>
      </w:r>
    </w:p>
    <w:p w:rsidR="00D618C1" w:rsidRDefault="00D618C1" w:rsidP="001D41F3">
      <w:pPr>
        <w:spacing w:line="480" w:lineRule="auto"/>
      </w:pPr>
      <w:r>
        <w:lastRenderedPageBreak/>
        <w:t xml:space="preserve">Hermitage Museum. 2018. The State Hermitage museum. Female Figurine. Available from: </w:t>
      </w:r>
      <w:hyperlink r:id="rId46" w:history="1">
        <w:r w:rsidRPr="00305169">
          <w:rPr>
            <w:rStyle w:val="Hyperlink"/>
          </w:rPr>
          <w:t>https://www.hermitagemuseum.org/wps/portal/hermitage/digital-collection/25.+archaeological+artifacts/4253485</w:t>
        </w:r>
      </w:hyperlink>
      <w:r>
        <w:t xml:space="preserve"> [Accessed: 27/05/2018].</w:t>
      </w:r>
    </w:p>
    <w:p w:rsidR="00D618C1" w:rsidRDefault="00D618C1" w:rsidP="001D41F3">
      <w:pPr>
        <w:spacing w:line="480" w:lineRule="auto"/>
      </w:pPr>
      <w:proofErr w:type="spellStart"/>
      <w:r w:rsidRPr="00773EA0">
        <w:t>Heyd</w:t>
      </w:r>
      <w:proofErr w:type="spellEnd"/>
      <w:r w:rsidRPr="00773EA0">
        <w:t>, V. (</w:t>
      </w:r>
      <w:proofErr w:type="spellStart"/>
      <w:proofErr w:type="gramStart"/>
      <w:r w:rsidRPr="00773EA0">
        <w:t>ed</w:t>
      </w:r>
      <w:proofErr w:type="spellEnd"/>
      <w:proofErr w:type="gramEnd"/>
      <w:r w:rsidRPr="00773EA0">
        <w:t>) 2013. Europe 2500 to 2200 BC: Between Expiring Ideologies and Emerging Complexity. Oxford: Oxford University Press.</w:t>
      </w:r>
    </w:p>
    <w:p w:rsidR="00D618C1" w:rsidRDefault="00D618C1" w:rsidP="001D41F3">
      <w:pPr>
        <w:spacing w:line="480" w:lineRule="auto"/>
      </w:pPr>
      <w:proofErr w:type="spellStart"/>
      <w:r w:rsidRPr="00773EA0">
        <w:t>Heyob</w:t>
      </w:r>
      <w:proofErr w:type="spellEnd"/>
      <w:r w:rsidRPr="00773EA0">
        <w:t>, S.K. 1975</w:t>
      </w:r>
      <w:r w:rsidRPr="00773EA0">
        <w:rPr>
          <w:i/>
        </w:rPr>
        <w:t>. The Cult of Isis Among women in the Greco-Roman world</w:t>
      </w:r>
      <w:r w:rsidRPr="00773EA0">
        <w:t>. Leiden: E.J. Brill.</w:t>
      </w:r>
    </w:p>
    <w:p w:rsidR="00A26918" w:rsidRDefault="00A26918" w:rsidP="001D41F3">
      <w:pPr>
        <w:spacing w:line="480" w:lineRule="auto"/>
      </w:pPr>
      <w:r>
        <w:t xml:space="preserve">Hittite Monuments. 2006. Funerary Stele. Hittite Monuments. Available from: </w:t>
      </w:r>
      <w:hyperlink r:id="rId47" w:history="1">
        <w:r w:rsidRPr="00305169">
          <w:rPr>
            <w:rStyle w:val="Hyperlink"/>
          </w:rPr>
          <w:t>http://www.hittitemonuments.com/maras/maras14.htm</w:t>
        </w:r>
      </w:hyperlink>
      <w:r>
        <w:t xml:space="preserve"> [Accessed 27/05/2018].</w:t>
      </w:r>
    </w:p>
    <w:p w:rsidR="00D618C1" w:rsidRDefault="00D618C1" w:rsidP="001D41F3">
      <w:pPr>
        <w:spacing w:line="480" w:lineRule="auto"/>
      </w:pPr>
      <w:r>
        <w:t xml:space="preserve">Hodder, I. 2012. </w:t>
      </w:r>
      <w:r>
        <w:rPr>
          <w:i/>
        </w:rPr>
        <w:t xml:space="preserve">Entangled: An Archaeology of the Relationships between Humans and Things. </w:t>
      </w:r>
      <w:r>
        <w:t xml:space="preserve">Oxford: Wiley-Blackwell. </w:t>
      </w:r>
    </w:p>
    <w:p w:rsidR="00D618C1" w:rsidRDefault="00D618C1" w:rsidP="001D41F3">
      <w:pPr>
        <w:spacing w:line="480" w:lineRule="auto"/>
      </w:pPr>
      <w:proofErr w:type="spellStart"/>
      <w:r>
        <w:t>Hoffner</w:t>
      </w:r>
      <w:proofErr w:type="spellEnd"/>
      <w:r>
        <w:t xml:space="preserve">, H.A. &amp; Beckman, G.M. 1998. </w:t>
      </w:r>
      <w:r>
        <w:rPr>
          <w:i/>
        </w:rPr>
        <w:t xml:space="preserve">Hittite Myths. </w:t>
      </w:r>
      <w:r>
        <w:t>2</w:t>
      </w:r>
      <w:r w:rsidRPr="001E0976">
        <w:rPr>
          <w:vertAlign w:val="superscript"/>
        </w:rPr>
        <w:t>nd</w:t>
      </w:r>
      <w:r>
        <w:t xml:space="preserve"> ed. Atlanta: Society of Biblical Literature. </w:t>
      </w:r>
    </w:p>
    <w:p w:rsidR="00D618C1" w:rsidRDefault="00D618C1" w:rsidP="001D41F3">
      <w:pPr>
        <w:spacing w:line="480" w:lineRule="auto"/>
      </w:pPr>
      <w:r w:rsidRPr="003F34DF">
        <w:t>James, E.O. 1959. The Cult of the Mother-Goddess: An Archaeological and Documentary Study. London: Thames and Hudson.</w:t>
      </w:r>
    </w:p>
    <w:p w:rsidR="00D618C1" w:rsidRDefault="00D618C1" w:rsidP="001D41F3">
      <w:pPr>
        <w:spacing w:line="480" w:lineRule="auto"/>
      </w:pPr>
      <w:r>
        <w:t xml:space="preserve">Johnson, N.E. &amp; Zhang, K.T. 1991. </w:t>
      </w:r>
      <w:r w:rsidRPr="000335F5">
        <w:t xml:space="preserve">Matriarchy, polyandry, and fertility amongst the </w:t>
      </w:r>
      <w:proofErr w:type="spellStart"/>
      <w:r w:rsidRPr="000335F5">
        <w:t>Mosuos</w:t>
      </w:r>
      <w:proofErr w:type="spellEnd"/>
      <w:r w:rsidRPr="000335F5">
        <w:t xml:space="preserve"> in China</w:t>
      </w:r>
      <w:r>
        <w:t xml:space="preserve">. </w:t>
      </w:r>
      <w:r>
        <w:rPr>
          <w:i/>
        </w:rPr>
        <w:t xml:space="preserve">Journal of Biosocial Science. </w:t>
      </w:r>
      <w:r>
        <w:t>23(4) 499-505.</w:t>
      </w:r>
    </w:p>
    <w:p w:rsidR="00D618C1" w:rsidRDefault="00D618C1" w:rsidP="001D41F3">
      <w:pPr>
        <w:spacing w:line="480" w:lineRule="auto"/>
      </w:pPr>
      <w:proofErr w:type="spellStart"/>
      <w:r>
        <w:t>Karak</w:t>
      </w:r>
      <w:proofErr w:type="spellEnd"/>
      <w:r>
        <w:t xml:space="preserve">, C. 2016. </w:t>
      </w:r>
      <w:r w:rsidRPr="00EE68BF">
        <w:t>Archaeologists from Stanford find an 8,000-year-old ‘goddess figurine’ in central Turkey</w:t>
      </w:r>
      <w:r>
        <w:t xml:space="preserve">. </w:t>
      </w:r>
      <w:r>
        <w:rPr>
          <w:i/>
        </w:rPr>
        <w:t xml:space="preserve">Stanford News. </w:t>
      </w:r>
      <w:r>
        <w:t xml:space="preserve">Available from: </w:t>
      </w:r>
      <w:hyperlink r:id="rId48" w:history="1">
        <w:r w:rsidRPr="00305169">
          <w:rPr>
            <w:rStyle w:val="Hyperlink"/>
          </w:rPr>
          <w:t>https://news.stanford.edu/2016/09/29/archaeologists-find-8000-year-old-goddess-figurine-central-turkey/</w:t>
        </w:r>
      </w:hyperlink>
      <w:r>
        <w:t xml:space="preserve"> [Accessed 27/05/2018].</w:t>
      </w:r>
    </w:p>
    <w:p w:rsidR="00D618C1" w:rsidRPr="003F34DF" w:rsidRDefault="00D618C1" w:rsidP="001D41F3">
      <w:pPr>
        <w:spacing w:line="480" w:lineRule="auto"/>
        <w:rPr>
          <w:rFonts w:ascii="Arial" w:hAnsi="Arial" w:cs="Arial"/>
          <w:iCs/>
          <w:color w:val="333333"/>
          <w:sz w:val="21"/>
          <w:szCs w:val="21"/>
          <w:shd w:val="clear" w:color="auto" w:fill="FFFFFF"/>
        </w:rPr>
      </w:pPr>
      <w:proofErr w:type="spellStart"/>
      <w:r>
        <w:rPr>
          <w:rFonts w:ascii="Arial" w:hAnsi="Arial" w:cs="Arial"/>
          <w:color w:val="333333"/>
          <w:sz w:val="21"/>
          <w:szCs w:val="21"/>
          <w:shd w:val="clear" w:color="auto" w:fill="FFFFFF"/>
        </w:rPr>
        <w:t>Kassianidou</w:t>
      </w:r>
      <w:proofErr w:type="spellEnd"/>
      <w:r>
        <w:rPr>
          <w:rFonts w:ascii="Arial" w:hAnsi="Arial" w:cs="Arial"/>
          <w:color w:val="333333"/>
          <w:sz w:val="21"/>
          <w:szCs w:val="21"/>
          <w:shd w:val="clear" w:color="auto" w:fill="FFFFFF"/>
        </w:rPr>
        <w:t>, V.</w:t>
      </w:r>
      <w:r>
        <w:t xml:space="preserve"> 2013. </w:t>
      </w:r>
      <w:r w:rsidRPr="002609A1">
        <w:t>The Exploitation of the Landscape: Metal Resources and the Copper Trade during the Age of the Cypriot City-Kingdoms</w:t>
      </w:r>
      <w:r>
        <w:t xml:space="preserve">. </w:t>
      </w:r>
      <w:r w:rsidRPr="007F6099">
        <w:rPr>
          <w:i/>
        </w:rPr>
        <w:t>Bul</w:t>
      </w:r>
      <w:r w:rsidRPr="007F6099">
        <w:rPr>
          <w:rFonts w:ascii="Arial" w:hAnsi="Arial" w:cs="Arial"/>
          <w:i/>
          <w:iCs/>
          <w:color w:val="333333"/>
          <w:sz w:val="21"/>
          <w:szCs w:val="21"/>
          <w:shd w:val="clear" w:color="auto" w:fill="FFFFFF"/>
        </w:rPr>
        <w:t>letin of</w:t>
      </w:r>
      <w:r>
        <w:rPr>
          <w:rFonts w:ascii="Arial" w:hAnsi="Arial" w:cs="Arial"/>
          <w:i/>
          <w:iCs/>
          <w:color w:val="333333"/>
          <w:sz w:val="21"/>
          <w:szCs w:val="21"/>
          <w:shd w:val="clear" w:color="auto" w:fill="FFFFFF"/>
        </w:rPr>
        <w:t xml:space="preserve"> the American Schools of Oriental Research. </w:t>
      </w:r>
      <w:r>
        <w:rPr>
          <w:rFonts w:ascii="Arial" w:hAnsi="Arial" w:cs="Arial"/>
          <w:iCs/>
          <w:color w:val="333333"/>
          <w:sz w:val="21"/>
          <w:szCs w:val="21"/>
          <w:shd w:val="clear" w:color="auto" w:fill="FFFFFF"/>
        </w:rPr>
        <w:t xml:space="preserve">370 49-82. </w:t>
      </w:r>
    </w:p>
    <w:p w:rsidR="00D618C1" w:rsidRDefault="00D618C1" w:rsidP="001D41F3">
      <w:pPr>
        <w:spacing w:line="480" w:lineRule="auto"/>
      </w:pPr>
      <w:proofErr w:type="spellStart"/>
      <w:r>
        <w:t>Keinlin</w:t>
      </w:r>
      <w:proofErr w:type="spellEnd"/>
      <w:r>
        <w:t>, T.L. (</w:t>
      </w:r>
      <w:proofErr w:type="spellStart"/>
      <w:proofErr w:type="gramStart"/>
      <w:r>
        <w:t>ed</w:t>
      </w:r>
      <w:proofErr w:type="spellEnd"/>
      <w:proofErr w:type="gramEnd"/>
      <w:r>
        <w:t xml:space="preserve">) 2013. </w:t>
      </w:r>
      <w:r>
        <w:rPr>
          <w:i/>
        </w:rPr>
        <w:t xml:space="preserve">Copper and Bronze: Bronze Age Metal Working in Context. </w:t>
      </w:r>
      <w:r>
        <w:t xml:space="preserve">Oxford: Oxford University Press. </w:t>
      </w:r>
    </w:p>
    <w:p w:rsidR="00D618C1" w:rsidRDefault="00D618C1" w:rsidP="001D41F3">
      <w:pPr>
        <w:spacing w:line="480" w:lineRule="auto"/>
      </w:pPr>
      <w:proofErr w:type="spellStart"/>
      <w:r>
        <w:lastRenderedPageBreak/>
        <w:t>Kiddh</w:t>
      </w:r>
      <w:proofErr w:type="spellEnd"/>
      <w:r>
        <w:t xml:space="preserve">, K.K. &amp; </w:t>
      </w:r>
      <w:proofErr w:type="spellStart"/>
      <w:r>
        <w:t>Stamatoyannopoulosg</w:t>
      </w:r>
      <w:proofErr w:type="spellEnd"/>
      <w:r>
        <w:t xml:space="preserve">, G. 2014. </w:t>
      </w:r>
      <w:r w:rsidRPr="00EB4A6C">
        <w:t>Maritime Route of Colo</w:t>
      </w:r>
      <w:r>
        <w:t xml:space="preserve">nization of Europe. </w:t>
      </w:r>
      <w:proofErr w:type="spellStart"/>
      <w:r>
        <w:rPr>
          <w:i/>
        </w:rPr>
        <w:t>Pnas</w:t>
      </w:r>
      <w:proofErr w:type="spellEnd"/>
      <w:r>
        <w:rPr>
          <w:i/>
        </w:rPr>
        <w:t xml:space="preserve">. </w:t>
      </w:r>
      <w:r>
        <w:t>111 (25) 9211-9216.</w:t>
      </w:r>
    </w:p>
    <w:p w:rsidR="00D618C1" w:rsidRDefault="00D618C1" w:rsidP="001D41F3">
      <w:pPr>
        <w:spacing w:line="480" w:lineRule="auto"/>
      </w:pPr>
      <w:proofErr w:type="spellStart"/>
      <w:r>
        <w:t>Kuijt</w:t>
      </w:r>
      <w:proofErr w:type="spellEnd"/>
      <w:r>
        <w:t xml:space="preserve">, I. 2000. </w:t>
      </w:r>
      <w:r>
        <w:rPr>
          <w:i/>
        </w:rPr>
        <w:t xml:space="preserve">Life in Neolithic Farming Communities: social Organization, Identity, and Differentiation. </w:t>
      </w:r>
      <w:r w:rsidRPr="004930AB">
        <w:t>London: Plenum Publishers.</w:t>
      </w:r>
    </w:p>
    <w:p w:rsidR="00D618C1" w:rsidRDefault="00D618C1" w:rsidP="001D41F3">
      <w:pPr>
        <w:spacing w:line="480" w:lineRule="auto"/>
      </w:pPr>
      <w:r>
        <w:t xml:space="preserve">Kuiper, K. 2016. Venus of </w:t>
      </w:r>
      <w:proofErr w:type="spellStart"/>
      <w:r>
        <w:t>Willendorf</w:t>
      </w:r>
      <w:proofErr w:type="spellEnd"/>
      <w:r>
        <w:t xml:space="preserve">. Encyclopaedia Britannica. Available from: </w:t>
      </w:r>
      <w:hyperlink r:id="rId49" w:history="1">
        <w:r w:rsidRPr="00305169">
          <w:rPr>
            <w:rStyle w:val="Hyperlink"/>
          </w:rPr>
          <w:t>https://www.britannica.com/topic/Venus-of-Willendorf</w:t>
        </w:r>
      </w:hyperlink>
      <w:r>
        <w:t xml:space="preserve"> [Accessed 27/05/2018].</w:t>
      </w:r>
    </w:p>
    <w:p w:rsidR="00D618C1" w:rsidRDefault="00D618C1" w:rsidP="001D41F3">
      <w:pPr>
        <w:spacing w:line="480" w:lineRule="auto"/>
      </w:pPr>
      <w:r>
        <w:t xml:space="preserve">Larson, J. 2007. </w:t>
      </w:r>
      <w:r>
        <w:rPr>
          <w:i/>
        </w:rPr>
        <w:t xml:space="preserve">Ancient Greek Cults. </w:t>
      </w:r>
      <w:r>
        <w:t>London: Routledge.</w:t>
      </w:r>
    </w:p>
    <w:p w:rsidR="00D618C1" w:rsidRDefault="00D618C1" w:rsidP="001D41F3">
      <w:pPr>
        <w:spacing w:line="480" w:lineRule="auto"/>
      </w:pPr>
      <w:proofErr w:type="spellStart"/>
      <w:r w:rsidRPr="00773EA0">
        <w:t>Lassen</w:t>
      </w:r>
      <w:proofErr w:type="spellEnd"/>
      <w:r w:rsidRPr="00773EA0">
        <w:t xml:space="preserve">, I. 2011. Living with Patriarchy: Discursive Constructions of Gendered Subjects </w:t>
      </w:r>
      <w:proofErr w:type="gramStart"/>
      <w:r w:rsidRPr="00773EA0">
        <w:t>Across</w:t>
      </w:r>
      <w:proofErr w:type="gramEnd"/>
      <w:r w:rsidRPr="00773EA0">
        <w:t xml:space="preserve"> Cultures. Philadelphia: Jo</w:t>
      </w:r>
      <w:r>
        <w:t xml:space="preserve">hn </w:t>
      </w:r>
      <w:proofErr w:type="spellStart"/>
      <w:r>
        <w:t>Benjamins</w:t>
      </w:r>
      <w:proofErr w:type="spellEnd"/>
      <w:r>
        <w:t xml:space="preserve"> Publishing Company</w:t>
      </w:r>
    </w:p>
    <w:p w:rsidR="00D618C1" w:rsidRDefault="00D618C1" w:rsidP="001D41F3">
      <w:pPr>
        <w:spacing w:line="480" w:lineRule="auto"/>
      </w:pPr>
      <w:proofErr w:type="spellStart"/>
      <w:r>
        <w:t>Leeming</w:t>
      </w:r>
      <w:proofErr w:type="spellEnd"/>
      <w:r>
        <w:t>, D. 2005. 2.</w:t>
      </w:r>
      <w:r w:rsidRPr="00F33AA6">
        <w:t xml:space="preserve"> </w:t>
      </w:r>
      <w:proofErr w:type="spellStart"/>
      <w:r w:rsidRPr="00F33AA6">
        <w:t>Ereshkigal</w:t>
      </w:r>
      <w:proofErr w:type="spellEnd"/>
      <w:r>
        <w:t xml:space="preserve">. </w:t>
      </w:r>
      <w:r>
        <w:rPr>
          <w:i/>
        </w:rPr>
        <w:t xml:space="preserve">The Oxford Companion to World Mythology. </w:t>
      </w:r>
      <w:r w:rsidRPr="00F33AA6">
        <w:t>Oxford: Oxford University Press.</w:t>
      </w:r>
    </w:p>
    <w:p w:rsidR="00D618C1" w:rsidRPr="003F34DF" w:rsidRDefault="00D618C1" w:rsidP="001D41F3">
      <w:pPr>
        <w:spacing w:line="480" w:lineRule="auto"/>
        <w:rPr>
          <w:i/>
        </w:rPr>
      </w:pPr>
      <w:proofErr w:type="spellStart"/>
      <w:r>
        <w:t>Leeming</w:t>
      </w:r>
      <w:proofErr w:type="spellEnd"/>
      <w:r>
        <w:t xml:space="preserve">, D. 2005. </w:t>
      </w:r>
      <w:proofErr w:type="spellStart"/>
      <w:r>
        <w:t>Innana</w:t>
      </w:r>
      <w:proofErr w:type="spellEnd"/>
      <w:r>
        <w:t xml:space="preserve">. </w:t>
      </w:r>
      <w:r>
        <w:rPr>
          <w:i/>
        </w:rPr>
        <w:t xml:space="preserve">The Oxford Companion to World Mythology. </w:t>
      </w:r>
      <w:r w:rsidRPr="00F33AA6">
        <w:t>Oxford: Oxford University Press.</w:t>
      </w:r>
    </w:p>
    <w:p w:rsidR="00D618C1" w:rsidRDefault="00D618C1" w:rsidP="001D41F3">
      <w:pPr>
        <w:spacing w:line="480" w:lineRule="auto"/>
      </w:pPr>
      <w:proofErr w:type="spellStart"/>
      <w:r w:rsidRPr="003F34DF">
        <w:t>Lesure</w:t>
      </w:r>
      <w:proofErr w:type="spellEnd"/>
      <w:r w:rsidRPr="003F34DF">
        <w:t>, R.G. 2002. The Goddess Diffracted: Thinking About the Figurines of Early Villages. Current Anthropology. 43(3) 587-610.</w:t>
      </w:r>
    </w:p>
    <w:p w:rsidR="0073604E" w:rsidRDefault="0073604E" w:rsidP="001D41F3">
      <w:pPr>
        <w:spacing w:line="480" w:lineRule="auto"/>
      </w:pPr>
      <w:r>
        <w:t xml:space="preserve">The Louvre. Statue of the Goddess Sekhmet. Louvre. Available from: </w:t>
      </w:r>
      <w:hyperlink r:id="rId50" w:history="1">
        <w:r w:rsidRPr="00305169">
          <w:rPr>
            <w:rStyle w:val="Hyperlink"/>
          </w:rPr>
          <w:t>https://www.louvre.fr/en/mediaimages/statue-goddess-sekhmet-0</w:t>
        </w:r>
      </w:hyperlink>
      <w:r>
        <w:t xml:space="preserve"> [Accessed 27/05/2018].</w:t>
      </w:r>
    </w:p>
    <w:p w:rsidR="00D618C1" w:rsidRDefault="00D618C1" w:rsidP="001D41F3">
      <w:pPr>
        <w:spacing w:line="480" w:lineRule="auto"/>
      </w:pPr>
      <w:proofErr w:type="spellStart"/>
      <w:r w:rsidRPr="003F34DF">
        <w:t>Lurker</w:t>
      </w:r>
      <w:proofErr w:type="spellEnd"/>
      <w:r w:rsidRPr="003F34DF">
        <w:t>, M. 2004. A Dictionary of Gods and Goddesses, Devils and Demons. London: Routledge.</w:t>
      </w:r>
    </w:p>
    <w:p w:rsidR="00D618C1" w:rsidRDefault="00D618C1" w:rsidP="001D41F3">
      <w:pPr>
        <w:spacing w:line="480" w:lineRule="auto"/>
      </w:pPr>
      <w:r w:rsidRPr="00177F9D">
        <w:t>Marceau, N. &amp; Myers, G. 2006. On the Early Holocene: Foraging to Early Agriculture. The Economic Journal. 116(513) 751-772.</w:t>
      </w:r>
    </w:p>
    <w:p w:rsidR="00D618C1" w:rsidRDefault="00D618C1" w:rsidP="001D41F3">
      <w:pPr>
        <w:spacing w:line="480" w:lineRule="auto"/>
      </w:pPr>
      <w:r>
        <w:t xml:space="preserve">Mark, J.J. 2010. </w:t>
      </w:r>
      <w:proofErr w:type="spellStart"/>
      <w:r>
        <w:t>Innana</w:t>
      </w:r>
      <w:proofErr w:type="spellEnd"/>
      <w:r>
        <w:t xml:space="preserve">. </w:t>
      </w:r>
      <w:r w:rsidRPr="006C4114">
        <w:t>Ancient History Encyclopaedia.</w:t>
      </w:r>
      <w:r>
        <w:rPr>
          <w:i/>
        </w:rPr>
        <w:t xml:space="preserve"> </w:t>
      </w:r>
      <w:r>
        <w:t xml:space="preserve">Available from: </w:t>
      </w:r>
      <w:hyperlink r:id="rId51" w:history="1">
        <w:r w:rsidRPr="00305169">
          <w:rPr>
            <w:rStyle w:val="Hyperlink"/>
          </w:rPr>
          <w:t>https://www.ancient.eu/Inanna/</w:t>
        </w:r>
      </w:hyperlink>
      <w:r>
        <w:t xml:space="preserve"> [Accessed 27/05/2018].</w:t>
      </w:r>
    </w:p>
    <w:p w:rsidR="00D618C1" w:rsidRDefault="00D618C1" w:rsidP="001D41F3">
      <w:pPr>
        <w:spacing w:line="480" w:lineRule="auto"/>
      </w:pPr>
      <w:r>
        <w:lastRenderedPageBreak/>
        <w:t xml:space="preserve">Mark, J.J. 2011. Sumer. Ancient History Encyclopaedia. Available from: </w:t>
      </w:r>
      <w:hyperlink r:id="rId52" w:history="1">
        <w:r w:rsidRPr="00305169">
          <w:rPr>
            <w:rStyle w:val="Hyperlink"/>
          </w:rPr>
          <w:t>https://www.ancient.eu/sumer/</w:t>
        </w:r>
      </w:hyperlink>
      <w:r>
        <w:t xml:space="preserve"> [Accessed 27/05/2018].</w:t>
      </w:r>
    </w:p>
    <w:p w:rsidR="00D618C1" w:rsidRDefault="00D618C1" w:rsidP="001D41F3">
      <w:pPr>
        <w:spacing w:line="480" w:lineRule="auto"/>
      </w:pPr>
      <w:r>
        <w:t xml:space="preserve">Mark, J.J. 2018. The Hittites. </w:t>
      </w:r>
      <w:r w:rsidRPr="007D1E04">
        <w:t>Ancient History</w:t>
      </w:r>
      <w:r>
        <w:t xml:space="preserve"> Encyclopaedia. Available from: </w:t>
      </w:r>
      <w:hyperlink r:id="rId53" w:history="1">
        <w:r w:rsidRPr="00305169">
          <w:rPr>
            <w:rStyle w:val="Hyperlink"/>
          </w:rPr>
          <w:t>https://www.ancient.eu/hittite/</w:t>
        </w:r>
      </w:hyperlink>
      <w:r>
        <w:t xml:space="preserve"> {Accessed 27/05/2018].</w:t>
      </w:r>
    </w:p>
    <w:p w:rsidR="00D618C1" w:rsidRDefault="00D618C1" w:rsidP="001D41F3">
      <w:pPr>
        <w:spacing w:line="480" w:lineRule="auto"/>
      </w:pPr>
      <w:r>
        <w:t xml:space="preserve">Mark, J.J. 2018. 2. Roman Empire. Ancient History Encyclopaedia. Available from: </w:t>
      </w:r>
      <w:hyperlink r:id="rId54" w:history="1">
        <w:r w:rsidRPr="00305169">
          <w:rPr>
            <w:rStyle w:val="Hyperlink"/>
          </w:rPr>
          <w:t>https://www.ancient.eu/Roman_Empire/</w:t>
        </w:r>
      </w:hyperlink>
      <w:r>
        <w:t xml:space="preserve"> [Accessed 27/05/2018].</w:t>
      </w:r>
    </w:p>
    <w:p w:rsidR="00D618C1" w:rsidRDefault="00D618C1" w:rsidP="001D41F3">
      <w:pPr>
        <w:spacing w:line="480" w:lineRule="auto"/>
      </w:pPr>
      <w:proofErr w:type="spellStart"/>
      <w:r w:rsidRPr="00177F9D">
        <w:t>Marshack</w:t>
      </w:r>
      <w:proofErr w:type="spellEnd"/>
      <w:r w:rsidRPr="00177F9D">
        <w:t xml:space="preserve">, A., 1997. The </w:t>
      </w:r>
      <w:proofErr w:type="spellStart"/>
      <w:r w:rsidRPr="00177F9D">
        <w:t>Berekhat</w:t>
      </w:r>
      <w:proofErr w:type="spellEnd"/>
      <w:r w:rsidRPr="00177F9D">
        <w:t xml:space="preserve"> Ram figurine: A late Acheulian carving from the Middle East. Antiquity. 71(272) 327-337.</w:t>
      </w:r>
    </w:p>
    <w:p w:rsidR="00D618C1" w:rsidRDefault="00D618C1" w:rsidP="001D41F3">
      <w:pPr>
        <w:spacing w:line="480" w:lineRule="auto"/>
      </w:pPr>
      <w:r w:rsidRPr="003F34DF">
        <w:t>McDermott, L. 1996. Self-Representation in Upper Palaeolithic Female Figurines. Current Anthropology. 37(2) 227-275.</w:t>
      </w:r>
    </w:p>
    <w:p w:rsidR="00D618C1" w:rsidRDefault="00D618C1" w:rsidP="001D41F3">
      <w:pPr>
        <w:spacing w:line="480" w:lineRule="auto"/>
      </w:pPr>
      <w:proofErr w:type="spellStart"/>
      <w:r>
        <w:t>Mellart</w:t>
      </w:r>
      <w:proofErr w:type="spellEnd"/>
      <w:r>
        <w:t xml:space="preserve">, J. 1958. Excavations at </w:t>
      </w:r>
      <w:proofErr w:type="spellStart"/>
      <w:r>
        <w:t>Hacılar</w:t>
      </w:r>
      <w:proofErr w:type="spellEnd"/>
      <w:r>
        <w:t>. First Preliminary Report. Anatolian Studies. 8 127-156.</w:t>
      </w:r>
    </w:p>
    <w:p w:rsidR="00D618C1" w:rsidRDefault="00D618C1" w:rsidP="001D41F3">
      <w:pPr>
        <w:spacing w:line="480" w:lineRule="auto"/>
      </w:pPr>
      <w:proofErr w:type="spellStart"/>
      <w:r>
        <w:t>Mellart</w:t>
      </w:r>
      <w:proofErr w:type="spellEnd"/>
      <w:r>
        <w:t xml:space="preserve">, J. 1960. </w:t>
      </w:r>
      <w:r w:rsidRPr="00780C08">
        <w:t xml:space="preserve">Excavations at </w:t>
      </w:r>
      <w:proofErr w:type="spellStart"/>
      <w:r w:rsidRPr="00780C08">
        <w:t>Hacılar</w:t>
      </w:r>
      <w:proofErr w:type="spellEnd"/>
      <w:r w:rsidRPr="00780C08">
        <w:t>: Third Preliminary Report, 1959</w:t>
      </w:r>
      <w:r>
        <w:t xml:space="preserve">. </w:t>
      </w:r>
      <w:r>
        <w:rPr>
          <w:i/>
        </w:rPr>
        <w:t xml:space="preserve">Anatolian Studies. </w:t>
      </w:r>
      <w:r>
        <w:t>10 83-104.</w:t>
      </w:r>
    </w:p>
    <w:p w:rsidR="00D618C1" w:rsidRDefault="00D618C1" w:rsidP="001D41F3">
      <w:pPr>
        <w:spacing w:line="480" w:lineRule="auto"/>
      </w:pPr>
      <w:proofErr w:type="spellStart"/>
      <w:r>
        <w:t>Mellart</w:t>
      </w:r>
      <w:proofErr w:type="spellEnd"/>
      <w:r>
        <w:t xml:space="preserve">, J. 1961. Excavations at </w:t>
      </w:r>
      <w:proofErr w:type="spellStart"/>
      <w:r>
        <w:t>Hacılar</w:t>
      </w:r>
      <w:proofErr w:type="spellEnd"/>
      <w:r>
        <w:t>: Fourth Preliminary Report, 1960. Anatolian Studies. 11 39-75.</w:t>
      </w:r>
    </w:p>
    <w:p w:rsidR="00D618C1" w:rsidRDefault="00D618C1" w:rsidP="001D41F3">
      <w:pPr>
        <w:spacing w:line="480" w:lineRule="auto"/>
      </w:pPr>
      <w:proofErr w:type="spellStart"/>
      <w:r>
        <w:t>Mellart</w:t>
      </w:r>
      <w:proofErr w:type="spellEnd"/>
      <w:r>
        <w:t xml:space="preserve">, J. 1962. </w:t>
      </w:r>
      <w:r w:rsidRPr="00496021">
        <w:t xml:space="preserve">Excavations at </w:t>
      </w:r>
      <w:proofErr w:type="spellStart"/>
      <w:r w:rsidRPr="00496021">
        <w:t>Çatal</w:t>
      </w:r>
      <w:proofErr w:type="spellEnd"/>
      <w:r w:rsidRPr="00496021">
        <w:t xml:space="preserve"> </w:t>
      </w:r>
      <w:proofErr w:type="spellStart"/>
      <w:r w:rsidRPr="00496021">
        <w:t>Hüyük</w:t>
      </w:r>
      <w:proofErr w:type="spellEnd"/>
      <w:r w:rsidRPr="00496021">
        <w:t>: First Preliminary Report, 1961</w:t>
      </w:r>
      <w:r>
        <w:t xml:space="preserve">. </w:t>
      </w:r>
      <w:r>
        <w:rPr>
          <w:i/>
        </w:rPr>
        <w:t xml:space="preserve">Anatolian studies. </w:t>
      </w:r>
      <w:r>
        <w:t>12 41-65.</w:t>
      </w:r>
    </w:p>
    <w:p w:rsidR="00D618C1" w:rsidRDefault="00D618C1" w:rsidP="001D41F3">
      <w:pPr>
        <w:spacing w:line="480" w:lineRule="auto"/>
      </w:pPr>
      <w:proofErr w:type="spellStart"/>
      <w:r>
        <w:t>Mellart</w:t>
      </w:r>
      <w:proofErr w:type="spellEnd"/>
      <w:r>
        <w:t xml:space="preserve">, J. 1963. </w:t>
      </w:r>
      <w:r w:rsidRPr="00496021">
        <w:t xml:space="preserve">Excavations at </w:t>
      </w:r>
      <w:proofErr w:type="spellStart"/>
      <w:r w:rsidRPr="00496021">
        <w:t>Çatal</w:t>
      </w:r>
      <w:proofErr w:type="spellEnd"/>
      <w:r w:rsidRPr="00496021">
        <w:t xml:space="preserve"> </w:t>
      </w:r>
      <w:proofErr w:type="spellStart"/>
      <w:r w:rsidRPr="00496021">
        <w:t>Hüyük</w:t>
      </w:r>
      <w:proofErr w:type="spellEnd"/>
      <w:r w:rsidRPr="00496021">
        <w:t>, 1962: Second Preliminary Report</w:t>
      </w:r>
      <w:r>
        <w:rPr>
          <w:i/>
        </w:rPr>
        <w:t xml:space="preserve">. Anatolian studies. </w:t>
      </w:r>
      <w:r>
        <w:t>13. 43-103.</w:t>
      </w:r>
    </w:p>
    <w:p w:rsidR="00D618C1" w:rsidRDefault="00D618C1" w:rsidP="001D41F3">
      <w:pPr>
        <w:spacing w:line="480" w:lineRule="auto"/>
      </w:pPr>
      <w:r>
        <w:t xml:space="preserve">Morris, P.H. 1982. </w:t>
      </w:r>
      <w:r w:rsidRPr="00072ACF">
        <w:t xml:space="preserve">Distribution and </w:t>
      </w:r>
      <w:proofErr w:type="spellStart"/>
      <w:r w:rsidRPr="00072ACF">
        <w:t>palaeoecology</w:t>
      </w:r>
      <w:proofErr w:type="spellEnd"/>
      <w:r w:rsidRPr="00072ACF">
        <w:t xml:space="preserve"> of middle Jurassic Foraminifera from the Lower Inferior </w:t>
      </w:r>
      <w:proofErr w:type="spellStart"/>
      <w:r w:rsidRPr="00072ACF">
        <w:t>Oolite</w:t>
      </w:r>
      <w:proofErr w:type="spellEnd"/>
      <w:r w:rsidRPr="00072ACF">
        <w:t xml:space="preserve"> of the Cotswolds</w:t>
      </w:r>
      <w:r>
        <w:t xml:space="preserve">. </w:t>
      </w:r>
      <w:proofErr w:type="spellStart"/>
      <w:r w:rsidRPr="00072ACF">
        <w:rPr>
          <w:i/>
        </w:rPr>
        <w:t>Palaeogeography</w:t>
      </w:r>
      <w:proofErr w:type="spellEnd"/>
      <w:r w:rsidRPr="00072ACF">
        <w:rPr>
          <w:i/>
        </w:rPr>
        <w:t xml:space="preserve">, </w:t>
      </w:r>
      <w:proofErr w:type="spellStart"/>
      <w:r w:rsidRPr="00072ACF">
        <w:rPr>
          <w:i/>
        </w:rPr>
        <w:t>Palaeoclimatology</w:t>
      </w:r>
      <w:proofErr w:type="spellEnd"/>
      <w:r w:rsidRPr="00072ACF">
        <w:rPr>
          <w:i/>
        </w:rPr>
        <w:t xml:space="preserve">, </w:t>
      </w:r>
      <w:proofErr w:type="spellStart"/>
      <w:r w:rsidRPr="00072ACF">
        <w:rPr>
          <w:i/>
        </w:rPr>
        <w:t>Palaeoecology</w:t>
      </w:r>
      <w:proofErr w:type="spellEnd"/>
      <w:r>
        <w:rPr>
          <w:i/>
        </w:rPr>
        <w:t xml:space="preserve">. </w:t>
      </w:r>
      <w:r>
        <w:t>37 (2-4) 319-347.</w:t>
      </w:r>
    </w:p>
    <w:p w:rsidR="00D618C1" w:rsidRDefault="00D618C1" w:rsidP="001D41F3">
      <w:pPr>
        <w:spacing w:line="480" w:lineRule="auto"/>
      </w:pPr>
      <w:r>
        <w:t xml:space="preserve">Munson, R.V. 2004. </w:t>
      </w:r>
      <w:r w:rsidRPr="00AD67FF">
        <w:rPr>
          <w:i/>
        </w:rPr>
        <w:t>Telling Wonders: Ethnographic and Political Discourse in the Work of Herodotus.</w:t>
      </w:r>
      <w:r>
        <w:t xml:space="preserve"> Michigan: University of Michigan press. </w:t>
      </w:r>
    </w:p>
    <w:p w:rsidR="00D618C1" w:rsidRDefault="00D618C1" w:rsidP="001D41F3">
      <w:pPr>
        <w:spacing w:line="480" w:lineRule="auto"/>
      </w:pPr>
      <w:r>
        <w:lastRenderedPageBreak/>
        <w:t xml:space="preserve">Murchison, R.I. 1845. </w:t>
      </w:r>
      <w:r w:rsidRPr="00DD4E23">
        <w:rPr>
          <w:i/>
        </w:rPr>
        <w:t>Outline of the Geology of the Neighbourhood of Cheltenham</w:t>
      </w:r>
      <w:r>
        <w:rPr>
          <w:i/>
        </w:rPr>
        <w:t xml:space="preserve">. </w:t>
      </w:r>
      <w:r>
        <w:t xml:space="preserve">London: Routledge. </w:t>
      </w:r>
    </w:p>
    <w:p w:rsidR="007C2887" w:rsidRDefault="007C2887" w:rsidP="001D41F3">
      <w:pPr>
        <w:spacing w:line="480" w:lineRule="auto"/>
      </w:pPr>
      <w:r>
        <w:t xml:space="preserve">The </w:t>
      </w:r>
      <w:proofErr w:type="spellStart"/>
      <w:r>
        <w:t>Musee</w:t>
      </w:r>
      <w:proofErr w:type="spellEnd"/>
      <w:r>
        <w:t xml:space="preserve"> De </w:t>
      </w:r>
      <w:proofErr w:type="spellStart"/>
      <w:r>
        <w:t>L’Homme</w:t>
      </w:r>
      <w:proofErr w:type="spellEnd"/>
      <w:r>
        <w:t xml:space="preserve">. 2003. The </w:t>
      </w:r>
      <w:proofErr w:type="spellStart"/>
      <w:r>
        <w:t>Musee</w:t>
      </w:r>
      <w:proofErr w:type="spellEnd"/>
      <w:r>
        <w:t xml:space="preserve"> De </w:t>
      </w:r>
      <w:proofErr w:type="spellStart"/>
      <w:r>
        <w:t>L’Homme</w:t>
      </w:r>
      <w:proofErr w:type="spellEnd"/>
      <w:r>
        <w:t xml:space="preserve">. Available from: </w:t>
      </w:r>
      <w:hyperlink r:id="rId55" w:history="1">
        <w:r w:rsidRPr="00305169">
          <w:rPr>
            <w:rStyle w:val="Hyperlink"/>
          </w:rPr>
          <w:t>http://www.museedelhomme.fr/en/museum/history-musee-homme/musee-homme-1938-2003</w:t>
        </w:r>
      </w:hyperlink>
      <w:r>
        <w:t xml:space="preserve"> [Accessed 27/05/2018]</w:t>
      </w:r>
    </w:p>
    <w:p w:rsidR="00D618C1" w:rsidRDefault="00D618C1" w:rsidP="001D41F3">
      <w:pPr>
        <w:spacing w:line="480" w:lineRule="auto"/>
      </w:pPr>
      <w:proofErr w:type="spellStart"/>
      <w:r w:rsidRPr="00EB4A6C">
        <w:t>Muscarella</w:t>
      </w:r>
      <w:proofErr w:type="spellEnd"/>
      <w:r>
        <w:t xml:space="preserve">, O.W. 1971. </w:t>
      </w:r>
      <w:proofErr w:type="spellStart"/>
      <w:r>
        <w:t>Hacilar</w:t>
      </w:r>
      <w:proofErr w:type="spellEnd"/>
      <w:r>
        <w:t xml:space="preserve"> Ladies: Old and New. </w:t>
      </w:r>
      <w:r>
        <w:rPr>
          <w:i/>
        </w:rPr>
        <w:t xml:space="preserve">The Metropolitan Museum of Art. </w:t>
      </w:r>
      <w:r>
        <w:t>74-79.</w:t>
      </w:r>
    </w:p>
    <w:p w:rsidR="00D618C1" w:rsidRDefault="00D618C1" w:rsidP="001D41F3">
      <w:pPr>
        <w:spacing w:line="480" w:lineRule="auto"/>
      </w:pPr>
      <w:proofErr w:type="spellStart"/>
      <w:r w:rsidRPr="003F34DF">
        <w:t>Narr</w:t>
      </w:r>
      <w:proofErr w:type="spellEnd"/>
      <w:r w:rsidRPr="003F34DF">
        <w:t xml:space="preserve">, K.J. 2005. Palaeolithic Religion. </w:t>
      </w:r>
      <w:proofErr w:type="spellStart"/>
      <w:r w:rsidRPr="003F34DF">
        <w:t>Enclyclopedia</w:t>
      </w:r>
      <w:proofErr w:type="spellEnd"/>
      <w:r w:rsidRPr="003F34DF">
        <w:t xml:space="preserve"> of Religion. 10(2), 6948-6955.</w:t>
      </w:r>
    </w:p>
    <w:p w:rsidR="00D618C1" w:rsidRDefault="00D618C1" w:rsidP="001D41F3">
      <w:pPr>
        <w:spacing w:line="480" w:lineRule="auto"/>
      </w:pPr>
      <w:r>
        <w:t xml:space="preserve">Nash, J. 1978. A Note on Groom Price. </w:t>
      </w:r>
      <w:r>
        <w:rPr>
          <w:i/>
        </w:rPr>
        <w:t xml:space="preserve">American Anthropologist. </w:t>
      </w:r>
      <w:r>
        <w:t>80(1) 106-108.</w:t>
      </w:r>
    </w:p>
    <w:p w:rsidR="00D618C1" w:rsidRPr="009D4704" w:rsidRDefault="00D618C1" w:rsidP="001D41F3">
      <w:pPr>
        <w:spacing w:line="480" w:lineRule="auto"/>
      </w:pPr>
      <w:proofErr w:type="spellStart"/>
      <w:r>
        <w:t>Paschou</w:t>
      </w:r>
      <w:proofErr w:type="spellEnd"/>
      <w:r>
        <w:t xml:space="preserve">, P. </w:t>
      </w:r>
      <w:proofErr w:type="spellStart"/>
      <w:r>
        <w:t>Drineasb</w:t>
      </w:r>
      <w:proofErr w:type="spellEnd"/>
      <w:r>
        <w:t xml:space="preserve">, P. </w:t>
      </w:r>
      <w:proofErr w:type="spellStart"/>
      <w:r>
        <w:t>Yannakic</w:t>
      </w:r>
      <w:proofErr w:type="spellEnd"/>
      <w:r>
        <w:t xml:space="preserve">, E. </w:t>
      </w:r>
      <w:proofErr w:type="spellStart"/>
      <w:r>
        <w:t>Razoud</w:t>
      </w:r>
      <w:proofErr w:type="spellEnd"/>
      <w:r>
        <w:t xml:space="preserve">, A. </w:t>
      </w:r>
      <w:proofErr w:type="spellStart"/>
      <w:r>
        <w:t>Kanakid</w:t>
      </w:r>
      <w:proofErr w:type="spellEnd"/>
      <w:r>
        <w:t xml:space="preserve">, K. </w:t>
      </w:r>
      <w:proofErr w:type="spellStart"/>
      <w:r>
        <w:t>Tsetsosa</w:t>
      </w:r>
      <w:proofErr w:type="spellEnd"/>
      <w:r>
        <w:t xml:space="preserve">, F. </w:t>
      </w:r>
      <w:proofErr w:type="spellStart"/>
      <w:r>
        <w:t>Padmanabhunia</w:t>
      </w:r>
      <w:proofErr w:type="spellEnd"/>
      <w:r>
        <w:t xml:space="preserve">, S.S.  </w:t>
      </w:r>
      <w:proofErr w:type="spellStart"/>
      <w:r>
        <w:t>Michalodimitrakisd</w:t>
      </w:r>
      <w:proofErr w:type="spellEnd"/>
      <w:r>
        <w:t xml:space="preserve">, M. </w:t>
      </w:r>
      <w:proofErr w:type="spellStart"/>
      <w:r>
        <w:t>Rendae</w:t>
      </w:r>
      <w:proofErr w:type="spellEnd"/>
      <w:r>
        <w:t xml:space="preserve">, M.C. </w:t>
      </w:r>
      <w:proofErr w:type="spellStart"/>
      <w:r>
        <w:t>Pavlovicf</w:t>
      </w:r>
      <w:proofErr w:type="spellEnd"/>
      <w:r>
        <w:t xml:space="preserve">, S. </w:t>
      </w:r>
      <w:proofErr w:type="spellStart"/>
      <w:r>
        <w:t>Anagnostopoulosc</w:t>
      </w:r>
      <w:proofErr w:type="spellEnd"/>
      <w:r>
        <w:t xml:space="preserve">, A. </w:t>
      </w:r>
      <w:proofErr w:type="spellStart"/>
      <w:r>
        <w:t>Stamatoyannopoulosg</w:t>
      </w:r>
      <w:proofErr w:type="spellEnd"/>
      <w:r>
        <w:t>, J.A.</w:t>
      </w:r>
      <w:r w:rsidR="009D4704">
        <w:t xml:space="preserve"> 2014. </w:t>
      </w:r>
      <w:r w:rsidR="009D4704" w:rsidRPr="009D4704">
        <w:t>Maritime route of colonization of Europe</w:t>
      </w:r>
      <w:r w:rsidR="009D4704">
        <w:t xml:space="preserve">. </w:t>
      </w:r>
      <w:r w:rsidR="009D4704">
        <w:rPr>
          <w:i/>
        </w:rPr>
        <w:t xml:space="preserve">PNAS. </w:t>
      </w:r>
      <w:r w:rsidR="009D4704">
        <w:t>111(25) 9211-9216.</w:t>
      </w:r>
    </w:p>
    <w:p w:rsidR="00D618C1" w:rsidRDefault="00D618C1" w:rsidP="001D41F3">
      <w:pPr>
        <w:spacing w:line="480" w:lineRule="auto"/>
      </w:pPr>
      <w:r>
        <w:t xml:space="preserve">Pinch G. 2003. </w:t>
      </w:r>
      <w:r w:rsidRPr="00177F9D">
        <w:rPr>
          <w:i/>
        </w:rPr>
        <w:t>Egyptian Mythology: A Guide to the Gods, Goddesses, and Traditions of Ancient Egyp</w:t>
      </w:r>
      <w:r>
        <w:t>t. Oxford: O</w:t>
      </w:r>
      <w:r w:rsidRPr="002563A5">
        <w:t>xford</w:t>
      </w:r>
      <w:r>
        <w:t xml:space="preserve"> University P</w:t>
      </w:r>
      <w:r w:rsidRPr="002563A5">
        <w:t>ress</w:t>
      </w:r>
    </w:p>
    <w:p w:rsidR="00D618C1" w:rsidRDefault="00D618C1" w:rsidP="001D41F3">
      <w:pPr>
        <w:spacing w:line="480" w:lineRule="auto"/>
      </w:pPr>
      <w:proofErr w:type="spellStart"/>
      <w:r w:rsidRPr="00AD6CD6">
        <w:t>Pirenne-Delforge</w:t>
      </w:r>
      <w:proofErr w:type="spellEnd"/>
      <w:r>
        <w:t>, V.</w:t>
      </w:r>
      <w:r w:rsidRPr="00AD6CD6">
        <w:t xml:space="preserve"> &amp; Motte</w:t>
      </w:r>
      <w:r>
        <w:t>, A. (</w:t>
      </w:r>
      <w:proofErr w:type="spellStart"/>
      <w:proofErr w:type="gramStart"/>
      <w:r>
        <w:t>ed</w:t>
      </w:r>
      <w:proofErr w:type="spellEnd"/>
      <w:proofErr w:type="gramEnd"/>
      <w:r>
        <w:t>)</w:t>
      </w:r>
      <w:r w:rsidRPr="00AD6CD6">
        <w:t xml:space="preserve"> 2014</w:t>
      </w:r>
      <w:r>
        <w:t xml:space="preserve">. Aphrodite. </w:t>
      </w:r>
      <w:r w:rsidRPr="00EF2C9C">
        <w:rPr>
          <w:i/>
        </w:rPr>
        <w:t>The Oxford Companion to Classical Civilization</w:t>
      </w:r>
      <w:r>
        <w:rPr>
          <w:i/>
        </w:rPr>
        <w:t xml:space="preserve">. </w:t>
      </w:r>
      <w:r>
        <w:t>Oxford: Oxford University Press.</w:t>
      </w:r>
    </w:p>
    <w:p w:rsidR="00D618C1" w:rsidRDefault="00D618C1" w:rsidP="001D41F3">
      <w:pPr>
        <w:spacing w:line="480" w:lineRule="auto"/>
      </w:pPr>
      <w:r>
        <w:t>Rivers, J.B. (</w:t>
      </w:r>
      <w:proofErr w:type="spellStart"/>
      <w:proofErr w:type="gramStart"/>
      <w:r>
        <w:t>ed</w:t>
      </w:r>
      <w:proofErr w:type="spellEnd"/>
      <w:proofErr w:type="gramEnd"/>
      <w:r>
        <w:t xml:space="preserve">) 2014. Juno. </w:t>
      </w:r>
      <w:r w:rsidRPr="00EF2C9C">
        <w:rPr>
          <w:i/>
        </w:rPr>
        <w:t>The Oxford Companion to Classical Civilization</w:t>
      </w:r>
      <w:r>
        <w:rPr>
          <w:i/>
        </w:rPr>
        <w:t xml:space="preserve">. </w:t>
      </w:r>
      <w:r>
        <w:t>Oxford: Oxford University Press.</w:t>
      </w:r>
    </w:p>
    <w:p w:rsidR="00D618C1" w:rsidRDefault="00D618C1" w:rsidP="001D41F3">
      <w:pPr>
        <w:spacing w:line="480" w:lineRule="auto"/>
      </w:pPr>
      <w:r>
        <w:t xml:space="preserve">Robins, G. 1993. </w:t>
      </w:r>
      <w:r>
        <w:rPr>
          <w:i/>
        </w:rPr>
        <w:t xml:space="preserve">Women in Ancient Egypt. </w:t>
      </w:r>
      <w:r>
        <w:t xml:space="preserve">Cambridge: Harvard University Press. </w:t>
      </w:r>
    </w:p>
    <w:p w:rsidR="00D618C1" w:rsidRDefault="00D618C1" w:rsidP="001D41F3">
      <w:pPr>
        <w:spacing w:line="480" w:lineRule="auto"/>
      </w:pPr>
      <w:proofErr w:type="spellStart"/>
      <w:r>
        <w:t>Ransome</w:t>
      </w:r>
      <w:proofErr w:type="spellEnd"/>
      <w:r>
        <w:t xml:space="preserve">, H.M. 2007. </w:t>
      </w:r>
      <w:r w:rsidRPr="006C4114">
        <w:rPr>
          <w:i/>
        </w:rPr>
        <w:t>The Sacred Bee in Ancient Times and Folklore</w:t>
      </w:r>
      <w:r>
        <w:rPr>
          <w:i/>
        </w:rPr>
        <w:t xml:space="preserve">. </w:t>
      </w:r>
      <w:r>
        <w:t>New York: Dover Publications, INC.</w:t>
      </w:r>
    </w:p>
    <w:p w:rsidR="00D618C1" w:rsidRDefault="00D618C1" w:rsidP="001D41F3">
      <w:pPr>
        <w:spacing w:line="480" w:lineRule="auto"/>
      </w:pPr>
      <w:proofErr w:type="spellStart"/>
      <w:r w:rsidRPr="00486DF5">
        <w:t>Rollefson</w:t>
      </w:r>
      <w:proofErr w:type="spellEnd"/>
      <w:r w:rsidRPr="00486DF5">
        <w:t xml:space="preserve">, G.O. Simmons, A.H. </w:t>
      </w:r>
      <w:proofErr w:type="spellStart"/>
      <w:r w:rsidRPr="00486DF5">
        <w:t>Kafafi</w:t>
      </w:r>
      <w:proofErr w:type="spellEnd"/>
      <w:r w:rsidRPr="00486DF5">
        <w:t xml:space="preserve">, Z. 1992. Neolithic Cultures at 'Ain Ghazal, Jordan. </w:t>
      </w:r>
      <w:r w:rsidRPr="00486DF5">
        <w:rPr>
          <w:i/>
        </w:rPr>
        <w:t>Journal of Field Archaeology.</w:t>
      </w:r>
      <w:r w:rsidRPr="00486DF5">
        <w:t xml:space="preserve"> 19(4): 443-470.</w:t>
      </w:r>
    </w:p>
    <w:p w:rsidR="00D618C1" w:rsidRDefault="00D618C1" w:rsidP="001D41F3">
      <w:pPr>
        <w:spacing w:line="480" w:lineRule="auto"/>
      </w:pPr>
      <w:proofErr w:type="spellStart"/>
      <w:r w:rsidRPr="00B36263">
        <w:lastRenderedPageBreak/>
        <w:t>Rollefson</w:t>
      </w:r>
      <w:proofErr w:type="spellEnd"/>
      <w:r w:rsidRPr="00B36263">
        <w:t>, G.O. (</w:t>
      </w:r>
      <w:proofErr w:type="spellStart"/>
      <w:proofErr w:type="gramStart"/>
      <w:r w:rsidRPr="00B36263">
        <w:t>ed</w:t>
      </w:r>
      <w:proofErr w:type="spellEnd"/>
      <w:proofErr w:type="gramEnd"/>
      <w:r w:rsidRPr="00B36263">
        <w:t>) 2000. Ritual and Social Structure at Neolithic ‘Ain Ghazal. 7:165-190. New York: Plenum Publishers.</w:t>
      </w:r>
    </w:p>
    <w:p w:rsidR="00D618C1" w:rsidRDefault="00D618C1" w:rsidP="001D41F3">
      <w:pPr>
        <w:spacing w:line="480" w:lineRule="auto"/>
      </w:pPr>
      <w:proofErr w:type="spellStart"/>
      <w:r>
        <w:t>Rountree</w:t>
      </w:r>
      <w:proofErr w:type="spellEnd"/>
      <w:r>
        <w:t xml:space="preserve">, K. 2003. The Case of the Missing Goddess: Plurality, Power, and Prejudice in Reconstructions of Malta's Neolithic Past. </w:t>
      </w:r>
      <w:r w:rsidRPr="00454175">
        <w:rPr>
          <w:i/>
        </w:rPr>
        <w:t>Journal of Feminist Studies in Religion</w:t>
      </w:r>
      <w:r>
        <w:rPr>
          <w:i/>
        </w:rPr>
        <w:t xml:space="preserve">. </w:t>
      </w:r>
      <w:r>
        <w:t>19(2) 25-43.</w:t>
      </w:r>
    </w:p>
    <w:p w:rsidR="00D618C1" w:rsidRDefault="00D618C1" w:rsidP="001D41F3">
      <w:pPr>
        <w:spacing w:line="480" w:lineRule="auto"/>
      </w:pPr>
      <w:r w:rsidRPr="007D1E04">
        <w:t>Samuel</w:t>
      </w:r>
      <w:r>
        <w:t xml:space="preserve">, A.E. Bowman, A.K. </w:t>
      </w:r>
      <w:r w:rsidRPr="007D1E04">
        <w:t>Baines</w:t>
      </w:r>
      <w:r>
        <w:t xml:space="preserve">, J.R. </w:t>
      </w:r>
      <w:r w:rsidRPr="007D1E04">
        <w:t>Dorman</w:t>
      </w:r>
      <w:r>
        <w:t>, P.F.</w:t>
      </w:r>
      <w:r w:rsidRPr="007D1E04">
        <w:t xml:space="preserve"> </w:t>
      </w:r>
      <w:proofErr w:type="spellStart"/>
      <w:r w:rsidRPr="007D1E04">
        <w:t>Wente</w:t>
      </w:r>
      <w:proofErr w:type="spellEnd"/>
      <w:r>
        <w:t xml:space="preserve">, E.F. 2018. Ancient Egypt. Encyclopaedia Britannica. Available from: </w:t>
      </w:r>
      <w:hyperlink r:id="rId56" w:history="1">
        <w:r w:rsidRPr="00305169">
          <w:rPr>
            <w:rStyle w:val="Hyperlink"/>
          </w:rPr>
          <w:t>https://www.britannica.com/place/ancient-Egypt</w:t>
        </w:r>
      </w:hyperlink>
      <w:r>
        <w:t xml:space="preserve"> [Accessed 27/05/2018].</w:t>
      </w:r>
    </w:p>
    <w:p w:rsidR="00D618C1" w:rsidRDefault="00D618C1" w:rsidP="001D41F3">
      <w:pPr>
        <w:spacing w:line="480" w:lineRule="auto"/>
      </w:pPr>
      <w:proofErr w:type="spellStart"/>
      <w:r>
        <w:t>Sandatlas</w:t>
      </w:r>
      <w:proofErr w:type="spellEnd"/>
      <w:r>
        <w:t xml:space="preserve">. 2018. </w:t>
      </w:r>
      <w:proofErr w:type="spellStart"/>
      <w:r>
        <w:t>Oolite</w:t>
      </w:r>
      <w:proofErr w:type="spellEnd"/>
      <w:r>
        <w:t xml:space="preserve">. Available from: </w:t>
      </w:r>
      <w:hyperlink r:id="rId57" w:history="1">
        <w:r w:rsidRPr="00305169">
          <w:rPr>
            <w:rStyle w:val="Hyperlink"/>
          </w:rPr>
          <w:t>http://www.sandatlas.org/oolite/</w:t>
        </w:r>
      </w:hyperlink>
      <w:r>
        <w:t xml:space="preserve"> [Accessed: 27/05/2018].</w:t>
      </w:r>
    </w:p>
    <w:p w:rsidR="00D618C1" w:rsidRDefault="00D618C1" w:rsidP="001D41F3">
      <w:pPr>
        <w:spacing w:line="480" w:lineRule="auto"/>
      </w:pPr>
      <w:proofErr w:type="spellStart"/>
      <w:r w:rsidRPr="00AB190B">
        <w:t>Sankararaman</w:t>
      </w:r>
      <w:proofErr w:type="spellEnd"/>
      <w:r w:rsidRPr="00AB190B">
        <w:t xml:space="preserve">, S. </w:t>
      </w:r>
      <w:proofErr w:type="spellStart"/>
      <w:r w:rsidRPr="00AB190B">
        <w:t>Mallick</w:t>
      </w:r>
      <w:proofErr w:type="spellEnd"/>
      <w:r w:rsidRPr="00AB190B">
        <w:t xml:space="preserve">, S. </w:t>
      </w:r>
      <w:proofErr w:type="spellStart"/>
      <w:r w:rsidRPr="00AB190B">
        <w:t>Dannemann</w:t>
      </w:r>
      <w:proofErr w:type="spellEnd"/>
      <w:r w:rsidRPr="00AB190B">
        <w:t xml:space="preserve">, M. </w:t>
      </w:r>
      <w:proofErr w:type="spellStart"/>
      <w:r w:rsidRPr="00AB190B">
        <w:t>Prüfer</w:t>
      </w:r>
      <w:proofErr w:type="spellEnd"/>
      <w:r w:rsidRPr="00AB190B">
        <w:t xml:space="preserve">, K. Kelso, J. </w:t>
      </w:r>
      <w:proofErr w:type="spellStart"/>
      <w:r w:rsidRPr="00AB190B">
        <w:t>Pääbo</w:t>
      </w:r>
      <w:proofErr w:type="spellEnd"/>
      <w:r w:rsidRPr="00AB190B">
        <w:t>, S. Patterson, N and Reich, D. 2014. The landscape of Neanderthal ancestry in present-day humans. National Institute of Health, 507(7492), 1-23.</w:t>
      </w:r>
    </w:p>
    <w:p w:rsidR="00D618C1" w:rsidRPr="00AB190B" w:rsidRDefault="00D618C1" w:rsidP="001D41F3">
      <w:pPr>
        <w:spacing w:line="480" w:lineRule="auto"/>
        <w:rPr>
          <w:i/>
        </w:rPr>
      </w:pPr>
      <w:r>
        <w:t xml:space="preserve">Sawyer, D.F. 2005. Gender and Religion: Gender and Ancient Mediterranean Religion. </w:t>
      </w:r>
      <w:r>
        <w:rPr>
          <w:i/>
        </w:rPr>
        <w:t xml:space="preserve">Encyclopaedia of Religion. </w:t>
      </w:r>
      <w:r w:rsidRPr="00AB190B">
        <w:t>5(2) 3381-3387.</w:t>
      </w:r>
    </w:p>
    <w:p w:rsidR="00D618C1" w:rsidRPr="002563A5" w:rsidRDefault="00D618C1" w:rsidP="001D41F3">
      <w:pPr>
        <w:spacing w:line="480" w:lineRule="auto"/>
      </w:pPr>
      <w:proofErr w:type="spellStart"/>
      <w:r w:rsidRPr="00AB190B">
        <w:t>Sarchet</w:t>
      </w:r>
      <w:proofErr w:type="spellEnd"/>
      <w:r w:rsidRPr="00AB190B">
        <w:t>, P. 2015. Red Lady Cave Burial Reveals Stone Age Secrets. New Science.</w:t>
      </w:r>
    </w:p>
    <w:p w:rsidR="00D618C1" w:rsidRDefault="00D618C1" w:rsidP="001D41F3">
      <w:pPr>
        <w:spacing w:line="480" w:lineRule="auto"/>
      </w:pPr>
      <w:proofErr w:type="spellStart"/>
      <w:r>
        <w:t>Schneiders</w:t>
      </w:r>
      <w:proofErr w:type="spellEnd"/>
      <w:r>
        <w:t xml:space="preserve">, M.S. 2011. </w:t>
      </w:r>
      <w:r w:rsidRPr="001F1B74">
        <w:t>The Lamb of God and the Forgiveness of Sin(s) in the Fourth Gospel</w:t>
      </w:r>
      <w:r>
        <w:t xml:space="preserve">. </w:t>
      </w:r>
      <w:r>
        <w:rPr>
          <w:i/>
        </w:rPr>
        <w:t xml:space="preserve">Jesus School of Theology. </w:t>
      </w:r>
      <w:r>
        <w:t>1-29.</w:t>
      </w:r>
    </w:p>
    <w:p w:rsidR="00D618C1" w:rsidRDefault="00D618C1" w:rsidP="001D41F3">
      <w:pPr>
        <w:spacing w:line="480" w:lineRule="auto"/>
      </w:pPr>
      <w:r>
        <w:t xml:space="preserve">Schmidt, K. 2003. </w:t>
      </w:r>
      <w:r w:rsidRPr="00454175">
        <w:t xml:space="preserve">The 2003 Campaign at </w:t>
      </w:r>
      <w:proofErr w:type="spellStart"/>
      <w:r w:rsidRPr="00454175">
        <w:t>Göbekli</w:t>
      </w:r>
      <w:proofErr w:type="spellEnd"/>
      <w:r w:rsidRPr="00454175">
        <w:t xml:space="preserve"> </w:t>
      </w:r>
      <w:proofErr w:type="spellStart"/>
      <w:r w:rsidRPr="00454175">
        <w:t>Tepe</w:t>
      </w:r>
      <w:proofErr w:type="spellEnd"/>
      <w:r w:rsidRPr="00454175">
        <w:t xml:space="preserve"> (South-eastern Turkey).</w:t>
      </w:r>
      <w:r>
        <w:t xml:space="preserve"> </w:t>
      </w:r>
      <w:r>
        <w:rPr>
          <w:i/>
        </w:rPr>
        <w:t>Neo-</w:t>
      </w:r>
      <w:proofErr w:type="spellStart"/>
      <w:r>
        <w:rPr>
          <w:i/>
        </w:rPr>
        <w:t>lithics</w:t>
      </w:r>
      <w:proofErr w:type="spellEnd"/>
      <w:r>
        <w:rPr>
          <w:i/>
        </w:rPr>
        <w:t xml:space="preserve">. </w:t>
      </w:r>
      <w:r>
        <w:t>2(3) 2-40.</w:t>
      </w:r>
    </w:p>
    <w:p w:rsidR="00D618C1" w:rsidRDefault="00D618C1" w:rsidP="001D41F3">
      <w:pPr>
        <w:pStyle w:val="CommentText"/>
        <w:spacing w:line="480" w:lineRule="auto"/>
        <w:rPr>
          <w:sz w:val="22"/>
          <w:szCs w:val="22"/>
        </w:rPr>
      </w:pPr>
      <w:r>
        <w:rPr>
          <w:sz w:val="22"/>
          <w:szCs w:val="22"/>
        </w:rPr>
        <w:t xml:space="preserve">Schmidt, K. 2010. </w:t>
      </w:r>
      <w:proofErr w:type="spellStart"/>
      <w:r w:rsidRPr="00FE13FE">
        <w:rPr>
          <w:sz w:val="22"/>
          <w:szCs w:val="22"/>
        </w:rPr>
        <w:t>Göbekli</w:t>
      </w:r>
      <w:proofErr w:type="spellEnd"/>
      <w:r w:rsidRPr="00FE13FE">
        <w:rPr>
          <w:sz w:val="22"/>
          <w:szCs w:val="22"/>
        </w:rPr>
        <w:t xml:space="preserve"> </w:t>
      </w:r>
      <w:proofErr w:type="spellStart"/>
      <w:r w:rsidRPr="00FE13FE">
        <w:rPr>
          <w:sz w:val="22"/>
          <w:szCs w:val="22"/>
        </w:rPr>
        <w:t>Te</w:t>
      </w:r>
      <w:r>
        <w:rPr>
          <w:sz w:val="22"/>
          <w:szCs w:val="22"/>
        </w:rPr>
        <w:t>pe</w:t>
      </w:r>
      <w:proofErr w:type="spellEnd"/>
      <w:r>
        <w:rPr>
          <w:sz w:val="22"/>
          <w:szCs w:val="22"/>
        </w:rPr>
        <w:t xml:space="preserve"> – the Stone Age Sanctuaries. </w:t>
      </w:r>
      <w:r w:rsidRPr="00FE13FE">
        <w:rPr>
          <w:sz w:val="22"/>
          <w:szCs w:val="22"/>
        </w:rPr>
        <w:t>New results of ongoing e</w:t>
      </w:r>
      <w:r>
        <w:rPr>
          <w:sz w:val="22"/>
          <w:szCs w:val="22"/>
        </w:rPr>
        <w:t xml:space="preserve">xcavations with a special focus </w:t>
      </w:r>
      <w:r w:rsidRPr="00FE13FE">
        <w:rPr>
          <w:sz w:val="22"/>
          <w:szCs w:val="22"/>
        </w:rPr>
        <w:t>on sculptures and high reliefs</w:t>
      </w:r>
      <w:r>
        <w:rPr>
          <w:sz w:val="22"/>
          <w:szCs w:val="22"/>
        </w:rPr>
        <w:t xml:space="preserve">. </w:t>
      </w:r>
      <w:proofErr w:type="spellStart"/>
      <w:r>
        <w:rPr>
          <w:i/>
          <w:sz w:val="22"/>
          <w:szCs w:val="22"/>
        </w:rPr>
        <w:t>Documenta</w:t>
      </w:r>
      <w:proofErr w:type="spellEnd"/>
      <w:r>
        <w:rPr>
          <w:i/>
          <w:sz w:val="22"/>
          <w:szCs w:val="22"/>
        </w:rPr>
        <w:t xml:space="preserve"> </w:t>
      </w:r>
      <w:proofErr w:type="spellStart"/>
      <w:r>
        <w:rPr>
          <w:i/>
          <w:sz w:val="22"/>
          <w:szCs w:val="22"/>
        </w:rPr>
        <w:t>Praehistoria</w:t>
      </w:r>
      <w:proofErr w:type="spellEnd"/>
      <w:r>
        <w:rPr>
          <w:i/>
          <w:sz w:val="22"/>
          <w:szCs w:val="22"/>
        </w:rPr>
        <w:t xml:space="preserve">. </w:t>
      </w:r>
      <w:r>
        <w:rPr>
          <w:sz w:val="22"/>
          <w:szCs w:val="22"/>
        </w:rPr>
        <w:t>37(21) 239-256.</w:t>
      </w:r>
    </w:p>
    <w:p w:rsidR="00D618C1" w:rsidRDefault="00D618C1" w:rsidP="001D41F3">
      <w:pPr>
        <w:spacing w:line="480" w:lineRule="auto"/>
      </w:pPr>
      <w:proofErr w:type="spellStart"/>
      <w:r w:rsidRPr="00AB190B">
        <w:t>Scoville</w:t>
      </w:r>
      <w:proofErr w:type="spellEnd"/>
      <w:r w:rsidRPr="00AB190B">
        <w:t xml:space="preserve">, P. 2015. Amarna Letters. Ancient History Encyclopaedia. Available from: </w:t>
      </w:r>
      <w:hyperlink r:id="rId58" w:history="1">
        <w:r w:rsidR="00BD0DA3" w:rsidRPr="00305169">
          <w:rPr>
            <w:rStyle w:val="Hyperlink"/>
          </w:rPr>
          <w:t>https://www.ancient.eu/Amarna_Letters/</w:t>
        </w:r>
      </w:hyperlink>
      <w:r w:rsidR="00BD0DA3">
        <w:t xml:space="preserve"> </w:t>
      </w:r>
      <w:r w:rsidRPr="00AB190B">
        <w:t>[Accessed 27/05/2018].</w:t>
      </w:r>
    </w:p>
    <w:p w:rsidR="00D618C1" w:rsidRDefault="00D618C1" w:rsidP="001D41F3">
      <w:pPr>
        <w:spacing w:line="480" w:lineRule="auto"/>
      </w:pPr>
      <w:proofErr w:type="spellStart"/>
      <w:r w:rsidRPr="00AB190B">
        <w:t>Sebag</w:t>
      </w:r>
      <w:proofErr w:type="spellEnd"/>
      <w:r w:rsidRPr="00AB190B">
        <w:t xml:space="preserve">, D. 2005. The Early Bronze Age Dwellings in the Southern Levant. Bulletin du Centre de </w:t>
      </w:r>
      <w:proofErr w:type="spellStart"/>
      <w:r w:rsidRPr="00AB190B">
        <w:t>recherche</w:t>
      </w:r>
      <w:proofErr w:type="spellEnd"/>
      <w:r w:rsidRPr="00AB190B">
        <w:t xml:space="preserve"> </w:t>
      </w:r>
      <w:proofErr w:type="spellStart"/>
      <w:r w:rsidRPr="00AB190B">
        <w:t>français</w:t>
      </w:r>
      <w:proofErr w:type="spellEnd"/>
      <w:r w:rsidRPr="00AB190B">
        <w:t xml:space="preserve"> à </w:t>
      </w:r>
      <w:proofErr w:type="spellStart"/>
      <w:r w:rsidRPr="00AB190B">
        <w:t>Jérusalem</w:t>
      </w:r>
      <w:proofErr w:type="spellEnd"/>
      <w:r w:rsidRPr="00AB190B">
        <w:t>. 16 222-235.</w:t>
      </w:r>
    </w:p>
    <w:p w:rsidR="00D618C1" w:rsidRDefault="00D618C1" w:rsidP="001D41F3">
      <w:pPr>
        <w:spacing w:line="480" w:lineRule="auto"/>
      </w:pPr>
      <w:proofErr w:type="spellStart"/>
      <w:r w:rsidRPr="00AB190B">
        <w:lastRenderedPageBreak/>
        <w:t>Sikdar</w:t>
      </w:r>
      <w:proofErr w:type="spellEnd"/>
      <w:r w:rsidRPr="00AB190B">
        <w:t xml:space="preserve">, M. 2009. Continuity and Change in Matrilineal Marriage System: A Case Study among the </w:t>
      </w:r>
      <w:proofErr w:type="spellStart"/>
      <w:r w:rsidRPr="00AB190B">
        <w:t>Garos</w:t>
      </w:r>
      <w:proofErr w:type="spellEnd"/>
      <w:r w:rsidRPr="00AB190B">
        <w:t xml:space="preserve"> of </w:t>
      </w:r>
      <w:proofErr w:type="spellStart"/>
      <w:r w:rsidRPr="00AB190B">
        <w:t>Poschim</w:t>
      </w:r>
      <w:proofErr w:type="spellEnd"/>
      <w:r w:rsidRPr="00AB190B">
        <w:t xml:space="preserve"> </w:t>
      </w:r>
      <w:proofErr w:type="spellStart"/>
      <w:r w:rsidRPr="00AB190B">
        <w:t>Bosti</w:t>
      </w:r>
      <w:proofErr w:type="spellEnd"/>
      <w:r w:rsidRPr="00AB190B">
        <w:t xml:space="preserve">, Assam. Studies of Tribes and </w:t>
      </w:r>
      <w:proofErr w:type="spellStart"/>
      <w:r w:rsidRPr="00AB190B">
        <w:t>Tribals</w:t>
      </w:r>
      <w:proofErr w:type="spellEnd"/>
      <w:r w:rsidRPr="00AB190B">
        <w:t>. 7(2) 125-130.</w:t>
      </w:r>
    </w:p>
    <w:p w:rsidR="00D618C1" w:rsidRDefault="00D618C1" w:rsidP="001D41F3">
      <w:pPr>
        <w:spacing w:line="480" w:lineRule="auto"/>
      </w:pPr>
      <w:proofErr w:type="spellStart"/>
      <w:r>
        <w:t>Srejovic</w:t>
      </w:r>
      <w:proofErr w:type="spellEnd"/>
      <w:r>
        <w:t xml:space="preserve">, D. 2005. Neolithic Religion. </w:t>
      </w:r>
      <w:r>
        <w:rPr>
          <w:i/>
        </w:rPr>
        <w:t xml:space="preserve">Encyclopaedia of Religion. </w:t>
      </w:r>
      <w:r>
        <w:t>10(2) 6459-6466.</w:t>
      </w:r>
    </w:p>
    <w:p w:rsidR="00D618C1" w:rsidRDefault="00D618C1" w:rsidP="001D41F3">
      <w:pPr>
        <w:spacing w:line="480" w:lineRule="auto"/>
      </w:pPr>
      <w:r>
        <w:t xml:space="preserve">Shorter, A.W. 1937. </w:t>
      </w:r>
      <w:r w:rsidRPr="002563A5">
        <w:rPr>
          <w:i/>
        </w:rPr>
        <w:t>The Egyptian Gods a Handbook</w:t>
      </w:r>
      <w:r w:rsidRPr="002563A5">
        <w:t xml:space="preserve">. London: Routledge </w:t>
      </w:r>
    </w:p>
    <w:p w:rsidR="00D618C1" w:rsidRDefault="00D618C1" w:rsidP="001D41F3">
      <w:pPr>
        <w:spacing w:line="480" w:lineRule="auto"/>
      </w:pPr>
      <w:proofErr w:type="spellStart"/>
      <w:r>
        <w:t>Srejovic</w:t>
      </w:r>
      <w:proofErr w:type="spellEnd"/>
      <w:r>
        <w:t xml:space="preserve">, D. 2005. Neolithic Religion. </w:t>
      </w:r>
      <w:r>
        <w:rPr>
          <w:i/>
        </w:rPr>
        <w:t xml:space="preserve">Encyclopaedia of Religion. </w:t>
      </w:r>
      <w:r>
        <w:t>10(2) 6459-6466.</w:t>
      </w:r>
    </w:p>
    <w:p w:rsidR="00BD0DA3" w:rsidRDefault="00BD0DA3" w:rsidP="001D41F3">
      <w:pPr>
        <w:spacing w:line="480" w:lineRule="auto"/>
      </w:pPr>
      <w:proofErr w:type="spellStart"/>
      <w:r w:rsidRPr="00BD0DA3">
        <w:t>Sztulman</w:t>
      </w:r>
      <w:proofErr w:type="spellEnd"/>
      <w:r>
        <w:t xml:space="preserve">, I. 2018. The </w:t>
      </w:r>
      <w:proofErr w:type="spellStart"/>
      <w:r>
        <w:t>Berekhat</w:t>
      </w:r>
      <w:proofErr w:type="spellEnd"/>
      <w:r>
        <w:t xml:space="preserve"> Ram Figurine. Israel Museum. Available from:</w:t>
      </w:r>
      <w:r w:rsidRPr="00BD0DA3">
        <w:t xml:space="preserve"> </w:t>
      </w:r>
      <w:hyperlink r:id="rId59" w:history="1">
        <w:r w:rsidRPr="00305169">
          <w:rPr>
            <w:rStyle w:val="Hyperlink"/>
          </w:rPr>
          <w:t>http://www.imj.org.il/en/collections/197795</w:t>
        </w:r>
      </w:hyperlink>
      <w:r>
        <w:t xml:space="preserve"> [Accessed 27/05/2018].</w:t>
      </w:r>
    </w:p>
    <w:p w:rsidR="008F1AFD" w:rsidRPr="002563A5" w:rsidRDefault="008F1AFD" w:rsidP="001D41F3">
      <w:pPr>
        <w:spacing w:line="480" w:lineRule="auto"/>
      </w:pPr>
      <w:proofErr w:type="spellStart"/>
      <w:r>
        <w:t>Theoi</w:t>
      </w:r>
      <w:proofErr w:type="spellEnd"/>
      <w:r>
        <w:t xml:space="preserve">. 2017. Kybele Cult. </w:t>
      </w:r>
      <w:proofErr w:type="spellStart"/>
      <w:r>
        <w:t>Theoi</w:t>
      </w:r>
      <w:proofErr w:type="spellEnd"/>
      <w:r>
        <w:t xml:space="preserve">. Available from: </w:t>
      </w:r>
      <w:hyperlink r:id="rId60" w:history="1">
        <w:r w:rsidRPr="00305169">
          <w:rPr>
            <w:rStyle w:val="Hyperlink"/>
          </w:rPr>
          <w:t>http://www.theoi.com/Cult/KybeleCult.html</w:t>
        </w:r>
      </w:hyperlink>
      <w:r>
        <w:t xml:space="preserve"> [Accessed 27/05/2018].</w:t>
      </w:r>
    </w:p>
    <w:p w:rsidR="00D618C1" w:rsidRDefault="00D618C1" w:rsidP="001D41F3">
      <w:pPr>
        <w:spacing w:line="480" w:lineRule="auto"/>
      </w:pPr>
      <w:proofErr w:type="spellStart"/>
      <w:r>
        <w:t>Vojit</w:t>
      </w:r>
      <w:proofErr w:type="spellEnd"/>
      <w:r>
        <w:t>, M.M. (</w:t>
      </w:r>
      <w:proofErr w:type="spellStart"/>
      <w:proofErr w:type="gramStart"/>
      <w:r>
        <w:t>ed</w:t>
      </w:r>
      <w:proofErr w:type="spellEnd"/>
      <w:proofErr w:type="gramEnd"/>
      <w:r>
        <w:t xml:space="preserve">) 2000. </w:t>
      </w:r>
      <w:proofErr w:type="spellStart"/>
      <w:r w:rsidRPr="00330E7A">
        <w:rPr>
          <w:i/>
        </w:rPr>
        <w:t>Catal</w:t>
      </w:r>
      <w:proofErr w:type="spellEnd"/>
      <w:r w:rsidRPr="00330E7A">
        <w:rPr>
          <w:i/>
        </w:rPr>
        <w:t xml:space="preserve"> </w:t>
      </w:r>
      <w:proofErr w:type="spellStart"/>
      <w:r w:rsidRPr="00330E7A">
        <w:rPr>
          <w:i/>
        </w:rPr>
        <w:t>Hoyuk</w:t>
      </w:r>
      <w:proofErr w:type="spellEnd"/>
      <w:r w:rsidRPr="00330E7A">
        <w:rPr>
          <w:i/>
        </w:rPr>
        <w:t xml:space="preserve"> in Context: Ritual at Early Neolithic Sites in Central and Eastern Turkey.</w:t>
      </w:r>
      <w:r>
        <w:rPr>
          <w:i/>
        </w:rPr>
        <w:t xml:space="preserve"> </w:t>
      </w:r>
      <w:r>
        <w:t xml:space="preserve">London: Plenum Publishers. </w:t>
      </w:r>
    </w:p>
    <w:p w:rsidR="00D618C1" w:rsidRDefault="00D618C1" w:rsidP="001D41F3">
      <w:pPr>
        <w:spacing w:line="480" w:lineRule="auto"/>
      </w:pPr>
      <w:proofErr w:type="spellStart"/>
      <w:r>
        <w:t>Vanhoeven</w:t>
      </w:r>
      <w:proofErr w:type="spellEnd"/>
      <w:r>
        <w:t xml:space="preserve">, M. 2002. Ritual and Ideology in the Pre-Pottery Neolithic B of the Levant and Southeast Anatolia. </w:t>
      </w:r>
      <w:r>
        <w:rPr>
          <w:i/>
        </w:rPr>
        <w:t xml:space="preserve">Cambridge Archaeological journal. </w:t>
      </w:r>
      <w:r>
        <w:t>12(2) 233-258.</w:t>
      </w:r>
    </w:p>
    <w:p w:rsidR="00D618C1" w:rsidRDefault="00D618C1" w:rsidP="001D41F3">
      <w:pPr>
        <w:spacing w:line="480" w:lineRule="auto"/>
      </w:pPr>
      <w:r>
        <w:t xml:space="preserve">Weiss, P. 1963. </w:t>
      </w:r>
      <w:r>
        <w:rPr>
          <w:i/>
        </w:rPr>
        <w:t xml:space="preserve">Religion and Art. </w:t>
      </w:r>
      <w:r>
        <w:t xml:space="preserve">Milwaukee: Marquette University Press. </w:t>
      </w:r>
    </w:p>
    <w:p w:rsidR="00D618C1" w:rsidRDefault="00D618C1" w:rsidP="001D41F3">
      <w:pPr>
        <w:spacing w:line="480" w:lineRule="auto"/>
      </w:pPr>
      <w:r>
        <w:t xml:space="preserve">Wilson, D.S. 2002. </w:t>
      </w:r>
      <w:r>
        <w:rPr>
          <w:i/>
        </w:rPr>
        <w:t xml:space="preserve">Darwin’s Cathedral: Evolution, Religion, and the Nature of Society. </w:t>
      </w:r>
      <w:r>
        <w:t xml:space="preserve">Chicago: Chicago University Press. </w:t>
      </w:r>
    </w:p>
    <w:p w:rsidR="00384CB1" w:rsidRPr="00384CB1" w:rsidRDefault="00384CB1" w:rsidP="001D41F3">
      <w:pPr>
        <w:spacing w:line="480" w:lineRule="auto"/>
      </w:pPr>
      <w:proofErr w:type="spellStart"/>
      <w:r>
        <w:t>Wolkstein</w:t>
      </w:r>
      <w:proofErr w:type="spellEnd"/>
      <w:r>
        <w:t xml:space="preserve">, D. &amp; Kramer, S.N. 1983. </w:t>
      </w:r>
      <w:proofErr w:type="spellStart"/>
      <w:r>
        <w:rPr>
          <w:i/>
        </w:rPr>
        <w:t>Innana</w:t>
      </w:r>
      <w:proofErr w:type="spellEnd"/>
      <w:r>
        <w:rPr>
          <w:i/>
        </w:rPr>
        <w:t xml:space="preserve"> Queen of Heaven and Earth. </w:t>
      </w:r>
      <w:r>
        <w:t>New York: Harper &amp; Row, Publishers.</w:t>
      </w:r>
    </w:p>
    <w:p w:rsidR="00D618C1" w:rsidRDefault="00D618C1" w:rsidP="001D41F3">
      <w:pPr>
        <w:pStyle w:val="Bibliography"/>
        <w:spacing w:line="480" w:lineRule="auto"/>
        <w:rPr>
          <w:noProof/>
        </w:rPr>
      </w:pPr>
      <w:r>
        <w:rPr>
          <w:noProof/>
        </w:rPr>
        <w:t xml:space="preserve">Zilhao, J., 2007. The Emergence of Ornaments and Art: An Archaeological Perspective on the Origins of “Behavioral Modernity”. </w:t>
      </w:r>
      <w:r>
        <w:rPr>
          <w:i/>
          <w:iCs/>
          <w:noProof/>
        </w:rPr>
        <w:t xml:space="preserve">Journal of Archaeological Research, </w:t>
      </w:r>
      <w:r>
        <w:rPr>
          <w:noProof/>
        </w:rPr>
        <w:t>15(1),1-54.</w:t>
      </w:r>
    </w:p>
    <w:p w:rsidR="00E20098" w:rsidRPr="002242A6" w:rsidRDefault="00E20098" w:rsidP="001D41F3">
      <w:pPr>
        <w:spacing w:line="480" w:lineRule="auto"/>
        <w:jc w:val="both"/>
      </w:pPr>
    </w:p>
    <w:sectPr w:rsidR="00E20098" w:rsidRPr="002242A6" w:rsidSect="004B7AF2">
      <w:headerReference w:type="default" r:id="rId61"/>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7A26" w:rsidRDefault="00407A26" w:rsidP="009738FE">
      <w:pPr>
        <w:spacing w:after="0" w:line="240" w:lineRule="auto"/>
      </w:pPr>
      <w:r>
        <w:separator/>
      </w:r>
    </w:p>
  </w:endnote>
  <w:endnote w:type="continuationSeparator" w:id="0">
    <w:p w:rsidR="00407A26" w:rsidRDefault="00407A26" w:rsidP="00973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20499658"/>
      <w:docPartObj>
        <w:docPartGallery w:val="Page Numbers (Bottom of Page)"/>
        <w:docPartUnique/>
      </w:docPartObj>
    </w:sdtPr>
    <w:sdtEndPr>
      <w:rPr>
        <w:noProof/>
      </w:rPr>
    </w:sdtEndPr>
    <w:sdtContent>
      <w:p w:rsidR="00BD0DA3" w:rsidRDefault="00BD0DA3">
        <w:pPr>
          <w:pStyle w:val="Footer"/>
          <w:jc w:val="right"/>
        </w:pPr>
        <w:r>
          <w:fldChar w:fldCharType="begin"/>
        </w:r>
        <w:r>
          <w:instrText xml:space="preserve"> PAGE   \* MERGEFORMAT </w:instrText>
        </w:r>
        <w:r>
          <w:fldChar w:fldCharType="separate"/>
        </w:r>
        <w:r w:rsidR="00F81C8C">
          <w:rPr>
            <w:noProof/>
          </w:rPr>
          <w:t>19</w:t>
        </w:r>
        <w:r>
          <w:rPr>
            <w:noProof/>
          </w:rPr>
          <w:fldChar w:fldCharType="end"/>
        </w:r>
      </w:p>
    </w:sdtContent>
  </w:sdt>
  <w:p w:rsidR="00BD0DA3" w:rsidRDefault="00BD0D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7A26" w:rsidRDefault="00407A26" w:rsidP="009738FE">
      <w:pPr>
        <w:spacing w:after="0" w:line="240" w:lineRule="auto"/>
      </w:pPr>
      <w:r>
        <w:separator/>
      </w:r>
    </w:p>
  </w:footnote>
  <w:footnote w:type="continuationSeparator" w:id="0">
    <w:p w:rsidR="00407A26" w:rsidRDefault="00407A26" w:rsidP="009738F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D0DA3" w:rsidRDefault="00BD0DA3" w:rsidP="00FD1CB2">
    <w:pPr>
      <w:pStyle w:val="Header"/>
      <w:jc w:val="center"/>
    </w:pPr>
    <w:r>
      <w:t xml:space="preserve">Where has the ‘Mother Goddess’ Gone? </w:t>
    </w:r>
    <w:r>
      <w:br/>
    </w:r>
    <w:r w:rsidRPr="00FD1CB2">
      <w:t>T</w:t>
    </w:r>
    <w:r>
      <w:t>he Religious Evolution of the Ancient Mediterranean Goddesses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7AF2"/>
    <w:rsid w:val="00016BE3"/>
    <w:rsid w:val="001B031C"/>
    <w:rsid w:val="001D41F3"/>
    <w:rsid w:val="002242A6"/>
    <w:rsid w:val="00273F59"/>
    <w:rsid w:val="00290AE6"/>
    <w:rsid w:val="00294C5E"/>
    <w:rsid w:val="00384CB1"/>
    <w:rsid w:val="00393CB2"/>
    <w:rsid w:val="003D321D"/>
    <w:rsid w:val="00407A26"/>
    <w:rsid w:val="00432ADA"/>
    <w:rsid w:val="004B7AF2"/>
    <w:rsid w:val="004F7868"/>
    <w:rsid w:val="0051322E"/>
    <w:rsid w:val="00582932"/>
    <w:rsid w:val="005C6378"/>
    <w:rsid w:val="00610AE1"/>
    <w:rsid w:val="0062094D"/>
    <w:rsid w:val="006C6CFB"/>
    <w:rsid w:val="0073604E"/>
    <w:rsid w:val="007B444A"/>
    <w:rsid w:val="007C2887"/>
    <w:rsid w:val="007E5FF7"/>
    <w:rsid w:val="00804DA8"/>
    <w:rsid w:val="008059AF"/>
    <w:rsid w:val="0081638D"/>
    <w:rsid w:val="0084142E"/>
    <w:rsid w:val="008A0EC6"/>
    <w:rsid w:val="008F1AFD"/>
    <w:rsid w:val="009738FE"/>
    <w:rsid w:val="009C2096"/>
    <w:rsid w:val="009D4704"/>
    <w:rsid w:val="009D5675"/>
    <w:rsid w:val="00A26918"/>
    <w:rsid w:val="00AB3FBA"/>
    <w:rsid w:val="00AC6276"/>
    <w:rsid w:val="00B35346"/>
    <w:rsid w:val="00B82A3F"/>
    <w:rsid w:val="00BD0DA3"/>
    <w:rsid w:val="00C02AE2"/>
    <w:rsid w:val="00C10142"/>
    <w:rsid w:val="00D173E3"/>
    <w:rsid w:val="00D618C1"/>
    <w:rsid w:val="00D632F7"/>
    <w:rsid w:val="00DA5B10"/>
    <w:rsid w:val="00E20098"/>
    <w:rsid w:val="00E56181"/>
    <w:rsid w:val="00E62330"/>
    <w:rsid w:val="00E83BA8"/>
    <w:rsid w:val="00F81551"/>
    <w:rsid w:val="00F81C8C"/>
    <w:rsid w:val="00F934E5"/>
    <w:rsid w:val="00FB00B6"/>
    <w:rsid w:val="00FC7AE1"/>
    <w:rsid w:val="00FD1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951F6DF-F092-4AA5-B26D-E18FC2586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7A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7AF2"/>
    <w:rPr>
      <w:rFonts w:eastAsiaTheme="minorEastAsia"/>
      <w:lang w:val="en-US"/>
    </w:rPr>
  </w:style>
  <w:style w:type="paragraph" w:styleId="Header">
    <w:name w:val="header"/>
    <w:basedOn w:val="Normal"/>
    <w:link w:val="HeaderChar"/>
    <w:uiPriority w:val="99"/>
    <w:unhideWhenUsed/>
    <w:rsid w:val="00973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8FE"/>
  </w:style>
  <w:style w:type="paragraph" w:styleId="Footer">
    <w:name w:val="footer"/>
    <w:basedOn w:val="Normal"/>
    <w:link w:val="FooterChar"/>
    <w:uiPriority w:val="99"/>
    <w:unhideWhenUsed/>
    <w:rsid w:val="00973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8FE"/>
  </w:style>
  <w:style w:type="paragraph" w:styleId="Bibliography">
    <w:name w:val="Bibliography"/>
    <w:basedOn w:val="Normal"/>
    <w:next w:val="Normal"/>
    <w:uiPriority w:val="37"/>
    <w:unhideWhenUsed/>
    <w:rsid w:val="00D618C1"/>
  </w:style>
  <w:style w:type="paragraph" w:styleId="CommentText">
    <w:name w:val="annotation text"/>
    <w:basedOn w:val="Normal"/>
    <w:link w:val="CommentTextChar"/>
    <w:uiPriority w:val="99"/>
    <w:unhideWhenUsed/>
    <w:rsid w:val="00D618C1"/>
    <w:pPr>
      <w:spacing w:line="240" w:lineRule="auto"/>
    </w:pPr>
    <w:rPr>
      <w:sz w:val="20"/>
      <w:szCs w:val="20"/>
    </w:rPr>
  </w:style>
  <w:style w:type="character" w:customStyle="1" w:styleId="CommentTextChar">
    <w:name w:val="Comment Text Char"/>
    <w:basedOn w:val="DefaultParagraphFont"/>
    <w:link w:val="CommentText"/>
    <w:uiPriority w:val="99"/>
    <w:rsid w:val="00D618C1"/>
    <w:rPr>
      <w:sz w:val="20"/>
      <w:szCs w:val="20"/>
    </w:rPr>
  </w:style>
  <w:style w:type="character" w:styleId="Hyperlink">
    <w:name w:val="Hyperlink"/>
    <w:basedOn w:val="DefaultParagraphFont"/>
    <w:uiPriority w:val="99"/>
    <w:unhideWhenUsed/>
    <w:rsid w:val="00D618C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britannica.com/biography/Hattusilis-I" TargetMode="External"/><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hyperlink" Target="https://www.britannica.com/topic/Sekhmet" TargetMode="External"/><Relationship Id="rId47" Type="http://schemas.openxmlformats.org/officeDocument/2006/relationships/hyperlink" Target="http://www.hittitemonuments.com/maras/maras14.htm" TargetMode="External"/><Relationship Id="rId50" Type="http://schemas.openxmlformats.org/officeDocument/2006/relationships/hyperlink" Target="https://www.louvre.fr/en/mediaimages/statue-goddess-sekhmet-0" TargetMode="External"/><Relationship Id="rId55" Type="http://schemas.openxmlformats.org/officeDocument/2006/relationships/hyperlink" Target="http://www.museedelhomme.fr/en/museum/history-musee-homme/musee-homme-1938-2003" TargetMode="External"/><Relationship Id="rId63" Type="http://schemas.openxmlformats.org/officeDocument/2006/relationships/fontTable" Target="fontTable.xml"/><Relationship Id="rId7" Type="http://schemas.openxmlformats.org/officeDocument/2006/relationships/image" Target="media/image1.wmf"/><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41" Type="http://schemas.openxmlformats.org/officeDocument/2006/relationships/hyperlink" Target="https://www.britannica.com/event/Paleolithic-Period" TargetMode="External"/><Relationship Id="rId54" Type="http://schemas.openxmlformats.org/officeDocument/2006/relationships/hyperlink" Target="https://www.ancient.eu/Roman_Empire/"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hyperlink" Target="https://tepetelegrams.wordpress.com/2016/05/03/how-did-they-do-it-making-and-moving-monoliths-at-gobekli-tepe/" TargetMode="External"/><Relationship Id="rId40" Type="http://schemas.openxmlformats.org/officeDocument/2006/relationships/hyperlink" Target="https://www.britannica.com/topic/Great-Mother-of-the-Gods" TargetMode="External"/><Relationship Id="rId45" Type="http://schemas.openxmlformats.org/officeDocument/2006/relationships/hyperlink" Target="https://www.britannica.com/topic/Anatolian-religion" TargetMode="External"/><Relationship Id="rId53" Type="http://schemas.openxmlformats.org/officeDocument/2006/relationships/hyperlink" Target="https://www.ancient.eu/hittite/" TargetMode="External"/><Relationship Id="rId58" Type="http://schemas.openxmlformats.org/officeDocument/2006/relationships/hyperlink" Target="https://www.ancient.eu/Amarna_Letters/"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hyperlink" Target="http://www.britishmuseum.org/research/collection_online/collection_object_details.aspx?objectId=1355376&amp;partId=1" TargetMode="External"/><Relationship Id="rId49" Type="http://schemas.openxmlformats.org/officeDocument/2006/relationships/hyperlink" Target="https://www.britannica.com/topic/Venus-of-Willendorf" TargetMode="External"/><Relationship Id="rId57" Type="http://schemas.openxmlformats.org/officeDocument/2006/relationships/hyperlink" Target="http://www.sandatlas.org/oolite/" TargetMode="External"/><Relationship Id="rId61"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google.co.uk/maps/@52.1157282,-4.0727989,15z" TargetMode="External"/><Relationship Id="rId52" Type="http://schemas.openxmlformats.org/officeDocument/2006/relationships/hyperlink" Target="https://www.ancient.eu/sumer/" TargetMode="External"/><Relationship Id="rId60" Type="http://schemas.openxmlformats.org/officeDocument/2006/relationships/hyperlink" Target="http://www.theoi.com/Cult/KybeleCult.htm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hyperlink" Target="https://www.ancient.eu/image/8521/" TargetMode="External"/><Relationship Id="rId43" Type="http://schemas.openxmlformats.org/officeDocument/2006/relationships/hyperlink" Target="https://www.google.co.uk/search?q=malta+twin+goddess&amp;rlz=1C1CHBD_en-GBGB686GB689&amp;source=lnms&amp;tbm=isch&amp;sa=X&amp;ved=0ahUKEwj357nCjqjbAhVLa8AKHRKOBacQ_AUICigB&amp;biw=1366&amp;bih=637" TargetMode="External"/><Relationship Id="rId48" Type="http://schemas.openxmlformats.org/officeDocument/2006/relationships/hyperlink" Target="https://news.stanford.edu/2016/09/29/archaeologists-find-8000-year-old-goddess-figurine-central-turkey/" TargetMode="External"/><Relationship Id="rId56" Type="http://schemas.openxmlformats.org/officeDocument/2006/relationships/hyperlink" Target="https://www.britannica.com/place/ancient-Egypt" TargetMode="External"/><Relationship Id="rId64" Type="http://schemas.openxmlformats.org/officeDocument/2006/relationships/theme" Target="theme/theme1.xml"/><Relationship Id="rId8" Type="http://schemas.openxmlformats.org/officeDocument/2006/relationships/image" Target="media/image10.wmf"/><Relationship Id="rId51" Type="http://schemas.openxmlformats.org/officeDocument/2006/relationships/hyperlink" Target="https://www.ancient.eu/Inanna/" TargetMode="External"/><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hyperlink" Target="http://www.musee-aquitaine-bordeaux.fr/en/laussel-venus" TargetMode="External"/><Relationship Id="rId46" Type="http://schemas.openxmlformats.org/officeDocument/2006/relationships/hyperlink" Target="https://www.hermitagemuseum.org/wps/portal/hermitage/digital-collection/25.+archaeological+artifacts/4253485" TargetMode="External"/><Relationship Id="rId59" Type="http://schemas.openxmlformats.org/officeDocument/2006/relationships/hyperlink" Target="http://www.imj.org.il/en/collections/1977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2018-05-01T00:00:00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645</TotalTime>
  <Pages>64</Pages>
  <Words>16260</Words>
  <Characters>92682</Characters>
  <Application>Microsoft Office Word</Application>
  <DocSecurity>0</DocSecurity>
  <Lines>772</Lines>
  <Paragraphs>217</Paragraphs>
  <ScaleCrop>false</ScaleCrop>
  <HeadingPairs>
    <vt:vector size="2" baseType="variant">
      <vt:variant>
        <vt:lpstr>Title</vt:lpstr>
      </vt:variant>
      <vt:variant>
        <vt:i4>1</vt:i4>
      </vt:variant>
    </vt:vector>
  </HeadingPairs>
  <TitlesOfParts>
    <vt:vector size="1" baseType="lpstr">
      <vt:lpstr>Where has the Mother Goddess Gone?</vt:lpstr>
    </vt:vector>
  </TitlesOfParts>
  <Company/>
  <LinksUpToDate>false</LinksUpToDate>
  <CharactersWithSpaces>108725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Where has the Mother Goddess Gone?</dc:title>
  <dc:subject>The Religious Evolution of The ancient Mediteranean goddesses.</dc:subject>
  <dc:creator>Invate</dc:creator>
  <cp:keywords/>
  <dc:description/>
  <cp:lastModifiedBy>Invate</cp:lastModifiedBy>
  <cp:revision>37</cp:revision>
  <cp:lastPrinted>2018-05-29T09:24:00Z</cp:lastPrinted>
  <dcterms:created xsi:type="dcterms:W3CDTF">2018-05-28T00:48:00Z</dcterms:created>
  <dcterms:modified xsi:type="dcterms:W3CDTF">2018-05-29T09:26:00Z</dcterms:modified>
</cp:coreProperties>
</file>