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285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293"/>
        <w:gridCol w:w="2266"/>
        <w:gridCol w:w="2268"/>
      </w:tblGrid>
      <w:tr w:rsidR="000A390B" w14:paraId="7946BD7A" w14:textId="77777777" w:rsidTr="000A390B">
        <w:trPr>
          <w:trHeight w:val="513"/>
        </w:trPr>
        <w:tc>
          <w:tcPr>
            <w:tcW w:w="2091" w:type="dxa"/>
            <w:shd w:val="clear" w:color="auto" w:fill="D9D9D9"/>
          </w:tcPr>
          <w:p w14:paraId="4B89EBFC" w14:textId="7004E76E" w:rsidR="000E7FB2" w:rsidRDefault="000E7FB2" w:rsidP="000A390B">
            <w:pPr>
              <w:spacing w:before="480"/>
              <w:jc w:val="both"/>
              <w:rPr>
                <w:rFonts w:eastAsia="Times New Roman"/>
                <w:b/>
                <w:bCs/>
              </w:rPr>
            </w:pPr>
          </w:p>
          <w:p w14:paraId="67A3F798" w14:textId="77777777" w:rsidR="000A390B" w:rsidRDefault="000A390B" w:rsidP="000A390B">
            <w:pPr>
              <w:pStyle w:val="TableParagraph"/>
              <w:spacing w:before="129"/>
              <w:ind w:left="107"/>
              <w:rPr>
                <w:rFonts w:ascii="Arial"/>
                <w:b/>
              </w:rPr>
            </w:pPr>
            <w:r>
              <w:rPr>
                <w:rFonts w:ascii="Arial"/>
                <w:b/>
              </w:rPr>
              <w:t>Student</w:t>
            </w:r>
            <w:r>
              <w:rPr>
                <w:rFonts w:ascii="Arial"/>
                <w:b/>
                <w:spacing w:val="-3"/>
              </w:rPr>
              <w:t xml:space="preserve"> </w:t>
            </w:r>
            <w:r>
              <w:rPr>
                <w:rFonts w:ascii="Arial"/>
                <w:b/>
                <w:spacing w:val="-2"/>
              </w:rPr>
              <w:t>name:</w:t>
            </w:r>
          </w:p>
        </w:tc>
        <w:tc>
          <w:tcPr>
            <w:tcW w:w="3293" w:type="dxa"/>
          </w:tcPr>
          <w:p w14:paraId="185E6115" w14:textId="77777777" w:rsidR="000A390B" w:rsidRDefault="000A390B" w:rsidP="000A390B">
            <w:pPr>
              <w:pStyle w:val="TableParagraph"/>
              <w:rPr>
                <w:rFonts w:ascii="Times New Roman"/>
              </w:rPr>
            </w:pPr>
            <w:r>
              <w:rPr>
                <w:rFonts w:ascii="Times New Roman"/>
              </w:rPr>
              <w:t xml:space="preserve"> Gertie Vidot</w:t>
            </w:r>
          </w:p>
        </w:tc>
        <w:tc>
          <w:tcPr>
            <w:tcW w:w="2266" w:type="dxa"/>
            <w:shd w:val="clear" w:color="auto" w:fill="D9D9D9"/>
          </w:tcPr>
          <w:p w14:paraId="77BF1474" w14:textId="77777777" w:rsidR="000A390B" w:rsidRDefault="000A390B" w:rsidP="000A390B">
            <w:pPr>
              <w:pStyle w:val="TableParagraph"/>
              <w:spacing w:before="129"/>
              <w:ind w:left="105"/>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8" w:type="dxa"/>
          </w:tcPr>
          <w:p w14:paraId="78809E53" w14:textId="77777777" w:rsidR="000A390B" w:rsidRDefault="000A390B" w:rsidP="000A390B">
            <w:pPr>
              <w:pStyle w:val="TableParagraph"/>
              <w:rPr>
                <w:rFonts w:ascii="Times New Roman"/>
              </w:rPr>
            </w:pPr>
            <w:r>
              <w:rPr>
                <w:rFonts w:ascii="Times New Roman"/>
              </w:rPr>
              <w:t>2336702</w:t>
            </w:r>
          </w:p>
        </w:tc>
      </w:tr>
      <w:tr w:rsidR="000A390B" w14:paraId="2458C9D3" w14:textId="77777777" w:rsidTr="000A390B">
        <w:trPr>
          <w:trHeight w:val="515"/>
        </w:trPr>
        <w:tc>
          <w:tcPr>
            <w:tcW w:w="2091" w:type="dxa"/>
            <w:shd w:val="clear" w:color="auto" w:fill="D9D9D9"/>
          </w:tcPr>
          <w:p w14:paraId="29DFDDBE" w14:textId="77777777" w:rsidR="000A390B" w:rsidRDefault="000A390B" w:rsidP="000A390B">
            <w:pPr>
              <w:pStyle w:val="TableParagraph"/>
              <w:spacing w:before="129"/>
              <w:ind w:left="107"/>
              <w:rPr>
                <w:rFonts w:ascii="Arial"/>
                <w:b/>
              </w:rPr>
            </w:pPr>
            <w:proofErr w:type="spellStart"/>
            <w:r>
              <w:rPr>
                <w:rFonts w:ascii="Arial"/>
                <w:b/>
                <w:spacing w:val="-2"/>
              </w:rPr>
              <w:t>Programme</w:t>
            </w:r>
            <w:proofErr w:type="spellEnd"/>
            <w:r>
              <w:rPr>
                <w:rFonts w:ascii="Arial"/>
                <w:b/>
                <w:spacing w:val="-2"/>
              </w:rPr>
              <w:t>:</w:t>
            </w:r>
          </w:p>
        </w:tc>
        <w:tc>
          <w:tcPr>
            <w:tcW w:w="7827" w:type="dxa"/>
            <w:gridSpan w:val="3"/>
          </w:tcPr>
          <w:p w14:paraId="0C4A9592" w14:textId="77777777" w:rsidR="000A390B" w:rsidRDefault="000A390B" w:rsidP="000A390B">
            <w:pPr>
              <w:pStyle w:val="TableParagraph"/>
              <w:spacing w:before="129"/>
              <w:ind w:left="110"/>
              <w:rPr>
                <w:rFonts w:ascii="Arial"/>
                <w:b/>
              </w:rPr>
            </w:pPr>
            <w:r>
              <w:rPr>
                <w:rFonts w:ascii="Arial"/>
                <w:b/>
              </w:rPr>
              <w:t>BA</w:t>
            </w:r>
            <w:r>
              <w:rPr>
                <w:rFonts w:ascii="Arial"/>
                <w:b/>
                <w:spacing w:val="-13"/>
              </w:rPr>
              <w:t xml:space="preserve"> </w:t>
            </w:r>
            <w:r>
              <w:rPr>
                <w:rFonts w:ascii="Arial"/>
                <w:b/>
              </w:rPr>
              <w:t>(Hons)</w:t>
            </w:r>
            <w:r>
              <w:rPr>
                <w:rFonts w:ascii="Arial"/>
                <w:b/>
                <w:spacing w:val="-4"/>
              </w:rPr>
              <w:t xml:space="preserve"> </w:t>
            </w:r>
            <w:r>
              <w:rPr>
                <w:rFonts w:ascii="Arial"/>
                <w:b/>
              </w:rPr>
              <w:t>Leadership</w:t>
            </w:r>
            <w:r>
              <w:rPr>
                <w:rFonts w:ascii="Arial"/>
                <w:b/>
                <w:spacing w:val="-5"/>
              </w:rPr>
              <w:t xml:space="preserve"> </w:t>
            </w:r>
            <w:r>
              <w:rPr>
                <w:rFonts w:ascii="Arial"/>
                <w:b/>
              </w:rPr>
              <w:t>and</w:t>
            </w:r>
            <w:r>
              <w:rPr>
                <w:rFonts w:ascii="Arial"/>
                <w:b/>
                <w:spacing w:val="-3"/>
              </w:rPr>
              <w:t xml:space="preserve"> </w:t>
            </w:r>
            <w:r>
              <w:rPr>
                <w:rFonts w:ascii="Arial"/>
                <w:b/>
              </w:rPr>
              <w:t>Management</w:t>
            </w:r>
            <w:r>
              <w:rPr>
                <w:rFonts w:ascii="Arial"/>
                <w:b/>
                <w:spacing w:val="-4"/>
              </w:rPr>
              <w:t xml:space="preserve"> </w:t>
            </w:r>
            <w:r>
              <w:rPr>
                <w:rFonts w:ascii="Arial"/>
                <w:b/>
              </w:rPr>
              <w:t>Skills</w:t>
            </w:r>
            <w:r>
              <w:rPr>
                <w:rFonts w:ascii="Arial"/>
                <w:b/>
                <w:spacing w:val="-5"/>
              </w:rPr>
              <w:t xml:space="preserve"> </w:t>
            </w:r>
            <w:r>
              <w:rPr>
                <w:rFonts w:ascii="Arial"/>
                <w:b/>
              </w:rPr>
              <w:t>for</w:t>
            </w:r>
            <w:r>
              <w:rPr>
                <w:rFonts w:ascii="Arial"/>
                <w:b/>
                <w:spacing w:val="-5"/>
              </w:rPr>
              <w:t xml:space="preserve"> </w:t>
            </w:r>
            <w:r>
              <w:rPr>
                <w:rFonts w:ascii="Arial"/>
                <w:b/>
              </w:rPr>
              <w:t>the</w:t>
            </w:r>
            <w:r>
              <w:rPr>
                <w:rFonts w:ascii="Arial"/>
                <w:b/>
                <w:spacing w:val="-5"/>
              </w:rPr>
              <w:t xml:space="preserve"> </w:t>
            </w:r>
            <w:r>
              <w:rPr>
                <w:rFonts w:ascii="Arial"/>
                <w:b/>
                <w:spacing w:val="-2"/>
              </w:rPr>
              <w:t>Workplace</w:t>
            </w:r>
          </w:p>
        </w:tc>
      </w:tr>
      <w:tr w:rsidR="000A390B" w14:paraId="234CCE21" w14:textId="77777777" w:rsidTr="000A390B">
        <w:trPr>
          <w:trHeight w:val="513"/>
        </w:trPr>
        <w:tc>
          <w:tcPr>
            <w:tcW w:w="2091" w:type="dxa"/>
            <w:shd w:val="clear" w:color="auto" w:fill="D9D9D9"/>
          </w:tcPr>
          <w:p w14:paraId="7D435793" w14:textId="77777777" w:rsidR="000A390B" w:rsidRDefault="000A390B" w:rsidP="000A390B">
            <w:pPr>
              <w:pStyle w:val="TableParagraph"/>
              <w:spacing w:before="127"/>
              <w:ind w:left="107"/>
              <w:rPr>
                <w:rFonts w:ascii="Arial"/>
                <w:b/>
              </w:rPr>
            </w:pPr>
            <w:r>
              <w:rPr>
                <w:rFonts w:ascii="Arial"/>
                <w:b/>
                <w:spacing w:val="-2"/>
              </w:rPr>
              <w:t>Module:</w:t>
            </w:r>
          </w:p>
        </w:tc>
        <w:tc>
          <w:tcPr>
            <w:tcW w:w="7827" w:type="dxa"/>
            <w:gridSpan w:val="3"/>
          </w:tcPr>
          <w:p w14:paraId="1B839DE3" w14:textId="77777777" w:rsidR="000A390B" w:rsidRDefault="000A390B" w:rsidP="000A390B">
            <w:pPr>
              <w:pStyle w:val="TableParagraph"/>
              <w:spacing w:before="9"/>
              <w:ind w:left="110"/>
              <w:rPr>
                <w:rFonts w:ascii="Times New Roman"/>
                <w:b/>
                <w:sz w:val="24"/>
              </w:rPr>
            </w:pPr>
            <w:r>
              <w:rPr>
                <w:rFonts w:ascii="Times New Roman"/>
                <w:b/>
                <w:sz w:val="24"/>
              </w:rPr>
              <w:t>Developing</w:t>
            </w:r>
            <w:r>
              <w:rPr>
                <w:rFonts w:ascii="Times New Roman"/>
                <w:b/>
                <w:spacing w:val="-5"/>
                <w:sz w:val="24"/>
              </w:rPr>
              <w:t xml:space="preserve"> </w:t>
            </w:r>
            <w:r>
              <w:rPr>
                <w:rFonts w:ascii="Times New Roman"/>
                <w:b/>
                <w:sz w:val="24"/>
              </w:rPr>
              <w:t>Emotional</w:t>
            </w:r>
            <w:r>
              <w:rPr>
                <w:rFonts w:ascii="Times New Roman"/>
                <w:b/>
                <w:spacing w:val="-4"/>
                <w:sz w:val="24"/>
              </w:rPr>
              <w:t xml:space="preserve"> </w:t>
            </w:r>
            <w:r>
              <w:rPr>
                <w:rFonts w:ascii="Times New Roman"/>
                <w:b/>
                <w:sz w:val="24"/>
              </w:rPr>
              <w:t>Intelligence</w:t>
            </w:r>
            <w:r>
              <w:rPr>
                <w:rFonts w:ascii="Times New Roman"/>
                <w:b/>
                <w:spacing w:val="-6"/>
                <w:sz w:val="24"/>
              </w:rPr>
              <w:t xml:space="preserve"> </w:t>
            </w:r>
            <w:r>
              <w:rPr>
                <w:rFonts w:ascii="Times New Roman"/>
                <w:b/>
                <w:spacing w:val="-2"/>
                <w:sz w:val="24"/>
              </w:rPr>
              <w:t>Skills</w:t>
            </w:r>
          </w:p>
        </w:tc>
      </w:tr>
      <w:tr w:rsidR="000A390B" w14:paraId="628ECAF7" w14:textId="77777777" w:rsidTr="000A390B">
        <w:trPr>
          <w:trHeight w:val="830"/>
        </w:trPr>
        <w:tc>
          <w:tcPr>
            <w:tcW w:w="2091" w:type="dxa"/>
            <w:shd w:val="clear" w:color="auto" w:fill="D9D9D9"/>
          </w:tcPr>
          <w:p w14:paraId="548C9876" w14:textId="77777777" w:rsidR="000A390B" w:rsidRDefault="000A390B" w:rsidP="000A390B">
            <w:pPr>
              <w:pStyle w:val="TableParagraph"/>
              <w:spacing w:before="14"/>
              <w:ind w:left="107"/>
              <w:rPr>
                <w:rFonts w:ascii="Arial"/>
                <w:b/>
              </w:rPr>
            </w:pPr>
            <w:r>
              <w:rPr>
                <w:rFonts w:ascii="Arial"/>
                <w:b/>
              </w:rPr>
              <w:t>Module</w:t>
            </w:r>
            <w:r>
              <w:rPr>
                <w:rFonts w:ascii="Arial"/>
                <w:b/>
                <w:spacing w:val="-8"/>
              </w:rPr>
              <w:t xml:space="preserve"> </w:t>
            </w:r>
            <w:r>
              <w:rPr>
                <w:rFonts w:ascii="Arial"/>
                <w:b/>
                <w:spacing w:val="-2"/>
              </w:rPr>
              <w:t>code:</w:t>
            </w:r>
          </w:p>
        </w:tc>
        <w:tc>
          <w:tcPr>
            <w:tcW w:w="3293" w:type="dxa"/>
          </w:tcPr>
          <w:p w14:paraId="30C1C3DB" w14:textId="77777777" w:rsidR="000A390B" w:rsidRDefault="000A390B" w:rsidP="000A390B">
            <w:pPr>
              <w:pStyle w:val="TableParagraph"/>
              <w:spacing w:before="14"/>
              <w:ind w:left="110"/>
              <w:rPr>
                <w:rFonts w:ascii="Arial"/>
                <w:b/>
              </w:rPr>
            </w:pPr>
            <w:r>
              <w:rPr>
                <w:rFonts w:ascii="Arial"/>
                <w:b/>
                <w:spacing w:val="-2"/>
              </w:rPr>
              <w:t>LCLM5006</w:t>
            </w:r>
          </w:p>
        </w:tc>
        <w:tc>
          <w:tcPr>
            <w:tcW w:w="2266" w:type="dxa"/>
            <w:shd w:val="clear" w:color="auto" w:fill="D9D9D9"/>
          </w:tcPr>
          <w:p w14:paraId="14836BFF" w14:textId="77777777" w:rsidR="000A390B" w:rsidRDefault="000A390B" w:rsidP="000A390B">
            <w:pPr>
              <w:pStyle w:val="TableParagraph"/>
              <w:tabs>
                <w:tab w:val="left" w:pos="1389"/>
                <w:tab w:val="left" w:pos="1950"/>
              </w:tabs>
              <w:spacing w:before="14" w:line="256" w:lineRule="auto"/>
              <w:ind w:left="105" w:right="94"/>
              <w:rPr>
                <w:rFonts w:ascii="Arial"/>
                <w:b/>
              </w:rPr>
            </w:pPr>
            <w:r>
              <w:rPr>
                <w:rFonts w:ascii="Arial"/>
                <w:b/>
                <w:spacing w:val="-2"/>
              </w:rPr>
              <w:t>Contribution</w:t>
            </w:r>
            <w:r>
              <w:rPr>
                <w:rFonts w:ascii="Arial"/>
                <w:b/>
              </w:rPr>
              <w:tab/>
            </w:r>
            <w:r>
              <w:rPr>
                <w:rFonts w:ascii="Arial"/>
                <w:b/>
                <w:spacing w:val="-6"/>
              </w:rPr>
              <w:t xml:space="preserve">to </w:t>
            </w:r>
            <w:r>
              <w:rPr>
                <w:rFonts w:ascii="Arial"/>
                <w:b/>
                <w:spacing w:val="-2"/>
              </w:rPr>
              <w:t>Overall</w:t>
            </w:r>
            <w:r>
              <w:rPr>
                <w:rFonts w:ascii="Arial"/>
                <w:b/>
              </w:rPr>
              <w:tab/>
            </w:r>
            <w:r>
              <w:rPr>
                <w:rFonts w:ascii="Arial"/>
                <w:b/>
                <w:spacing w:val="-2"/>
              </w:rPr>
              <w:t>Module</w:t>
            </w:r>
          </w:p>
          <w:p w14:paraId="10D2DB66" w14:textId="77777777" w:rsidR="000A390B" w:rsidRDefault="000A390B" w:rsidP="000A390B">
            <w:pPr>
              <w:pStyle w:val="TableParagraph"/>
              <w:spacing w:before="3" w:line="251" w:lineRule="exact"/>
              <w:ind w:left="105"/>
              <w:rPr>
                <w:rFonts w:ascii="Arial"/>
                <w:b/>
              </w:rPr>
            </w:pPr>
            <w:r>
              <w:rPr>
                <w:rFonts w:ascii="Arial"/>
                <w:b/>
              </w:rPr>
              <w:t>Assessment</w:t>
            </w:r>
            <w:r>
              <w:rPr>
                <w:rFonts w:ascii="Arial"/>
                <w:b/>
                <w:spacing w:val="-8"/>
              </w:rPr>
              <w:t xml:space="preserve"> </w:t>
            </w:r>
            <w:r>
              <w:rPr>
                <w:rFonts w:ascii="Arial"/>
                <w:b/>
                <w:spacing w:val="-4"/>
              </w:rPr>
              <w:t>(%):</w:t>
            </w:r>
          </w:p>
        </w:tc>
        <w:tc>
          <w:tcPr>
            <w:tcW w:w="2268" w:type="dxa"/>
          </w:tcPr>
          <w:p w14:paraId="04378FA8" w14:textId="77777777" w:rsidR="000A390B" w:rsidRDefault="000A390B" w:rsidP="000A390B">
            <w:pPr>
              <w:pStyle w:val="TableParagraph"/>
              <w:spacing w:before="14"/>
              <w:ind w:left="108"/>
              <w:rPr>
                <w:rFonts w:ascii="Arial"/>
                <w:b/>
              </w:rPr>
            </w:pPr>
            <w:r>
              <w:rPr>
                <w:rFonts w:ascii="Arial"/>
                <w:b/>
                <w:spacing w:val="-5"/>
              </w:rPr>
              <w:t>70%</w:t>
            </w:r>
          </w:p>
        </w:tc>
      </w:tr>
      <w:tr w:rsidR="000A390B" w14:paraId="05BB7107" w14:textId="77777777" w:rsidTr="000A390B">
        <w:trPr>
          <w:trHeight w:val="887"/>
        </w:trPr>
        <w:tc>
          <w:tcPr>
            <w:tcW w:w="2091" w:type="dxa"/>
            <w:shd w:val="clear" w:color="auto" w:fill="D9D9D9"/>
          </w:tcPr>
          <w:p w14:paraId="1B0D42A5" w14:textId="77777777" w:rsidR="000A390B" w:rsidRDefault="000A390B" w:rsidP="000A390B">
            <w:pPr>
              <w:pStyle w:val="TableParagraph"/>
              <w:spacing w:before="14"/>
              <w:ind w:left="107"/>
              <w:rPr>
                <w:rFonts w:ascii="Arial"/>
                <w:b/>
              </w:rPr>
            </w:pPr>
            <w:r>
              <w:rPr>
                <w:rFonts w:ascii="Arial"/>
                <w:b/>
                <w:spacing w:val="-2"/>
              </w:rPr>
              <w:t>Lecturer:</w:t>
            </w:r>
          </w:p>
        </w:tc>
        <w:tc>
          <w:tcPr>
            <w:tcW w:w="3293" w:type="dxa"/>
          </w:tcPr>
          <w:p w14:paraId="1151B02B" w14:textId="77777777" w:rsidR="000A390B" w:rsidRDefault="000A390B" w:rsidP="000A390B">
            <w:pPr>
              <w:pStyle w:val="TableParagraph"/>
              <w:spacing w:before="12" w:line="370" w:lineRule="atLeast"/>
              <w:ind w:left="110" w:right="510" w:hanging="3"/>
              <w:rPr>
                <w:rFonts w:ascii="Arial"/>
                <w:b/>
              </w:rPr>
            </w:pPr>
            <w:r>
              <w:rPr>
                <w:rFonts w:ascii="Arial"/>
                <w:b/>
              </w:rPr>
              <w:t>Nishi</w:t>
            </w:r>
            <w:r>
              <w:rPr>
                <w:rFonts w:ascii="Arial"/>
                <w:b/>
                <w:spacing w:val="-16"/>
              </w:rPr>
              <w:t xml:space="preserve"> </w:t>
            </w:r>
            <w:r>
              <w:rPr>
                <w:rFonts w:ascii="Arial"/>
                <w:b/>
              </w:rPr>
              <w:t xml:space="preserve">Ramsurrun </w:t>
            </w:r>
          </w:p>
          <w:p w14:paraId="021A404D" w14:textId="77777777" w:rsidR="000A390B" w:rsidRDefault="000A390B" w:rsidP="000A390B">
            <w:pPr>
              <w:pStyle w:val="TableParagraph"/>
              <w:spacing w:before="12" w:line="370" w:lineRule="atLeast"/>
              <w:ind w:left="110" w:right="510" w:hanging="3"/>
              <w:rPr>
                <w:rFonts w:ascii="Arial"/>
                <w:b/>
              </w:rPr>
            </w:pPr>
          </w:p>
          <w:p w14:paraId="66C27068" w14:textId="68D36835" w:rsidR="000A390B" w:rsidRDefault="000A390B" w:rsidP="000A390B">
            <w:pPr>
              <w:pStyle w:val="TableParagraph"/>
              <w:spacing w:before="12" w:line="370" w:lineRule="atLeast"/>
              <w:ind w:left="110" w:right="510" w:hanging="3"/>
              <w:rPr>
                <w:rFonts w:ascii="Arial"/>
                <w:b/>
              </w:rPr>
            </w:pPr>
            <w:r>
              <w:rPr>
                <w:rFonts w:ascii="Arial"/>
                <w:b/>
              </w:rPr>
              <w:t>Abdallah Naser</w:t>
            </w:r>
          </w:p>
        </w:tc>
        <w:tc>
          <w:tcPr>
            <w:tcW w:w="2266" w:type="dxa"/>
            <w:shd w:val="clear" w:color="auto" w:fill="D9D9D9"/>
          </w:tcPr>
          <w:p w14:paraId="4C5F3606" w14:textId="77777777" w:rsidR="000A390B" w:rsidRDefault="000A390B" w:rsidP="000A390B">
            <w:pPr>
              <w:pStyle w:val="TableParagraph"/>
              <w:spacing w:before="14"/>
              <w:ind w:left="105"/>
              <w:rPr>
                <w:rFonts w:ascii="Arial"/>
                <w:b/>
              </w:rPr>
            </w:pPr>
            <w:r>
              <w:rPr>
                <w:rFonts w:ascii="Arial"/>
                <w:b/>
              </w:rPr>
              <w:t>Internal</w:t>
            </w:r>
            <w:r>
              <w:rPr>
                <w:rFonts w:ascii="Arial"/>
                <w:b/>
                <w:spacing w:val="-8"/>
              </w:rPr>
              <w:t xml:space="preserve"> </w:t>
            </w:r>
            <w:r>
              <w:rPr>
                <w:rFonts w:ascii="Arial"/>
                <w:b/>
                <w:spacing w:val="-2"/>
              </w:rPr>
              <w:t>Verifier:</w:t>
            </w:r>
          </w:p>
        </w:tc>
        <w:tc>
          <w:tcPr>
            <w:tcW w:w="2268" w:type="dxa"/>
          </w:tcPr>
          <w:p w14:paraId="7BA861C3" w14:textId="77777777" w:rsidR="000A390B" w:rsidRDefault="000A390B" w:rsidP="000A390B">
            <w:pPr>
              <w:pStyle w:val="TableParagraph"/>
              <w:spacing w:before="12" w:line="370" w:lineRule="atLeast"/>
              <w:ind w:left="108" w:right="348"/>
              <w:rPr>
                <w:rFonts w:ascii="Arial"/>
                <w:b/>
              </w:rPr>
            </w:pPr>
            <w:r>
              <w:rPr>
                <w:rFonts w:ascii="Arial"/>
                <w:b/>
              </w:rPr>
              <w:t>Md Kalam Samuel</w:t>
            </w:r>
            <w:r>
              <w:rPr>
                <w:rFonts w:ascii="Arial"/>
                <w:b/>
                <w:spacing w:val="-16"/>
              </w:rPr>
              <w:t xml:space="preserve"> </w:t>
            </w:r>
            <w:r>
              <w:rPr>
                <w:rFonts w:ascii="Arial"/>
                <w:b/>
              </w:rPr>
              <w:t>Ofori</w:t>
            </w:r>
          </w:p>
        </w:tc>
      </w:tr>
      <w:tr w:rsidR="000A390B" w14:paraId="6DC146C0" w14:textId="77777777" w:rsidTr="000A390B">
        <w:trPr>
          <w:trHeight w:val="765"/>
        </w:trPr>
        <w:tc>
          <w:tcPr>
            <w:tcW w:w="2091" w:type="dxa"/>
            <w:shd w:val="clear" w:color="auto" w:fill="D9D9D9"/>
          </w:tcPr>
          <w:p w14:paraId="02EBBE56" w14:textId="77777777" w:rsidR="000A390B" w:rsidRDefault="000A390B" w:rsidP="000A390B">
            <w:pPr>
              <w:pStyle w:val="TableParagraph"/>
              <w:spacing w:before="12"/>
              <w:ind w:left="107"/>
              <w:rPr>
                <w:rFonts w:ascii="Arial"/>
                <w:b/>
              </w:rPr>
            </w:pPr>
            <w:r>
              <w:rPr>
                <w:rFonts w:ascii="Arial"/>
                <w:b/>
              </w:rPr>
              <w:t>Assignment</w:t>
            </w:r>
            <w:r>
              <w:rPr>
                <w:rFonts w:ascii="Arial"/>
                <w:b/>
                <w:spacing w:val="-10"/>
              </w:rPr>
              <w:t xml:space="preserve"> </w:t>
            </w:r>
            <w:r>
              <w:rPr>
                <w:rFonts w:ascii="Arial"/>
                <w:b/>
                <w:spacing w:val="-2"/>
              </w:rPr>
              <w:t>Title:</w:t>
            </w:r>
          </w:p>
        </w:tc>
        <w:tc>
          <w:tcPr>
            <w:tcW w:w="3293" w:type="dxa"/>
          </w:tcPr>
          <w:p w14:paraId="28F1A3D6" w14:textId="77777777" w:rsidR="000A390B" w:rsidRDefault="000A390B" w:rsidP="000A390B">
            <w:pPr>
              <w:pStyle w:val="TableParagraph"/>
              <w:spacing w:before="117" w:line="259" w:lineRule="auto"/>
              <w:ind w:left="110"/>
              <w:rPr>
                <w:rFonts w:ascii="Arial"/>
                <w:b/>
              </w:rPr>
            </w:pPr>
            <w:r>
              <w:rPr>
                <w:rFonts w:ascii="Arial"/>
                <w:b/>
              </w:rPr>
              <w:t>Component</w:t>
            </w:r>
            <w:r>
              <w:rPr>
                <w:rFonts w:ascii="Arial"/>
                <w:b/>
                <w:spacing w:val="-11"/>
              </w:rPr>
              <w:t xml:space="preserve"> </w:t>
            </w:r>
            <w:r>
              <w:rPr>
                <w:rFonts w:ascii="Arial"/>
                <w:b/>
              </w:rPr>
              <w:t>2</w:t>
            </w:r>
            <w:r>
              <w:rPr>
                <w:rFonts w:ascii="Arial"/>
                <w:b/>
                <w:spacing w:val="-14"/>
              </w:rPr>
              <w:t xml:space="preserve"> </w:t>
            </w:r>
            <w:r>
              <w:rPr>
                <w:rFonts w:ascii="Arial"/>
                <w:b/>
              </w:rPr>
              <w:t>-</w:t>
            </w:r>
            <w:r>
              <w:rPr>
                <w:rFonts w:ascii="Arial"/>
                <w:b/>
                <w:spacing w:val="-13"/>
              </w:rPr>
              <w:t xml:space="preserve"> </w:t>
            </w:r>
            <w:r>
              <w:rPr>
                <w:rFonts w:ascii="Arial"/>
                <w:b/>
              </w:rPr>
              <w:t>Individual written report</w:t>
            </w:r>
          </w:p>
        </w:tc>
        <w:tc>
          <w:tcPr>
            <w:tcW w:w="2266" w:type="dxa"/>
            <w:shd w:val="clear" w:color="auto" w:fill="D9D9D9"/>
          </w:tcPr>
          <w:p w14:paraId="5927243B" w14:textId="77777777" w:rsidR="000A390B" w:rsidRDefault="000A390B" w:rsidP="000A390B">
            <w:pPr>
              <w:pStyle w:val="TableParagraph"/>
              <w:spacing w:before="117" w:line="259" w:lineRule="auto"/>
              <w:ind w:left="105" w:right="412"/>
              <w:rPr>
                <w:rFonts w:ascii="Arial"/>
                <w:b/>
              </w:rPr>
            </w:pPr>
            <w:r>
              <w:rPr>
                <w:rFonts w:ascii="Arial"/>
                <w:b/>
              </w:rPr>
              <w:t>Word</w:t>
            </w:r>
            <w:r>
              <w:rPr>
                <w:rFonts w:ascii="Arial"/>
                <w:b/>
                <w:spacing w:val="77"/>
              </w:rPr>
              <w:t xml:space="preserve"> </w:t>
            </w:r>
            <w:r>
              <w:rPr>
                <w:rFonts w:ascii="Arial"/>
                <w:b/>
              </w:rPr>
              <w:t>count</w:t>
            </w:r>
            <w:r>
              <w:rPr>
                <w:rFonts w:ascii="Arial"/>
                <w:b/>
                <w:spacing w:val="40"/>
              </w:rPr>
              <w:t xml:space="preserve"> </w:t>
            </w:r>
            <w:r>
              <w:rPr>
                <w:rFonts w:ascii="Arial"/>
                <w:b/>
              </w:rPr>
              <w:t xml:space="preserve">(or </w:t>
            </w:r>
            <w:r>
              <w:rPr>
                <w:rFonts w:ascii="Arial"/>
                <w:b/>
                <w:spacing w:val="-2"/>
              </w:rPr>
              <w:t>equivalent):</w:t>
            </w:r>
          </w:p>
        </w:tc>
        <w:tc>
          <w:tcPr>
            <w:tcW w:w="2268" w:type="dxa"/>
          </w:tcPr>
          <w:p w14:paraId="4DA5D3F5" w14:textId="77777777" w:rsidR="000A390B" w:rsidRDefault="000A390B" w:rsidP="000A390B">
            <w:pPr>
              <w:pStyle w:val="TableParagraph"/>
              <w:spacing w:before="12"/>
              <w:ind w:left="108"/>
              <w:rPr>
                <w:rFonts w:ascii="Arial"/>
                <w:b/>
              </w:rPr>
            </w:pPr>
            <w:r>
              <w:rPr>
                <w:rFonts w:ascii="Arial"/>
                <w:b/>
              </w:rPr>
              <w:t>3000+/-</w:t>
            </w:r>
            <w:r>
              <w:rPr>
                <w:rFonts w:ascii="Arial"/>
                <w:b/>
                <w:spacing w:val="-3"/>
              </w:rPr>
              <w:t xml:space="preserve"> </w:t>
            </w:r>
            <w:r>
              <w:rPr>
                <w:rFonts w:ascii="Arial"/>
                <w:b/>
                <w:spacing w:val="-5"/>
              </w:rPr>
              <w:t>10%</w:t>
            </w:r>
          </w:p>
        </w:tc>
      </w:tr>
      <w:tr w:rsidR="000A390B" w14:paraId="75D99A8E" w14:textId="77777777" w:rsidTr="000A390B">
        <w:trPr>
          <w:trHeight w:val="1022"/>
        </w:trPr>
        <w:tc>
          <w:tcPr>
            <w:tcW w:w="2091" w:type="dxa"/>
            <w:shd w:val="clear" w:color="auto" w:fill="D9D9D9"/>
          </w:tcPr>
          <w:p w14:paraId="2AC43168" w14:textId="77777777" w:rsidR="000A390B" w:rsidRDefault="000A390B" w:rsidP="000A390B">
            <w:pPr>
              <w:pStyle w:val="TableParagraph"/>
              <w:spacing w:before="14" w:line="259" w:lineRule="auto"/>
              <w:ind w:left="107"/>
              <w:rPr>
                <w:rFonts w:ascii="Arial"/>
                <w:b/>
              </w:rPr>
            </w:pPr>
            <w:r>
              <w:rPr>
                <w:rFonts w:ascii="Arial"/>
                <w:b/>
                <w:spacing w:val="-2"/>
              </w:rPr>
              <w:t>Submission deadline:</w:t>
            </w:r>
          </w:p>
        </w:tc>
        <w:tc>
          <w:tcPr>
            <w:tcW w:w="3293" w:type="dxa"/>
          </w:tcPr>
          <w:p w14:paraId="43A82DC9" w14:textId="77777777" w:rsidR="000A390B" w:rsidRDefault="000A390B" w:rsidP="000A390B">
            <w:pPr>
              <w:pStyle w:val="TableParagraph"/>
              <w:spacing w:before="14"/>
              <w:ind w:left="110"/>
              <w:rPr>
                <w:rFonts w:ascii="Arial"/>
                <w:b/>
              </w:rPr>
            </w:pPr>
            <w:r>
              <w:rPr>
                <w:rFonts w:ascii="Arial"/>
                <w:b/>
                <w:color w:val="FF0000"/>
              </w:rPr>
              <w:t>01/05/2026-</w:t>
            </w:r>
            <w:r>
              <w:rPr>
                <w:rFonts w:ascii="Arial"/>
                <w:b/>
                <w:color w:val="FF0000"/>
                <w:spacing w:val="-9"/>
              </w:rPr>
              <w:t xml:space="preserve"> </w:t>
            </w:r>
            <w:r>
              <w:rPr>
                <w:rFonts w:ascii="Arial"/>
                <w:b/>
                <w:color w:val="FF0000"/>
                <w:spacing w:val="-5"/>
              </w:rPr>
              <w:t>2pm</w:t>
            </w:r>
          </w:p>
        </w:tc>
        <w:tc>
          <w:tcPr>
            <w:tcW w:w="2266" w:type="dxa"/>
            <w:shd w:val="clear" w:color="auto" w:fill="D9D9D9"/>
          </w:tcPr>
          <w:p w14:paraId="25F14B0B" w14:textId="77777777" w:rsidR="000A390B" w:rsidRDefault="000A390B" w:rsidP="000A390B">
            <w:pPr>
              <w:pStyle w:val="TableParagraph"/>
              <w:spacing w:before="110" w:line="259" w:lineRule="auto"/>
              <w:ind w:left="105" w:right="94"/>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Pr>
          <w:p w14:paraId="34D8A25D" w14:textId="77777777" w:rsidR="000A390B" w:rsidRDefault="000A390B" w:rsidP="000A390B">
            <w:pPr>
              <w:pStyle w:val="TableParagraph"/>
              <w:spacing w:before="14"/>
              <w:ind w:left="108"/>
              <w:rPr>
                <w:rFonts w:ascii="Arial"/>
                <w:b/>
              </w:rPr>
            </w:pPr>
            <w:r>
              <w:rPr>
                <w:rFonts w:ascii="Arial"/>
                <w:b/>
                <w:color w:val="FF0000"/>
                <w:spacing w:val="-2"/>
              </w:rPr>
              <w:t>01/06/2026</w:t>
            </w:r>
          </w:p>
        </w:tc>
      </w:tr>
      <w:tr w:rsidR="000A390B" w14:paraId="5A8FCA94" w14:textId="77777777" w:rsidTr="000A390B">
        <w:trPr>
          <w:trHeight w:val="4164"/>
        </w:trPr>
        <w:tc>
          <w:tcPr>
            <w:tcW w:w="2091" w:type="dxa"/>
            <w:shd w:val="clear" w:color="auto" w:fill="D9D9D9"/>
          </w:tcPr>
          <w:p w14:paraId="380B3272" w14:textId="77777777" w:rsidR="000A390B" w:rsidRDefault="000A390B" w:rsidP="000A390B">
            <w:pPr>
              <w:pStyle w:val="TableParagraph"/>
              <w:spacing w:before="12" w:line="259" w:lineRule="auto"/>
              <w:ind w:left="107"/>
              <w:rPr>
                <w:rFonts w:ascii="Arial"/>
                <w:b/>
              </w:rPr>
            </w:pPr>
            <w:r>
              <w:rPr>
                <w:rFonts w:ascii="Arial"/>
                <w:b/>
                <w:spacing w:val="-2"/>
              </w:rPr>
              <w:t>Submission method:</w:t>
            </w:r>
          </w:p>
        </w:tc>
        <w:tc>
          <w:tcPr>
            <w:tcW w:w="7827" w:type="dxa"/>
            <w:gridSpan w:val="3"/>
          </w:tcPr>
          <w:p w14:paraId="209B18CE" w14:textId="77777777" w:rsidR="000A390B" w:rsidRDefault="000A390B" w:rsidP="000A390B">
            <w:pPr>
              <w:pStyle w:val="TableParagraph"/>
              <w:spacing w:before="9" w:line="249" w:lineRule="auto"/>
              <w:ind w:left="110"/>
            </w:pPr>
            <w:r>
              <w:t>All written assessments, where practical and</w:t>
            </w:r>
            <w:r>
              <w:rPr>
                <w:spacing w:val="-1"/>
              </w:rPr>
              <w:t xml:space="preserve"> </w:t>
            </w:r>
            <w:r>
              <w:t>possible, must be</w:t>
            </w:r>
            <w:r>
              <w:rPr>
                <w:spacing w:val="-1"/>
              </w:rPr>
              <w:t xml:space="preserve"> </w:t>
            </w:r>
            <w:r>
              <w:t>submitted</w:t>
            </w:r>
            <w:r>
              <w:rPr>
                <w:spacing w:val="-1"/>
              </w:rPr>
              <w:t xml:space="preserve"> </w:t>
            </w:r>
            <w:r>
              <w:t>via Turnitin</w:t>
            </w:r>
            <w:r>
              <w:rPr>
                <w:spacing w:val="-6"/>
              </w:rPr>
              <w:t xml:space="preserve"> </w:t>
            </w:r>
            <w:r>
              <w:t>unless</w:t>
            </w:r>
            <w:r>
              <w:rPr>
                <w:spacing w:val="-7"/>
              </w:rPr>
              <w:t xml:space="preserve"> </w:t>
            </w:r>
            <w:r>
              <w:t>otherwise</w:t>
            </w:r>
            <w:r>
              <w:rPr>
                <w:spacing w:val="-6"/>
              </w:rPr>
              <w:t xml:space="preserve"> </w:t>
            </w:r>
            <w:r>
              <w:t>instructed</w:t>
            </w:r>
            <w:r>
              <w:rPr>
                <w:spacing w:val="-7"/>
              </w:rPr>
              <w:t xml:space="preserve"> </w:t>
            </w:r>
            <w:r>
              <w:t>by</w:t>
            </w:r>
            <w:r>
              <w:rPr>
                <w:spacing w:val="-7"/>
              </w:rPr>
              <w:t xml:space="preserve"> </w:t>
            </w:r>
            <w:r>
              <w:t>the</w:t>
            </w:r>
            <w:r>
              <w:rPr>
                <w:spacing w:val="-6"/>
              </w:rPr>
              <w:t xml:space="preserve"> </w:t>
            </w:r>
            <w:r>
              <w:t>Lecturer.</w:t>
            </w:r>
            <w:r>
              <w:rPr>
                <w:spacing w:val="-6"/>
              </w:rPr>
              <w:t xml:space="preserve"> </w:t>
            </w:r>
            <w:r>
              <w:t>(Please</w:t>
            </w:r>
            <w:r>
              <w:rPr>
                <w:spacing w:val="-6"/>
              </w:rPr>
              <w:t xml:space="preserve"> </w:t>
            </w:r>
            <w:r>
              <w:t>DO</w:t>
            </w:r>
            <w:r>
              <w:rPr>
                <w:spacing w:val="-4"/>
              </w:rPr>
              <w:t xml:space="preserve"> </w:t>
            </w:r>
            <w:r>
              <w:t>NOT</w:t>
            </w:r>
            <w:r>
              <w:rPr>
                <w:spacing w:val="-10"/>
              </w:rPr>
              <w:t xml:space="preserve"> </w:t>
            </w:r>
            <w:r>
              <w:t>put</w:t>
            </w:r>
            <w:r>
              <w:rPr>
                <w:spacing w:val="-6"/>
              </w:rPr>
              <w:t xml:space="preserve"> </w:t>
            </w:r>
            <w:r>
              <w:t>this assessment specification into Turnitin or it will match many similarities with other students’ submissions.)</w:t>
            </w:r>
          </w:p>
          <w:p w14:paraId="7913650F" w14:textId="77777777" w:rsidR="000A390B" w:rsidRDefault="000A390B" w:rsidP="000A390B">
            <w:pPr>
              <w:pStyle w:val="TableParagraph"/>
              <w:spacing w:before="109"/>
              <w:ind w:left="110"/>
              <w:rPr>
                <w:rFonts w:ascii="Arial"/>
                <w:b/>
              </w:rPr>
            </w:pPr>
            <w:r>
              <w:rPr>
                <w:rFonts w:ascii="Arial"/>
                <w:b/>
              </w:rPr>
              <w:t>Alternative</w:t>
            </w:r>
            <w:r>
              <w:rPr>
                <w:rFonts w:ascii="Arial"/>
                <w:b/>
                <w:spacing w:val="-9"/>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7818E290" w14:textId="77777777" w:rsidR="000A390B" w:rsidRDefault="000A390B" w:rsidP="000A390B">
            <w:pPr>
              <w:pStyle w:val="TableParagraph"/>
              <w:spacing w:before="117"/>
              <w:ind w:left="110"/>
              <w:rPr>
                <w:rFonts w:ascii="Arial"/>
                <w:b/>
              </w:rPr>
            </w:pPr>
            <w:r>
              <w:rPr>
                <w:rFonts w:ascii="Arial"/>
                <w:b/>
              </w:rPr>
              <w:t>Late</w:t>
            </w:r>
            <w:r>
              <w:rPr>
                <w:rFonts w:ascii="Arial"/>
                <w:b/>
                <w:spacing w:val="-6"/>
              </w:rPr>
              <w:t xml:space="preserve"> </w:t>
            </w:r>
            <w:r>
              <w:rPr>
                <w:rFonts w:ascii="Arial"/>
                <w:b/>
              </w:rPr>
              <w:t>submission</w:t>
            </w:r>
            <w:r>
              <w:rPr>
                <w:rFonts w:ascii="Arial"/>
                <w:b/>
                <w:spacing w:val="-3"/>
              </w:rPr>
              <w:t xml:space="preserve"> </w:t>
            </w:r>
            <w:r>
              <w:rPr>
                <w:rFonts w:ascii="Arial"/>
                <w:b/>
              </w:rPr>
              <w:t>of</w:t>
            </w:r>
            <w:r>
              <w:rPr>
                <w:rFonts w:ascii="Arial"/>
                <w:b/>
                <w:spacing w:val="-5"/>
              </w:rPr>
              <w:t xml:space="preserve"> </w:t>
            </w:r>
            <w:r>
              <w:rPr>
                <w:rFonts w:ascii="Arial"/>
                <w:b/>
              </w:rPr>
              <w:t>the</w:t>
            </w:r>
            <w:r>
              <w:rPr>
                <w:rFonts w:ascii="Arial"/>
                <w:b/>
                <w:spacing w:val="-6"/>
              </w:rPr>
              <w:t xml:space="preserve"> </w:t>
            </w:r>
            <w:r>
              <w:rPr>
                <w:rFonts w:ascii="Arial"/>
                <w:b/>
              </w:rPr>
              <w:t>assessment</w:t>
            </w:r>
            <w:r>
              <w:rPr>
                <w:rFonts w:ascii="Arial"/>
                <w:b/>
                <w:spacing w:val="-4"/>
              </w:rPr>
              <w:t xml:space="preserve"> </w:t>
            </w:r>
            <w:r>
              <w:rPr>
                <w:rFonts w:ascii="Arial"/>
                <w:b/>
              </w:rPr>
              <w:t>will</w:t>
            </w:r>
            <w:r>
              <w:rPr>
                <w:rFonts w:ascii="Arial"/>
                <w:b/>
                <w:spacing w:val="-5"/>
              </w:rPr>
              <w:t xml:space="preserve"> </w:t>
            </w:r>
            <w:r>
              <w:rPr>
                <w:rFonts w:ascii="Arial"/>
                <w:b/>
              </w:rPr>
              <w:t>result</w:t>
            </w:r>
            <w:r>
              <w:rPr>
                <w:rFonts w:ascii="Arial"/>
                <w:b/>
                <w:spacing w:val="-4"/>
              </w:rPr>
              <w:t xml:space="preserve"> </w:t>
            </w:r>
            <w:r>
              <w:rPr>
                <w:rFonts w:ascii="Arial"/>
                <w:b/>
              </w:rPr>
              <w:t>in</w:t>
            </w:r>
            <w:r>
              <w:rPr>
                <w:rFonts w:ascii="Arial"/>
                <w:b/>
                <w:spacing w:val="-6"/>
              </w:rPr>
              <w:t xml:space="preserve"> </w:t>
            </w:r>
            <w:r>
              <w:rPr>
                <w:rFonts w:ascii="Arial"/>
                <w:b/>
              </w:rPr>
              <w:t>a</w:t>
            </w:r>
            <w:r>
              <w:rPr>
                <w:rFonts w:ascii="Arial"/>
                <w:b/>
                <w:spacing w:val="-5"/>
              </w:rPr>
              <w:t xml:space="preserve"> </w:t>
            </w:r>
            <w:r>
              <w:rPr>
                <w:rFonts w:ascii="Arial"/>
                <w:b/>
              </w:rPr>
              <w:t>late</w:t>
            </w:r>
            <w:r>
              <w:rPr>
                <w:rFonts w:ascii="Arial"/>
                <w:b/>
                <w:spacing w:val="-5"/>
              </w:rPr>
              <w:t xml:space="preserve"> </w:t>
            </w:r>
            <w:r>
              <w:rPr>
                <w:rFonts w:ascii="Arial"/>
                <w:b/>
              </w:rPr>
              <w:t>penalty</w:t>
            </w:r>
            <w:r>
              <w:rPr>
                <w:rFonts w:ascii="Arial"/>
                <w:b/>
                <w:spacing w:val="-5"/>
              </w:rPr>
              <w:t xml:space="preserve"> </w:t>
            </w:r>
            <w:r>
              <w:rPr>
                <w:rFonts w:ascii="Arial"/>
                <w:b/>
                <w:spacing w:val="-2"/>
              </w:rPr>
              <w:t>mark:</w:t>
            </w:r>
          </w:p>
          <w:p w14:paraId="6DB8A0BA" w14:textId="77777777" w:rsidR="000A390B" w:rsidRDefault="000A390B" w:rsidP="000A390B">
            <w:pPr>
              <w:pStyle w:val="TableParagraph"/>
              <w:spacing w:before="117"/>
              <w:ind w:left="110" w:right="93"/>
              <w:jc w:val="both"/>
            </w:pPr>
            <w:r>
              <w:t>Work which is submitted up to 1 week late will be capped at 40% for the first attempt</w:t>
            </w:r>
            <w:r>
              <w:rPr>
                <w:spacing w:val="-6"/>
              </w:rPr>
              <w:t xml:space="preserve"> </w:t>
            </w:r>
            <w:r>
              <w:t>and</w:t>
            </w:r>
            <w:r>
              <w:rPr>
                <w:spacing w:val="-5"/>
              </w:rPr>
              <w:t xml:space="preserve"> </w:t>
            </w:r>
            <w:r>
              <w:t>will</w:t>
            </w:r>
            <w:r>
              <w:rPr>
                <w:spacing w:val="-6"/>
              </w:rPr>
              <w:t xml:space="preserve"> </w:t>
            </w:r>
            <w:r>
              <w:t>be</w:t>
            </w:r>
            <w:r>
              <w:rPr>
                <w:spacing w:val="-5"/>
              </w:rPr>
              <w:t xml:space="preserve"> </w:t>
            </w:r>
            <w:r>
              <w:t>awarded</w:t>
            </w:r>
            <w:r>
              <w:rPr>
                <w:spacing w:val="-5"/>
              </w:rPr>
              <w:t xml:space="preserve"> </w:t>
            </w:r>
            <w:r>
              <w:t>a</w:t>
            </w:r>
            <w:r>
              <w:rPr>
                <w:spacing w:val="-5"/>
              </w:rPr>
              <w:t xml:space="preserve"> </w:t>
            </w:r>
            <w:r>
              <w:t>mark</w:t>
            </w:r>
            <w:r>
              <w:rPr>
                <w:spacing w:val="-5"/>
              </w:rPr>
              <w:t xml:space="preserve"> </w:t>
            </w:r>
            <w:r>
              <w:t>of</w:t>
            </w:r>
            <w:r>
              <w:rPr>
                <w:spacing w:val="-4"/>
              </w:rPr>
              <w:t xml:space="preserve"> </w:t>
            </w:r>
            <w:r>
              <w:t>0%</w:t>
            </w:r>
            <w:r>
              <w:rPr>
                <w:spacing w:val="-7"/>
              </w:rPr>
              <w:t xml:space="preserve"> </w:t>
            </w:r>
            <w:r>
              <w:t>for</w:t>
            </w:r>
            <w:r>
              <w:rPr>
                <w:spacing w:val="-4"/>
              </w:rPr>
              <w:t xml:space="preserve"> </w:t>
            </w:r>
            <w:r>
              <w:t>re-assessment.</w:t>
            </w:r>
            <w:r>
              <w:rPr>
                <w:spacing w:val="-6"/>
              </w:rPr>
              <w:t xml:space="preserve"> </w:t>
            </w:r>
            <w:r>
              <w:t>Late</w:t>
            </w:r>
            <w:r>
              <w:rPr>
                <w:spacing w:val="-7"/>
              </w:rPr>
              <w:t xml:space="preserve"> </w:t>
            </w:r>
            <w:r>
              <w:t>submission penalties may</w:t>
            </w:r>
            <w:r>
              <w:rPr>
                <w:spacing w:val="-1"/>
              </w:rPr>
              <w:t xml:space="preserve"> </w:t>
            </w:r>
            <w:r>
              <w:t>be</w:t>
            </w:r>
            <w:r>
              <w:rPr>
                <w:spacing w:val="-1"/>
              </w:rPr>
              <w:t xml:space="preserve"> </w:t>
            </w:r>
            <w:r>
              <w:t>lifted</w:t>
            </w:r>
            <w:r>
              <w:rPr>
                <w:spacing w:val="-1"/>
              </w:rPr>
              <w:t xml:space="preserve"> </w:t>
            </w:r>
            <w:r>
              <w:t>only if there</w:t>
            </w:r>
            <w:r>
              <w:rPr>
                <w:spacing w:val="-1"/>
              </w:rPr>
              <w:t xml:space="preserve"> </w:t>
            </w:r>
            <w:r>
              <w:t>is an</w:t>
            </w:r>
            <w:r>
              <w:rPr>
                <w:spacing w:val="-1"/>
              </w:rPr>
              <w:t xml:space="preserve"> </w:t>
            </w:r>
            <w:r>
              <w:t xml:space="preserve">approved extenuating circumstances </w:t>
            </w:r>
            <w:r>
              <w:rPr>
                <w:spacing w:val="-2"/>
              </w:rPr>
              <w:t>claim.</w:t>
            </w:r>
          </w:p>
          <w:p w14:paraId="5EFAE77F" w14:textId="77777777" w:rsidR="000A390B" w:rsidRDefault="000A390B" w:rsidP="000A390B">
            <w:pPr>
              <w:pStyle w:val="TableParagraph"/>
              <w:spacing w:before="121" w:line="259" w:lineRule="auto"/>
              <w:ind w:left="110" w:right="97"/>
              <w:jc w:val="both"/>
            </w:pPr>
            <w:r>
              <w:t>Work</w:t>
            </w:r>
            <w:r>
              <w:rPr>
                <w:spacing w:val="-7"/>
              </w:rPr>
              <w:t xml:space="preserve"> </w:t>
            </w:r>
            <w:r>
              <w:t>submitted</w:t>
            </w:r>
            <w:r>
              <w:rPr>
                <w:spacing w:val="-8"/>
              </w:rPr>
              <w:t xml:space="preserve"> </w:t>
            </w:r>
            <w:r>
              <w:t>more</w:t>
            </w:r>
            <w:r>
              <w:rPr>
                <w:spacing w:val="-7"/>
              </w:rPr>
              <w:t xml:space="preserve"> </w:t>
            </w:r>
            <w:r>
              <w:t>than</w:t>
            </w:r>
            <w:r>
              <w:rPr>
                <w:spacing w:val="-5"/>
              </w:rPr>
              <w:t xml:space="preserve"> </w:t>
            </w:r>
            <w:r>
              <w:t>1</w:t>
            </w:r>
            <w:r>
              <w:rPr>
                <w:spacing w:val="-5"/>
              </w:rPr>
              <w:t xml:space="preserve"> </w:t>
            </w:r>
            <w:r>
              <w:t>week</w:t>
            </w:r>
            <w:r>
              <w:rPr>
                <w:spacing w:val="-7"/>
              </w:rPr>
              <w:t xml:space="preserve"> </w:t>
            </w:r>
            <w:proofErr w:type="gramStart"/>
            <w:r>
              <w:t>late</w:t>
            </w:r>
            <w:proofErr w:type="gramEnd"/>
            <w:r>
              <w:rPr>
                <w:spacing w:val="-7"/>
              </w:rPr>
              <w:t xml:space="preserve"> </w:t>
            </w:r>
            <w:r>
              <w:t>will</w:t>
            </w:r>
            <w:r>
              <w:rPr>
                <w:spacing w:val="-6"/>
              </w:rPr>
              <w:t xml:space="preserve"> </w:t>
            </w:r>
            <w:r>
              <w:t>be</w:t>
            </w:r>
            <w:r>
              <w:rPr>
                <w:spacing w:val="-5"/>
              </w:rPr>
              <w:t xml:space="preserve"> </w:t>
            </w:r>
            <w:proofErr w:type="gramStart"/>
            <w:r>
              <w:t>considered</w:t>
            </w:r>
            <w:r>
              <w:rPr>
                <w:spacing w:val="-5"/>
              </w:rPr>
              <w:t xml:space="preserve"> </w:t>
            </w:r>
            <w:r>
              <w:t>as</w:t>
            </w:r>
            <w:r>
              <w:rPr>
                <w:spacing w:val="-7"/>
              </w:rPr>
              <w:t xml:space="preserve"> </w:t>
            </w:r>
            <w:r>
              <w:t>a</w:t>
            </w:r>
            <w:proofErr w:type="gramEnd"/>
            <w:r>
              <w:rPr>
                <w:spacing w:val="-5"/>
              </w:rPr>
              <w:t xml:space="preserve"> </w:t>
            </w:r>
            <w:r>
              <w:t>non-submission and will not be marked. The work may be considered as a submission for reassessment if offered by an Examining Board or if there is an approved extenuating circumstances claim.</w:t>
            </w:r>
          </w:p>
        </w:tc>
      </w:tr>
      <w:tr w:rsidR="000A390B" w14:paraId="235850FE" w14:textId="77777777" w:rsidTr="000A390B">
        <w:trPr>
          <w:trHeight w:val="1271"/>
        </w:trPr>
        <w:tc>
          <w:tcPr>
            <w:tcW w:w="2091" w:type="dxa"/>
            <w:shd w:val="clear" w:color="auto" w:fill="D9D9D9"/>
          </w:tcPr>
          <w:p w14:paraId="595B68A1" w14:textId="77777777" w:rsidR="000A390B" w:rsidRDefault="000A390B" w:rsidP="000A390B">
            <w:pPr>
              <w:pStyle w:val="TableParagraph"/>
              <w:spacing w:before="12" w:line="259" w:lineRule="auto"/>
              <w:ind w:left="107" w:right="127"/>
              <w:rPr>
                <w:rFonts w:ascii="Arial"/>
                <w:b/>
              </w:rPr>
            </w:pPr>
            <w:r>
              <w:rPr>
                <w:rFonts w:ascii="Arial"/>
                <w:b/>
                <w:spacing w:val="-2"/>
              </w:rPr>
              <w:t xml:space="preserve">Academic </w:t>
            </w:r>
            <w:r>
              <w:rPr>
                <w:rFonts w:ascii="Arial"/>
                <w:b/>
              </w:rPr>
              <w:t>honesty /</w:t>
            </w:r>
          </w:p>
          <w:p w14:paraId="22C9D2AA" w14:textId="77777777" w:rsidR="000A390B" w:rsidRDefault="000A390B" w:rsidP="000A390B">
            <w:pPr>
              <w:pStyle w:val="TableParagraph"/>
              <w:ind w:left="107"/>
              <w:rPr>
                <w:rFonts w:ascii="Arial"/>
                <w:b/>
              </w:rPr>
            </w:pPr>
            <w:r>
              <w:rPr>
                <w:rFonts w:ascii="Arial"/>
                <w:b/>
                <w:spacing w:val="-2"/>
              </w:rPr>
              <w:t>referencing:</w:t>
            </w:r>
          </w:p>
        </w:tc>
        <w:tc>
          <w:tcPr>
            <w:tcW w:w="7827" w:type="dxa"/>
            <w:gridSpan w:val="3"/>
          </w:tcPr>
          <w:p w14:paraId="33A385FF" w14:textId="77777777" w:rsidR="000A390B" w:rsidRDefault="000A390B" w:rsidP="000A390B">
            <w:pPr>
              <w:pStyle w:val="TableParagraph"/>
              <w:spacing w:before="96" w:line="259" w:lineRule="auto"/>
              <w:ind w:left="110" w:right="100"/>
              <w:jc w:val="both"/>
            </w:pPr>
            <w:r>
              <w:t>Academic honesty is required. In the</w:t>
            </w:r>
            <w:r>
              <w:rPr>
                <w:spacing w:val="-1"/>
              </w:rPr>
              <w:t xml:space="preserve"> </w:t>
            </w:r>
            <w:r>
              <w:t>main body of your submission, you</w:t>
            </w:r>
            <w:r>
              <w:rPr>
                <w:spacing w:val="-1"/>
              </w:rPr>
              <w:t xml:space="preserve"> </w:t>
            </w:r>
            <w:r>
              <w:t>must give</w:t>
            </w:r>
            <w:r>
              <w:rPr>
                <w:spacing w:val="-16"/>
              </w:rPr>
              <w:t xml:space="preserve"> </w:t>
            </w:r>
            <w:r>
              <w:t>credit</w:t>
            </w:r>
            <w:r>
              <w:rPr>
                <w:spacing w:val="-15"/>
              </w:rPr>
              <w:t xml:space="preserve"> </w:t>
            </w:r>
            <w:r>
              <w:t>to</w:t>
            </w:r>
            <w:r>
              <w:rPr>
                <w:spacing w:val="-15"/>
              </w:rPr>
              <w:t xml:space="preserve"> </w:t>
            </w:r>
            <w:r>
              <w:t>authors</w:t>
            </w:r>
            <w:r>
              <w:rPr>
                <w:spacing w:val="-16"/>
              </w:rPr>
              <w:t xml:space="preserve"> </w:t>
            </w:r>
            <w:r>
              <w:t>on</w:t>
            </w:r>
            <w:r>
              <w:rPr>
                <w:spacing w:val="-15"/>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2"/>
              </w:rPr>
              <w:t xml:space="preserve"> </w:t>
            </w:r>
            <w:r>
              <w:t>your</w:t>
            </w:r>
            <w:r>
              <w:rPr>
                <w:spacing w:val="-13"/>
              </w:rPr>
              <w:t xml:space="preserve"> </w:t>
            </w:r>
            <w:r>
              <w:t>work</w:t>
            </w:r>
            <w:r>
              <w:rPr>
                <w:spacing w:val="-14"/>
              </w:rPr>
              <w:t xml:space="preserve"> </w:t>
            </w:r>
            <w:r>
              <w:t>is</w:t>
            </w:r>
            <w:r>
              <w:rPr>
                <w:spacing w:val="-14"/>
              </w:rPr>
              <w:t xml:space="preserve"> </w:t>
            </w:r>
            <w:r>
              <w:t>based.</w:t>
            </w:r>
            <w:r>
              <w:rPr>
                <w:spacing w:val="-16"/>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3149660A" w14:textId="50ABFA0A" w:rsidR="000E7FB2" w:rsidRDefault="000A390B" w:rsidP="000A390B">
      <w:pPr>
        <w:spacing w:before="480"/>
        <w:rPr>
          <w:rFonts w:ascii="Times New Roman" w:eastAsia="Arial MT" w:hAnsi="Arial MT" w:cs="Arial MT"/>
          <w:noProof/>
          <w:sz w:val="20"/>
          <w:lang w:val="en-US"/>
        </w:rPr>
      </w:pPr>
      <w:r>
        <w:rPr>
          <w:rFonts w:ascii="Times New Roman" w:eastAsia="Arial MT" w:hAnsi="Arial MT" w:cs="Arial MT"/>
          <w:noProof/>
          <w:sz w:val="20"/>
          <w:lang w:val="en-US"/>
        </w:rPr>
        <w:drawing>
          <wp:inline distT="0" distB="0" distL="0" distR="0" wp14:anchorId="6225629C" wp14:editId="0C811FC2">
            <wp:extent cx="1816735" cy="597535"/>
            <wp:effectExtent l="0" t="0" r="0" b="0"/>
            <wp:docPr id="9028850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6735" cy="597535"/>
                    </a:xfrm>
                    <a:prstGeom prst="rect">
                      <a:avLst/>
                    </a:prstGeom>
                    <a:noFill/>
                  </pic:spPr>
                </pic:pic>
              </a:graphicData>
            </a:graphic>
          </wp:inline>
        </w:drawing>
      </w:r>
    </w:p>
    <w:p w14:paraId="00000001" w14:textId="6B1C88E4" w:rsidR="00B751F1" w:rsidRPr="00415145" w:rsidRDefault="00000000" w:rsidP="000A390B">
      <w:pPr>
        <w:spacing w:before="480"/>
        <w:jc w:val="center"/>
        <w:rPr>
          <w:rFonts w:eastAsia="Times New Roman"/>
          <w:b/>
          <w:bCs/>
        </w:rPr>
      </w:pPr>
      <w:r w:rsidRPr="00415145">
        <w:rPr>
          <w:rFonts w:eastAsia="Times New Roman"/>
          <w:b/>
          <w:bCs/>
        </w:rPr>
        <w:lastRenderedPageBreak/>
        <w:t>Emotional Intelligence and Generational Diversity in the Workplace: Implications for Effective Leadership and Organisational Performance</w:t>
      </w:r>
    </w:p>
    <w:p w14:paraId="25C2FCB3" w14:textId="77777777" w:rsidR="003E10F2" w:rsidRPr="00415145" w:rsidRDefault="003E10F2">
      <w:pPr>
        <w:pStyle w:val="Heading1"/>
        <w:keepNext w:val="0"/>
        <w:keepLines w:val="0"/>
        <w:spacing w:before="480"/>
        <w:jc w:val="both"/>
        <w:rPr>
          <w:rFonts w:eastAsia="Times New Roman"/>
          <w:b/>
          <w:bCs/>
          <w:sz w:val="22"/>
          <w:szCs w:val="22"/>
        </w:rPr>
      </w:pPr>
      <w:bookmarkStart w:id="0" w:name="_801ekfplxxgl" w:colFirst="0" w:colLast="0"/>
      <w:bookmarkEnd w:id="0"/>
    </w:p>
    <w:p w14:paraId="75A8E357" w14:textId="77777777" w:rsidR="003E10F2" w:rsidRPr="00415145" w:rsidRDefault="003E10F2">
      <w:pPr>
        <w:pStyle w:val="Heading1"/>
        <w:keepNext w:val="0"/>
        <w:keepLines w:val="0"/>
        <w:spacing w:before="480"/>
        <w:jc w:val="both"/>
        <w:rPr>
          <w:rFonts w:eastAsia="Times New Roman"/>
          <w:b/>
          <w:bCs/>
          <w:sz w:val="22"/>
          <w:szCs w:val="22"/>
        </w:rPr>
      </w:pPr>
    </w:p>
    <w:p w14:paraId="3F5654E1" w14:textId="77777777" w:rsidR="003E10F2" w:rsidRPr="00415145" w:rsidRDefault="003E10F2">
      <w:pPr>
        <w:pStyle w:val="Heading1"/>
        <w:keepNext w:val="0"/>
        <w:keepLines w:val="0"/>
        <w:spacing w:before="480"/>
        <w:jc w:val="both"/>
        <w:rPr>
          <w:rFonts w:eastAsia="Times New Roman"/>
          <w:b/>
          <w:bCs/>
          <w:sz w:val="22"/>
          <w:szCs w:val="22"/>
        </w:rPr>
      </w:pPr>
    </w:p>
    <w:p w14:paraId="043AC4A7" w14:textId="77777777" w:rsidR="003E10F2" w:rsidRPr="00415145" w:rsidRDefault="003E10F2">
      <w:pPr>
        <w:pStyle w:val="Heading1"/>
        <w:keepNext w:val="0"/>
        <w:keepLines w:val="0"/>
        <w:spacing w:before="480"/>
        <w:jc w:val="both"/>
        <w:rPr>
          <w:rFonts w:eastAsia="Times New Roman"/>
          <w:b/>
          <w:bCs/>
          <w:sz w:val="22"/>
          <w:szCs w:val="22"/>
        </w:rPr>
      </w:pPr>
    </w:p>
    <w:p w14:paraId="02A24E76" w14:textId="77777777" w:rsidR="003E10F2" w:rsidRPr="00415145" w:rsidRDefault="003E10F2">
      <w:pPr>
        <w:pStyle w:val="Heading1"/>
        <w:keepNext w:val="0"/>
        <w:keepLines w:val="0"/>
        <w:spacing w:before="480"/>
        <w:jc w:val="both"/>
        <w:rPr>
          <w:rFonts w:eastAsia="Times New Roman"/>
          <w:b/>
          <w:bCs/>
          <w:sz w:val="22"/>
          <w:szCs w:val="22"/>
        </w:rPr>
      </w:pPr>
    </w:p>
    <w:p w14:paraId="0F6711A1" w14:textId="77777777" w:rsidR="003E10F2" w:rsidRPr="00415145" w:rsidRDefault="003E10F2">
      <w:pPr>
        <w:pStyle w:val="Heading1"/>
        <w:keepNext w:val="0"/>
        <w:keepLines w:val="0"/>
        <w:spacing w:before="480"/>
        <w:jc w:val="both"/>
        <w:rPr>
          <w:rFonts w:eastAsia="Times New Roman"/>
          <w:b/>
          <w:bCs/>
          <w:sz w:val="22"/>
          <w:szCs w:val="22"/>
        </w:rPr>
      </w:pPr>
    </w:p>
    <w:p w14:paraId="4CF37A30" w14:textId="77777777" w:rsidR="003E10F2" w:rsidRPr="00415145" w:rsidRDefault="003E10F2">
      <w:pPr>
        <w:pStyle w:val="Heading1"/>
        <w:keepNext w:val="0"/>
        <w:keepLines w:val="0"/>
        <w:spacing w:before="480"/>
        <w:jc w:val="both"/>
        <w:rPr>
          <w:rFonts w:eastAsia="Times New Roman"/>
          <w:b/>
          <w:bCs/>
          <w:sz w:val="22"/>
          <w:szCs w:val="22"/>
        </w:rPr>
      </w:pPr>
    </w:p>
    <w:p w14:paraId="1D07AF50" w14:textId="77777777" w:rsidR="003E10F2" w:rsidRPr="00415145" w:rsidRDefault="003E10F2">
      <w:pPr>
        <w:pStyle w:val="Heading1"/>
        <w:keepNext w:val="0"/>
        <w:keepLines w:val="0"/>
        <w:spacing w:before="480"/>
        <w:jc w:val="both"/>
        <w:rPr>
          <w:rFonts w:eastAsia="Times New Roman"/>
          <w:b/>
          <w:bCs/>
          <w:sz w:val="22"/>
          <w:szCs w:val="22"/>
        </w:rPr>
      </w:pPr>
    </w:p>
    <w:p w14:paraId="24E7FD25" w14:textId="77777777" w:rsidR="003E10F2" w:rsidRPr="00415145" w:rsidRDefault="003E10F2">
      <w:pPr>
        <w:pStyle w:val="Heading1"/>
        <w:keepNext w:val="0"/>
        <w:keepLines w:val="0"/>
        <w:spacing w:before="480"/>
        <w:jc w:val="both"/>
        <w:rPr>
          <w:rFonts w:eastAsia="Times New Roman"/>
          <w:b/>
          <w:bCs/>
          <w:sz w:val="22"/>
          <w:szCs w:val="22"/>
        </w:rPr>
      </w:pPr>
    </w:p>
    <w:p w14:paraId="2A66035D" w14:textId="77777777" w:rsidR="003E10F2" w:rsidRPr="00415145" w:rsidRDefault="003E10F2">
      <w:pPr>
        <w:pStyle w:val="Heading1"/>
        <w:keepNext w:val="0"/>
        <w:keepLines w:val="0"/>
        <w:spacing w:before="480"/>
        <w:jc w:val="both"/>
        <w:rPr>
          <w:rFonts w:eastAsia="Times New Roman"/>
          <w:b/>
          <w:bCs/>
          <w:sz w:val="22"/>
          <w:szCs w:val="22"/>
        </w:rPr>
      </w:pPr>
    </w:p>
    <w:p w14:paraId="4008E538" w14:textId="77777777" w:rsidR="003E10F2" w:rsidRPr="00415145" w:rsidRDefault="003E10F2">
      <w:pPr>
        <w:pStyle w:val="Heading1"/>
        <w:keepNext w:val="0"/>
        <w:keepLines w:val="0"/>
        <w:spacing w:before="480"/>
        <w:jc w:val="both"/>
        <w:rPr>
          <w:rFonts w:eastAsia="Times New Roman"/>
          <w:b/>
          <w:bCs/>
          <w:sz w:val="22"/>
          <w:szCs w:val="22"/>
        </w:rPr>
      </w:pPr>
    </w:p>
    <w:p w14:paraId="4A3A84B2" w14:textId="77777777" w:rsidR="003E10F2" w:rsidRPr="00415145" w:rsidRDefault="003E10F2">
      <w:pPr>
        <w:pStyle w:val="Heading1"/>
        <w:keepNext w:val="0"/>
        <w:keepLines w:val="0"/>
        <w:spacing w:before="480"/>
        <w:jc w:val="both"/>
        <w:rPr>
          <w:rFonts w:eastAsia="Times New Roman"/>
          <w:b/>
          <w:bCs/>
          <w:sz w:val="22"/>
          <w:szCs w:val="22"/>
        </w:rPr>
      </w:pPr>
    </w:p>
    <w:p w14:paraId="50045EAB" w14:textId="77777777" w:rsidR="003E10F2" w:rsidRPr="00415145" w:rsidRDefault="003E10F2">
      <w:pPr>
        <w:pStyle w:val="Heading1"/>
        <w:keepNext w:val="0"/>
        <w:keepLines w:val="0"/>
        <w:spacing w:before="480"/>
        <w:jc w:val="both"/>
        <w:rPr>
          <w:rFonts w:eastAsia="Times New Roman"/>
          <w:b/>
          <w:bCs/>
          <w:sz w:val="22"/>
          <w:szCs w:val="22"/>
        </w:rPr>
      </w:pPr>
    </w:p>
    <w:p w14:paraId="5FDB10AC" w14:textId="77777777" w:rsidR="003E10F2" w:rsidRPr="00415145" w:rsidRDefault="003E10F2">
      <w:pPr>
        <w:pStyle w:val="Heading1"/>
        <w:keepNext w:val="0"/>
        <w:keepLines w:val="0"/>
        <w:spacing w:before="480"/>
        <w:jc w:val="both"/>
        <w:rPr>
          <w:rFonts w:eastAsia="Times New Roman"/>
          <w:b/>
          <w:bCs/>
          <w:sz w:val="22"/>
          <w:szCs w:val="22"/>
        </w:rPr>
      </w:pPr>
    </w:p>
    <w:p w14:paraId="50E27877" w14:textId="77777777" w:rsidR="000A390B" w:rsidRDefault="000A390B">
      <w:pPr>
        <w:pStyle w:val="Heading1"/>
        <w:keepNext w:val="0"/>
        <w:keepLines w:val="0"/>
        <w:spacing w:before="480"/>
        <w:jc w:val="both"/>
        <w:rPr>
          <w:rFonts w:eastAsia="Times New Roman"/>
          <w:b/>
          <w:bCs/>
          <w:sz w:val="22"/>
          <w:szCs w:val="22"/>
        </w:rPr>
      </w:pPr>
    </w:p>
    <w:p w14:paraId="3EAB99D1" w14:textId="77777777" w:rsidR="000A390B" w:rsidRDefault="000A390B">
      <w:pPr>
        <w:pStyle w:val="Heading1"/>
        <w:keepNext w:val="0"/>
        <w:keepLines w:val="0"/>
        <w:spacing w:before="480"/>
        <w:jc w:val="both"/>
        <w:rPr>
          <w:rFonts w:eastAsia="Times New Roman"/>
          <w:b/>
          <w:bCs/>
          <w:sz w:val="22"/>
          <w:szCs w:val="22"/>
        </w:rPr>
      </w:pPr>
    </w:p>
    <w:p w14:paraId="00000002" w14:textId="1B3440EE" w:rsidR="00B751F1" w:rsidRPr="00415145" w:rsidRDefault="00000000">
      <w:pPr>
        <w:pStyle w:val="Heading1"/>
        <w:keepNext w:val="0"/>
        <w:keepLines w:val="0"/>
        <w:spacing w:before="480"/>
        <w:jc w:val="both"/>
        <w:rPr>
          <w:rFonts w:eastAsia="Times New Roman"/>
          <w:b/>
          <w:bCs/>
          <w:sz w:val="22"/>
          <w:szCs w:val="22"/>
        </w:rPr>
      </w:pPr>
      <w:r w:rsidRPr="00415145">
        <w:rPr>
          <w:rFonts w:eastAsia="Times New Roman"/>
          <w:b/>
          <w:bCs/>
          <w:sz w:val="22"/>
          <w:szCs w:val="22"/>
        </w:rPr>
        <w:lastRenderedPageBreak/>
        <w:t>1. Emotional Intelligence in the Workplace</w:t>
      </w:r>
    </w:p>
    <w:p w14:paraId="00000003" w14:textId="77777777" w:rsidR="00B751F1" w:rsidRPr="00415145" w:rsidRDefault="00000000">
      <w:pPr>
        <w:pStyle w:val="Heading2"/>
        <w:keepNext w:val="0"/>
        <w:keepLines w:val="0"/>
        <w:spacing w:after="80"/>
        <w:jc w:val="both"/>
        <w:rPr>
          <w:rFonts w:eastAsia="Times New Roman"/>
          <w:b/>
          <w:bCs/>
          <w:sz w:val="22"/>
          <w:szCs w:val="22"/>
        </w:rPr>
      </w:pPr>
      <w:bookmarkStart w:id="1" w:name="_18w4zxf2bj6u" w:colFirst="0" w:colLast="0"/>
      <w:bookmarkEnd w:id="1"/>
      <w:r w:rsidRPr="00415145">
        <w:rPr>
          <w:rFonts w:eastAsia="Times New Roman"/>
          <w:b/>
          <w:bCs/>
          <w:sz w:val="22"/>
          <w:szCs w:val="22"/>
        </w:rPr>
        <w:t>1.1 Concept of Emotional Intelligence</w:t>
      </w:r>
    </w:p>
    <w:p w14:paraId="00000004" w14:textId="6DB6D604" w:rsidR="00B751F1" w:rsidRPr="00415145" w:rsidRDefault="00000000">
      <w:pPr>
        <w:spacing w:before="240" w:after="240"/>
        <w:jc w:val="both"/>
        <w:rPr>
          <w:rFonts w:eastAsia="Times New Roman"/>
        </w:rPr>
      </w:pPr>
      <w:r w:rsidRPr="00415145">
        <w:rPr>
          <w:rFonts w:eastAsia="Times New Roman"/>
        </w:rPr>
        <w:t xml:space="preserve">Emotional Intelligence (EI) is the capacity to identify, conceive and regulate his/her emotions and also the feelings of others. Its earliest conception was by Mayer and Salovey (1990) who defined emotional intelligence as the capacity to sense, cognitively interpret and manage emotions in manners that serve thinking and behaviour. In their work, they focused on the fact that emotions are the significant component of decision-making and socialization. It became </w:t>
      </w:r>
      <w:r w:rsidR="003E10F2" w:rsidRPr="00415145">
        <w:rPr>
          <w:rFonts w:eastAsia="Times New Roman"/>
        </w:rPr>
        <w:t>popularized</w:t>
      </w:r>
      <w:r w:rsidRPr="00415145">
        <w:rPr>
          <w:rFonts w:eastAsia="Times New Roman"/>
        </w:rPr>
        <w:t xml:space="preserve"> later when Goleman (1998) made the argument that emotional intelligence is one of the major determinants of success in leadership, teamwork and workplace relationships. Emotional intelligence has been found to help employees cope with workplace challenges, communicate well and have positive relationship with colleagues and supervisors in the organisational setup. Having high levels of emotional intelligence tends to help such people to be more sensitive to emotions and manage them in challenging circumstances and control their emotions (Mayer, Salovey and Caruso, 2004). It is also found that emotional intelligence is linked with better job performance, greater leadership skills and increased job satisfaction (Van Rooy and Viswesvaran, 2004). In addition, emotional intelligence has helped in creating a conducive organisational environment since emotionally sensitive people are able to comprehend the dynamics of groups and can address emotional needs of other people (Cherniss and Goleman, 2001). Emotional intelligence has become a crucial capacity of employees and managers as workplaces grow to be dependent on teamwork and cooperation. Thus, learning the use of emotional intelligence is significant to organisations that want to enhance productivity, communication and employee well-being.</w:t>
      </w:r>
    </w:p>
    <w:p w14:paraId="00000005" w14:textId="77777777" w:rsidR="00B751F1" w:rsidRPr="00415145" w:rsidRDefault="00000000">
      <w:pPr>
        <w:pStyle w:val="Heading2"/>
        <w:keepNext w:val="0"/>
        <w:keepLines w:val="0"/>
        <w:spacing w:after="80"/>
        <w:jc w:val="both"/>
        <w:rPr>
          <w:rFonts w:eastAsia="Times New Roman"/>
          <w:b/>
          <w:bCs/>
          <w:sz w:val="22"/>
          <w:szCs w:val="22"/>
        </w:rPr>
      </w:pPr>
      <w:bookmarkStart w:id="2" w:name="_tx6p4rx4xbti" w:colFirst="0" w:colLast="0"/>
      <w:bookmarkEnd w:id="2"/>
      <w:r w:rsidRPr="00415145">
        <w:rPr>
          <w:rFonts w:eastAsia="Times New Roman"/>
          <w:b/>
          <w:bCs/>
          <w:sz w:val="22"/>
          <w:szCs w:val="22"/>
        </w:rPr>
        <w:t>1.2 Components of Emotional Intelligence</w:t>
      </w:r>
    </w:p>
    <w:p w14:paraId="00000006" w14:textId="0CA6032D" w:rsidR="00B751F1" w:rsidRPr="00415145" w:rsidRDefault="00000000">
      <w:pPr>
        <w:spacing w:before="240" w:after="240"/>
        <w:jc w:val="both"/>
        <w:rPr>
          <w:rFonts w:eastAsia="Times New Roman"/>
        </w:rPr>
      </w:pPr>
      <w:r w:rsidRPr="00415145">
        <w:rPr>
          <w:rFonts w:eastAsia="Times New Roman"/>
        </w:rPr>
        <w:t xml:space="preserve">There are a number of main components that make up emotional intelligence that determines the way people interpret and cope with emotions in the workplace. Among the most well-known models is the concept presented by Goleman (1998) that single out five main components: self-awareness, self-regulation, motivation, empathy and social skills. These elements describe the role played by emotional skills in behaviour and relationship within the organisational contexts. The initial element, which is self-awareness, is the possibility to be aware of personal feelings and the way in which they affect behaviour and decision-making. Employees who have good </w:t>
      </w:r>
      <w:r w:rsidR="003E10F2" w:rsidRPr="00415145">
        <w:rPr>
          <w:rFonts w:eastAsia="Times New Roman"/>
        </w:rPr>
        <w:t>self-awareness</w:t>
      </w:r>
      <w:r w:rsidRPr="00415145">
        <w:rPr>
          <w:rFonts w:eastAsia="Times New Roman"/>
        </w:rPr>
        <w:t xml:space="preserve"> can easily assess their strengths and weaknesses and react to difficult circumstances in a </w:t>
      </w:r>
      <w:r w:rsidR="003E10F2" w:rsidRPr="00415145">
        <w:rPr>
          <w:rFonts w:eastAsia="Times New Roman"/>
        </w:rPr>
        <w:t>well-considered</w:t>
      </w:r>
      <w:r w:rsidRPr="00415145">
        <w:rPr>
          <w:rFonts w:eastAsia="Times New Roman"/>
        </w:rPr>
        <w:t xml:space="preserve"> manner (Mayer, Salovey and Caruso, 2004). The self-awareness enables an individual to examine and understand their emotional responses and have control over their behaviour. The second is self-regulation that is the control of emotional responses and the management of impulsive behaviour. It is also through good self-regulation that employees can be calm enough to stay professional even when being stressed or when being criticized or at the workplace (Cherniss and Goleman, 2001). Through this skill, one is likely to be stable and make rational choices during times of pressure.</w:t>
      </w:r>
    </w:p>
    <w:p w14:paraId="00000007" w14:textId="77777777" w:rsidR="00B751F1" w:rsidRPr="00415145" w:rsidRDefault="00000000">
      <w:pPr>
        <w:spacing w:before="240" w:after="240"/>
        <w:jc w:val="both"/>
        <w:rPr>
          <w:rFonts w:eastAsia="Times New Roman"/>
        </w:rPr>
      </w:pPr>
      <w:r w:rsidRPr="00415145">
        <w:rPr>
          <w:rFonts w:eastAsia="Times New Roman"/>
        </w:rPr>
        <w:lastRenderedPageBreak/>
        <w:t>Motivation is another significant element because it can be defined as the inner power that motivates people to attain something and be determined to work. Emotionally intelligent persons tend to be persistent and optimistic in the event of challenge and hence lead to better performance and productivity (Van Rooy and Viswesvaran, 2004). The other necessary component of emotional intelligence is empathy. Empathy is the ability to identify and perceive the feelings of people so that they can respond to the needs and views of their workmates in a proper manner. Empathic employees have a greater potential of establishing trust and conflict resolution in teams (Mayer, Salovey and Caruso, 2004). Lastly, there are social skills which are the skill of forming relationships, communicating and cooperating with others. Good social skills helps employees to cope with interactions in the workplace and help them achieve a good organisational culture (Goleman, 1998). All these elements combine to describe the role that emotional intelligence plays in behaviour, communication and teamwork in organisations.</w:t>
      </w:r>
    </w:p>
    <w:p w14:paraId="00000008" w14:textId="77777777" w:rsidR="00B751F1" w:rsidRPr="00415145" w:rsidRDefault="00000000">
      <w:pPr>
        <w:pStyle w:val="Heading2"/>
        <w:keepNext w:val="0"/>
        <w:keepLines w:val="0"/>
        <w:spacing w:after="80"/>
        <w:jc w:val="both"/>
        <w:rPr>
          <w:rFonts w:eastAsia="Times New Roman"/>
          <w:b/>
          <w:bCs/>
          <w:sz w:val="22"/>
          <w:szCs w:val="22"/>
        </w:rPr>
      </w:pPr>
      <w:bookmarkStart w:id="3" w:name="_crtbwdcw4yt" w:colFirst="0" w:colLast="0"/>
      <w:bookmarkEnd w:id="3"/>
      <w:r w:rsidRPr="00415145">
        <w:rPr>
          <w:rFonts w:eastAsia="Times New Roman"/>
          <w:b/>
          <w:bCs/>
          <w:sz w:val="22"/>
          <w:szCs w:val="22"/>
        </w:rPr>
        <w:t>1.3 Emotional Intelligence Models</w:t>
      </w:r>
    </w:p>
    <w:p w14:paraId="00000009" w14:textId="771D6093" w:rsidR="00B751F1" w:rsidRPr="00415145" w:rsidRDefault="00000000">
      <w:pPr>
        <w:spacing w:before="240" w:after="240"/>
        <w:jc w:val="both"/>
        <w:rPr>
          <w:rFonts w:eastAsia="Times New Roman"/>
        </w:rPr>
      </w:pPr>
      <w:r w:rsidRPr="00415145">
        <w:rPr>
          <w:rFonts w:eastAsia="Times New Roman"/>
        </w:rPr>
        <w:t xml:space="preserve">To explain emotional intelligence and its role in defining behaviour at the workplace, a number of theoretical models have been formulated. These frameworks are offered by these models that assist researchers and organisations to comprehend the way emotional abilities influence performance, leadership and relationships. Mayer and Salovey (1990) were one of the first to come up with a model to describe emotional intelligence as a type of cognitive ability that dealt with the processing of emotional information. Their model of abilities puts emphasis on the perceiving, understanding and controlling emotions to determine the thinking and behaviour. In this view, emotional intelligence essentially works in comparable manner as the traditional intelligence, however, it deals only with emotional reasoning (Mayer, Salovey and Caruso, 2004). The other framework that has been an influential one is the model presented by Goleman (1998) that focuses on the emotional competencies of leadership and social interaction. In his argument Goleman maintained that emotional intelligence is especially relevant in the organisational context because it determines communication, conflict management and teamwork. His model emphasizes on competencies like empathy, </w:t>
      </w:r>
      <w:r w:rsidR="003E10F2" w:rsidRPr="00415145">
        <w:rPr>
          <w:rFonts w:eastAsia="Times New Roman"/>
        </w:rPr>
        <w:t>self-awareness</w:t>
      </w:r>
      <w:r w:rsidRPr="00415145">
        <w:rPr>
          <w:rFonts w:eastAsia="Times New Roman"/>
        </w:rPr>
        <w:t xml:space="preserve"> and relationship management, which are very critical in a leadership process (Cherniss and Goleman, 2001).</w:t>
      </w:r>
    </w:p>
    <w:p w14:paraId="0000000A" w14:textId="7D48948A" w:rsidR="00B751F1" w:rsidRPr="00415145" w:rsidRDefault="00000000">
      <w:pPr>
        <w:spacing w:before="240" w:after="240"/>
        <w:jc w:val="both"/>
        <w:rPr>
          <w:rFonts w:eastAsia="Times New Roman"/>
        </w:rPr>
      </w:pPr>
      <w:r w:rsidRPr="00415145">
        <w:rPr>
          <w:rFonts w:eastAsia="Times New Roman"/>
        </w:rPr>
        <w:t xml:space="preserve">The third well-known framework is called the Bar-On model, the </w:t>
      </w:r>
      <w:r w:rsidR="003E10F2" w:rsidRPr="00415145">
        <w:rPr>
          <w:rFonts w:eastAsia="Times New Roman"/>
        </w:rPr>
        <w:t>conceptualization</w:t>
      </w:r>
      <w:r w:rsidRPr="00415145">
        <w:rPr>
          <w:rFonts w:eastAsia="Times New Roman"/>
        </w:rPr>
        <w:t xml:space="preserve"> of emotional intelligence as an integration of both emotional and social abilities that enable people to handle the environmental problems and stresses at their workplace (Bar-On, 2006). In this model, the focus is on aspects like stress management and relationship with others as well as adaptability. Despite the fact that these models deal with emotional intelligence in a bit different way, they all focus on the role that emotional awareness and regulation play. It has been observed that the models of emotional intelligence can be used to offer useful information concerning leadership development, teamwork and organisational effectiveness (Van Rooy and Viswesvaran, 2004). As a result, emotional intelligence frameworks are being incorporated into training programs and leadership development programs by organisations.</w:t>
      </w:r>
    </w:p>
    <w:p w14:paraId="0000000B" w14:textId="77777777" w:rsidR="00B751F1" w:rsidRPr="00415145" w:rsidRDefault="00000000">
      <w:pPr>
        <w:pStyle w:val="Heading3"/>
        <w:keepNext w:val="0"/>
        <w:keepLines w:val="0"/>
        <w:spacing w:before="280"/>
        <w:jc w:val="both"/>
        <w:rPr>
          <w:rFonts w:eastAsia="Times New Roman"/>
          <w:b/>
          <w:bCs/>
          <w:color w:val="000000"/>
          <w:sz w:val="22"/>
          <w:szCs w:val="22"/>
        </w:rPr>
      </w:pPr>
      <w:bookmarkStart w:id="4" w:name="_vikwqkh12ezo" w:colFirst="0" w:colLast="0"/>
      <w:bookmarkEnd w:id="4"/>
      <w:r w:rsidRPr="00415145">
        <w:rPr>
          <w:rFonts w:eastAsia="Times New Roman"/>
          <w:b/>
          <w:bCs/>
          <w:color w:val="000000"/>
          <w:sz w:val="22"/>
          <w:szCs w:val="22"/>
        </w:rPr>
        <w:t>1.3.1 Goleman’s Emotional Intelligence Model</w:t>
      </w:r>
    </w:p>
    <w:p w14:paraId="0000000C" w14:textId="77777777" w:rsidR="00B751F1" w:rsidRPr="00415145" w:rsidRDefault="00000000">
      <w:pPr>
        <w:spacing w:before="240" w:after="240"/>
        <w:jc w:val="both"/>
        <w:rPr>
          <w:rFonts w:eastAsia="Times New Roman"/>
        </w:rPr>
      </w:pPr>
      <w:r w:rsidRPr="00415145">
        <w:rPr>
          <w:rFonts w:eastAsia="Times New Roman"/>
        </w:rPr>
        <w:lastRenderedPageBreak/>
        <w:t>Emotional intelligence model Emotional intelligence model created by Goleman is extensively applied in organisational psychology and development of leaders. Emotional intelligence, according to Goleman (1998) has five key competencies that include; self-awareness, self-regulation, motivation, empathy and social skills. These competencies justify how people are able to control their emotions and how they relate with other people in the workplace. The knowledge of one's own emotions helps a person to identify his or her emotions and comprehend how the emotions affect behaviour and decisions. Self-regulation enables one to manage impulsive behavior and act in a calm manner when under stressful circumstances. Motivation can be considered as the power to be dedicated to the aims and be positive until the end. Empathy is the ability to empathize with others and their feelings and views, and it is also a way of establishing effective professional relationships. Lastly, social skills enable people to interact well, to solve disputes and work with their coworkers (Cherniss and Goleman, 2001). Studies indicate that employees follow strong leaders with good emotional intelligence competencies more as a motivator and team manager (Van Rooy and Viswesvaran, 2004). Consequently, the model by Goleman has been embraced in numerous training and organisational development programmes in the field of leadership training.</w:t>
      </w:r>
    </w:p>
    <w:p w14:paraId="0000000D" w14:textId="77777777" w:rsidR="00B751F1" w:rsidRPr="00415145" w:rsidRDefault="00000000">
      <w:pPr>
        <w:pStyle w:val="Heading3"/>
        <w:keepNext w:val="0"/>
        <w:keepLines w:val="0"/>
        <w:spacing w:before="280"/>
        <w:jc w:val="both"/>
        <w:rPr>
          <w:rFonts w:eastAsia="Times New Roman"/>
          <w:b/>
          <w:bCs/>
          <w:color w:val="000000"/>
          <w:sz w:val="22"/>
          <w:szCs w:val="22"/>
        </w:rPr>
      </w:pPr>
      <w:bookmarkStart w:id="5" w:name="_ih2u5y4jb6ks" w:colFirst="0" w:colLast="0"/>
      <w:bookmarkEnd w:id="5"/>
      <w:r w:rsidRPr="00415145">
        <w:rPr>
          <w:rFonts w:eastAsia="Times New Roman"/>
          <w:b/>
          <w:bCs/>
          <w:color w:val="000000"/>
          <w:sz w:val="22"/>
          <w:szCs w:val="22"/>
        </w:rPr>
        <w:t>1.3.2 Mayer–Salovey–Caruso Ability Model</w:t>
      </w:r>
    </w:p>
    <w:p w14:paraId="0000000E" w14:textId="04B247FD" w:rsidR="00B751F1" w:rsidRPr="00415145" w:rsidRDefault="00000000">
      <w:pPr>
        <w:spacing w:before="240" w:after="240"/>
        <w:jc w:val="both"/>
        <w:rPr>
          <w:rFonts w:eastAsia="Times New Roman"/>
        </w:rPr>
      </w:pPr>
      <w:r w:rsidRPr="00415145">
        <w:rPr>
          <w:rFonts w:eastAsia="Times New Roman"/>
        </w:rPr>
        <w:t xml:space="preserve">The </w:t>
      </w:r>
      <w:r w:rsidR="003E10F2" w:rsidRPr="00415145">
        <w:rPr>
          <w:rFonts w:eastAsia="Times New Roman"/>
        </w:rPr>
        <w:t>conceptualization</w:t>
      </w:r>
      <w:r w:rsidRPr="00415145">
        <w:rPr>
          <w:rFonts w:eastAsia="Times New Roman"/>
        </w:rPr>
        <w:t xml:space="preserve"> of the idea of emotional intelligence developed by Mayer Salovey-Caruso model </w:t>
      </w:r>
      <w:r w:rsidR="003E10F2" w:rsidRPr="00415145">
        <w:rPr>
          <w:rFonts w:eastAsia="Times New Roman"/>
        </w:rPr>
        <w:t>conceptualizes</w:t>
      </w:r>
      <w:r w:rsidRPr="00415145">
        <w:rPr>
          <w:rFonts w:eastAsia="Times New Roman"/>
        </w:rPr>
        <w:t xml:space="preserve"> emotional intelligence as a cognitive ability in terms of processing emotional information. Mayer and Salovey (1990) hypothesized that emotional intelligence is comprised of four abilities, namely, perceiving, using emotion to help thinking, understanding and managing emotion. The use of emotions entails bringing emotional information to the processes of thinking and decision making. The interpretation of emotional meanings and anticipation of emotional changes are parts of understanding emotions. Managing emotions are control of emotions to facilitate effective behaviour (Mayer, Salovey and Caruso, 2004). The model is popular in scholarly studies since it does not consider emotional intelligence a trait, but a quantifiable skill. Research indicates that such emotional competencies mediate communication, leadership performance and relationship among people in an organisational context (Van Rooy and Viswesvaran, 2004).</w:t>
      </w:r>
    </w:p>
    <w:p w14:paraId="0000000F" w14:textId="77777777" w:rsidR="00B751F1" w:rsidRPr="00415145" w:rsidRDefault="00000000">
      <w:pPr>
        <w:pStyle w:val="Heading3"/>
        <w:keepNext w:val="0"/>
        <w:keepLines w:val="0"/>
        <w:spacing w:before="280"/>
        <w:jc w:val="both"/>
        <w:rPr>
          <w:rFonts w:eastAsia="Times New Roman"/>
          <w:b/>
          <w:bCs/>
          <w:color w:val="000000"/>
          <w:sz w:val="22"/>
          <w:szCs w:val="22"/>
        </w:rPr>
      </w:pPr>
      <w:bookmarkStart w:id="6" w:name="_k4hy1eho88up" w:colFirst="0" w:colLast="0"/>
      <w:bookmarkEnd w:id="6"/>
      <w:r w:rsidRPr="00415145">
        <w:rPr>
          <w:rFonts w:eastAsia="Times New Roman"/>
          <w:b/>
          <w:bCs/>
          <w:color w:val="000000"/>
          <w:sz w:val="22"/>
          <w:szCs w:val="22"/>
        </w:rPr>
        <w:t>1.3.3 Bar-On Emotional Intelligence Model</w:t>
      </w:r>
    </w:p>
    <w:p w14:paraId="00000010" w14:textId="77777777" w:rsidR="00B751F1" w:rsidRPr="00415145" w:rsidRDefault="00000000">
      <w:pPr>
        <w:spacing w:before="240" w:after="240"/>
        <w:jc w:val="both"/>
        <w:rPr>
          <w:rFonts w:eastAsia="Times New Roman"/>
        </w:rPr>
      </w:pPr>
      <w:r w:rsidRPr="00415145">
        <w:rPr>
          <w:rFonts w:eastAsia="Times New Roman"/>
        </w:rPr>
        <w:t xml:space="preserve">The Bar-On model defines emotional intelligence as a complex of emotional and social skills that determine the way people successfully manage pressure of the environment. According to Bar-On (2006), emotional awareness to self, interpersonal relationship, stress management and adaptability are some of the dimensions of emotional intelligence. This model argues that the more emotionally intelligent a person is, the more he or she can handle stress and uphold good relationships and adjust to organisational changes. The competencies empower employees to adequately act to challenges in the work place and be psychologically healthy (Mayer, Salovey and Caruso, 2004). Bar-On model is especially applicable in the organisational context as it dwells on applicable competencies that determine the behaviour in the workplace. As an example, adaptability allows the employees to adapt to changes in the organisation whereas management </w:t>
      </w:r>
      <w:r w:rsidRPr="00415145">
        <w:rPr>
          <w:rFonts w:eastAsia="Times New Roman"/>
        </w:rPr>
        <w:lastRenderedPageBreak/>
        <w:t>of stress allows individuals to produce an output even when they are under pressure (Van Rooy and Viswesvaran, 2004).</w:t>
      </w:r>
    </w:p>
    <w:p w14:paraId="00000011" w14:textId="77777777" w:rsidR="00B751F1" w:rsidRPr="00415145" w:rsidRDefault="00000000">
      <w:pPr>
        <w:pStyle w:val="Heading2"/>
        <w:keepNext w:val="0"/>
        <w:keepLines w:val="0"/>
        <w:spacing w:after="80"/>
        <w:jc w:val="both"/>
        <w:rPr>
          <w:rFonts w:eastAsia="Times New Roman"/>
          <w:b/>
          <w:bCs/>
          <w:sz w:val="22"/>
          <w:szCs w:val="22"/>
        </w:rPr>
      </w:pPr>
      <w:bookmarkStart w:id="7" w:name="_7fozgxql5m3s" w:colFirst="0" w:colLast="0"/>
      <w:bookmarkEnd w:id="7"/>
      <w:r w:rsidRPr="00415145">
        <w:rPr>
          <w:rFonts w:eastAsia="Times New Roman"/>
          <w:b/>
          <w:bCs/>
          <w:sz w:val="22"/>
          <w:szCs w:val="22"/>
        </w:rPr>
        <w:t>1.4 Application of Emotional Intelligence in the Workplace</w:t>
      </w:r>
    </w:p>
    <w:p w14:paraId="00000012" w14:textId="77777777" w:rsidR="00B751F1" w:rsidRPr="00415145" w:rsidRDefault="00000000">
      <w:pPr>
        <w:spacing w:before="240" w:after="240"/>
        <w:jc w:val="both"/>
        <w:rPr>
          <w:rFonts w:eastAsia="Times New Roman"/>
        </w:rPr>
      </w:pPr>
      <w:r w:rsidRPr="00415145">
        <w:rPr>
          <w:rFonts w:eastAsia="Times New Roman"/>
        </w:rPr>
        <w:t>EI is significant towards enhancing the organisational performance as well as the performance of the employees. Emotional intelligence is important in the contemporary work environments where teamwork and collaboration is key and employees dealing with interpersonal relationships and ensuring a productive work environment. Leadership development is one of the key areas of the application of emotional intelligence. Highly emotionally intelligent leaders can more easily motivate employees, develop trust and develop conducive organisational cultures (Goleman, 1998). Emotional leaders are also more effective in team management and taking care of the concerns of their employees.</w:t>
      </w:r>
    </w:p>
    <w:p w14:paraId="00000013" w14:textId="77777777" w:rsidR="00B751F1" w:rsidRPr="00415145" w:rsidRDefault="00000000">
      <w:pPr>
        <w:spacing w:before="240" w:after="240"/>
        <w:jc w:val="both"/>
        <w:rPr>
          <w:rFonts w:eastAsia="Times New Roman"/>
        </w:rPr>
      </w:pPr>
      <w:r w:rsidRPr="00415145">
        <w:rPr>
          <w:rFonts w:eastAsia="Times New Roman"/>
        </w:rPr>
        <w:t>Conflict management is also a good use of emotional intelligence. Conflicts in the workplace usually emerge as a result of disagreements in opinions, personalities or duties. A highly emotionally intelligent employee will understand when emotions are triggered, be able to talk to a person without losing his or her temper and settle disputes in a positive manner (Mayer, Salovey and Caruso, 2004). The other significant use is teamwork. With a high level of emotional intelligence, such employees tend to be much more competent in identifying the views of other employees and collaborating as a team to achieve the organisational objectives (Van Rooy and Viswesvaran, 2004). Also, the emotional intelligence helps in managing stress and wellness of employees. People who have good emotional regulation behavior have more chances of dealing with pressure and continuing to be productive in demanding work circumstances (Bar-On, 2006).</w:t>
      </w:r>
    </w:p>
    <w:p w14:paraId="00000014" w14:textId="77777777" w:rsidR="00B751F1" w:rsidRPr="00415145" w:rsidRDefault="00000000">
      <w:pPr>
        <w:pStyle w:val="Heading2"/>
        <w:keepNext w:val="0"/>
        <w:keepLines w:val="0"/>
        <w:spacing w:after="80"/>
        <w:jc w:val="both"/>
        <w:rPr>
          <w:rFonts w:eastAsia="Times New Roman"/>
          <w:b/>
          <w:bCs/>
          <w:sz w:val="22"/>
          <w:szCs w:val="22"/>
        </w:rPr>
      </w:pPr>
      <w:bookmarkStart w:id="8" w:name="_6hwntxaf3i8f" w:colFirst="0" w:colLast="0"/>
      <w:bookmarkEnd w:id="8"/>
      <w:r w:rsidRPr="00415145">
        <w:rPr>
          <w:rFonts w:eastAsia="Times New Roman"/>
          <w:b/>
          <w:bCs/>
          <w:sz w:val="22"/>
          <w:szCs w:val="22"/>
        </w:rPr>
        <w:t>1.5 Benefits and Limitations of Emotional Intelligence at Work</w:t>
      </w:r>
    </w:p>
    <w:p w14:paraId="00000015" w14:textId="77777777" w:rsidR="00B751F1" w:rsidRPr="00415145" w:rsidRDefault="00000000">
      <w:pPr>
        <w:spacing w:before="240" w:after="240"/>
        <w:jc w:val="both"/>
        <w:rPr>
          <w:rFonts w:eastAsia="Times New Roman"/>
        </w:rPr>
      </w:pPr>
      <w:r w:rsidRPr="00415145">
        <w:rPr>
          <w:rFonts w:eastAsia="Times New Roman"/>
        </w:rPr>
        <w:t>Emotional intelligence has a number of advantages in organisational settings. Better workplace relations are one of the benefits. Employees with high emotional intelligence are able to interact and get to know the views of the workmates and establish healthy professional relationship (Van Rooy and Viswesvaran, 2004). The emotional intelligence also helps in the success of leadership since emotionally intelligent leaders have a more chance of motivating workers, as well as dealing with groups (Goleman, 1998). Nevertheless, emotional intelligence too has its drawbacks. Other scholars believe that, emotional intelligence is similar to personality traits and other psychological constructs hence it is hard to measure it well (Mayer, Salovey and Caruso, 2004). Moreover, most tests of emotional intelligence are based on the self-reported information that is not always relevant to real behaviour. As such, despite the value of the emotional intelligence as a competency in the workplace, it must be regarded in combination with other competencies including professional knowledge, experience and technical skills.</w:t>
      </w:r>
    </w:p>
    <w:p w14:paraId="00000016" w14:textId="77777777" w:rsidR="00B751F1" w:rsidRPr="00415145" w:rsidRDefault="00000000">
      <w:pPr>
        <w:pStyle w:val="Heading1"/>
        <w:keepNext w:val="0"/>
        <w:keepLines w:val="0"/>
        <w:spacing w:before="480"/>
        <w:jc w:val="both"/>
        <w:rPr>
          <w:rFonts w:eastAsia="Times New Roman"/>
          <w:b/>
          <w:bCs/>
          <w:sz w:val="22"/>
          <w:szCs w:val="22"/>
        </w:rPr>
      </w:pPr>
      <w:bookmarkStart w:id="9" w:name="_n7xu8nbo7ero" w:colFirst="0" w:colLast="0"/>
      <w:bookmarkEnd w:id="9"/>
      <w:r w:rsidRPr="00415145">
        <w:rPr>
          <w:rFonts w:eastAsia="Times New Roman"/>
          <w:b/>
          <w:bCs/>
          <w:sz w:val="22"/>
          <w:szCs w:val="22"/>
        </w:rPr>
        <w:t xml:space="preserve">2. Generational Differences in the Workplace </w:t>
      </w:r>
    </w:p>
    <w:p w14:paraId="00000017" w14:textId="77777777" w:rsidR="00B751F1" w:rsidRPr="00415145" w:rsidRDefault="00000000">
      <w:pPr>
        <w:pStyle w:val="Heading2"/>
        <w:keepNext w:val="0"/>
        <w:keepLines w:val="0"/>
        <w:spacing w:after="80"/>
        <w:jc w:val="both"/>
        <w:rPr>
          <w:rFonts w:eastAsia="Times New Roman"/>
          <w:b/>
          <w:bCs/>
          <w:sz w:val="22"/>
          <w:szCs w:val="22"/>
        </w:rPr>
      </w:pPr>
      <w:bookmarkStart w:id="10" w:name="_4krkbvehg9rx" w:colFirst="0" w:colLast="0"/>
      <w:bookmarkEnd w:id="10"/>
      <w:r w:rsidRPr="00415145">
        <w:rPr>
          <w:rFonts w:eastAsia="Times New Roman"/>
          <w:b/>
          <w:bCs/>
          <w:sz w:val="22"/>
          <w:szCs w:val="22"/>
        </w:rPr>
        <w:t xml:space="preserve">2.1 Overview of Workplace Generations </w:t>
      </w:r>
    </w:p>
    <w:p w14:paraId="00000018" w14:textId="77777777" w:rsidR="00B751F1" w:rsidRPr="00415145" w:rsidRDefault="00000000">
      <w:pPr>
        <w:spacing w:before="240" w:after="240"/>
        <w:jc w:val="both"/>
        <w:rPr>
          <w:rFonts w:eastAsia="Times New Roman"/>
        </w:rPr>
      </w:pPr>
      <w:r w:rsidRPr="00415145">
        <w:rPr>
          <w:rFonts w:eastAsia="Times New Roman"/>
        </w:rPr>
        <w:lastRenderedPageBreak/>
        <w:t>In the modern organisations, employees of multiple generations tend to work in the same organisation and this brings diversity in the attitudes, behaviours and expectations at work. Generations are usually characterized as a series of people who have comparable historical and social events in their upbringing (Atkins, 2023; Wyatt and Potage, 2024). These experiences define their values, styles of communication and work preference (Tumala, 2025). As an illustration, Generation X, Millennials (Generation Y) and Generation Z are the most eminent generations that are entering or are already in the labour market (Schroth, 2019). According to the research, generational diversity also has an effect on the organisational culture, leadership style and workplace communication (Heyns, 2018; Stelling et al., 2023). These differences are thus crucial to the managers who aim to establish effective and inclusive working conditions (Murphy, 2014; Zahra, 2025).</w:t>
      </w:r>
    </w:p>
    <w:p w14:paraId="00000019" w14:textId="77777777" w:rsidR="00B751F1" w:rsidRPr="00415145" w:rsidRDefault="00000000">
      <w:pPr>
        <w:pStyle w:val="Heading2"/>
        <w:keepNext w:val="0"/>
        <w:keepLines w:val="0"/>
        <w:spacing w:after="80"/>
        <w:jc w:val="both"/>
        <w:rPr>
          <w:rFonts w:eastAsia="Times New Roman"/>
          <w:b/>
          <w:bCs/>
          <w:sz w:val="22"/>
          <w:szCs w:val="22"/>
        </w:rPr>
      </w:pPr>
      <w:bookmarkStart w:id="11" w:name="_991zy2gagjcy" w:colFirst="0" w:colLast="0"/>
      <w:bookmarkEnd w:id="11"/>
      <w:r w:rsidRPr="00415145">
        <w:rPr>
          <w:rFonts w:eastAsia="Times New Roman"/>
          <w:b/>
          <w:bCs/>
          <w:sz w:val="22"/>
          <w:szCs w:val="22"/>
        </w:rPr>
        <w:t xml:space="preserve">2.2 Characteristics of Generation X </w:t>
      </w:r>
    </w:p>
    <w:p w14:paraId="0000001A" w14:textId="77777777" w:rsidR="00B751F1" w:rsidRPr="00415145" w:rsidRDefault="00000000">
      <w:pPr>
        <w:spacing w:before="240" w:after="240"/>
        <w:jc w:val="both"/>
        <w:rPr>
          <w:rFonts w:eastAsia="Times New Roman"/>
        </w:rPr>
      </w:pPr>
      <w:r w:rsidRPr="00415145">
        <w:rPr>
          <w:rFonts w:eastAsia="Times New Roman"/>
        </w:rPr>
        <w:t>Generation X usually is used to refer to persons born between about 1965 and 1980. The people of this generation were brought up in times of economic instability and technological evolution, which had an effect on their work ethic and self-reliance (Heyns, 2018). It has been proposed that workers of Generation X have higher autonomy, flexibility, and work-life balance values than other generations (Murphy, 2014). They are also described as independent workers who like working alone and owning responsibilities in organisational practices (Atkins, 2023). The generation X employees also possess good problem-solving skills and flexibility due to high rates of such technological changes throughout their employment (Wyatt and Potage, 2024). Most of this generation find both the physical and virtual workplaces comfortable, thus they will be useful to mediate between the older and younger generations (Tumala, 2025). Research shows that generation Y employees are normally more attracted to pragmatic styles of leadership and individuals who have defined organisational hierarchy (Stelling et al., 2023). Moreover, they tend to focus on flexibility and independence, which also prompts organisations to implement more moderate policies in terms of the workplace (Heyns, 2018).</w:t>
      </w:r>
    </w:p>
    <w:p w14:paraId="0000001B" w14:textId="77777777" w:rsidR="00B751F1" w:rsidRPr="00415145" w:rsidRDefault="00000000">
      <w:pPr>
        <w:pStyle w:val="Heading2"/>
        <w:keepNext w:val="0"/>
        <w:keepLines w:val="0"/>
        <w:spacing w:after="80"/>
        <w:jc w:val="both"/>
        <w:rPr>
          <w:rFonts w:eastAsia="Times New Roman"/>
          <w:b/>
          <w:bCs/>
          <w:sz w:val="22"/>
          <w:szCs w:val="22"/>
        </w:rPr>
      </w:pPr>
      <w:bookmarkStart w:id="12" w:name="_e101axj33u12" w:colFirst="0" w:colLast="0"/>
      <w:bookmarkEnd w:id="12"/>
      <w:r w:rsidRPr="00415145">
        <w:rPr>
          <w:rFonts w:eastAsia="Times New Roman"/>
          <w:b/>
          <w:bCs/>
          <w:sz w:val="22"/>
          <w:szCs w:val="22"/>
        </w:rPr>
        <w:t xml:space="preserve">2.3 Characteristics of Generation Y – Millennials </w:t>
      </w:r>
    </w:p>
    <w:p w14:paraId="0000001C" w14:textId="44826E8C" w:rsidR="00B751F1" w:rsidRPr="00415145" w:rsidRDefault="00000000">
      <w:pPr>
        <w:spacing w:before="240" w:after="240"/>
        <w:jc w:val="both"/>
        <w:rPr>
          <w:rFonts w:eastAsia="Times New Roman"/>
        </w:rPr>
      </w:pPr>
      <w:r w:rsidRPr="00415145">
        <w:rPr>
          <w:rFonts w:eastAsia="Times New Roman"/>
        </w:rPr>
        <w:t xml:space="preserve">Generation Y (also known as Millennials) consists of people born around 1981 to the middle of 1990s. The millennials started their careers in the age of a high-tech advance and </w:t>
      </w:r>
      <w:r w:rsidR="003E10F2" w:rsidRPr="00415145">
        <w:rPr>
          <w:rFonts w:eastAsia="Times New Roman"/>
        </w:rPr>
        <w:t>globalization</w:t>
      </w:r>
      <w:r w:rsidRPr="00415145">
        <w:rPr>
          <w:rFonts w:eastAsia="Times New Roman"/>
        </w:rPr>
        <w:t>, and they were largely influenced by the trends on the workplace (Murphy, 2014). Studies report that the Millennials emphasize collaborative work, innovation and valuable work experiences a lot (Wyatt and Potage, 2024). Compared to other generations, Millennials tend to like working in teams and having open communication in organisations (Heyns, 2018). They also become more inclined to pursue the opportunities of never-ending learning and professional development as they attach importance to the personal development and acquisition of skills (Stelling et al., 2023). Research indicates that Millennials are enjoying leadership approaches and constructive managerial feedback (Tumala, 2025). Millennials also tend to focus on work-life balance and other organisational values, including sustainability and social responsibility (Atkins, 2023). They are also more knowledgeable about digital technologies, which has further motivated organisations to embrace more flexible and innovative ways of working (Murphy, 2014).</w:t>
      </w:r>
    </w:p>
    <w:p w14:paraId="0000001D" w14:textId="77777777" w:rsidR="00B751F1" w:rsidRPr="00415145" w:rsidRDefault="00000000">
      <w:pPr>
        <w:pStyle w:val="Heading2"/>
        <w:keepNext w:val="0"/>
        <w:keepLines w:val="0"/>
        <w:spacing w:after="80"/>
        <w:jc w:val="both"/>
        <w:rPr>
          <w:rFonts w:eastAsia="Times New Roman"/>
          <w:b/>
          <w:bCs/>
          <w:sz w:val="22"/>
          <w:szCs w:val="22"/>
        </w:rPr>
      </w:pPr>
      <w:bookmarkStart w:id="13" w:name="_ozl4fchz7r85" w:colFirst="0" w:colLast="0"/>
      <w:bookmarkEnd w:id="13"/>
      <w:r w:rsidRPr="00415145">
        <w:rPr>
          <w:rFonts w:eastAsia="Times New Roman"/>
          <w:b/>
          <w:bCs/>
          <w:sz w:val="22"/>
          <w:szCs w:val="22"/>
        </w:rPr>
        <w:lastRenderedPageBreak/>
        <w:t xml:space="preserve">2.4 Characteristics of Generation Z </w:t>
      </w:r>
    </w:p>
    <w:p w14:paraId="0000001E" w14:textId="77777777" w:rsidR="00B751F1" w:rsidRPr="00415145" w:rsidRDefault="00000000">
      <w:pPr>
        <w:spacing w:before="240" w:after="240"/>
        <w:jc w:val="both"/>
        <w:rPr>
          <w:rFonts w:eastAsia="Times New Roman"/>
        </w:rPr>
      </w:pPr>
      <w:r w:rsidRPr="00415145">
        <w:rPr>
          <w:rFonts w:eastAsia="Times New Roman"/>
        </w:rPr>
        <w:t>Generation Z is used when referring to people born around the end of the 1990s to the beginning of the 2010s. It is frequently called the digital generation as it has been raised with high-tech devices like a smartphone, social media and all-time internet accessibility (Schroth, 2019). Consequently, the Generation Z workers are very accustomed to working on digital devices and technological platforms in the workplace (Zahra, 2025). The studies indicate that the Generation Z appreciates flexibility, creativity and workplace atmosphere that would allow personal expression and innovation (Ozkan and Solmaz, 2015). They also put more emphasis on the work-life balance and mental health than earlier generations (Benítez-Márquez et al., 2022). Research also shows that the representatives of Generation Z tend to like clear leadership models and regular feedback provided by their managers (Schroth, 2019). In addition, the generation Z is characterised by the importance they attribute to the organisational purpose and ethicality, which implies that they will tend to work in organisations that support their own values (Zahra, 2025).</w:t>
      </w:r>
    </w:p>
    <w:p w14:paraId="0000001F" w14:textId="77777777" w:rsidR="00B751F1" w:rsidRPr="00415145" w:rsidRDefault="00000000">
      <w:pPr>
        <w:pStyle w:val="Heading2"/>
        <w:keepNext w:val="0"/>
        <w:keepLines w:val="0"/>
        <w:spacing w:after="80"/>
        <w:jc w:val="both"/>
        <w:rPr>
          <w:rFonts w:eastAsia="Times New Roman"/>
          <w:b/>
          <w:bCs/>
          <w:sz w:val="22"/>
          <w:szCs w:val="22"/>
        </w:rPr>
      </w:pPr>
      <w:bookmarkStart w:id="14" w:name="_kqh0g0uelue5" w:colFirst="0" w:colLast="0"/>
      <w:bookmarkEnd w:id="14"/>
      <w:r w:rsidRPr="00415145">
        <w:rPr>
          <w:rFonts w:eastAsia="Times New Roman"/>
          <w:b/>
          <w:bCs/>
          <w:sz w:val="22"/>
          <w:szCs w:val="22"/>
        </w:rPr>
        <w:t xml:space="preserve">2.5 Impact of Generational Differences on Workplace Behaviour </w:t>
      </w:r>
    </w:p>
    <w:p w14:paraId="00000020" w14:textId="2196BD13" w:rsidR="00B751F1" w:rsidRPr="00415145" w:rsidRDefault="00000000">
      <w:pPr>
        <w:spacing w:before="240" w:after="240"/>
        <w:jc w:val="both"/>
        <w:rPr>
          <w:rFonts w:eastAsia="Times New Roman"/>
        </w:rPr>
      </w:pPr>
      <w:r w:rsidRPr="00415145">
        <w:rPr>
          <w:rFonts w:eastAsia="Times New Roman"/>
        </w:rPr>
        <w:t xml:space="preserve">Generation variations may have a major impact on work behaviour, the forms of communication and organisational patterns. The expectations of employees belonging to the various generations of employees can be different in terms of leadership, motivation to work and career growth (Tumala, 2025). To illustrate, employees of Generation X usually appreciate their independence and flexibility whereas Millennials and Gen Z prefer to see their peers cooperating and using technology (Heyns, 2018). Such differences can cause communication barriers in organisations since employees can </w:t>
      </w:r>
      <w:r w:rsidR="003E10F2" w:rsidRPr="00415145">
        <w:rPr>
          <w:rFonts w:eastAsia="Times New Roman"/>
        </w:rPr>
        <w:t>favor</w:t>
      </w:r>
      <w:r w:rsidRPr="00415145">
        <w:rPr>
          <w:rFonts w:eastAsia="Times New Roman"/>
        </w:rPr>
        <w:t xml:space="preserve"> various types of communication, decision-making and feedback (Murphy, 2014). Nevertheless, there are also beneficial benefits of generational diversity. It is also proposed that the multigenerational teams in the organisations may provide greater variety of perspectives, skills and problem-solving methods (Wyatt and Potage, 2024). Moreover, proper leadership practices that align with generational differences have the ability to enhance both teamwork, engagement, and performance among the employees (Stelling et al., 2023). As a result, managers should work out inclusive strategies that meet different expectations and promote cooperation among the representatives of various generations (Atkins, 2023).</w:t>
      </w:r>
    </w:p>
    <w:p w14:paraId="00000021" w14:textId="77777777" w:rsidR="00B751F1" w:rsidRPr="00415145" w:rsidRDefault="00000000">
      <w:pPr>
        <w:pStyle w:val="Heading1"/>
        <w:keepNext w:val="0"/>
        <w:keepLines w:val="0"/>
        <w:spacing w:before="480"/>
        <w:jc w:val="both"/>
        <w:rPr>
          <w:rFonts w:eastAsia="Times New Roman"/>
          <w:b/>
          <w:bCs/>
          <w:sz w:val="22"/>
          <w:szCs w:val="22"/>
        </w:rPr>
      </w:pPr>
      <w:bookmarkStart w:id="15" w:name="_39lc5rf0lmpo" w:colFirst="0" w:colLast="0"/>
      <w:bookmarkEnd w:id="15"/>
      <w:r w:rsidRPr="00415145">
        <w:rPr>
          <w:rFonts w:eastAsia="Times New Roman"/>
          <w:b/>
          <w:bCs/>
          <w:sz w:val="22"/>
          <w:szCs w:val="22"/>
        </w:rPr>
        <w:t>3. Recommendations</w:t>
      </w:r>
    </w:p>
    <w:p w14:paraId="00000022" w14:textId="77777777" w:rsidR="00B751F1" w:rsidRPr="00415145" w:rsidRDefault="00000000">
      <w:pPr>
        <w:pStyle w:val="Heading2"/>
        <w:keepNext w:val="0"/>
        <w:keepLines w:val="0"/>
        <w:spacing w:after="80"/>
        <w:jc w:val="both"/>
        <w:rPr>
          <w:rFonts w:eastAsia="Times New Roman"/>
          <w:b/>
          <w:bCs/>
          <w:sz w:val="22"/>
          <w:szCs w:val="22"/>
        </w:rPr>
      </w:pPr>
      <w:bookmarkStart w:id="16" w:name="_76mpehgdfvj0" w:colFirst="0" w:colLast="0"/>
      <w:bookmarkEnd w:id="16"/>
      <w:r w:rsidRPr="00415145">
        <w:rPr>
          <w:rFonts w:eastAsia="Times New Roman"/>
          <w:b/>
          <w:bCs/>
          <w:sz w:val="22"/>
          <w:szCs w:val="22"/>
        </w:rPr>
        <w:t xml:space="preserve">3.1 Improving Emotional Intelligence in Organisations </w:t>
      </w:r>
    </w:p>
    <w:p w14:paraId="00000023" w14:textId="77777777" w:rsidR="00B751F1" w:rsidRPr="00415145" w:rsidRDefault="00000000">
      <w:pPr>
        <w:spacing w:before="240" w:after="240"/>
        <w:jc w:val="both"/>
        <w:rPr>
          <w:rFonts w:eastAsia="Times New Roman"/>
        </w:rPr>
      </w:pPr>
      <w:r w:rsidRPr="00415145">
        <w:rPr>
          <w:rFonts w:eastAsia="Times New Roman"/>
        </w:rPr>
        <w:t xml:space="preserve">Structured training programmes ought to be implemented in the organisations to enhance emotional intelligence in employees and managers. The area of emotional intelligence training can improve the following skills: self-awareness, emotional regulation and interpersonal communication as the keys to successful teamwork and leadership (Boyatzis, 2018; Clarke, 2010). Emotional awareness and empathy development and conflict management training sessions can assist employees to understand the presence of emotional triggers and how to act in workplace scenarios more successfully. The other strategic plan is the inclusion of emotional intelligence in programme on leadership development. The studies indicate that emotionally </w:t>
      </w:r>
      <w:r w:rsidRPr="00415145">
        <w:rPr>
          <w:rFonts w:eastAsia="Times New Roman"/>
        </w:rPr>
        <w:lastRenderedPageBreak/>
        <w:t>intelligent leaders can be better motivated to inspire employees, deal with stress and establish positive organisational cultures (Boyatzis, 2018; Miao, Humphrey and Qian, 2017). Mentoring and coaching programmes can also be used to promote emotional intelligence because the employees are given a chance to think about their emotional reactions and interpersonal behaviour. Also, organisations ought to introduce emotional intelligence in performance appraisals and recruitment. The evaluation of emotional competencies in conjunction with technical ones can assist organisations in determining the personalities that are able to establish positive working relationships and facilitate working in teams (Clarke, 2010; Miao, Humphrey and Qian, 2017).</w:t>
      </w:r>
    </w:p>
    <w:p w14:paraId="00000024" w14:textId="77777777" w:rsidR="00B751F1" w:rsidRPr="00415145" w:rsidRDefault="00000000">
      <w:pPr>
        <w:pStyle w:val="Heading2"/>
        <w:keepNext w:val="0"/>
        <w:keepLines w:val="0"/>
        <w:spacing w:after="80"/>
        <w:jc w:val="both"/>
        <w:rPr>
          <w:rFonts w:eastAsia="Times New Roman"/>
          <w:b/>
          <w:bCs/>
          <w:sz w:val="22"/>
          <w:szCs w:val="22"/>
        </w:rPr>
      </w:pPr>
      <w:bookmarkStart w:id="17" w:name="_dtvktkqnytxg" w:colFirst="0" w:colLast="0"/>
      <w:bookmarkEnd w:id="17"/>
      <w:r w:rsidRPr="00415145">
        <w:rPr>
          <w:rFonts w:eastAsia="Times New Roman"/>
          <w:b/>
          <w:bCs/>
          <w:sz w:val="22"/>
          <w:szCs w:val="22"/>
        </w:rPr>
        <w:t xml:space="preserve">3.2 Managing Generational Diversity in the Workplace </w:t>
      </w:r>
    </w:p>
    <w:p w14:paraId="00000025" w14:textId="77777777" w:rsidR="00B751F1" w:rsidRPr="00415145" w:rsidRDefault="00000000">
      <w:pPr>
        <w:spacing w:before="240" w:after="240"/>
        <w:jc w:val="both"/>
        <w:rPr>
          <w:rFonts w:eastAsia="Times New Roman"/>
        </w:rPr>
      </w:pPr>
      <w:r w:rsidRPr="00415145">
        <w:rPr>
          <w:rFonts w:eastAsia="Times New Roman"/>
        </w:rPr>
        <w:t>The generational diversity needs to be managed by organisations having inclusion leadership approaches where the expectations and work preferences of the employees representing different generations are taken into consideration. Managers ought to promote free communication and provide chances where employees exchange ideas and experiences between various generations groups. The studies have shown that cross-generational teamwork enhances organisational learning and sharing of knowledge (Lyons and Kuron, 2014; Costanza et al., 2012). Mentoring programmes between different generations of employees should also be applied in organisations. By using reverse mentoring, when younger employees transfer the knowledge of the technologies to older workers and receive professional advice, the relationships and mutual understanding in the workplace can be enhanced (Lyons and Kuron, 2014). Moreover, organisations need to promote flexible work policies that can meet the various demands of employees related to work-life balance, interactions with technologies and career growth (Parry and Urwin, 2017). Diversity-based and teamwork-oriented leadership approaches are likely to assist organisations to minimize the generational conflict and enhance team performance. Consequently, the successful management of the generational diversity would be able to increase the level of the organisational innovation, engagement of employees as well as the overall productivity of the workplace (Costanza et al., 2012; Rudolph et al., 2020).</w:t>
      </w:r>
    </w:p>
    <w:p w14:paraId="00000026" w14:textId="77777777" w:rsidR="00B751F1" w:rsidRPr="00415145" w:rsidRDefault="00B751F1">
      <w:pPr>
        <w:spacing w:before="240" w:after="240"/>
        <w:jc w:val="both"/>
        <w:rPr>
          <w:rFonts w:eastAsia="Times New Roman"/>
        </w:rPr>
      </w:pPr>
    </w:p>
    <w:p w14:paraId="18B981A3" w14:textId="77777777" w:rsidR="00415145" w:rsidRPr="00415145" w:rsidRDefault="00415145">
      <w:pPr>
        <w:spacing w:before="240" w:after="240"/>
        <w:jc w:val="both"/>
        <w:rPr>
          <w:rFonts w:eastAsia="Times New Roman"/>
        </w:rPr>
      </w:pPr>
    </w:p>
    <w:p w14:paraId="1B12D543" w14:textId="77777777" w:rsidR="00415145" w:rsidRPr="00415145" w:rsidRDefault="00415145">
      <w:pPr>
        <w:spacing w:before="240" w:after="240"/>
        <w:jc w:val="both"/>
        <w:rPr>
          <w:rFonts w:eastAsia="Times New Roman"/>
        </w:rPr>
      </w:pPr>
    </w:p>
    <w:p w14:paraId="6A6F5C97" w14:textId="77777777" w:rsidR="00415145" w:rsidRPr="00415145" w:rsidRDefault="00415145">
      <w:pPr>
        <w:spacing w:before="240" w:after="240"/>
        <w:jc w:val="both"/>
        <w:rPr>
          <w:rFonts w:eastAsia="Times New Roman"/>
        </w:rPr>
      </w:pPr>
    </w:p>
    <w:p w14:paraId="2AFD243F" w14:textId="77777777" w:rsidR="00415145" w:rsidRPr="00415145" w:rsidRDefault="00415145">
      <w:pPr>
        <w:spacing w:before="240" w:after="240"/>
        <w:jc w:val="both"/>
        <w:rPr>
          <w:rFonts w:eastAsia="Times New Roman"/>
        </w:rPr>
      </w:pPr>
    </w:p>
    <w:p w14:paraId="3FC6EBEF" w14:textId="77777777" w:rsidR="00415145" w:rsidRPr="00415145" w:rsidRDefault="00415145">
      <w:pPr>
        <w:spacing w:before="240" w:after="240"/>
        <w:jc w:val="both"/>
        <w:rPr>
          <w:rFonts w:eastAsia="Times New Roman"/>
        </w:rPr>
      </w:pPr>
    </w:p>
    <w:p w14:paraId="79C044CA" w14:textId="77777777" w:rsidR="00415145" w:rsidRPr="00415145" w:rsidRDefault="00415145">
      <w:pPr>
        <w:spacing w:before="240" w:after="240"/>
        <w:jc w:val="both"/>
        <w:rPr>
          <w:rFonts w:eastAsia="Times New Roman"/>
        </w:rPr>
      </w:pPr>
    </w:p>
    <w:p w14:paraId="285A6E3F" w14:textId="77777777" w:rsidR="00415145" w:rsidRPr="00415145" w:rsidRDefault="00415145">
      <w:pPr>
        <w:spacing w:before="240" w:after="240"/>
        <w:jc w:val="both"/>
        <w:rPr>
          <w:rFonts w:eastAsia="Times New Roman"/>
        </w:rPr>
      </w:pPr>
    </w:p>
    <w:p w14:paraId="42E1AEDC" w14:textId="77777777" w:rsidR="00415145" w:rsidRPr="00415145" w:rsidRDefault="00415145">
      <w:pPr>
        <w:spacing w:before="240" w:after="240"/>
        <w:jc w:val="both"/>
        <w:rPr>
          <w:rFonts w:eastAsia="Times New Roman"/>
        </w:rPr>
      </w:pPr>
    </w:p>
    <w:p w14:paraId="2C142ABD" w14:textId="77777777" w:rsidR="00415145" w:rsidRPr="00415145" w:rsidRDefault="00415145">
      <w:pPr>
        <w:spacing w:before="240" w:after="240"/>
        <w:jc w:val="both"/>
        <w:rPr>
          <w:rFonts w:eastAsia="Times New Roman"/>
        </w:rPr>
      </w:pPr>
    </w:p>
    <w:p w14:paraId="0559BCCA" w14:textId="6C2458FC" w:rsidR="00415145" w:rsidRPr="00415145" w:rsidRDefault="00415145" w:rsidP="00415145">
      <w:pPr>
        <w:spacing w:after="240" w:line="360" w:lineRule="auto"/>
        <w:outlineLvl w:val="0"/>
        <w:rPr>
          <w:rFonts w:eastAsia="Times New Roman"/>
          <w:b/>
          <w:bCs/>
          <w:kern w:val="36"/>
          <w:lang w:val="en-US"/>
        </w:rPr>
      </w:pPr>
      <w:r w:rsidRPr="00415145">
        <w:rPr>
          <w:rFonts w:eastAsia="Times New Roman"/>
          <w:b/>
          <w:bCs/>
          <w:kern w:val="36"/>
          <w:lang w:val="en-US"/>
        </w:rPr>
        <w:t xml:space="preserve">Reference </w:t>
      </w:r>
    </w:p>
    <w:p w14:paraId="5EAC430F" w14:textId="5035F2AF" w:rsidR="00415145" w:rsidRDefault="00415145" w:rsidP="00415145">
      <w:pPr>
        <w:spacing w:after="240" w:line="360" w:lineRule="auto"/>
        <w:rPr>
          <w:rFonts w:eastAsia="Times New Roman"/>
          <w:lang w:val="en-US"/>
        </w:rPr>
      </w:pPr>
      <w:r w:rsidRPr="00415145">
        <w:rPr>
          <w:rFonts w:eastAsia="Times New Roman"/>
          <w:lang w:val="en-US"/>
        </w:rPr>
        <w:t xml:space="preserve">Atkins, S. (2023). </w:t>
      </w:r>
      <w:r w:rsidRPr="00415145">
        <w:rPr>
          <w:rFonts w:eastAsia="Times New Roman"/>
          <w:i/>
          <w:iCs/>
          <w:lang w:val="en-US"/>
        </w:rPr>
        <w:t>Generational Differences in Perceived and Ideal Organizational Culture - ProQuest</w:t>
      </w:r>
      <w:r w:rsidRPr="00415145">
        <w:rPr>
          <w:rFonts w:eastAsia="Times New Roman"/>
          <w:lang w:val="en-US"/>
        </w:rPr>
        <w:t xml:space="preserve">. [online] Proquest.com. Available at: </w:t>
      </w:r>
      <w:hyperlink r:id="rId7" w:history="1">
        <w:r w:rsidR="000A390B" w:rsidRPr="00F824A9">
          <w:rPr>
            <w:rStyle w:val="Hyperlink"/>
            <w:rFonts w:eastAsia="Times New Roman"/>
            <w:lang w:val="en-US"/>
          </w:rPr>
          <w:t>https://search.proquest.com/openview/b1f3b295b155881a4d3924dd1976fc68/1?pq-origsite=gscholar&amp;cbl=18750&amp;diss=y</w:t>
        </w:r>
      </w:hyperlink>
      <w:r w:rsidRPr="00415145">
        <w:rPr>
          <w:rFonts w:eastAsia="Times New Roman"/>
          <w:lang w:val="en-US"/>
        </w:rPr>
        <w:t>.</w:t>
      </w:r>
    </w:p>
    <w:p w14:paraId="119580B3" w14:textId="77F4DB51" w:rsidR="00415145" w:rsidRDefault="00415145" w:rsidP="00415145">
      <w:pPr>
        <w:spacing w:after="240" w:line="360" w:lineRule="auto"/>
        <w:rPr>
          <w:rFonts w:eastAsia="Times New Roman"/>
          <w:lang w:val="en-US"/>
        </w:rPr>
      </w:pPr>
      <w:r w:rsidRPr="00415145">
        <w:rPr>
          <w:rFonts w:eastAsia="Times New Roman"/>
          <w:lang w:val="en-US"/>
        </w:rPr>
        <w:t xml:space="preserve">Bar-On, R. (2006). </w:t>
      </w:r>
      <w:r w:rsidRPr="00415145">
        <w:rPr>
          <w:rFonts w:eastAsia="Times New Roman"/>
          <w:i/>
          <w:iCs/>
          <w:lang w:val="en-US"/>
        </w:rPr>
        <w:t>The Bar-On model of emotional-social intelligence (ESI)’, Psicothema, 18(Suppl), pp. 13–25.</w:t>
      </w:r>
      <w:r w:rsidRPr="00415145">
        <w:rPr>
          <w:rFonts w:eastAsia="Times New Roman"/>
          <w:lang w:val="en-US"/>
        </w:rPr>
        <w:t xml:space="preserve"> [online] Available at: </w:t>
      </w:r>
      <w:hyperlink r:id="rId8" w:history="1">
        <w:r w:rsidR="000A390B" w:rsidRPr="00F824A9">
          <w:rPr>
            <w:rStyle w:val="Hyperlink"/>
            <w:rFonts w:eastAsia="Times New Roman"/>
            <w:lang w:val="en-US"/>
          </w:rPr>
          <w:t>https://www.redalyc.org/pdf/727/72709503.pdf</w:t>
        </w:r>
      </w:hyperlink>
      <w:r w:rsidRPr="00415145">
        <w:rPr>
          <w:rFonts w:eastAsia="Times New Roman"/>
          <w:lang w:val="en-US"/>
        </w:rPr>
        <w:t>.</w:t>
      </w:r>
    </w:p>
    <w:p w14:paraId="2F771C3C" w14:textId="6B9D4007" w:rsidR="00415145" w:rsidRPr="00415145" w:rsidRDefault="00415145" w:rsidP="00415145">
      <w:pPr>
        <w:spacing w:after="240" w:line="360" w:lineRule="auto"/>
        <w:rPr>
          <w:rFonts w:eastAsia="Times New Roman"/>
          <w:lang w:val="en-US"/>
        </w:rPr>
      </w:pPr>
      <w:r w:rsidRPr="00415145">
        <w:rPr>
          <w:rFonts w:eastAsia="Times New Roman"/>
          <w:lang w:val="en-US"/>
        </w:rPr>
        <w:t xml:space="preserve">Benítez-Márquez, M.D., Sánchez-Teba, E.M., Bermúdez-González, G. and Núñez-Rydman, E.S. (2022). Generation Z within the Workforce and in the Workplace: A Bibliometric Analysis. </w:t>
      </w:r>
      <w:r w:rsidRPr="00415145">
        <w:rPr>
          <w:rFonts w:eastAsia="Times New Roman"/>
          <w:i/>
          <w:iCs/>
          <w:lang w:val="en-US"/>
        </w:rPr>
        <w:t>Frontiers in Psychology</w:t>
      </w:r>
      <w:r w:rsidRPr="00415145">
        <w:rPr>
          <w:rFonts w:eastAsia="Times New Roman"/>
          <w:lang w:val="en-US"/>
        </w:rPr>
        <w:t>, 12(1).</w:t>
      </w:r>
    </w:p>
    <w:p w14:paraId="513E697B" w14:textId="62617C95" w:rsidR="000A390B" w:rsidRPr="00415145" w:rsidRDefault="00415145" w:rsidP="00415145">
      <w:pPr>
        <w:spacing w:after="240" w:line="360" w:lineRule="auto"/>
        <w:rPr>
          <w:rFonts w:eastAsia="Times New Roman"/>
          <w:lang w:val="en-US"/>
        </w:rPr>
      </w:pPr>
      <w:r w:rsidRPr="00415145">
        <w:rPr>
          <w:rFonts w:eastAsia="Times New Roman"/>
          <w:lang w:val="en-US"/>
        </w:rPr>
        <w:t xml:space="preserve">Boyatzis, R.E. (2018). The Behavioral Level of Emotional Intelligence and Its Measurement. </w:t>
      </w:r>
      <w:r w:rsidRPr="00415145">
        <w:rPr>
          <w:rFonts w:eastAsia="Times New Roman"/>
          <w:i/>
          <w:iCs/>
          <w:lang w:val="en-US"/>
        </w:rPr>
        <w:t>Frontiers in Psychology</w:t>
      </w:r>
      <w:r w:rsidRPr="00415145">
        <w:rPr>
          <w:rFonts w:eastAsia="Times New Roman"/>
          <w:lang w:val="en-US"/>
        </w:rPr>
        <w:t xml:space="preserve">, [online] 9(9). </w:t>
      </w:r>
      <w:proofErr w:type="spellStart"/>
      <w:proofErr w:type="gramStart"/>
      <w:r w:rsidRPr="00415145">
        <w:rPr>
          <w:rFonts w:eastAsia="Times New Roman"/>
          <w:lang w:val="en-US"/>
        </w:rPr>
        <w:t>doi:https</w:t>
      </w:r>
      <w:proofErr w:type="spellEnd"/>
      <w:r w:rsidRPr="00415145">
        <w:rPr>
          <w:rFonts w:eastAsia="Times New Roman"/>
          <w:lang w:val="en-US"/>
        </w:rPr>
        <w:t>://doi.org/10.3389/fpsyg.2018.01438</w:t>
      </w:r>
      <w:proofErr w:type="gramEnd"/>
      <w:r w:rsidRPr="00415145">
        <w:rPr>
          <w:rFonts w:eastAsia="Times New Roman"/>
          <w:lang w:val="en-US"/>
        </w:rPr>
        <w:t>.</w:t>
      </w:r>
    </w:p>
    <w:p w14:paraId="4518D974" w14:textId="6CF54A37" w:rsidR="00415145" w:rsidRDefault="00415145" w:rsidP="00415145">
      <w:pPr>
        <w:spacing w:after="240" w:line="360" w:lineRule="auto"/>
        <w:rPr>
          <w:rFonts w:eastAsia="Times New Roman"/>
          <w:lang w:val="en-US"/>
        </w:rPr>
      </w:pPr>
      <w:r w:rsidRPr="00415145">
        <w:rPr>
          <w:rFonts w:eastAsia="Times New Roman"/>
          <w:lang w:val="en-US"/>
        </w:rPr>
        <w:t xml:space="preserve">Cherniss, C. and Goleman, D. (2001). </w:t>
      </w:r>
      <w:r w:rsidRPr="00415145">
        <w:rPr>
          <w:rFonts w:eastAsia="Times New Roman"/>
          <w:i/>
          <w:iCs/>
          <w:lang w:val="en-US"/>
        </w:rPr>
        <w:t>The Emotionally Intelligent Workplace: How to Select for, Measure, and Improve Emotional Intelligence in Individuals, Groups, and Organizations</w:t>
      </w:r>
      <w:r w:rsidRPr="00415145">
        <w:rPr>
          <w:rFonts w:eastAsia="Times New Roman"/>
          <w:lang w:val="en-US"/>
        </w:rPr>
        <w:t xml:space="preserve">. [online] ResearchGate. Available at: </w:t>
      </w:r>
      <w:hyperlink r:id="rId9" w:history="1">
        <w:r w:rsidR="000A390B" w:rsidRPr="00F824A9">
          <w:rPr>
            <w:rStyle w:val="Hyperlink"/>
            <w:rFonts w:eastAsia="Times New Roman"/>
            <w:lang w:val="en-US"/>
          </w:rPr>
          <w:t>https://www.researchgate.net/publication/40942935_The_Emotionally_Intelligent_Workplace_How_to_Select_for_Measure_and_Improve_Emotional_Intelligence_in_Individuals_Groups_and_Organizations</w:t>
        </w:r>
      </w:hyperlink>
      <w:r w:rsidRPr="00415145">
        <w:rPr>
          <w:rFonts w:eastAsia="Times New Roman"/>
          <w:lang w:val="en-US"/>
        </w:rPr>
        <w:t>.</w:t>
      </w:r>
    </w:p>
    <w:p w14:paraId="655AFEEC" w14:textId="0C396693" w:rsidR="00415145" w:rsidRDefault="00415145" w:rsidP="00415145">
      <w:pPr>
        <w:spacing w:after="240" w:line="360" w:lineRule="auto"/>
        <w:rPr>
          <w:rFonts w:eastAsia="Times New Roman"/>
          <w:lang w:val="en-US"/>
        </w:rPr>
      </w:pPr>
      <w:r w:rsidRPr="00415145">
        <w:rPr>
          <w:rFonts w:eastAsia="Times New Roman"/>
          <w:lang w:val="en-US"/>
        </w:rPr>
        <w:t xml:space="preserve">Clarke, N. (2010). </w:t>
      </w:r>
      <w:r w:rsidRPr="00415145">
        <w:rPr>
          <w:rFonts w:eastAsia="Times New Roman"/>
          <w:i/>
          <w:iCs/>
          <w:lang w:val="en-US"/>
        </w:rPr>
        <w:t>The Impact of Emotional Intelligence on Leadership Competencies Development of Employees</w:t>
      </w:r>
      <w:r w:rsidRPr="00415145">
        <w:rPr>
          <w:rFonts w:eastAsia="Times New Roman"/>
          <w:lang w:val="en-US"/>
        </w:rPr>
        <w:t xml:space="preserve">. [online] ResearchGate. Available at: </w:t>
      </w:r>
      <w:hyperlink r:id="rId10" w:history="1">
        <w:r w:rsidR="000A390B" w:rsidRPr="00F824A9">
          <w:rPr>
            <w:rStyle w:val="Hyperlink"/>
            <w:rFonts w:eastAsia="Times New Roman"/>
            <w:lang w:val="en-US"/>
          </w:rPr>
          <w:t>https://www.researchgate.net/publication/273205109_The_Impact_of_Emotional_Intelligence_on_Leadership_Competencies_Development_of_Employees</w:t>
        </w:r>
      </w:hyperlink>
      <w:r w:rsidRPr="00415145">
        <w:rPr>
          <w:rFonts w:eastAsia="Times New Roman"/>
          <w:lang w:val="en-US"/>
        </w:rPr>
        <w:t>.</w:t>
      </w:r>
    </w:p>
    <w:p w14:paraId="54C96098" w14:textId="4C8B85A1" w:rsidR="000A390B" w:rsidRPr="00415145" w:rsidRDefault="00415145" w:rsidP="00415145">
      <w:pPr>
        <w:spacing w:after="240" w:line="360" w:lineRule="auto"/>
        <w:rPr>
          <w:rFonts w:eastAsia="Times New Roman"/>
          <w:lang w:val="en-US"/>
        </w:rPr>
      </w:pPr>
      <w:r w:rsidRPr="00415145">
        <w:rPr>
          <w:rFonts w:eastAsia="Times New Roman"/>
          <w:lang w:val="en-US"/>
        </w:rPr>
        <w:t xml:space="preserve">Coronado Maldonado, I. and Márquez, M.-D.B. (2023). Emotional intelligence, leadership, and work teams: a hybrid literature review. </w:t>
      </w:r>
      <w:r w:rsidRPr="00415145">
        <w:rPr>
          <w:rFonts w:eastAsia="Times New Roman"/>
          <w:i/>
          <w:iCs/>
          <w:lang w:val="en-US"/>
        </w:rPr>
        <w:t>Heliyon</w:t>
      </w:r>
      <w:r w:rsidRPr="00415145">
        <w:rPr>
          <w:rFonts w:eastAsia="Times New Roman"/>
          <w:lang w:val="en-US"/>
        </w:rPr>
        <w:t xml:space="preserve">, [online] 9(10), pp.1–19. </w:t>
      </w:r>
      <w:proofErr w:type="spellStart"/>
      <w:r w:rsidRPr="00415145">
        <w:rPr>
          <w:rFonts w:eastAsia="Times New Roman"/>
          <w:lang w:val="en-US"/>
        </w:rPr>
        <w:t>doi:https</w:t>
      </w:r>
      <w:proofErr w:type="spellEnd"/>
      <w:r w:rsidRPr="00415145">
        <w:rPr>
          <w:rFonts w:eastAsia="Times New Roman"/>
          <w:lang w:val="en-US"/>
        </w:rPr>
        <w:t>://doi.org/10.1016/j.heliyon.2023.e20356.</w:t>
      </w:r>
    </w:p>
    <w:p w14:paraId="67D9814C" w14:textId="77777777" w:rsidR="00415145" w:rsidRPr="00415145" w:rsidRDefault="00415145" w:rsidP="00415145">
      <w:pPr>
        <w:spacing w:after="240" w:line="360" w:lineRule="auto"/>
        <w:rPr>
          <w:rFonts w:eastAsia="Times New Roman"/>
          <w:lang w:val="en-US"/>
        </w:rPr>
      </w:pPr>
      <w:r w:rsidRPr="00415145">
        <w:rPr>
          <w:rFonts w:eastAsia="Times New Roman"/>
          <w:lang w:val="en-US"/>
        </w:rPr>
        <w:lastRenderedPageBreak/>
        <w:t xml:space="preserve">Costanza, D.P. (2012). </w:t>
      </w:r>
      <w:r w:rsidRPr="00415145">
        <w:rPr>
          <w:rFonts w:eastAsia="Times New Roman"/>
          <w:i/>
          <w:iCs/>
          <w:lang w:val="en-US"/>
        </w:rPr>
        <w:t>‘Generational differences in work-related attitudes: A meta-analysis’, Journal of Business and Psychology, 27(4), pp. 375–394.</w:t>
      </w:r>
      <w:r w:rsidRPr="00415145">
        <w:rPr>
          <w:rFonts w:eastAsia="Times New Roman"/>
          <w:lang w:val="en-US"/>
        </w:rPr>
        <w:t xml:space="preserve"> [online] psycnet.apa.org. Available at: https://psycnet.apa.org/record/2012-30193-001.</w:t>
      </w:r>
    </w:p>
    <w:p w14:paraId="1E4227A3"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Drigas, A. and Papoutsi, C. (2018). A new layered model on emotional intelligence. </w:t>
      </w:r>
      <w:r w:rsidRPr="00415145">
        <w:rPr>
          <w:rFonts w:eastAsia="Times New Roman"/>
          <w:i/>
          <w:iCs/>
          <w:lang w:val="en-US"/>
        </w:rPr>
        <w:t>Behavioral Sciences</w:t>
      </w:r>
      <w:r w:rsidRPr="00415145">
        <w:rPr>
          <w:rFonts w:eastAsia="Times New Roman"/>
          <w:lang w:val="en-US"/>
        </w:rPr>
        <w:t>, 8(5), p.45. doi:https://doi.org/10.3390/bs8050045.</w:t>
      </w:r>
    </w:p>
    <w:p w14:paraId="6AF768AF"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Goleman, D. (1998). </w:t>
      </w:r>
      <w:r w:rsidRPr="00415145">
        <w:rPr>
          <w:rFonts w:eastAsia="Times New Roman"/>
          <w:i/>
          <w:iCs/>
          <w:lang w:val="en-US"/>
        </w:rPr>
        <w:t>Working with Emotional Intelligence</w:t>
      </w:r>
      <w:r w:rsidRPr="00415145">
        <w:rPr>
          <w:rFonts w:eastAsia="Times New Roman"/>
          <w:lang w:val="en-US"/>
        </w:rPr>
        <w:t>. [online] Available at: https://www.schoolofeducators.com/wp-content/uploads/2008/07/emotional-intelligence.pdf.</w:t>
      </w:r>
    </w:p>
    <w:p w14:paraId="307804ED"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Heyns, M.M. and Kerr, M.D. (2018). Generational differences in workplace motivation. </w:t>
      </w:r>
      <w:r w:rsidRPr="00415145">
        <w:rPr>
          <w:rFonts w:eastAsia="Times New Roman"/>
          <w:i/>
          <w:iCs/>
          <w:lang w:val="en-US"/>
        </w:rPr>
        <w:t>SA Journal of Human Resource Management</w:t>
      </w:r>
      <w:r w:rsidRPr="00415145">
        <w:rPr>
          <w:rFonts w:eastAsia="Times New Roman"/>
          <w:lang w:val="en-US"/>
        </w:rPr>
        <w:t>, 16(0). doi:https://doi.org/10.4102/sajhrm.v16i0.967.</w:t>
      </w:r>
    </w:p>
    <w:p w14:paraId="0761BB9D"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Lyons, S. and Kuron, L. (2014). Generational differences in the workplace: A review of the evidence and directions for future research. </w:t>
      </w:r>
      <w:r w:rsidRPr="00415145">
        <w:rPr>
          <w:rFonts w:eastAsia="Times New Roman"/>
          <w:i/>
          <w:iCs/>
          <w:lang w:val="en-US"/>
        </w:rPr>
        <w:t>Journal of Organizational Behavior</w:t>
      </w:r>
      <w:r w:rsidRPr="00415145">
        <w:rPr>
          <w:rFonts w:eastAsia="Times New Roman"/>
          <w:lang w:val="en-US"/>
        </w:rPr>
        <w:t>, [online] 35(S1), pp.139–157. doi:https://doi.org/10.1002/job.1913.</w:t>
      </w:r>
    </w:p>
    <w:p w14:paraId="4B671C66"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Mayer, J.D., Salovey, P. and Caruso, D.R. (2004). Emotional intelligence: Theory, findings, and Implications. </w:t>
      </w:r>
      <w:r w:rsidRPr="00415145">
        <w:rPr>
          <w:rFonts w:eastAsia="Times New Roman"/>
          <w:i/>
          <w:iCs/>
          <w:lang w:val="en-US"/>
        </w:rPr>
        <w:t>Psychological Inquiry</w:t>
      </w:r>
      <w:r w:rsidRPr="00415145">
        <w:rPr>
          <w:rFonts w:eastAsia="Times New Roman"/>
          <w:lang w:val="en-US"/>
        </w:rPr>
        <w:t>, [online] 15(3), pp.197–215. doi:https://doi.org/10.1207/s15327965pli1503_02.</w:t>
      </w:r>
    </w:p>
    <w:p w14:paraId="4DB94EE5"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Miao, C., Humphrey, R.H. and Qian, S. (2017). A meta-analysis of emotional intelligence and work attitudes. </w:t>
      </w:r>
      <w:r w:rsidRPr="00415145">
        <w:rPr>
          <w:rFonts w:eastAsia="Times New Roman"/>
          <w:i/>
          <w:iCs/>
          <w:lang w:val="en-US"/>
        </w:rPr>
        <w:t>Journal of Occupational and Organizational Psychology</w:t>
      </w:r>
      <w:r w:rsidRPr="00415145">
        <w:rPr>
          <w:rFonts w:eastAsia="Times New Roman"/>
          <w:lang w:val="en-US"/>
        </w:rPr>
        <w:t>, 90(2), pp.177–202.</w:t>
      </w:r>
    </w:p>
    <w:p w14:paraId="591478DD"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Murphy, W.M. (2014). Reverse mentoring at work: Fostering cross-generational learning and developing millennial leaders. </w:t>
      </w:r>
      <w:r w:rsidRPr="00415145">
        <w:rPr>
          <w:rFonts w:eastAsia="Times New Roman"/>
          <w:i/>
          <w:iCs/>
          <w:lang w:val="en-US"/>
        </w:rPr>
        <w:t>Human Resource Management</w:t>
      </w:r>
      <w:r w:rsidRPr="00415145">
        <w:rPr>
          <w:rFonts w:eastAsia="Times New Roman"/>
          <w:lang w:val="en-US"/>
        </w:rPr>
        <w:t>, [online] 51(4), pp.549–573. doi:https://doi.org/10.1002/hrm.21489.</w:t>
      </w:r>
    </w:p>
    <w:p w14:paraId="016D8FAE"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Ozkan, M. and Solmaz, B. (2015). The Changing Face of the Employees – Generation Z and Their Perceptions of Work (A Study Applied to University Students). </w:t>
      </w:r>
      <w:r w:rsidRPr="00415145">
        <w:rPr>
          <w:rFonts w:eastAsia="Times New Roman"/>
          <w:i/>
          <w:iCs/>
          <w:lang w:val="en-US"/>
        </w:rPr>
        <w:t>Procedia Economics and Finance</w:t>
      </w:r>
      <w:r w:rsidRPr="00415145">
        <w:rPr>
          <w:rFonts w:eastAsia="Times New Roman"/>
          <w:lang w:val="en-US"/>
        </w:rPr>
        <w:t>, [online] 26(26), pp.476–483. doi:https://doi.org/10.1016/s2212-5671(15)00876-x.</w:t>
      </w:r>
    </w:p>
    <w:p w14:paraId="632DAE12"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Parry, E. (2017). </w:t>
      </w:r>
      <w:r w:rsidRPr="00415145">
        <w:rPr>
          <w:rFonts w:eastAsia="Times New Roman"/>
          <w:i/>
          <w:iCs/>
          <w:lang w:val="en-US"/>
        </w:rPr>
        <w:t>The evidence base for generational differences: Where do we go from here?’, Work, Aging and Retirement, 3(2), pp. 140–148.</w:t>
      </w:r>
      <w:r w:rsidRPr="00415145">
        <w:rPr>
          <w:rFonts w:eastAsia="Times New Roman"/>
          <w:lang w:val="en-US"/>
        </w:rPr>
        <w:t xml:space="preserve"> [online] Available at: https://academic.oup.com/workar/article-pdf/doi/10.1093/workar/waw037/10928745/waw037.pdf.</w:t>
      </w:r>
    </w:p>
    <w:p w14:paraId="6A7BDAA7" w14:textId="77777777" w:rsidR="00415145" w:rsidRPr="00415145" w:rsidRDefault="00415145" w:rsidP="00415145">
      <w:pPr>
        <w:spacing w:after="240" w:line="360" w:lineRule="auto"/>
        <w:rPr>
          <w:rFonts w:eastAsia="Times New Roman"/>
          <w:lang w:val="en-US"/>
        </w:rPr>
      </w:pPr>
      <w:r w:rsidRPr="00415145">
        <w:rPr>
          <w:rFonts w:eastAsia="Times New Roman"/>
          <w:lang w:val="en-US"/>
        </w:rPr>
        <w:lastRenderedPageBreak/>
        <w:t xml:space="preserve">Rudolph, C.W., Rauvola, R.S. and Zacher, H. (2018). Leadership and generations at work: A critical review. </w:t>
      </w:r>
      <w:r w:rsidRPr="00415145">
        <w:rPr>
          <w:rFonts w:eastAsia="Times New Roman"/>
          <w:i/>
          <w:iCs/>
          <w:lang w:val="en-US"/>
        </w:rPr>
        <w:t>The Leadership Quarterly</w:t>
      </w:r>
      <w:r w:rsidRPr="00415145">
        <w:rPr>
          <w:rFonts w:eastAsia="Times New Roman"/>
          <w:lang w:val="en-US"/>
        </w:rPr>
        <w:t>, [online] 29(1), pp.44–57. doi:https://doi.org/10.1016/j.leaqua.2017.09.004.</w:t>
      </w:r>
    </w:p>
    <w:p w14:paraId="2C803679"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Salovey, P. and Mayer, J.D. (1990). Emotional Intelligence. </w:t>
      </w:r>
      <w:r w:rsidRPr="00415145">
        <w:rPr>
          <w:rFonts w:eastAsia="Times New Roman"/>
          <w:i/>
          <w:iCs/>
          <w:lang w:val="en-US"/>
        </w:rPr>
        <w:t>Imagination, Cognition and Personality</w:t>
      </w:r>
      <w:r w:rsidRPr="00415145">
        <w:rPr>
          <w:rFonts w:eastAsia="Times New Roman"/>
          <w:lang w:val="en-US"/>
        </w:rPr>
        <w:t>, [online] 9(3), pp.185–211. doi:https://doi.org/10.2190/DUGG-P24E-52WK-6CDG.</w:t>
      </w:r>
    </w:p>
    <w:p w14:paraId="4DB698D2"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Schroth, H. (2019). Are You Ready for Gen Z in the Workplace? </w:t>
      </w:r>
      <w:r w:rsidRPr="00415145">
        <w:rPr>
          <w:rFonts w:eastAsia="Times New Roman"/>
          <w:i/>
          <w:iCs/>
          <w:lang w:val="en-US"/>
        </w:rPr>
        <w:t>California Management Review</w:t>
      </w:r>
      <w:r w:rsidRPr="00415145">
        <w:rPr>
          <w:rFonts w:eastAsia="Times New Roman"/>
          <w:lang w:val="en-US"/>
        </w:rPr>
        <w:t>, 61(3), pp.5–18. doi:https://doi.org/10.1177/0008125619841006.</w:t>
      </w:r>
    </w:p>
    <w:p w14:paraId="71119A76"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Stelling, C. (2023). </w:t>
      </w:r>
      <w:r w:rsidRPr="00415145">
        <w:rPr>
          <w:rFonts w:eastAsia="Times New Roman"/>
          <w:i/>
          <w:iCs/>
          <w:lang w:val="en-US"/>
        </w:rPr>
        <w:t>Understanding Generational Differences in the Workplace: Findings and Conclusions</w:t>
      </w:r>
      <w:r w:rsidRPr="00415145">
        <w:rPr>
          <w:rFonts w:eastAsia="Times New Roman"/>
          <w:lang w:val="en-US"/>
        </w:rPr>
        <w:t>. [online] Available at: https://irc.queensu.ca/wp-content/uploads/2013/10/articles_understanding-generational-differences-in-the-workplace-findings-and-conclusions.pdf.</w:t>
      </w:r>
    </w:p>
    <w:p w14:paraId="4B5F8977"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Van Rooy, D.L. and Viswesvaran, C. (2004). Emotional intelligence: A meta-analytic investigation of predictive validity and nomological net. </w:t>
      </w:r>
      <w:r w:rsidRPr="00415145">
        <w:rPr>
          <w:rFonts w:eastAsia="Times New Roman"/>
          <w:i/>
          <w:iCs/>
          <w:lang w:val="en-US"/>
        </w:rPr>
        <w:t>Journal of Vocational Behavior</w:t>
      </w:r>
      <w:r w:rsidRPr="00415145">
        <w:rPr>
          <w:rFonts w:eastAsia="Times New Roman"/>
          <w:lang w:val="en-US"/>
        </w:rPr>
        <w:t>, 65(1), pp.71–95. doi:https://doi.org/10.1016/s0001-8791(03)00076-9.</w:t>
      </w:r>
    </w:p>
    <w:p w14:paraId="2B2989F3" w14:textId="77777777" w:rsidR="00415145" w:rsidRPr="00415145" w:rsidRDefault="00415145" w:rsidP="00415145">
      <w:pPr>
        <w:spacing w:after="240" w:line="360" w:lineRule="auto"/>
        <w:rPr>
          <w:rFonts w:eastAsia="Times New Roman"/>
          <w:lang w:val="en-US"/>
        </w:rPr>
      </w:pPr>
      <w:r w:rsidRPr="00415145">
        <w:rPr>
          <w:rFonts w:eastAsia="Times New Roman"/>
          <w:lang w:val="en-US"/>
        </w:rPr>
        <w:t xml:space="preserve">Zahra, S.A., Handoyo, S. and Fajrianthi, F. (2025). A comprehensive overview of Generation Z in the workplace: Insights from a scoping review. </w:t>
      </w:r>
      <w:r w:rsidRPr="00415145">
        <w:rPr>
          <w:rFonts w:eastAsia="Times New Roman"/>
          <w:i/>
          <w:iCs/>
          <w:lang w:val="en-US"/>
        </w:rPr>
        <w:t>SA Journal of Industrial Psychology</w:t>
      </w:r>
      <w:r w:rsidRPr="00415145">
        <w:rPr>
          <w:rFonts w:eastAsia="Times New Roman"/>
          <w:lang w:val="en-US"/>
        </w:rPr>
        <w:t>, [online] 51(0), p.11. Available at: https://sajip.co.za/index.php/sajip/article/view/2263/4293.</w:t>
      </w:r>
    </w:p>
    <w:p w14:paraId="6AE9D0DE" w14:textId="77777777" w:rsidR="00415145" w:rsidRPr="00415145" w:rsidRDefault="00415145">
      <w:pPr>
        <w:spacing w:before="240" w:after="240"/>
        <w:jc w:val="both"/>
        <w:rPr>
          <w:rFonts w:eastAsia="Times New Roman"/>
        </w:rPr>
      </w:pPr>
    </w:p>
    <w:sectPr w:rsidR="00415145" w:rsidRPr="00415145" w:rsidSect="003E10F2">
      <w:footerReference w:type="default" r:id="rId11"/>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289E1" w14:textId="77777777" w:rsidR="00D26202" w:rsidRDefault="00D26202" w:rsidP="003E10F2">
      <w:pPr>
        <w:spacing w:line="240" w:lineRule="auto"/>
      </w:pPr>
      <w:r>
        <w:separator/>
      </w:r>
    </w:p>
  </w:endnote>
  <w:endnote w:type="continuationSeparator" w:id="0">
    <w:p w14:paraId="7A0D1B4B" w14:textId="77777777" w:rsidR="00D26202" w:rsidRDefault="00D26202" w:rsidP="003E10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embedRegular r:id="rId1" w:fontKey="{DD54D4B1-D396-4CC5-90E5-A711D3F685A1}"/>
  </w:font>
  <w:font w:name="Cambria">
    <w:panose1 w:val="02040503050406030204"/>
    <w:charset w:val="00"/>
    <w:family w:val="roman"/>
    <w:pitch w:val="variable"/>
    <w:sig w:usb0="E00006FF" w:usb1="420024FF" w:usb2="02000000" w:usb3="00000000" w:csb0="0000019F" w:csb1="00000000"/>
    <w:embedRegular r:id="rId2" w:fontKey="{D39498CB-302F-4D24-BE2B-E8B454DB36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573716"/>
      <w:docPartObj>
        <w:docPartGallery w:val="Page Numbers (Bottom of Page)"/>
        <w:docPartUnique/>
      </w:docPartObj>
    </w:sdtPr>
    <w:sdtEndPr>
      <w:rPr>
        <w:noProof/>
      </w:rPr>
    </w:sdtEndPr>
    <w:sdtContent>
      <w:p w14:paraId="73BA21E4" w14:textId="5FA98862" w:rsidR="003E10F2" w:rsidRDefault="003E10F2">
        <w:pPr>
          <w:pStyle w:val="Footer"/>
        </w:pPr>
        <w:r>
          <w:fldChar w:fldCharType="begin"/>
        </w:r>
        <w:r>
          <w:instrText xml:space="preserve"> PAGE   \* MERGEFORMAT </w:instrText>
        </w:r>
        <w:r>
          <w:fldChar w:fldCharType="separate"/>
        </w:r>
        <w:r>
          <w:rPr>
            <w:noProof/>
          </w:rPr>
          <w:t>2</w:t>
        </w:r>
        <w:r>
          <w:rPr>
            <w:noProof/>
          </w:rPr>
          <w:fldChar w:fldCharType="end"/>
        </w:r>
      </w:p>
    </w:sdtContent>
  </w:sdt>
  <w:p w14:paraId="2EAC5941" w14:textId="77777777" w:rsidR="003E10F2" w:rsidRDefault="003E1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04A81" w14:textId="77777777" w:rsidR="00D26202" w:rsidRDefault="00D26202" w:rsidP="003E10F2">
      <w:pPr>
        <w:spacing w:line="240" w:lineRule="auto"/>
      </w:pPr>
      <w:r>
        <w:separator/>
      </w:r>
    </w:p>
  </w:footnote>
  <w:footnote w:type="continuationSeparator" w:id="0">
    <w:p w14:paraId="056409FF" w14:textId="77777777" w:rsidR="00D26202" w:rsidRDefault="00D26202" w:rsidP="003E10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1F1"/>
    <w:rsid w:val="000175E1"/>
    <w:rsid w:val="000A390B"/>
    <w:rsid w:val="000E7FB2"/>
    <w:rsid w:val="0014471C"/>
    <w:rsid w:val="003E10F2"/>
    <w:rsid w:val="00415145"/>
    <w:rsid w:val="005862F5"/>
    <w:rsid w:val="007C19E6"/>
    <w:rsid w:val="00B751F1"/>
    <w:rsid w:val="00CD6629"/>
    <w:rsid w:val="00D26202"/>
    <w:rsid w:val="00E2147E"/>
    <w:rsid w:val="00E63DD0"/>
    <w:rsid w:val="00EF1E5A"/>
    <w:rsid w:val="00F60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C8C80"/>
  <w15:docId w15:val="{BE1F614F-D667-49BD-B9AB-079D62F1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E10F2"/>
    <w:pPr>
      <w:tabs>
        <w:tab w:val="center" w:pos="4680"/>
        <w:tab w:val="right" w:pos="9360"/>
      </w:tabs>
      <w:spacing w:line="240" w:lineRule="auto"/>
    </w:pPr>
  </w:style>
  <w:style w:type="character" w:customStyle="1" w:styleId="HeaderChar">
    <w:name w:val="Header Char"/>
    <w:basedOn w:val="DefaultParagraphFont"/>
    <w:link w:val="Header"/>
    <w:uiPriority w:val="99"/>
    <w:rsid w:val="003E10F2"/>
  </w:style>
  <w:style w:type="paragraph" w:styleId="Footer">
    <w:name w:val="footer"/>
    <w:basedOn w:val="Normal"/>
    <w:link w:val="FooterChar"/>
    <w:uiPriority w:val="99"/>
    <w:unhideWhenUsed/>
    <w:rsid w:val="003E10F2"/>
    <w:pPr>
      <w:tabs>
        <w:tab w:val="center" w:pos="4680"/>
        <w:tab w:val="right" w:pos="9360"/>
      </w:tabs>
      <w:spacing w:line="240" w:lineRule="auto"/>
    </w:pPr>
  </w:style>
  <w:style w:type="character" w:customStyle="1" w:styleId="FooterChar">
    <w:name w:val="Footer Char"/>
    <w:basedOn w:val="DefaultParagraphFont"/>
    <w:link w:val="Footer"/>
    <w:uiPriority w:val="99"/>
    <w:rsid w:val="003E10F2"/>
  </w:style>
  <w:style w:type="paragraph" w:customStyle="1" w:styleId="TableParagraph">
    <w:name w:val="Table Paragraph"/>
    <w:basedOn w:val="Normal"/>
    <w:uiPriority w:val="1"/>
    <w:qFormat/>
    <w:rsid w:val="000A390B"/>
    <w:pPr>
      <w:widowControl w:val="0"/>
      <w:autoSpaceDE w:val="0"/>
      <w:autoSpaceDN w:val="0"/>
      <w:spacing w:line="240" w:lineRule="auto"/>
    </w:pPr>
    <w:rPr>
      <w:rFonts w:ascii="Arial MT" w:eastAsia="Arial MT" w:hAnsi="Arial MT" w:cs="Arial MT"/>
      <w:lang w:val="en-US"/>
    </w:rPr>
  </w:style>
  <w:style w:type="character" w:styleId="Hyperlink">
    <w:name w:val="Hyperlink"/>
    <w:basedOn w:val="DefaultParagraphFont"/>
    <w:uiPriority w:val="99"/>
    <w:unhideWhenUsed/>
    <w:rsid w:val="000A390B"/>
    <w:rPr>
      <w:color w:val="0000FF" w:themeColor="hyperlink"/>
      <w:u w:val="single"/>
    </w:rPr>
  </w:style>
  <w:style w:type="character" w:styleId="UnresolvedMention">
    <w:name w:val="Unresolved Mention"/>
    <w:basedOn w:val="DefaultParagraphFont"/>
    <w:uiPriority w:val="99"/>
    <w:semiHidden/>
    <w:unhideWhenUsed/>
    <w:rsid w:val="000A39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dalyc.org/pdf/727/72709503.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earch.proquest.com/openview/b1f3b295b155881a4d3924dd1976fc68/1?pq-origsite=gscholar&amp;cbl=18750&amp;diss=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researchgate.net/publication/273205109_The_Impact_of_Emotional_Intelligence_on_Leadership_Competencies_Development_of_Employees" TargetMode="External"/><Relationship Id="rId4" Type="http://schemas.openxmlformats.org/officeDocument/2006/relationships/footnotes" Target="footnotes.xml"/><Relationship Id="rId9" Type="http://schemas.openxmlformats.org/officeDocument/2006/relationships/hyperlink" Target="https://www.researchgate.net/publication/40942935_The_Emotionally_Intelligent_Workplace_How_to_Select_for_Measure_and_Improve_Emotional_Intelligence_in_Individuals_Groups_and_Organization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4501</Words>
  <Characters>25661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gertie vidot</dc:creator>
  <cp:lastModifiedBy>gertie vidot</cp:lastModifiedBy>
  <cp:revision>2</cp:revision>
  <dcterms:created xsi:type="dcterms:W3CDTF">2026-04-22T12:31:00Z</dcterms:created>
  <dcterms:modified xsi:type="dcterms:W3CDTF">2026-04-22T12:31:00Z</dcterms:modified>
</cp:coreProperties>
</file>