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F21CA0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E2605">
        <w:rPr>
          <w:rFonts w:asciiTheme="minorBidi" w:hAnsiTheme="minorBidi"/>
          <w:sz w:val="28"/>
          <w:szCs w:val="28"/>
        </w:rPr>
        <w:t>Sharon McGrane</w:t>
      </w:r>
    </w:p>
    <w:p w14:paraId="485B6F49" w14:textId="61E5932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E2605">
        <w:rPr>
          <w:rFonts w:asciiTheme="minorBidi" w:hAnsiTheme="minorBidi"/>
          <w:sz w:val="28"/>
          <w:szCs w:val="28"/>
        </w:rPr>
        <w:t>2533624</w:t>
      </w:r>
    </w:p>
    <w:p w14:paraId="3C1E7A20" w14:textId="707975E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E2605">
        <w:rPr>
          <w:rFonts w:asciiTheme="minorBidi" w:hAnsiTheme="minorBidi"/>
          <w:sz w:val="28"/>
          <w:szCs w:val="28"/>
        </w:rPr>
        <w:t>LCHS 4001</w:t>
      </w:r>
    </w:p>
    <w:p w14:paraId="4EEB2DA3" w14:textId="490166ED" w:rsidR="00ED5964" w:rsidRDefault="00ED5964" w:rsidP="00ED5964">
      <w:pPr>
        <w:jc w:val="both"/>
        <w:rPr>
          <w:rFonts w:asciiTheme="minorBidi" w:hAnsiTheme="minorBidi"/>
          <w:sz w:val="28"/>
          <w:szCs w:val="28"/>
        </w:rPr>
      </w:pPr>
      <w:r>
        <w:rPr>
          <w:rFonts w:asciiTheme="minorBidi" w:hAnsiTheme="minorBidi"/>
          <w:sz w:val="28"/>
          <w:szCs w:val="28"/>
        </w:rPr>
        <w:t>Module:</w:t>
      </w:r>
      <w:r w:rsidR="005E2605">
        <w:rPr>
          <w:rFonts w:asciiTheme="minorBidi" w:hAnsiTheme="minorBidi"/>
          <w:sz w:val="28"/>
          <w:szCs w:val="28"/>
        </w:rPr>
        <w:t xml:space="preserve">  Academic and Employability Skills</w:t>
      </w:r>
      <w:r>
        <w:rPr>
          <w:rFonts w:asciiTheme="minorBidi" w:hAnsiTheme="minorBidi"/>
          <w:sz w:val="28"/>
          <w:szCs w:val="28"/>
        </w:rPr>
        <w:t xml:space="preserve"> </w:t>
      </w:r>
    </w:p>
    <w:p w14:paraId="112342CB" w14:textId="492CEDF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E2605">
        <w:rPr>
          <w:rFonts w:asciiTheme="minorBidi" w:hAnsiTheme="minorBidi"/>
          <w:sz w:val="28"/>
          <w:szCs w:val="28"/>
        </w:rPr>
        <w:t>Oluwadamilola Tayo</w:t>
      </w:r>
    </w:p>
    <w:p w14:paraId="5CD5D9EF" w14:textId="0E5D6751" w:rsidR="005E2605" w:rsidRDefault="005E2605" w:rsidP="00ED5964">
      <w:pPr>
        <w:jc w:val="both"/>
        <w:rPr>
          <w:rFonts w:asciiTheme="minorBidi" w:hAnsiTheme="minorBidi"/>
          <w:sz w:val="28"/>
          <w:szCs w:val="28"/>
        </w:rPr>
      </w:pPr>
      <w:r>
        <w:rPr>
          <w:rFonts w:asciiTheme="minorBidi" w:hAnsiTheme="minorBidi"/>
          <w:sz w:val="28"/>
          <w:szCs w:val="28"/>
        </w:rPr>
        <w:t xml:space="preserve">Word Count: </w:t>
      </w:r>
      <w:r w:rsidR="00627934">
        <w:rPr>
          <w:rFonts w:asciiTheme="minorBidi" w:hAnsiTheme="minorBidi"/>
          <w:sz w:val="28"/>
          <w:szCs w:val="28"/>
        </w:rPr>
        <w:t>1</w:t>
      </w:r>
      <w:r w:rsidR="003D5DE6">
        <w:rPr>
          <w:rFonts w:asciiTheme="minorBidi" w:hAnsiTheme="minorBidi"/>
          <w:sz w:val="28"/>
          <w:szCs w:val="28"/>
        </w:rPr>
        <w:t>2</w:t>
      </w:r>
      <w:r w:rsidR="005554DE">
        <w:rPr>
          <w:rFonts w:asciiTheme="minorBidi" w:hAnsiTheme="minorBidi"/>
          <w:sz w:val="28"/>
          <w:szCs w:val="28"/>
        </w:rPr>
        <w:t>65</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FE1AD0A"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E2605">
        <w:rPr>
          <w:rFonts w:asciiTheme="minorBidi" w:hAnsiTheme="minorBidi"/>
          <w:sz w:val="28"/>
          <w:szCs w:val="28"/>
        </w:rPr>
        <w:t>1</w:t>
      </w:r>
      <w:r w:rsidR="00E53185">
        <w:rPr>
          <w:rFonts w:asciiTheme="minorBidi" w:hAnsiTheme="minorBidi"/>
          <w:sz w:val="28"/>
          <w:szCs w:val="28"/>
        </w:rPr>
        <w:t>9</w:t>
      </w:r>
      <w:r w:rsidR="005E2605" w:rsidRPr="005E2605">
        <w:rPr>
          <w:rFonts w:asciiTheme="minorBidi" w:hAnsiTheme="minorBidi"/>
          <w:sz w:val="28"/>
          <w:szCs w:val="28"/>
          <w:vertAlign w:val="superscript"/>
        </w:rPr>
        <w:t>th</w:t>
      </w:r>
      <w:r w:rsidR="005E2605">
        <w:rPr>
          <w:rFonts w:asciiTheme="minorBidi" w:hAnsiTheme="minorBidi"/>
          <w:sz w:val="28"/>
          <w:szCs w:val="28"/>
        </w:rPr>
        <w:t xml:space="preserve"> April 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455746" w:rsidRDefault="00ED5964" w:rsidP="00ED5964">
      <w:pPr>
        <w:jc w:val="both"/>
        <w:rPr>
          <w:rFonts w:ascii="Arial" w:hAnsi="Arial" w:cs="Arial"/>
          <w:sz w:val="28"/>
          <w:szCs w:val="28"/>
        </w:rPr>
      </w:pPr>
    </w:p>
    <w:sdt>
      <w:sdtPr>
        <w:rPr>
          <w:rFonts w:eastAsiaTheme="minorEastAsia" w:cstheme="minorBidi"/>
          <w:b w:val="0"/>
          <w:color w:val="0D0D0D" w:themeColor="text1" w:themeTint="F2"/>
          <w:sz w:val="20"/>
          <w:szCs w:val="22"/>
        </w:rPr>
        <w:id w:val="2020266449"/>
        <w:docPartObj>
          <w:docPartGallery w:val="Table of Contents"/>
          <w:docPartUnique/>
        </w:docPartObj>
      </w:sdtPr>
      <w:sdtEndPr>
        <w:rPr>
          <w:bCs/>
          <w:noProof/>
          <w:color w:val="auto"/>
        </w:rPr>
      </w:sdtEndPr>
      <w:sdtContent>
        <w:p w14:paraId="5CD0D7E6" w14:textId="1797F8EE" w:rsidR="003C73C0" w:rsidRPr="003C73C0" w:rsidRDefault="003C73C0" w:rsidP="003C73C0">
          <w:pPr>
            <w:pStyle w:val="Heading1"/>
            <w:rPr>
              <w:color w:val="0D0D0D" w:themeColor="text1" w:themeTint="F2"/>
            </w:rPr>
          </w:pPr>
          <w:r w:rsidRPr="003C73C0">
            <w:rPr>
              <w:color w:val="0D0D0D" w:themeColor="text1" w:themeTint="F2"/>
            </w:rPr>
            <w:t>Contents</w:t>
          </w:r>
        </w:p>
        <w:p w14:paraId="58E3867A" w14:textId="71A66F76" w:rsidR="003C73C0" w:rsidRPr="003C73C0" w:rsidRDefault="003C73C0">
          <w:pPr>
            <w:pStyle w:val="TOC1"/>
            <w:tabs>
              <w:tab w:val="right" w:leader="dot" w:pos="9016"/>
            </w:tabs>
            <w:rPr>
              <w:rFonts w:asciiTheme="minorHAnsi" w:hAnsiTheme="minorHAnsi" w:cstheme="minorBidi"/>
              <w:b w:val="0"/>
              <w:bCs w:val="0"/>
              <w:i w:val="0"/>
              <w:iCs w:val="0"/>
              <w:noProof/>
              <w:color w:val="0D0D0D" w:themeColor="text1" w:themeTint="F2"/>
              <w:lang w:eastAsia="en-GB"/>
            </w:rPr>
          </w:pPr>
          <w:r w:rsidRPr="003C73C0">
            <w:rPr>
              <w:color w:val="0D0D0D" w:themeColor="text1" w:themeTint="F2"/>
            </w:rPr>
            <w:fldChar w:fldCharType="begin"/>
          </w:r>
          <w:r w:rsidRPr="003C73C0">
            <w:rPr>
              <w:color w:val="0D0D0D" w:themeColor="text1" w:themeTint="F2"/>
            </w:rPr>
            <w:instrText xml:space="preserve"> TOC \o "1-3" \h \z \u </w:instrText>
          </w:r>
          <w:r w:rsidRPr="003C73C0">
            <w:rPr>
              <w:color w:val="0D0D0D" w:themeColor="text1" w:themeTint="F2"/>
            </w:rPr>
            <w:fldChar w:fldCharType="separate"/>
          </w:r>
          <w:hyperlink w:anchor="_Toc227520958" w:history="1">
            <w:r w:rsidRPr="003C73C0">
              <w:rPr>
                <w:rStyle w:val="Hyperlink"/>
                <w:noProof/>
                <w:color w:val="0D0D0D" w:themeColor="text1" w:themeTint="F2"/>
              </w:rPr>
              <w:t>Introduction</w:t>
            </w:r>
            <w:r w:rsidRPr="003C73C0">
              <w:rPr>
                <w:noProof/>
                <w:webHidden/>
                <w:color w:val="0D0D0D" w:themeColor="text1" w:themeTint="F2"/>
              </w:rPr>
              <w:tab/>
            </w:r>
            <w:r w:rsidRPr="003C73C0">
              <w:rPr>
                <w:noProof/>
                <w:webHidden/>
                <w:color w:val="0D0D0D" w:themeColor="text1" w:themeTint="F2"/>
              </w:rPr>
              <w:fldChar w:fldCharType="begin"/>
            </w:r>
            <w:r w:rsidRPr="003C73C0">
              <w:rPr>
                <w:noProof/>
                <w:webHidden/>
                <w:color w:val="0D0D0D" w:themeColor="text1" w:themeTint="F2"/>
              </w:rPr>
              <w:instrText xml:space="preserve"> PAGEREF _Toc227520958 \h </w:instrText>
            </w:r>
            <w:r w:rsidRPr="003C73C0">
              <w:rPr>
                <w:noProof/>
                <w:webHidden/>
                <w:color w:val="0D0D0D" w:themeColor="text1" w:themeTint="F2"/>
              </w:rPr>
            </w:r>
            <w:r w:rsidRPr="003C73C0">
              <w:rPr>
                <w:noProof/>
                <w:webHidden/>
                <w:color w:val="0D0D0D" w:themeColor="text1" w:themeTint="F2"/>
              </w:rPr>
              <w:fldChar w:fldCharType="separate"/>
            </w:r>
            <w:r w:rsidRPr="003C73C0">
              <w:rPr>
                <w:noProof/>
                <w:webHidden/>
                <w:color w:val="0D0D0D" w:themeColor="text1" w:themeTint="F2"/>
              </w:rPr>
              <w:t>3</w:t>
            </w:r>
            <w:r w:rsidRPr="003C73C0">
              <w:rPr>
                <w:noProof/>
                <w:webHidden/>
                <w:color w:val="0D0D0D" w:themeColor="text1" w:themeTint="F2"/>
              </w:rPr>
              <w:fldChar w:fldCharType="end"/>
            </w:r>
          </w:hyperlink>
        </w:p>
        <w:p w14:paraId="2BAAE391" w14:textId="6D3A1C07" w:rsidR="003C73C0" w:rsidRPr="003C73C0" w:rsidRDefault="003C73C0">
          <w:pPr>
            <w:pStyle w:val="TOC1"/>
            <w:tabs>
              <w:tab w:val="right" w:leader="dot" w:pos="9016"/>
            </w:tabs>
            <w:rPr>
              <w:rFonts w:asciiTheme="minorHAnsi" w:hAnsiTheme="minorHAnsi" w:cstheme="minorBidi"/>
              <w:b w:val="0"/>
              <w:bCs w:val="0"/>
              <w:i w:val="0"/>
              <w:iCs w:val="0"/>
              <w:noProof/>
              <w:color w:val="0D0D0D" w:themeColor="text1" w:themeTint="F2"/>
              <w:lang w:eastAsia="en-GB"/>
            </w:rPr>
          </w:pPr>
          <w:hyperlink w:anchor="_Toc227520959" w:history="1">
            <w:r w:rsidRPr="003C73C0">
              <w:rPr>
                <w:rStyle w:val="Hyperlink"/>
                <w:noProof/>
                <w:color w:val="0D0D0D" w:themeColor="text1" w:themeTint="F2"/>
              </w:rPr>
              <w:t>A Social Worker in the Health and Social Care Field</w:t>
            </w:r>
            <w:r w:rsidRPr="003C73C0">
              <w:rPr>
                <w:noProof/>
                <w:webHidden/>
                <w:color w:val="0D0D0D" w:themeColor="text1" w:themeTint="F2"/>
              </w:rPr>
              <w:tab/>
            </w:r>
            <w:r w:rsidRPr="003C73C0">
              <w:rPr>
                <w:noProof/>
                <w:webHidden/>
                <w:color w:val="0D0D0D" w:themeColor="text1" w:themeTint="F2"/>
              </w:rPr>
              <w:fldChar w:fldCharType="begin"/>
            </w:r>
            <w:r w:rsidRPr="003C73C0">
              <w:rPr>
                <w:noProof/>
                <w:webHidden/>
                <w:color w:val="0D0D0D" w:themeColor="text1" w:themeTint="F2"/>
              </w:rPr>
              <w:instrText xml:space="preserve"> PAGEREF _Toc227520959 \h </w:instrText>
            </w:r>
            <w:r w:rsidRPr="003C73C0">
              <w:rPr>
                <w:noProof/>
                <w:webHidden/>
                <w:color w:val="0D0D0D" w:themeColor="text1" w:themeTint="F2"/>
              </w:rPr>
            </w:r>
            <w:r w:rsidRPr="003C73C0">
              <w:rPr>
                <w:noProof/>
                <w:webHidden/>
                <w:color w:val="0D0D0D" w:themeColor="text1" w:themeTint="F2"/>
              </w:rPr>
              <w:fldChar w:fldCharType="separate"/>
            </w:r>
            <w:r w:rsidRPr="003C73C0">
              <w:rPr>
                <w:noProof/>
                <w:webHidden/>
                <w:color w:val="0D0D0D" w:themeColor="text1" w:themeTint="F2"/>
              </w:rPr>
              <w:t>3</w:t>
            </w:r>
            <w:r w:rsidRPr="003C73C0">
              <w:rPr>
                <w:noProof/>
                <w:webHidden/>
                <w:color w:val="0D0D0D" w:themeColor="text1" w:themeTint="F2"/>
              </w:rPr>
              <w:fldChar w:fldCharType="end"/>
            </w:r>
          </w:hyperlink>
        </w:p>
        <w:p w14:paraId="55E90512" w14:textId="11A2B136" w:rsidR="003C73C0" w:rsidRPr="003C73C0" w:rsidRDefault="003C73C0">
          <w:pPr>
            <w:pStyle w:val="TOC1"/>
            <w:tabs>
              <w:tab w:val="right" w:leader="dot" w:pos="9016"/>
            </w:tabs>
            <w:rPr>
              <w:rFonts w:asciiTheme="minorHAnsi" w:hAnsiTheme="minorHAnsi" w:cstheme="minorBidi"/>
              <w:b w:val="0"/>
              <w:bCs w:val="0"/>
              <w:i w:val="0"/>
              <w:iCs w:val="0"/>
              <w:noProof/>
              <w:color w:val="0D0D0D" w:themeColor="text1" w:themeTint="F2"/>
              <w:lang w:eastAsia="en-GB"/>
            </w:rPr>
          </w:pPr>
          <w:hyperlink w:anchor="_Toc227520960" w:history="1">
            <w:r w:rsidRPr="003C73C0">
              <w:rPr>
                <w:rStyle w:val="Hyperlink"/>
                <w:noProof/>
                <w:color w:val="0D0D0D" w:themeColor="text1" w:themeTint="F2"/>
              </w:rPr>
              <w:t>Description of a Social Worker in Health and Social Care</w:t>
            </w:r>
            <w:r w:rsidRPr="003C73C0">
              <w:rPr>
                <w:noProof/>
                <w:webHidden/>
                <w:color w:val="0D0D0D" w:themeColor="text1" w:themeTint="F2"/>
              </w:rPr>
              <w:tab/>
            </w:r>
            <w:r w:rsidRPr="003C73C0">
              <w:rPr>
                <w:noProof/>
                <w:webHidden/>
                <w:color w:val="0D0D0D" w:themeColor="text1" w:themeTint="F2"/>
              </w:rPr>
              <w:fldChar w:fldCharType="begin"/>
            </w:r>
            <w:r w:rsidRPr="003C73C0">
              <w:rPr>
                <w:noProof/>
                <w:webHidden/>
                <w:color w:val="0D0D0D" w:themeColor="text1" w:themeTint="F2"/>
              </w:rPr>
              <w:instrText xml:space="preserve"> PAGEREF _Toc227520960 \h </w:instrText>
            </w:r>
            <w:r w:rsidRPr="003C73C0">
              <w:rPr>
                <w:noProof/>
                <w:webHidden/>
                <w:color w:val="0D0D0D" w:themeColor="text1" w:themeTint="F2"/>
              </w:rPr>
            </w:r>
            <w:r w:rsidRPr="003C73C0">
              <w:rPr>
                <w:noProof/>
                <w:webHidden/>
                <w:color w:val="0D0D0D" w:themeColor="text1" w:themeTint="F2"/>
              </w:rPr>
              <w:fldChar w:fldCharType="separate"/>
            </w:r>
            <w:r w:rsidRPr="003C73C0">
              <w:rPr>
                <w:noProof/>
                <w:webHidden/>
                <w:color w:val="0D0D0D" w:themeColor="text1" w:themeTint="F2"/>
              </w:rPr>
              <w:t>3</w:t>
            </w:r>
            <w:r w:rsidRPr="003C73C0">
              <w:rPr>
                <w:noProof/>
                <w:webHidden/>
                <w:color w:val="0D0D0D" w:themeColor="text1" w:themeTint="F2"/>
              </w:rPr>
              <w:fldChar w:fldCharType="end"/>
            </w:r>
          </w:hyperlink>
        </w:p>
        <w:p w14:paraId="677463BF" w14:textId="0AC2D28F" w:rsidR="003C73C0" w:rsidRPr="003C73C0" w:rsidRDefault="003C73C0">
          <w:pPr>
            <w:pStyle w:val="TOC1"/>
            <w:tabs>
              <w:tab w:val="right" w:leader="dot" w:pos="9016"/>
            </w:tabs>
            <w:rPr>
              <w:rFonts w:asciiTheme="minorHAnsi" w:hAnsiTheme="minorHAnsi" w:cstheme="minorBidi"/>
              <w:b w:val="0"/>
              <w:bCs w:val="0"/>
              <w:i w:val="0"/>
              <w:iCs w:val="0"/>
              <w:noProof/>
              <w:color w:val="0D0D0D" w:themeColor="text1" w:themeTint="F2"/>
              <w:lang w:eastAsia="en-GB"/>
            </w:rPr>
          </w:pPr>
          <w:hyperlink w:anchor="_Toc227520961" w:history="1">
            <w:r w:rsidRPr="003C73C0">
              <w:rPr>
                <w:rStyle w:val="Hyperlink"/>
                <w:noProof/>
                <w:color w:val="0D0D0D" w:themeColor="text1" w:themeTint="F2"/>
              </w:rPr>
              <w:t>Explanation of Most Significant Skills Needed for a Social Worker in Health and Social Care</w:t>
            </w:r>
            <w:r w:rsidRPr="003C73C0">
              <w:rPr>
                <w:noProof/>
                <w:webHidden/>
                <w:color w:val="0D0D0D" w:themeColor="text1" w:themeTint="F2"/>
              </w:rPr>
              <w:tab/>
            </w:r>
            <w:r w:rsidRPr="003C73C0">
              <w:rPr>
                <w:noProof/>
                <w:webHidden/>
                <w:color w:val="0D0D0D" w:themeColor="text1" w:themeTint="F2"/>
              </w:rPr>
              <w:fldChar w:fldCharType="begin"/>
            </w:r>
            <w:r w:rsidRPr="003C73C0">
              <w:rPr>
                <w:noProof/>
                <w:webHidden/>
                <w:color w:val="0D0D0D" w:themeColor="text1" w:themeTint="F2"/>
              </w:rPr>
              <w:instrText xml:space="preserve"> PAGEREF _Toc227520961 \h </w:instrText>
            </w:r>
            <w:r w:rsidRPr="003C73C0">
              <w:rPr>
                <w:noProof/>
                <w:webHidden/>
                <w:color w:val="0D0D0D" w:themeColor="text1" w:themeTint="F2"/>
              </w:rPr>
            </w:r>
            <w:r w:rsidRPr="003C73C0">
              <w:rPr>
                <w:noProof/>
                <w:webHidden/>
                <w:color w:val="0D0D0D" w:themeColor="text1" w:themeTint="F2"/>
              </w:rPr>
              <w:fldChar w:fldCharType="separate"/>
            </w:r>
            <w:r w:rsidRPr="003C73C0">
              <w:rPr>
                <w:noProof/>
                <w:webHidden/>
                <w:color w:val="0D0D0D" w:themeColor="text1" w:themeTint="F2"/>
              </w:rPr>
              <w:t>3</w:t>
            </w:r>
            <w:r w:rsidRPr="003C73C0">
              <w:rPr>
                <w:noProof/>
                <w:webHidden/>
                <w:color w:val="0D0D0D" w:themeColor="text1" w:themeTint="F2"/>
              </w:rPr>
              <w:fldChar w:fldCharType="end"/>
            </w:r>
          </w:hyperlink>
        </w:p>
        <w:p w14:paraId="772378EA" w14:textId="7FCE4AB8" w:rsidR="003C73C0" w:rsidRPr="003C73C0" w:rsidRDefault="003C73C0">
          <w:pPr>
            <w:pStyle w:val="TOC1"/>
            <w:tabs>
              <w:tab w:val="right" w:leader="dot" w:pos="9016"/>
            </w:tabs>
            <w:rPr>
              <w:rFonts w:asciiTheme="minorHAnsi" w:hAnsiTheme="minorHAnsi" w:cstheme="minorBidi"/>
              <w:b w:val="0"/>
              <w:bCs w:val="0"/>
              <w:i w:val="0"/>
              <w:iCs w:val="0"/>
              <w:noProof/>
              <w:color w:val="0D0D0D" w:themeColor="text1" w:themeTint="F2"/>
              <w:lang w:eastAsia="en-GB"/>
            </w:rPr>
          </w:pPr>
          <w:hyperlink w:anchor="_Toc227520962" w:history="1">
            <w:r w:rsidRPr="003C73C0">
              <w:rPr>
                <w:rStyle w:val="Hyperlink"/>
                <w:noProof/>
                <w:color w:val="0D0D0D" w:themeColor="text1" w:themeTint="F2"/>
              </w:rPr>
              <w:t>Strategies for Skill Improvement for a Social Worker</w:t>
            </w:r>
            <w:r w:rsidRPr="003C73C0">
              <w:rPr>
                <w:noProof/>
                <w:webHidden/>
                <w:color w:val="0D0D0D" w:themeColor="text1" w:themeTint="F2"/>
              </w:rPr>
              <w:tab/>
            </w:r>
            <w:r w:rsidRPr="003C73C0">
              <w:rPr>
                <w:noProof/>
                <w:webHidden/>
                <w:color w:val="0D0D0D" w:themeColor="text1" w:themeTint="F2"/>
              </w:rPr>
              <w:fldChar w:fldCharType="begin"/>
            </w:r>
            <w:r w:rsidRPr="003C73C0">
              <w:rPr>
                <w:noProof/>
                <w:webHidden/>
                <w:color w:val="0D0D0D" w:themeColor="text1" w:themeTint="F2"/>
              </w:rPr>
              <w:instrText xml:space="preserve"> PAGEREF _Toc227520962 \h </w:instrText>
            </w:r>
            <w:r w:rsidRPr="003C73C0">
              <w:rPr>
                <w:noProof/>
                <w:webHidden/>
                <w:color w:val="0D0D0D" w:themeColor="text1" w:themeTint="F2"/>
              </w:rPr>
            </w:r>
            <w:r w:rsidRPr="003C73C0">
              <w:rPr>
                <w:noProof/>
                <w:webHidden/>
                <w:color w:val="0D0D0D" w:themeColor="text1" w:themeTint="F2"/>
              </w:rPr>
              <w:fldChar w:fldCharType="separate"/>
            </w:r>
            <w:r w:rsidRPr="003C73C0">
              <w:rPr>
                <w:noProof/>
                <w:webHidden/>
                <w:color w:val="0D0D0D" w:themeColor="text1" w:themeTint="F2"/>
              </w:rPr>
              <w:t>4</w:t>
            </w:r>
            <w:r w:rsidRPr="003C73C0">
              <w:rPr>
                <w:noProof/>
                <w:webHidden/>
                <w:color w:val="0D0D0D" w:themeColor="text1" w:themeTint="F2"/>
              </w:rPr>
              <w:fldChar w:fldCharType="end"/>
            </w:r>
          </w:hyperlink>
        </w:p>
        <w:p w14:paraId="26E2A3BE" w14:textId="5AD917DD" w:rsidR="003C73C0" w:rsidRPr="003C73C0" w:rsidRDefault="003C73C0">
          <w:pPr>
            <w:pStyle w:val="TOC1"/>
            <w:tabs>
              <w:tab w:val="right" w:leader="dot" w:pos="9016"/>
            </w:tabs>
            <w:rPr>
              <w:rFonts w:asciiTheme="minorHAnsi" w:hAnsiTheme="minorHAnsi" w:cstheme="minorBidi"/>
              <w:b w:val="0"/>
              <w:bCs w:val="0"/>
              <w:i w:val="0"/>
              <w:iCs w:val="0"/>
              <w:noProof/>
              <w:color w:val="0D0D0D" w:themeColor="text1" w:themeTint="F2"/>
              <w:lang w:eastAsia="en-GB"/>
            </w:rPr>
          </w:pPr>
          <w:hyperlink w:anchor="_Toc227520963" w:history="1">
            <w:r w:rsidRPr="003C73C0">
              <w:rPr>
                <w:rStyle w:val="Hyperlink"/>
                <w:noProof/>
                <w:color w:val="0D0D0D" w:themeColor="text1" w:themeTint="F2"/>
              </w:rPr>
              <w:t>Three Strategies to Improve the Skills for a Social Worker</w:t>
            </w:r>
            <w:r w:rsidRPr="003C73C0">
              <w:rPr>
                <w:noProof/>
                <w:webHidden/>
                <w:color w:val="0D0D0D" w:themeColor="text1" w:themeTint="F2"/>
              </w:rPr>
              <w:tab/>
            </w:r>
            <w:r w:rsidRPr="003C73C0">
              <w:rPr>
                <w:noProof/>
                <w:webHidden/>
                <w:color w:val="0D0D0D" w:themeColor="text1" w:themeTint="F2"/>
              </w:rPr>
              <w:fldChar w:fldCharType="begin"/>
            </w:r>
            <w:r w:rsidRPr="003C73C0">
              <w:rPr>
                <w:noProof/>
                <w:webHidden/>
                <w:color w:val="0D0D0D" w:themeColor="text1" w:themeTint="F2"/>
              </w:rPr>
              <w:instrText xml:space="preserve"> PAGEREF _Toc227520963 \h </w:instrText>
            </w:r>
            <w:r w:rsidRPr="003C73C0">
              <w:rPr>
                <w:noProof/>
                <w:webHidden/>
                <w:color w:val="0D0D0D" w:themeColor="text1" w:themeTint="F2"/>
              </w:rPr>
            </w:r>
            <w:r w:rsidRPr="003C73C0">
              <w:rPr>
                <w:noProof/>
                <w:webHidden/>
                <w:color w:val="0D0D0D" w:themeColor="text1" w:themeTint="F2"/>
              </w:rPr>
              <w:fldChar w:fldCharType="separate"/>
            </w:r>
            <w:r w:rsidRPr="003C73C0">
              <w:rPr>
                <w:noProof/>
                <w:webHidden/>
                <w:color w:val="0D0D0D" w:themeColor="text1" w:themeTint="F2"/>
              </w:rPr>
              <w:t>4</w:t>
            </w:r>
            <w:r w:rsidRPr="003C73C0">
              <w:rPr>
                <w:noProof/>
                <w:webHidden/>
                <w:color w:val="0D0D0D" w:themeColor="text1" w:themeTint="F2"/>
              </w:rPr>
              <w:fldChar w:fldCharType="end"/>
            </w:r>
          </w:hyperlink>
        </w:p>
        <w:p w14:paraId="5FB077E1" w14:textId="11E5DA15" w:rsidR="003C73C0" w:rsidRPr="003C73C0" w:rsidRDefault="003C73C0">
          <w:pPr>
            <w:pStyle w:val="TOC1"/>
            <w:tabs>
              <w:tab w:val="right" w:leader="dot" w:pos="9016"/>
            </w:tabs>
            <w:rPr>
              <w:rFonts w:asciiTheme="minorHAnsi" w:hAnsiTheme="minorHAnsi" w:cstheme="minorBidi"/>
              <w:b w:val="0"/>
              <w:bCs w:val="0"/>
              <w:i w:val="0"/>
              <w:iCs w:val="0"/>
              <w:noProof/>
              <w:color w:val="0D0D0D" w:themeColor="text1" w:themeTint="F2"/>
              <w:lang w:eastAsia="en-GB"/>
            </w:rPr>
          </w:pPr>
          <w:hyperlink w:anchor="_Toc227520964" w:history="1">
            <w:r w:rsidRPr="003C73C0">
              <w:rPr>
                <w:rStyle w:val="Hyperlink"/>
                <w:noProof/>
                <w:color w:val="0D0D0D" w:themeColor="text1" w:themeTint="F2"/>
              </w:rPr>
              <w:t>Conclusion</w:t>
            </w:r>
            <w:r w:rsidRPr="003C73C0">
              <w:rPr>
                <w:noProof/>
                <w:webHidden/>
                <w:color w:val="0D0D0D" w:themeColor="text1" w:themeTint="F2"/>
              </w:rPr>
              <w:tab/>
            </w:r>
            <w:r w:rsidRPr="003C73C0">
              <w:rPr>
                <w:noProof/>
                <w:webHidden/>
                <w:color w:val="0D0D0D" w:themeColor="text1" w:themeTint="F2"/>
              </w:rPr>
              <w:fldChar w:fldCharType="begin"/>
            </w:r>
            <w:r w:rsidRPr="003C73C0">
              <w:rPr>
                <w:noProof/>
                <w:webHidden/>
                <w:color w:val="0D0D0D" w:themeColor="text1" w:themeTint="F2"/>
              </w:rPr>
              <w:instrText xml:space="preserve"> PAGEREF _Toc227520964 \h </w:instrText>
            </w:r>
            <w:r w:rsidRPr="003C73C0">
              <w:rPr>
                <w:noProof/>
                <w:webHidden/>
                <w:color w:val="0D0D0D" w:themeColor="text1" w:themeTint="F2"/>
              </w:rPr>
            </w:r>
            <w:r w:rsidRPr="003C73C0">
              <w:rPr>
                <w:noProof/>
                <w:webHidden/>
                <w:color w:val="0D0D0D" w:themeColor="text1" w:themeTint="F2"/>
              </w:rPr>
              <w:fldChar w:fldCharType="separate"/>
            </w:r>
            <w:r w:rsidRPr="003C73C0">
              <w:rPr>
                <w:noProof/>
                <w:webHidden/>
                <w:color w:val="0D0D0D" w:themeColor="text1" w:themeTint="F2"/>
              </w:rPr>
              <w:t>5</w:t>
            </w:r>
            <w:r w:rsidRPr="003C73C0">
              <w:rPr>
                <w:noProof/>
                <w:webHidden/>
                <w:color w:val="0D0D0D" w:themeColor="text1" w:themeTint="F2"/>
              </w:rPr>
              <w:fldChar w:fldCharType="end"/>
            </w:r>
          </w:hyperlink>
        </w:p>
        <w:p w14:paraId="0FF3D400" w14:textId="32559B3F" w:rsidR="003C73C0" w:rsidRPr="003C73C0" w:rsidRDefault="003C73C0">
          <w:pPr>
            <w:pStyle w:val="TOC1"/>
            <w:tabs>
              <w:tab w:val="right" w:leader="dot" w:pos="9016"/>
            </w:tabs>
            <w:rPr>
              <w:rFonts w:asciiTheme="minorHAnsi" w:hAnsiTheme="minorHAnsi" w:cstheme="minorBidi"/>
              <w:b w:val="0"/>
              <w:bCs w:val="0"/>
              <w:i w:val="0"/>
              <w:iCs w:val="0"/>
              <w:noProof/>
              <w:color w:val="0D0D0D" w:themeColor="text1" w:themeTint="F2"/>
              <w:lang w:eastAsia="en-GB"/>
            </w:rPr>
          </w:pPr>
          <w:hyperlink w:anchor="_Toc227520965" w:history="1">
            <w:r w:rsidRPr="003C73C0">
              <w:rPr>
                <w:rStyle w:val="Hyperlink"/>
                <w:noProof/>
                <w:color w:val="0D0D0D" w:themeColor="text1" w:themeTint="F2"/>
              </w:rPr>
              <w:t>5 Reference List:</w:t>
            </w:r>
            <w:r w:rsidRPr="003C73C0">
              <w:rPr>
                <w:noProof/>
                <w:webHidden/>
                <w:color w:val="0D0D0D" w:themeColor="text1" w:themeTint="F2"/>
              </w:rPr>
              <w:tab/>
            </w:r>
            <w:r w:rsidRPr="003C73C0">
              <w:rPr>
                <w:noProof/>
                <w:webHidden/>
                <w:color w:val="0D0D0D" w:themeColor="text1" w:themeTint="F2"/>
              </w:rPr>
              <w:fldChar w:fldCharType="begin"/>
            </w:r>
            <w:r w:rsidRPr="003C73C0">
              <w:rPr>
                <w:noProof/>
                <w:webHidden/>
                <w:color w:val="0D0D0D" w:themeColor="text1" w:themeTint="F2"/>
              </w:rPr>
              <w:instrText xml:space="preserve"> PAGEREF _Toc227520965 \h </w:instrText>
            </w:r>
            <w:r w:rsidRPr="003C73C0">
              <w:rPr>
                <w:noProof/>
                <w:webHidden/>
                <w:color w:val="0D0D0D" w:themeColor="text1" w:themeTint="F2"/>
              </w:rPr>
            </w:r>
            <w:r w:rsidRPr="003C73C0">
              <w:rPr>
                <w:noProof/>
                <w:webHidden/>
                <w:color w:val="0D0D0D" w:themeColor="text1" w:themeTint="F2"/>
              </w:rPr>
              <w:fldChar w:fldCharType="separate"/>
            </w:r>
            <w:r w:rsidRPr="003C73C0">
              <w:rPr>
                <w:noProof/>
                <w:webHidden/>
                <w:color w:val="0D0D0D" w:themeColor="text1" w:themeTint="F2"/>
              </w:rPr>
              <w:t>6</w:t>
            </w:r>
            <w:r w:rsidRPr="003C73C0">
              <w:rPr>
                <w:noProof/>
                <w:webHidden/>
                <w:color w:val="0D0D0D" w:themeColor="text1" w:themeTint="F2"/>
              </w:rPr>
              <w:fldChar w:fldCharType="end"/>
            </w:r>
          </w:hyperlink>
        </w:p>
        <w:p w14:paraId="52F76CD8" w14:textId="1818AEA3" w:rsidR="003C73C0" w:rsidRDefault="003C73C0">
          <w:r w:rsidRPr="003C73C0">
            <w:rPr>
              <w:b/>
              <w:bCs/>
              <w:noProof/>
              <w:color w:val="0D0D0D" w:themeColor="text1" w:themeTint="F2"/>
            </w:rPr>
            <w:fldChar w:fldCharType="end"/>
          </w:r>
        </w:p>
      </w:sdtContent>
    </w:sdt>
    <w:p w14:paraId="6138A55F" w14:textId="5BBC1E8C" w:rsidR="00184A9A" w:rsidRPr="00455746" w:rsidRDefault="00184A9A">
      <w:pPr>
        <w:rPr>
          <w:rFonts w:ascii="Arial" w:hAnsi="Arial" w:cs="Arial"/>
        </w:rPr>
      </w:pPr>
    </w:p>
    <w:p w14:paraId="4A159F97" w14:textId="77777777" w:rsidR="00ED5964" w:rsidRPr="00455746" w:rsidRDefault="00ED5964" w:rsidP="00ED5964">
      <w:pPr>
        <w:jc w:val="both"/>
        <w:rPr>
          <w:rFonts w:ascii="Arial" w:hAnsi="Arial" w:cs="Arial"/>
          <w:b/>
          <w:bCs/>
          <w:sz w:val="28"/>
          <w:szCs w:val="28"/>
        </w:rPr>
      </w:pPr>
    </w:p>
    <w:p w14:paraId="09E24E55" w14:textId="77777777" w:rsidR="00ED5964" w:rsidRPr="00455746" w:rsidRDefault="00ED5964" w:rsidP="00ED5964">
      <w:pPr>
        <w:jc w:val="both"/>
        <w:rPr>
          <w:rFonts w:ascii="Arial" w:hAnsi="Arial" w:cs="Arial"/>
          <w:b/>
          <w:bCs/>
          <w:sz w:val="28"/>
          <w:szCs w:val="28"/>
        </w:rPr>
      </w:pPr>
    </w:p>
    <w:p w14:paraId="40BC340F" w14:textId="77777777" w:rsidR="00ED5964" w:rsidRPr="00455746" w:rsidRDefault="00ED5964" w:rsidP="00ED5964">
      <w:pPr>
        <w:jc w:val="both"/>
        <w:rPr>
          <w:rFonts w:ascii="Arial" w:hAnsi="Arial" w:cs="Arial"/>
          <w:b/>
          <w:bCs/>
          <w:sz w:val="28"/>
          <w:szCs w:val="28"/>
        </w:rPr>
      </w:pPr>
    </w:p>
    <w:p w14:paraId="41A63835" w14:textId="77777777" w:rsidR="00ED5964" w:rsidRPr="00455746" w:rsidRDefault="00ED5964" w:rsidP="00ED5964">
      <w:pPr>
        <w:jc w:val="both"/>
        <w:rPr>
          <w:rFonts w:ascii="Arial" w:hAnsi="Arial" w:cs="Arial"/>
          <w:b/>
          <w:bCs/>
          <w:sz w:val="28"/>
          <w:szCs w:val="28"/>
        </w:rPr>
      </w:pPr>
    </w:p>
    <w:p w14:paraId="123865CA" w14:textId="77777777" w:rsidR="00ED5964" w:rsidRPr="00455746" w:rsidRDefault="00ED5964" w:rsidP="00ED5964">
      <w:pPr>
        <w:jc w:val="both"/>
        <w:rPr>
          <w:rFonts w:ascii="Arial" w:hAnsi="Arial" w:cs="Arial"/>
          <w:b/>
          <w:bCs/>
          <w:sz w:val="28"/>
          <w:szCs w:val="28"/>
        </w:rPr>
      </w:pPr>
    </w:p>
    <w:p w14:paraId="2A21042D" w14:textId="77777777" w:rsidR="00ED5964" w:rsidRPr="00455746" w:rsidRDefault="00ED5964" w:rsidP="00ED5964">
      <w:pPr>
        <w:jc w:val="both"/>
        <w:rPr>
          <w:rFonts w:ascii="Arial" w:hAnsi="Arial" w:cs="Arial"/>
          <w:b/>
          <w:bCs/>
          <w:sz w:val="28"/>
          <w:szCs w:val="28"/>
        </w:rPr>
      </w:pPr>
    </w:p>
    <w:p w14:paraId="48382F67" w14:textId="77777777" w:rsidR="00ED5964" w:rsidRPr="00455746" w:rsidRDefault="00ED5964" w:rsidP="00ED5964">
      <w:pPr>
        <w:jc w:val="both"/>
        <w:rPr>
          <w:rFonts w:ascii="Arial" w:hAnsi="Arial" w:cs="Arial"/>
          <w:b/>
          <w:bCs/>
          <w:sz w:val="28"/>
          <w:szCs w:val="28"/>
        </w:rPr>
      </w:pPr>
    </w:p>
    <w:p w14:paraId="6A057EFD" w14:textId="77777777" w:rsidR="00ED5964" w:rsidRPr="00455746" w:rsidRDefault="00ED5964" w:rsidP="00ED5964">
      <w:pPr>
        <w:jc w:val="both"/>
        <w:rPr>
          <w:rFonts w:ascii="Arial" w:hAnsi="Arial" w:cs="Arial"/>
          <w:b/>
          <w:bCs/>
          <w:sz w:val="28"/>
          <w:szCs w:val="28"/>
        </w:rPr>
      </w:pPr>
    </w:p>
    <w:p w14:paraId="55078F3B" w14:textId="77777777" w:rsidR="00ED5964" w:rsidRPr="00455746" w:rsidRDefault="00ED5964" w:rsidP="00ED5964">
      <w:pPr>
        <w:jc w:val="both"/>
        <w:rPr>
          <w:rFonts w:ascii="Arial" w:hAnsi="Arial" w:cs="Arial"/>
          <w:b/>
          <w:bCs/>
          <w:sz w:val="28"/>
          <w:szCs w:val="28"/>
        </w:rPr>
      </w:pPr>
    </w:p>
    <w:p w14:paraId="4CEF6B46" w14:textId="77777777" w:rsidR="005709B1" w:rsidRPr="00455746" w:rsidRDefault="005709B1" w:rsidP="005709B1">
      <w:pPr>
        <w:rPr>
          <w:rFonts w:ascii="Arial" w:hAnsi="Arial" w:cs="Arial"/>
        </w:rPr>
      </w:pPr>
    </w:p>
    <w:p w14:paraId="3E34A5EF" w14:textId="77777777" w:rsidR="002E71BA" w:rsidRPr="00455746" w:rsidRDefault="002E71BA">
      <w:pPr>
        <w:rPr>
          <w:rFonts w:ascii="Arial" w:hAnsi="Arial" w:cs="Arial"/>
          <w:b/>
          <w:bCs/>
          <w:sz w:val="21"/>
          <w:szCs w:val="21"/>
        </w:rPr>
      </w:pPr>
      <w:r w:rsidRPr="00455746">
        <w:rPr>
          <w:rFonts w:ascii="Arial" w:hAnsi="Arial" w:cs="Arial"/>
          <w:b/>
          <w:bCs/>
          <w:sz w:val="21"/>
          <w:szCs w:val="21"/>
        </w:rPr>
        <w:br w:type="page"/>
      </w:r>
    </w:p>
    <w:p w14:paraId="7E817B09" w14:textId="7311323B" w:rsidR="00A035CD" w:rsidRPr="00A304E2" w:rsidRDefault="00A035CD" w:rsidP="00A304E2">
      <w:pPr>
        <w:pStyle w:val="Heading1"/>
        <w:rPr>
          <w:rFonts w:ascii="Arial" w:hAnsi="Arial" w:cs="Arial"/>
          <w:color w:val="0D0D0D" w:themeColor="text1" w:themeTint="F2"/>
        </w:rPr>
      </w:pPr>
      <w:bookmarkStart w:id="0" w:name="_Toc695233283"/>
      <w:bookmarkStart w:id="1" w:name="_Toc227520958"/>
      <w:r w:rsidRPr="00A304E2">
        <w:rPr>
          <w:rFonts w:ascii="Arial" w:hAnsi="Arial" w:cs="Arial"/>
          <w:color w:val="0D0D0D" w:themeColor="text1" w:themeTint="F2"/>
        </w:rPr>
        <w:lastRenderedPageBreak/>
        <w:t>Introduction</w:t>
      </w:r>
      <w:bookmarkEnd w:id="0"/>
      <w:bookmarkEnd w:id="1"/>
    </w:p>
    <w:p w14:paraId="72A99D9F" w14:textId="77777777" w:rsidR="00462453" w:rsidRPr="00455746" w:rsidRDefault="00462453" w:rsidP="00462453">
      <w:pPr>
        <w:rPr>
          <w:rFonts w:ascii="Arial" w:hAnsi="Arial" w:cs="Arial"/>
        </w:rPr>
      </w:pPr>
    </w:p>
    <w:p w14:paraId="0558FE49" w14:textId="77777777" w:rsidR="00462453" w:rsidRPr="00455746" w:rsidRDefault="00462453" w:rsidP="00462453">
      <w:pPr>
        <w:spacing w:after="0" w:line="240" w:lineRule="auto"/>
        <w:rPr>
          <w:rFonts w:ascii="Arial" w:eastAsia="Times New Roman" w:hAnsi="Arial" w:cs="Arial"/>
          <w:kern w:val="0"/>
          <w:sz w:val="22"/>
          <w:lang w:eastAsia="en-GB"/>
          <w14:ligatures w14:val="none"/>
        </w:rPr>
      </w:pPr>
      <w:r w:rsidRPr="00455746">
        <w:rPr>
          <w:rFonts w:ascii="Arial" w:eastAsia="Times New Roman" w:hAnsi="Arial" w:cs="Arial"/>
          <w:kern w:val="0"/>
          <w:sz w:val="22"/>
          <w:lang w:eastAsia="en-GB"/>
          <w14:ligatures w14:val="none"/>
        </w:rPr>
        <w:t>Roles within health and social care are fundamental to supporting individuals and communities in maintaining wellbeing, independence, and dignity. Among these, the social worker is a particularly versatile professional, operating across diverse settings such as hospitals, schools, and local authorities, and supporting individuals and families facing challenges including poverty, mental ill-health, and abuse. This report examines the role of the social worker in the UK, outlines key duties and responsibilities, and analyses three essential skills: communication, empathy, and critical thinking. The report concludes by reflecting on the social worker’s overall contribution to health and social care.</w:t>
      </w:r>
    </w:p>
    <w:p w14:paraId="7BE09DC3" w14:textId="77777777" w:rsidR="00DC4EBA" w:rsidRPr="00455746" w:rsidRDefault="00DC4EBA" w:rsidP="00DC4EBA">
      <w:pPr>
        <w:rPr>
          <w:rFonts w:ascii="Arial" w:hAnsi="Arial" w:cs="Arial"/>
        </w:rPr>
      </w:pPr>
    </w:p>
    <w:p w14:paraId="4CC61BC1" w14:textId="55FEF9DD" w:rsidR="00F36ADC" w:rsidRPr="00455746" w:rsidRDefault="00F36ADC" w:rsidP="0156E134">
      <w:pPr>
        <w:spacing w:after="0" w:line="240" w:lineRule="auto"/>
        <w:rPr>
          <w:rFonts w:ascii="Arial" w:hAnsi="Arial" w:cs="Arial"/>
          <w:sz w:val="22"/>
        </w:rPr>
      </w:pPr>
    </w:p>
    <w:p w14:paraId="64F36E68" w14:textId="7D727C02" w:rsidR="3C659699" w:rsidRPr="00A304E2" w:rsidRDefault="005E2605" w:rsidP="001706C5">
      <w:pPr>
        <w:pStyle w:val="Heading1"/>
        <w:rPr>
          <w:rFonts w:ascii="Arial" w:hAnsi="Arial" w:cs="Arial"/>
          <w:color w:val="0D0D0D" w:themeColor="text1" w:themeTint="F2"/>
        </w:rPr>
      </w:pPr>
      <w:bookmarkStart w:id="2" w:name="_Toc1915621813"/>
      <w:bookmarkStart w:id="3" w:name="_Toc227520959"/>
      <w:r w:rsidRPr="00A304E2">
        <w:rPr>
          <w:rFonts w:ascii="Arial" w:hAnsi="Arial" w:cs="Arial"/>
          <w:color w:val="0D0D0D" w:themeColor="text1" w:themeTint="F2"/>
        </w:rPr>
        <w:t>A Social Worker</w:t>
      </w:r>
      <w:r w:rsidR="3C659699" w:rsidRPr="00A304E2">
        <w:rPr>
          <w:rFonts w:ascii="Arial" w:hAnsi="Arial" w:cs="Arial"/>
          <w:color w:val="0D0D0D" w:themeColor="text1" w:themeTint="F2"/>
        </w:rPr>
        <w:t xml:space="preserve"> in the Health and Social Care Field</w:t>
      </w:r>
      <w:bookmarkEnd w:id="2"/>
      <w:bookmarkEnd w:id="3"/>
    </w:p>
    <w:p w14:paraId="50A9FBC6" w14:textId="1CABA5E0" w:rsidR="008B0B22" w:rsidRPr="00A304E2" w:rsidRDefault="071F48DC" w:rsidP="001706C5">
      <w:pPr>
        <w:pStyle w:val="Heading1"/>
        <w:rPr>
          <w:rFonts w:ascii="Arial" w:hAnsi="Arial" w:cs="Arial"/>
          <w:color w:val="0D0D0D" w:themeColor="text1" w:themeTint="F2"/>
        </w:rPr>
      </w:pPr>
      <w:bookmarkStart w:id="4" w:name="_Toc796087951"/>
      <w:bookmarkStart w:id="5" w:name="_Toc227520960"/>
      <w:r w:rsidRPr="00A304E2">
        <w:rPr>
          <w:rFonts w:ascii="Arial" w:hAnsi="Arial" w:cs="Arial"/>
          <w:color w:val="0D0D0D" w:themeColor="text1" w:themeTint="F2"/>
        </w:rPr>
        <w:t>Description</w:t>
      </w:r>
      <w:r w:rsidR="00070818" w:rsidRPr="00A304E2">
        <w:rPr>
          <w:rFonts w:ascii="Arial" w:hAnsi="Arial" w:cs="Arial"/>
          <w:color w:val="0D0D0D" w:themeColor="text1" w:themeTint="F2"/>
        </w:rPr>
        <w:t xml:space="preserve"> </w:t>
      </w:r>
      <w:r w:rsidR="13BD3D5D" w:rsidRPr="00A304E2">
        <w:rPr>
          <w:rFonts w:ascii="Arial" w:hAnsi="Arial" w:cs="Arial"/>
          <w:color w:val="0D0D0D" w:themeColor="text1" w:themeTint="F2"/>
        </w:rPr>
        <w:t xml:space="preserve">of </w:t>
      </w:r>
      <w:r w:rsidR="005E2605" w:rsidRPr="00A304E2">
        <w:rPr>
          <w:rFonts w:ascii="Arial" w:hAnsi="Arial" w:cs="Arial"/>
          <w:color w:val="0D0D0D" w:themeColor="text1" w:themeTint="F2"/>
        </w:rPr>
        <w:t>a Social Worker</w:t>
      </w:r>
      <w:r w:rsidR="008B0B22" w:rsidRPr="00A304E2">
        <w:rPr>
          <w:rFonts w:ascii="Arial" w:hAnsi="Arial" w:cs="Arial"/>
          <w:color w:val="0D0D0D" w:themeColor="text1" w:themeTint="F2"/>
        </w:rPr>
        <w:t xml:space="preserve"> in Health</w:t>
      </w:r>
      <w:r w:rsidR="3464B4D3" w:rsidRPr="00A304E2">
        <w:rPr>
          <w:rFonts w:ascii="Arial" w:hAnsi="Arial" w:cs="Arial"/>
          <w:color w:val="0D0D0D" w:themeColor="text1" w:themeTint="F2"/>
        </w:rPr>
        <w:t xml:space="preserve"> and Social </w:t>
      </w:r>
      <w:r w:rsidR="3D6135D7" w:rsidRPr="00A304E2">
        <w:rPr>
          <w:rFonts w:ascii="Arial" w:hAnsi="Arial" w:cs="Arial"/>
          <w:color w:val="0D0D0D" w:themeColor="text1" w:themeTint="F2"/>
        </w:rPr>
        <w:t>C</w:t>
      </w:r>
      <w:r w:rsidR="008B0B22" w:rsidRPr="00A304E2">
        <w:rPr>
          <w:rFonts w:ascii="Arial" w:hAnsi="Arial" w:cs="Arial"/>
          <w:color w:val="0D0D0D" w:themeColor="text1" w:themeTint="F2"/>
        </w:rPr>
        <w:t>are</w:t>
      </w:r>
      <w:bookmarkEnd w:id="4"/>
      <w:bookmarkEnd w:id="5"/>
      <w:r w:rsidR="008B0B22" w:rsidRPr="00A304E2">
        <w:rPr>
          <w:rFonts w:ascii="Arial" w:hAnsi="Arial" w:cs="Arial"/>
          <w:color w:val="0D0D0D" w:themeColor="text1" w:themeTint="F2"/>
        </w:rPr>
        <w:t xml:space="preserve"> </w:t>
      </w:r>
    </w:p>
    <w:p w14:paraId="26E0D1A5" w14:textId="06C7C686" w:rsidR="0156E134" w:rsidRPr="003C73C0" w:rsidRDefault="0156E134" w:rsidP="0156E134">
      <w:pPr>
        <w:spacing w:after="0" w:line="240" w:lineRule="auto"/>
        <w:jc w:val="both"/>
        <w:rPr>
          <w:rFonts w:ascii="Arial" w:hAnsi="Arial" w:cs="Arial"/>
          <w:sz w:val="22"/>
        </w:rPr>
      </w:pPr>
    </w:p>
    <w:p w14:paraId="5389D7D1" w14:textId="48DC766B" w:rsidR="005E2605" w:rsidRPr="003C73C0" w:rsidRDefault="005E2605" w:rsidP="005E2605">
      <w:pPr>
        <w:spacing w:after="0" w:line="240" w:lineRule="auto"/>
        <w:rPr>
          <w:rFonts w:ascii="Arial" w:eastAsia="Times New Roman" w:hAnsi="Arial" w:cs="Arial"/>
          <w:kern w:val="0"/>
          <w:sz w:val="22"/>
          <w:lang w:eastAsia="en-GB"/>
          <w14:ligatures w14:val="none"/>
        </w:rPr>
      </w:pPr>
      <w:r w:rsidRPr="003C73C0">
        <w:rPr>
          <w:rFonts w:ascii="Arial" w:eastAsia="Times New Roman" w:hAnsi="Arial" w:cs="Arial"/>
          <w:kern w:val="0"/>
          <w:sz w:val="22"/>
          <w:lang w:eastAsia="en-GB"/>
          <w14:ligatures w14:val="none"/>
        </w:rPr>
        <w:t>The social worker’s role is among the most important in the health and social care sector, providing essential support, protection, and advocacy for individuals and communities facing significant challenges. The British Association of Social Workers (2024) states that daily responsibilities include assessing individuals’ needs, collaborating with families, coordinating support, making referrals, and maintaining accurate records. This demonstrates that social work extends far beyond individual casework, requiring social workers to advocate for human rights and apply relevant legal frameworks. To fulfil these responsibilities, BASW (2024) affirms that social workers must communicate effectively, demonstrate empathy, apply critical thinking, manage complex caseloads, and uphold clear professional boundaries. Together, these duties and skills confirm that the social worker’s role is a cornerstone of effective, person-centred care.</w:t>
      </w:r>
    </w:p>
    <w:p w14:paraId="5AB485C8" w14:textId="77777777" w:rsidR="00455746" w:rsidRPr="00A304E2" w:rsidRDefault="00455746" w:rsidP="0CF501EC">
      <w:pPr>
        <w:pStyle w:val="Heading2"/>
        <w:rPr>
          <w:rFonts w:ascii="Arial" w:hAnsi="Arial" w:cs="Arial"/>
          <w:color w:val="0D0D0D" w:themeColor="text1" w:themeTint="F2"/>
          <w:sz w:val="32"/>
          <w:szCs w:val="32"/>
        </w:rPr>
      </w:pPr>
      <w:bookmarkStart w:id="6" w:name="_Toc1426973069"/>
    </w:p>
    <w:p w14:paraId="4010C35E" w14:textId="18499A63" w:rsidR="00EC7EBE" w:rsidRPr="00A304E2" w:rsidRDefault="00DD5135" w:rsidP="00A304E2">
      <w:pPr>
        <w:pStyle w:val="Heading1"/>
        <w:rPr>
          <w:color w:val="0D0D0D" w:themeColor="text1" w:themeTint="F2"/>
        </w:rPr>
      </w:pPr>
      <w:bookmarkStart w:id="7" w:name="_Toc227520961"/>
      <w:r w:rsidRPr="00A304E2">
        <w:rPr>
          <w:color w:val="0D0D0D" w:themeColor="text1" w:themeTint="F2"/>
        </w:rPr>
        <w:t>Explanation</w:t>
      </w:r>
      <w:r w:rsidR="00805726" w:rsidRPr="00A304E2">
        <w:rPr>
          <w:color w:val="0D0D0D" w:themeColor="text1" w:themeTint="F2"/>
        </w:rPr>
        <w:t xml:space="preserve"> of </w:t>
      </w:r>
      <w:r w:rsidR="549B9698" w:rsidRPr="00A304E2">
        <w:rPr>
          <w:color w:val="0D0D0D" w:themeColor="text1" w:themeTint="F2"/>
        </w:rPr>
        <w:t>M</w:t>
      </w:r>
      <w:r w:rsidR="00824CB1" w:rsidRPr="00A304E2">
        <w:rPr>
          <w:color w:val="0D0D0D" w:themeColor="text1" w:themeTint="F2"/>
        </w:rPr>
        <w:t xml:space="preserve">ost </w:t>
      </w:r>
      <w:r w:rsidR="7AC44C89" w:rsidRPr="00A304E2">
        <w:rPr>
          <w:color w:val="0D0D0D" w:themeColor="text1" w:themeTint="F2"/>
        </w:rPr>
        <w:t>S</w:t>
      </w:r>
      <w:r w:rsidR="00824CB1" w:rsidRPr="00A304E2">
        <w:rPr>
          <w:color w:val="0D0D0D" w:themeColor="text1" w:themeTint="F2"/>
        </w:rPr>
        <w:t xml:space="preserve">ignificant </w:t>
      </w:r>
      <w:r w:rsidR="556E2D6A" w:rsidRPr="00A304E2">
        <w:rPr>
          <w:color w:val="0D0D0D" w:themeColor="text1" w:themeTint="F2"/>
        </w:rPr>
        <w:t>S</w:t>
      </w:r>
      <w:r w:rsidR="00D4006B" w:rsidRPr="00A304E2">
        <w:rPr>
          <w:color w:val="0D0D0D" w:themeColor="text1" w:themeTint="F2"/>
        </w:rPr>
        <w:t xml:space="preserve">kills </w:t>
      </w:r>
      <w:r w:rsidR="653BE314" w:rsidRPr="00A304E2">
        <w:rPr>
          <w:color w:val="0D0D0D" w:themeColor="text1" w:themeTint="F2"/>
        </w:rPr>
        <w:t>N</w:t>
      </w:r>
      <w:r w:rsidR="00D4006B" w:rsidRPr="00A304E2">
        <w:rPr>
          <w:color w:val="0D0D0D" w:themeColor="text1" w:themeTint="F2"/>
        </w:rPr>
        <w:t xml:space="preserve">eeded for </w:t>
      </w:r>
      <w:r w:rsidR="00DC4EBA" w:rsidRPr="00A304E2">
        <w:rPr>
          <w:color w:val="0D0D0D" w:themeColor="text1" w:themeTint="F2"/>
        </w:rPr>
        <w:t>a Social Worker</w:t>
      </w:r>
      <w:r w:rsidR="007138EF" w:rsidRPr="00A304E2">
        <w:rPr>
          <w:color w:val="0D0D0D" w:themeColor="text1" w:themeTint="F2"/>
        </w:rPr>
        <w:t xml:space="preserve"> in Health</w:t>
      </w:r>
      <w:r w:rsidR="655ACEAB" w:rsidRPr="00A304E2">
        <w:rPr>
          <w:color w:val="0D0D0D" w:themeColor="text1" w:themeTint="F2"/>
        </w:rPr>
        <w:t xml:space="preserve"> and Social C</w:t>
      </w:r>
      <w:r w:rsidR="007138EF" w:rsidRPr="00A304E2">
        <w:rPr>
          <w:color w:val="0D0D0D" w:themeColor="text1" w:themeTint="F2"/>
        </w:rPr>
        <w:t>are</w:t>
      </w:r>
      <w:bookmarkEnd w:id="6"/>
      <w:bookmarkEnd w:id="7"/>
    </w:p>
    <w:p w14:paraId="329A946B" w14:textId="77777777" w:rsidR="00DC4EBA" w:rsidRPr="003C73C0" w:rsidRDefault="00DC4EBA" w:rsidP="00DC4EBA">
      <w:pPr>
        <w:rPr>
          <w:rFonts w:ascii="Arial" w:hAnsi="Arial" w:cs="Arial"/>
          <w:sz w:val="22"/>
        </w:rPr>
      </w:pPr>
    </w:p>
    <w:p w14:paraId="205F4655" w14:textId="77777777" w:rsidR="005E2605" w:rsidRPr="003C73C0" w:rsidRDefault="005E2605" w:rsidP="005E2605">
      <w:pPr>
        <w:spacing w:after="0" w:line="240" w:lineRule="auto"/>
        <w:rPr>
          <w:rFonts w:ascii="Arial" w:eastAsia="Times New Roman" w:hAnsi="Arial" w:cs="Arial"/>
          <w:kern w:val="0"/>
          <w:sz w:val="22"/>
          <w:lang w:eastAsia="en-GB"/>
          <w14:ligatures w14:val="none"/>
        </w:rPr>
      </w:pPr>
      <w:r w:rsidRPr="003C73C0">
        <w:rPr>
          <w:rFonts w:ascii="Arial" w:eastAsia="Times New Roman" w:hAnsi="Arial" w:cs="Arial"/>
          <w:kern w:val="0"/>
          <w:sz w:val="22"/>
          <w:lang w:eastAsia="en-GB"/>
          <w14:ligatures w14:val="none"/>
        </w:rPr>
        <w:t>Communication is one of the most essential skills for a social worker in the UK, directly shaping the quality and safety of service users' outcomes. BASW (2021) requires social workers to communicate effectively and to work in partnership with individuals, families, and agencies, while Social Work England (2019) requires all registered social workers to listen actively and communicate respectfully and effectively. This confirms that communication is a formal professional obligation, not merely a desirable quality. In practice, when a social worker conducts an initial assessment in which domestic abuse is suspected, calm, non-judgemental communication is critical to building the trust needed for disclosure, as service users value social workers who are warm, empathetic, and good listeners (Reith-Hall and Montgomery, 2023). Without this skill, safe and effective practice cannot be achieved.</w:t>
      </w:r>
    </w:p>
    <w:p w14:paraId="0219FC08" w14:textId="35826022" w:rsidR="005E2605" w:rsidRPr="003C73C0" w:rsidRDefault="005E2605" w:rsidP="005E2605">
      <w:pPr>
        <w:spacing w:after="0" w:line="240" w:lineRule="auto"/>
        <w:rPr>
          <w:rFonts w:ascii="Arial" w:eastAsia="Times New Roman" w:hAnsi="Arial" w:cs="Arial"/>
          <w:kern w:val="0"/>
          <w:sz w:val="22"/>
          <w:lang w:eastAsia="en-GB"/>
          <w14:ligatures w14:val="none"/>
        </w:rPr>
      </w:pPr>
    </w:p>
    <w:p w14:paraId="37FCE109" w14:textId="7B51D761" w:rsidR="003D5DE6" w:rsidRPr="003C73C0" w:rsidRDefault="005E2605" w:rsidP="005E2605">
      <w:pPr>
        <w:spacing w:after="0" w:line="240" w:lineRule="auto"/>
        <w:rPr>
          <w:rFonts w:ascii="Arial" w:eastAsia="Times New Roman" w:hAnsi="Arial" w:cs="Arial"/>
          <w:kern w:val="0"/>
          <w:sz w:val="22"/>
          <w:lang w:eastAsia="en-GB"/>
          <w14:ligatures w14:val="none"/>
        </w:rPr>
      </w:pPr>
      <w:r w:rsidRPr="003C73C0">
        <w:rPr>
          <w:rFonts w:ascii="Arial" w:eastAsia="Times New Roman" w:hAnsi="Arial" w:cs="Arial"/>
          <w:kern w:val="0"/>
          <w:sz w:val="22"/>
          <w:lang w:eastAsia="en-GB"/>
          <w14:ligatures w14:val="none"/>
        </w:rPr>
        <w:t xml:space="preserve">Empathy is a second essential skill that enables UK social workers to build meaningful relationships with service users. Social Work England (2019) requires all registered social workers to demonstrate emotional intelligence, empathy, and compassion, while BASW (2021) states that social workers must treat people with compassion, empathy, and care. This confirms that empathy is a professional obligation, underpinned by UK regulatory </w:t>
      </w:r>
      <w:r w:rsidRPr="003C73C0">
        <w:rPr>
          <w:rFonts w:ascii="Arial" w:eastAsia="Times New Roman" w:hAnsi="Arial" w:cs="Arial"/>
          <w:kern w:val="0"/>
          <w:sz w:val="22"/>
          <w:lang w:eastAsia="en-GB"/>
          <w14:ligatures w14:val="none"/>
        </w:rPr>
        <w:lastRenderedPageBreak/>
        <w:t>standards, rather than merely a personal quality. In practice, when working with a young person in care who has experienced neglect and abuse, a social worker who demonstrates genuine empathy is better placed to build trust and develop a care plan that reflects the individual’s needs and wishes. Without empathy, a social worker risks alienating service users and failing to deliver person-centred support</w:t>
      </w:r>
      <w:r w:rsidR="003D5DE6" w:rsidRPr="003C73C0">
        <w:rPr>
          <w:rFonts w:ascii="Arial" w:eastAsia="Times New Roman" w:hAnsi="Arial" w:cs="Arial"/>
          <w:kern w:val="0"/>
          <w:sz w:val="22"/>
          <w:lang w:eastAsia="en-GB"/>
          <w14:ligatures w14:val="none"/>
        </w:rPr>
        <w:t>.</w:t>
      </w:r>
    </w:p>
    <w:p w14:paraId="3972D2AD" w14:textId="72801D9C" w:rsidR="005E2605" w:rsidRPr="003C73C0" w:rsidRDefault="005E2605" w:rsidP="005E2605">
      <w:pPr>
        <w:spacing w:after="0" w:line="240" w:lineRule="auto"/>
        <w:rPr>
          <w:rFonts w:ascii="Arial" w:eastAsia="Times New Roman" w:hAnsi="Arial" w:cs="Arial"/>
          <w:kern w:val="0"/>
          <w:sz w:val="22"/>
          <w:lang w:eastAsia="en-GB"/>
          <w14:ligatures w14:val="none"/>
        </w:rPr>
      </w:pPr>
      <w:r w:rsidRPr="003C73C0">
        <w:rPr>
          <w:rFonts w:ascii="Arial" w:eastAsia="Times New Roman" w:hAnsi="Arial" w:cs="Arial"/>
          <w:kern w:val="0"/>
          <w:sz w:val="22"/>
          <w:lang w:eastAsia="en-GB"/>
          <w14:ligatures w14:val="none"/>
        </w:rPr>
        <w:t>Critical thinking is a third essential skill underpinning safe and effective social work practice in the UK. BASW (2018) identifies critical reflection and analysis as a core capability within the Professional Capabilities Framework, requiring all registered social workers to demonstrate reflective practice and to think critically about their work. This confirms that critical thinking is a fundamental professional requirement across all areas of UK social work. For example, when a social worker receives a safeguarding referral regarding an older adult suspected of financial exploitation, critical thinking is required to weigh conflicting accounts, assess risk, and apply the Care Act 2014 (HM Government, 2014). Without this skill, poorly informed decisions can place service users at serious risk.</w:t>
      </w:r>
    </w:p>
    <w:p w14:paraId="0509126A" w14:textId="31FCE6BD" w:rsidR="005E2605" w:rsidRPr="003C73C0" w:rsidRDefault="005E2605" w:rsidP="005E2605">
      <w:pPr>
        <w:spacing w:after="0" w:line="240" w:lineRule="auto"/>
        <w:rPr>
          <w:rFonts w:ascii="Arial" w:eastAsia="Times New Roman" w:hAnsi="Arial" w:cs="Arial"/>
          <w:kern w:val="0"/>
          <w:sz w:val="22"/>
          <w:lang w:eastAsia="en-GB"/>
          <w14:ligatures w14:val="none"/>
        </w:rPr>
      </w:pPr>
    </w:p>
    <w:p w14:paraId="48141EA2" w14:textId="0607EE3E" w:rsidR="005E2605" w:rsidRPr="003C73C0" w:rsidRDefault="005E2605" w:rsidP="005E2605">
      <w:pPr>
        <w:spacing w:after="0" w:line="240" w:lineRule="auto"/>
        <w:rPr>
          <w:rFonts w:ascii="Arial" w:eastAsia="Times New Roman" w:hAnsi="Arial" w:cs="Arial"/>
          <w:kern w:val="0"/>
          <w:sz w:val="22"/>
          <w:lang w:eastAsia="en-GB"/>
          <w14:ligatures w14:val="none"/>
        </w:rPr>
      </w:pPr>
      <w:r w:rsidRPr="003C73C0">
        <w:rPr>
          <w:rFonts w:ascii="Arial" w:eastAsia="Times New Roman" w:hAnsi="Arial" w:cs="Arial"/>
          <w:kern w:val="0"/>
          <w:sz w:val="22"/>
          <w:lang w:eastAsia="en-GB"/>
          <w14:ligatures w14:val="none"/>
        </w:rPr>
        <w:t>When social workers lack communication, empathy, and critical thinking, the consequences for service users can be serious. BASW (2021) requires social workers to reflect critically and seek supervision, making clear that failing to apply these skills breaches professional standards. A social worker lacking empathy may fail to gain the trust of a service user experiencing domestic abuse, leaving risks unidentified. Research confirms that poor analytical skills can lead to harmful outcomes for children and families (Bostock et</w:t>
      </w:r>
      <w:r w:rsidR="005019F5" w:rsidRPr="003C73C0">
        <w:rPr>
          <w:rFonts w:ascii="Arial" w:eastAsia="Times New Roman" w:hAnsi="Arial" w:cs="Arial"/>
          <w:kern w:val="0"/>
          <w:sz w:val="22"/>
          <w:lang w:eastAsia="en-GB"/>
          <w14:ligatures w14:val="none"/>
        </w:rPr>
        <w:t>.</w:t>
      </w:r>
      <w:r w:rsidRPr="003C73C0">
        <w:rPr>
          <w:rFonts w:ascii="Arial" w:eastAsia="Times New Roman" w:hAnsi="Arial" w:cs="Arial"/>
          <w:kern w:val="0"/>
          <w:sz w:val="22"/>
          <w:lang w:eastAsia="en-GB"/>
          <w14:ligatures w14:val="none"/>
        </w:rPr>
        <w:t xml:space="preserve"> al., 2025), whilst Social Work England (2019) makes clear that a lack of critical thinking can have life-threatening consequences.</w:t>
      </w:r>
    </w:p>
    <w:p w14:paraId="696747B5" w14:textId="76BD74B7" w:rsidR="759A1527" w:rsidRPr="003C73C0" w:rsidRDefault="759A1527" w:rsidP="005E2605">
      <w:pPr>
        <w:spacing w:after="0" w:line="240" w:lineRule="auto"/>
        <w:jc w:val="both"/>
        <w:rPr>
          <w:rFonts w:ascii="Arial" w:hAnsi="Arial" w:cs="Arial"/>
          <w:sz w:val="22"/>
        </w:rPr>
      </w:pPr>
    </w:p>
    <w:p w14:paraId="6B45E78A" w14:textId="73D09C8E" w:rsidR="001706C5" w:rsidRPr="00A304E2" w:rsidRDefault="003003FD" w:rsidP="00A304E2">
      <w:pPr>
        <w:pStyle w:val="Heading1"/>
        <w:rPr>
          <w:rFonts w:ascii="Arial" w:hAnsi="Arial" w:cs="Arial"/>
          <w:color w:val="0D0D0D" w:themeColor="text1" w:themeTint="F2"/>
        </w:rPr>
      </w:pPr>
      <w:bookmarkStart w:id="8" w:name="_Toc992114325"/>
      <w:bookmarkStart w:id="9" w:name="_Toc227520962"/>
      <w:r w:rsidRPr="00A304E2">
        <w:rPr>
          <w:rFonts w:ascii="Arial" w:hAnsi="Arial" w:cs="Arial"/>
          <w:color w:val="0D0D0D" w:themeColor="text1" w:themeTint="F2"/>
        </w:rPr>
        <w:t>Strategies</w:t>
      </w:r>
      <w:r w:rsidR="00183CB9" w:rsidRPr="00A304E2">
        <w:rPr>
          <w:rFonts w:ascii="Arial" w:hAnsi="Arial" w:cs="Arial"/>
          <w:color w:val="0D0D0D" w:themeColor="text1" w:themeTint="F2"/>
        </w:rPr>
        <w:t xml:space="preserve"> </w:t>
      </w:r>
      <w:r w:rsidR="59AB5A3E" w:rsidRPr="00A304E2">
        <w:rPr>
          <w:rFonts w:ascii="Arial" w:hAnsi="Arial" w:cs="Arial"/>
          <w:color w:val="0D0D0D" w:themeColor="text1" w:themeTint="F2"/>
        </w:rPr>
        <w:t xml:space="preserve">for Skill Improvement for </w:t>
      </w:r>
      <w:bookmarkEnd w:id="8"/>
      <w:r w:rsidR="005E2605" w:rsidRPr="00A304E2">
        <w:rPr>
          <w:rFonts w:ascii="Arial" w:hAnsi="Arial" w:cs="Arial"/>
          <w:color w:val="0D0D0D" w:themeColor="text1" w:themeTint="F2"/>
        </w:rPr>
        <w:t>a Social Worker</w:t>
      </w:r>
      <w:bookmarkStart w:id="10" w:name="_Toc1405407187"/>
      <w:bookmarkEnd w:id="9"/>
      <w:r w:rsidR="001706C5" w:rsidRPr="00A304E2">
        <w:rPr>
          <w:rFonts w:ascii="Arial" w:hAnsi="Arial" w:cs="Arial"/>
          <w:color w:val="0D0D0D" w:themeColor="text1" w:themeTint="F2"/>
        </w:rPr>
        <w:t xml:space="preserve"> </w:t>
      </w:r>
    </w:p>
    <w:p w14:paraId="4F7C88EC" w14:textId="4F898F29" w:rsidR="00526C19" w:rsidRPr="00A304E2" w:rsidRDefault="0C5D0C5C" w:rsidP="001706C5">
      <w:pPr>
        <w:pStyle w:val="Heading1"/>
        <w:rPr>
          <w:rFonts w:ascii="Arial" w:hAnsi="Arial" w:cs="Arial"/>
          <w:color w:val="0D0D0D" w:themeColor="text1" w:themeTint="F2"/>
        </w:rPr>
      </w:pPr>
      <w:bookmarkStart w:id="11" w:name="_Toc227520963"/>
      <w:r w:rsidRPr="00A304E2">
        <w:rPr>
          <w:rFonts w:ascii="Arial" w:hAnsi="Arial" w:cs="Arial"/>
          <w:color w:val="0D0D0D" w:themeColor="text1" w:themeTint="F2"/>
        </w:rPr>
        <w:t xml:space="preserve">Three Strategies </w:t>
      </w:r>
      <w:r w:rsidR="00183CB9" w:rsidRPr="00A304E2">
        <w:rPr>
          <w:rFonts w:ascii="Arial" w:hAnsi="Arial" w:cs="Arial"/>
          <w:color w:val="0D0D0D" w:themeColor="text1" w:themeTint="F2"/>
        </w:rPr>
        <w:t xml:space="preserve">to </w:t>
      </w:r>
      <w:r w:rsidR="5CE671C3" w:rsidRPr="00A304E2">
        <w:rPr>
          <w:rFonts w:ascii="Arial" w:hAnsi="Arial" w:cs="Arial"/>
          <w:color w:val="0D0D0D" w:themeColor="text1" w:themeTint="F2"/>
        </w:rPr>
        <w:t>I</w:t>
      </w:r>
      <w:r w:rsidR="00183CB9" w:rsidRPr="00A304E2">
        <w:rPr>
          <w:rFonts w:ascii="Arial" w:hAnsi="Arial" w:cs="Arial"/>
          <w:color w:val="0D0D0D" w:themeColor="text1" w:themeTint="F2"/>
        </w:rPr>
        <w:t xml:space="preserve">mprove the </w:t>
      </w:r>
      <w:r w:rsidR="40F0AB75" w:rsidRPr="00A304E2">
        <w:rPr>
          <w:rFonts w:ascii="Arial" w:hAnsi="Arial" w:cs="Arial"/>
          <w:color w:val="0D0D0D" w:themeColor="text1" w:themeTint="F2"/>
        </w:rPr>
        <w:t>S</w:t>
      </w:r>
      <w:r w:rsidR="00183CB9" w:rsidRPr="00A304E2">
        <w:rPr>
          <w:rFonts w:ascii="Arial" w:hAnsi="Arial" w:cs="Arial"/>
          <w:color w:val="0D0D0D" w:themeColor="text1" w:themeTint="F2"/>
        </w:rPr>
        <w:t>kills</w:t>
      </w:r>
      <w:r w:rsidR="005D5457" w:rsidRPr="00A304E2">
        <w:rPr>
          <w:rFonts w:ascii="Arial" w:hAnsi="Arial" w:cs="Arial"/>
          <w:color w:val="0D0D0D" w:themeColor="text1" w:themeTint="F2"/>
        </w:rPr>
        <w:t xml:space="preserve"> </w:t>
      </w:r>
      <w:r w:rsidR="00070818" w:rsidRPr="00A304E2">
        <w:rPr>
          <w:rFonts w:ascii="Arial" w:hAnsi="Arial" w:cs="Arial"/>
          <w:color w:val="0D0D0D" w:themeColor="text1" w:themeTint="F2"/>
        </w:rPr>
        <w:t xml:space="preserve">for </w:t>
      </w:r>
      <w:r w:rsidR="005E2605" w:rsidRPr="00A304E2">
        <w:rPr>
          <w:rFonts w:ascii="Arial" w:hAnsi="Arial" w:cs="Arial"/>
          <w:color w:val="0D0D0D" w:themeColor="text1" w:themeTint="F2"/>
        </w:rPr>
        <w:t>a Social Worker</w:t>
      </w:r>
      <w:bookmarkEnd w:id="10"/>
      <w:bookmarkEnd w:id="11"/>
    </w:p>
    <w:p w14:paraId="190ECE07" w14:textId="77777777" w:rsidR="001706C5" w:rsidRPr="003C73C0" w:rsidRDefault="001706C5" w:rsidP="001706C5">
      <w:pPr>
        <w:rPr>
          <w:rFonts w:ascii="Arial" w:hAnsi="Arial" w:cs="Arial"/>
          <w:sz w:val="22"/>
        </w:rPr>
      </w:pPr>
    </w:p>
    <w:p w14:paraId="773F61FD" w14:textId="45C7C47B" w:rsidR="005E2605" w:rsidRPr="003C73C0" w:rsidRDefault="003D5DE6" w:rsidP="003D5DE6">
      <w:pPr>
        <w:rPr>
          <w:rFonts w:ascii="Arial" w:hAnsi="Arial" w:cs="Arial"/>
          <w:sz w:val="22"/>
          <w:lang w:eastAsia="en-GB"/>
        </w:rPr>
      </w:pPr>
      <w:r w:rsidRPr="003C73C0">
        <w:rPr>
          <w:rFonts w:ascii="Arial" w:hAnsi="Arial" w:cs="Arial"/>
          <w:color w:val="000000"/>
          <w:sz w:val="22"/>
        </w:rPr>
        <w:t>Continuing professional development (CPD) is essential for enhancing communication skills in the UK health and social care sector. Social Work England (2019) requires practitioners to undertake CPD to maintain safe and effective practice, making structured learning a professional</w:t>
      </w:r>
      <w:r w:rsidR="00455746" w:rsidRPr="003C73C0">
        <w:rPr>
          <w:rFonts w:ascii="Arial" w:hAnsi="Arial" w:cs="Arial"/>
          <w:color w:val="000000"/>
          <w:sz w:val="22"/>
        </w:rPr>
        <w:t xml:space="preserve"> </w:t>
      </w:r>
      <w:r w:rsidRPr="003C73C0">
        <w:rPr>
          <w:rFonts w:ascii="Arial" w:hAnsi="Arial" w:cs="Arial"/>
          <w:color w:val="000000"/>
          <w:sz w:val="22"/>
        </w:rPr>
        <w:t>requirement. For emergency medical technicians (EMTs), clear communication is vital, particularly during emergencies such as road traffic collisions, when accurate information must be shared with patients, paramedics, hospital staff, police, and fire services. Communication training improves outcomes for service users (Reith-Hall &amp; Montgomery, 2023). Ongoing CPD helps practitioners meet regulatory standards and ensures patient safety.</w:t>
      </w:r>
    </w:p>
    <w:p w14:paraId="349FAA4B" w14:textId="77777777" w:rsidR="00B01F19" w:rsidRDefault="005E2605" w:rsidP="003D5DE6">
      <w:pPr>
        <w:spacing w:after="0" w:line="240" w:lineRule="auto"/>
        <w:rPr>
          <w:rFonts w:ascii="Arial" w:eastAsia="Times New Roman" w:hAnsi="Arial" w:cs="Arial"/>
          <w:kern w:val="0"/>
          <w:sz w:val="22"/>
          <w:lang w:eastAsia="en-GB"/>
          <w14:ligatures w14:val="none"/>
        </w:rPr>
      </w:pPr>
      <w:r w:rsidRPr="003C73C0">
        <w:rPr>
          <w:rFonts w:ascii="Arial" w:eastAsia="Times New Roman" w:hAnsi="Arial" w:cs="Arial"/>
          <w:kern w:val="0"/>
          <w:sz w:val="22"/>
          <w:lang w:eastAsia="en-GB"/>
          <w14:ligatures w14:val="none"/>
        </w:rPr>
        <w:t>Reflective supervision is an effective strategy for developing and sustaining empathy within health and social care practice in the UK. BASW (2021) requires practitioners to seek and engage in supervision to support their professional development and maintain their emotional well-being, whilst Social Work England (2019) makes clear that all registered practitioners must reflect on their practice and seek support when needed. This confirms that reflective supervision is a formally mandated mechanism for nurturing and maintaining empathy and emotional intelligence. In practice, as an EMT, empathy is essential when responding to patients in acute distress. For example, when attending to an elderly patient who has fallen, is frightened, and in pain, demonstrating genuine empathy — through reassuring language, a calm tone, and attentive listening — helps reduce the patient’s anxiety, gain their cooperation, and deliver more effective care. Without access to regular reflective supervision, EMTs are at risk of compassion fatigue and burnout, leading to a gradual erosion of the empathy essential to person-centred practice and potentially harmful outcomes for patients (Bostock et al., 2025).</w:t>
      </w:r>
    </w:p>
    <w:p w14:paraId="00742B60" w14:textId="3C08B1F4" w:rsidR="005E2605" w:rsidRPr="003C73C0" w:rsidRDefault="005019F5" w:rsidP="003D5DE6">
      <w:pPr>
        <w:spacing w:after="0" w:line="240" w:lineRule="auto"/>
        <w:rPr>
          <w:rFonts w:ascii="Arial" w:eastAsia="Times New Roman" w:hAnsi="Arial" w:cs="Arial"/>
          <w:kern w:val="0"/>
          <w:sz w:val="22"/>
          <w:lang w:eastAsia="en-GB"/>
          <w14:ligatures w14:val="none"/>
        </w:rPr>
      </w:pPr>
      <w:r w:rsidRPr="003C73C0">
        <w:rPr>
          <w:rFonts w:ascii="Arial" w:hAnsi="Arial" w:cs="Arial"/>
          <w:color w:val="000000"/>
          <w:sz w:val="22"/>
        </w:rPr>
        <w:lastRenderedPageBreak/>
        <w:t>Using evidence-based practice strengthens critical thinking in UK health and social care. BASW (2018) highlights the evaluation of information and the application of evidence as essential skills, requiring practitioners to draw on diverse knowledge when making decisions. This confirms that evidence-based critical thinking is a fundamental professional competence embedded within UK health and social care standards. In practice, as an EMT, critical thinking is required in every emergency response. For example, when attending a patient presenting with chest pain, an EMT must rapidly assess a range of clinical indicators, consider multiple possible diagnoses, weigh the risks of different treatment pathways, and make a well-reasoned decision about the most appropriate intervention and whether to convey the patient to hospital — all within a matter of minutes and in line with clinical guidelines underpinned by the Care Act 2014 (HM Government, 2014). Without a commitment to evidence-based practice, critical thinking becomes reactive rather than analytical, significantly increasing the risk of poor clinical judgements and patient harm.</w:t>
      </w:r>
    </w:p>
    <w:p w14:paraId="01C49510" w14:textId="03B0B61B" w:rsidR="002370CE" w:rsidRPr="003C73C0" w:rsidRDefault="002370CE" w:rsidP="0156E134">
      <w:pPr>
        <w:pStyle w:val="Heading2"/>
        <w:rPr>
          <w:rFonts w:ascii="Arial" w:hAnsi="Arial" w:cs="Arial"/>
          <w:color w:val="4471C4"/>
          <w:sz w:val="22"/>
          <w:szCs w:val="22"/>
        </w:rPr>
      </w:pPr>
    </w:p>
    <w:p w14:paraId="1497148C" w14:textId="25AEFCCF" w:rsidR="00A946CB" w:rsidRPr="00A304E2" w:rsidRDefault="00A946CB" w:rsidP="00A304E2">
      <w:pPr>
        <w:pStyle w:val="Heading1"/>
        <w:rPr>
          <w:rFonts w:ascii="Arial" w:hAnsi="Arial" w:cs="Arial"/>
          <w:color w:val="0D0D0D" w:themeColor="text1" w:themeTint="F2"/>
        </w:rPr>
      </w:pPr>
      <w:bookmarkStart w:id="12" w:name="_Toc1799977123"/>
      <w:bookmarkStart w:id="13" w:name="_Toc227520964"/>
      <w:r w:rsidRPr="00A304E2">
        <w:rPr>
          <w:rFonts w:ascii="Arial" w:hAnsi="Arial" w:cs="Arial"/>
          <w:color w:val="0D0D0D" w:themeColor="text1" w:themeTint="F2"/>
        </w:rPr>
        <w:t>Conclusion</w:t>
      </w:r>
      <w:bookmarkEnd w:id="12"/>
      <w:bookmarkEnd w:id="13"/>
    </w:p>
    <w:p w14:paraId="0752EFB8" w14:textId="77777777" w:rsidR="001706C5" w:rsidRPr="003C73C0" w:rsidRDefault="001706C5" w:rsidP="001706C5">
      <w:pPr>
        <w:rPr>
          <w:rFonts w:ascii="Arial" w:hAnsi="Arial" w:cs="Arial"/>
          <w:sz w:val="22"/>
        </w:rPr>
      </w:pPr>
    </w:p>
    <w:p w14:paraId="37BB7BAB" w14:textId="397B90D4" w:rsidR="00526C19" w:rsidRPr="003C73C0" w:rsidRDefault="005019F5" w:rsidP="00526C19">
      <w:pPr>
        <w:spacing w:after="0" w:line="240" w:lineRule="auto"/>
        <w:rPr>
          <w:rFonts w:ascii="Arial" w:eastAsia="Times New Roman" w:hAnsi="Arial" w:cs="Arial"/>
          <w:kern w:val="0"/>
          <w:sz w:val="22"/>
          <w:lang w:eastAsia="en-GB"/>
          <w14:ligatures w14:val="none"/>
        </w:rPr>
      </w:pPr>
      <w:r w:rsidRPr="003C73C0">
        <w:rPr>
          <w:rFonts w:ascii="Arial" w:eastAsia="Times New Roman" w:hAnsi="Arial" w:cs="Arial"/>
          <w:kern w:val="0"/>
          <w:sz w:val="22"/>
          <w:lang w:eastAsia="en-GB"/>
          <w14:ligatures w14:val="none"/>
        </w:rPr>
        <w:t>The social worker’s role is central to delivering safe, high-quality care in the UK health and social care sector. This report has demonstrated that communication, empathy, and critical thinking are essential professional skills, and their absence can have serious consequences for service users. It has further shown that continuing professional development, reflective supervision, and evidence-based practice are effective strategies for strengthening these skills. The findings underline the importance of ongoing professional learning and reflective practice in equipping social workers to meet the complex demands of a profession dedicated to protecting and empowering the most vulnerable members of society.</w:t>
      </w:r>
    </w:p>
    <w:p w14:paraId="3F34EF19" w14:textId="5E3278EB" w:rsidR="00D676C3" w:rsidRPr="003C73C0" w:rsidRDefault="00D676C3" w:rsidP="00455746">
      <w:pPr>
        <w:spacing w:line="360" w:lineRule="auto"/>
        <w:rPr>
          <w:rFonts w:ascii="Arial" w:hAnsi="Arial" w:cs="Arial"/>
          <w:sz w:val="22"/>
        </w:rPr>
      </w:pPr>
      <w:r w:rsidRPr="003C73C0">
        <w:rPr>
          <w:rFonts w:ascii="Arial" w:hAnsi="Arial" w:cs="Arial"/>
          <w:sz w:val="22"/>
        </w:rPr>
        <w:br w:type="page"/>
      </w:r>
    </w:p>
    <w:p w14:paraId="6C4B494D" w14:textId="6230E457" w:rsidR="00226D31" w:rsidRPr="00A304E2" w:rsidRDefault="00226D31" w:rsidP="00A304E2">
      <w:pPr>
        <w:pStyle w:val="Heading1"/>
        <w:rPr>
          <w:rFonts w:ascii="Arial" w:hAnsi="Arial" w:cs="Arial"/>
          <w:color w:val="0D0D0D" w:themeColor="text1" w:themeTint="F2"/>
        </w:rPr>
      </w:pPr>
      <w:bookmarkStart w:id="14" w:name="_Toc227520965"/>
      <w:r w:rsidRPr="00A304E2">
        <w:rPr>
          <w:rFonts w:ascii="Arial" w:hAnsi="Arial" w:cs="Arial"/>
          <w:color w:val="0D0D0D" w:themeColor="text1" w:themeTint="F2"/>
        </w:rPr>
        <w:lastRenderedPageBreak/>
        <w:t>Reference List</w:t>
      </w:r>
      <w:r w:rsidR="00526C19" w:rsidRPr="00A304E2">
        <w:rPr>
          <w:rFonts w:ascii="Arial" w:hAnsi="Arial" w:cs="Arial"/>
          <w:color w:val="0D0D0D" w:themeColor="text1" w:themeTint="F2"/>
        </w:rPr>
        <w:t>:</w:t>
      </w:r>
      <w:bookmarkEnd w:id="14"/>
    </w:p>
    <w:p w14:paraId="1F23FFEE" w14:textId="77777777" w:rsidR="00526C19" w:rsidRPr="003C73C0" w:rsidRDefault="00526C19" w:rsidP="00526C19">
      <w:pPr>
        <w:rPr>
          <w:rFonts w:ascii="Arial" w:hAnsi="Arial" w:cs="Arial"/>
          <w:sz w:val="22"/>
        </w:rPr>
      </w:pPr>
    </w:p>
    <w:p w14:paraId="64231AC3" w14:textId="77777777" w:rsidR="00262361" w:rsidRDefault="00262361">
      <w:pPr>
        <w:spacing w:line="240" w:lineRule="auto"/>
        <w:rPr>
          <w:kern w:val="0"/>
          <w:szCs w:val="20"/>
          <w14:ligatures w14:val="none"/>
        </w:rPr>
      </w:pPr>
      <w:r>
        <w:rPr>
          <w:rFonts w:ascii="Arial" w:hAnsi="Arial" w:cs="Arial"/>
          <w:sz w:val="22"/>
        </w:rPr>
        <w:t>British Association for Social Work (BASW) (2018). Professional Capabilities Framework. Available at: https://basw.co.uk/training-cpd/professional-capabilities-framework (Accessed: 14 April 2026).</w:t>
      </w:r>
    </w:p>
    <w:p w14:paraId="31C69E01" w14:textId="77777777" w:rsidR="00262361" w:rsidRDefault="00262361">
      <w:pPr>
        <w:spacing w:line="240" w:lineRule="auto"/>
      </w:pPr>
      <w:r>
        <w:rPr>
          <w:rFonts w:ascii="Arial" w:hAnsi="Arial" w:cs="Arial"/>
          <w:sz w:val="22"/>
        </w:rPr>
        <w:t xml:space="preserve">British Association of Social Workers (BASW) (2021) </w:t>
      </w:r>
      <w:r>
        <w:rPr>
          <w:rFonts w:ascii="Arial" w:hAnsi="Arial" w:cs="Arial"/>
          <w:i/>
          <w:iCs/>
          <w:sz w:val="22"/>
        </w:rPr>
        <w:t>Code of Ethics</w:t>
      </w:r>
      <w:r>
        <w:rPr>
          <w:rFonts w:ascii="Arial" w:hAnsi="Arial" w:cs="Arial"/>
          <w:sz w:val="22"/>
        </w:rPr>
        <w:t>. Available at: https://basw.co.uk/policy-practice/standards/code-ethics (Accessed: 14 April 2026).</w:t>
      </w:r>
    </w:p>
    <w:p w14:paraId="2BA86D2C" w14:textId="77777777" w:rsidR="00262361" w:rsidRDefault="00262361">
      <w:pPr>
        <w:spacing w:line="240" w:lineRule="auto"/>
      </w:pPr>
      <w:r>
        <w:rPr>
          <w:rFonts w:ascii="Arial" w:hAnsi="Arial" w:cs="Arial"/>
          <w:sz w:val="22"/>
        </w:rPr>
        <w:t xml:space="preserve">British Association of Social Workers (BASW) (2024) </w:t>
      </w:r>
      <w:r>
        <w:rPr>
          <w:rFonts w:ascii="Arial" w:hAnsi="Arial" w:cs="Arial"/>
          <w:i/>
          <w:iCs/>
          <w:sz w:val="22"/>
        </w:rPr>
        <w:t>What is Social Work?</w:t>
      </w:r>
      <w:r>
        <w:rPr>
          <w:rFonts w:ascii="Arial" w:hAnsi="Arial" w:cs="Arial"/>
          <w:sz w:val="22"/>
        </w:rPr>
        <w:t xml:space="preserve"> Available at:</w:t>
      </w:r>
      <w:r>
        <w:t xml:space="preserve"> </w:t>
      </w:r>
      <w:r>
        <w:rPr>
          <w:rFonts w:ascii="Arial" w:hAnsi="Arial" w:cs="Arial"/>
          <w:sz w:val="22"/>
        </w:rPr>
        <w:t>https://basw.co.uk/about-social-work/what-is-social-work (Accessed: 14 April 2026).</w:t>
      </w:r>
    </w:p>
    <w:p w14:paraId="7770FE88" w14:textId="77777777" w:rsidR="00262361" w:rsidRDefault="00262361">
      <w:pPr>
        <w:spacing w:line="240" w:lineRule="auto"/>
      </w:pPr>
      <w:r>
        <w:rPr>
          <w:rFonts w:ascii="Arial" w:hAnsi="Arial" w:cs="Arial"/>
          <w:sz w:val="22"/>
        </w:rPr>
        <w:t xml:space="preserve">Bostock, L., Shephard, L. and Grant, L. (2025) ‘What knowledge and skills do early career social workers need to practice effectively with children and families?’, </w:t>
      </w:r>
      <w:r>
        <w:rPr>
          <w:rFonts w:ascii="Arial" w:hAnsi="Arial" w:cs="Arial"/>
          <w:i/>
          <w:iCs/>
          <w:sz w:val="22"/>
        </w:rPr>
        <w:t>Child and Family Social Work</w:t>
      </w:r>
      <w:r>
        <w:rPr>
          <w:rFonts w:ascii="Arial" w:hAnsi="Arial" w:cs="Arial"/>
          <w:sz w:val="22"/>
        </w:rPr>
        <w:t>, 30(1), pp. 1–12.</w:t>
      </w:r>
    </w:p>
    <w:p w14:paraId="44E1A789" w14:textId="77777777" w:rsidR="00262361" w:rsidRDefault="00262361">
      <w:pPr>
        <w:spacing w:line="240" w:lineRule="auto"/>
      </w:pPr>
      <w:r>
        <w:rPr>
          <w:rFonts w:ascii="Arial" w:hAnsi="Arial" w:cs="Arial"/>
          <w:sz w:val="22"/>
        </w:rPr>
        <w:t xml:space="preserve">HM Government (2014) </w:t>
      </w:r>
      <w:r>
        <w:rPr>
          <w:rFonts w:ascii="Arial" w:hAnsi="Arial" w:cs="Arial"/>
          <w:i/>
          <w:iCs/>
          <w:sz w:val="22"/>
        </w:rPr>
        <w:t>Care Act 2014</w:t>
      </w:r>
      <w:r>
        <w:rPr>
          <w:rFonts w:ascii="Arial" w:hAnsi="Arial" w:cs="Arial"/>
          <w:sz w:val="22"/>
        </w:rPr>
        <w:t>. London: The Stationery Office. Available at: https://www.legislation.gov.uk/ukpga/2014/23/contents (Accessed: 14 April 2026).</w:t>
      </w:r>
    </w:p>
    <w:p w14:paraId="1FE4FDA0" w14:textId="77777777" w:rsidR="00262361" w:rsidRDefault="00262361">
      <w:pPr>
        <w:spacing w:line="240" w:lineRule="auto"/>
      </w:pPr>
      <w:r>
        <w:rPr>
          <w:rFonts w:ascii="Arial" w:hAnsi="Arial" w:cs="Arial"/>
          <w:sz w:val="22"/>
        </w:rPr>
        <w:t xml:space="preserve">Reith-Hall, E. and Montgomery, P. (2023) ‘Communication skills training for improving the communicative abilities of student social workers: A systematic review’, </w:t>
      </w:r>
      <w:r>
        <w:rPr>
          <w:rFonts w:ascii="Arial" w:hAnsi="Arial" w:cs="Arial"/>
          <w:i/>
          <w:iCs/>
          <w:sz w:val="22"/>
        </w:rPr>
        <w:t>Campbell Systematic Reviews</w:t>
      </w:r>
      <w:r>
        <w:rPr>
          <w:rFonts w:ascii="Arial" w:hAnsi="Arial" w:cs="Arial"/>
          <w:sz w:val="22"/>
        </w:rPr>
        <w:t xml:space="preserve">, 19(1), pp. 1–23. </w:t>
      </w:r>
    </w:p>
    <w:p w14:paraId="2EE2A836" w14:textId="77777777" w:rsidR="00262361" w:rsidRDefault="00262361">
      <w:pPr>
        <w:spacing w:line="240" w:lineRule="auto"/>
      </w:pPr>
      <w:r>
        <w:rPr>
          <w:rFonts w:ascii="Arial" w:hAnsi="Arial" w:cs="Arial"/>
          <w:sz w:val="22"/>
        </w:rPr>
        <w:t xml:space="preserve">Social Work England (2019) </w:t>
      </w:r>
      <w:r>
        <w:rPr>
          <w:rFonts w:ascii="Arial" w:hAnsi="Arial" w:cs="Arial"/>
          <w:i/>
          <w:iCs/>
          <w:sz w:val="22"/>
        </w:rPr>
        <w:t>Professional Standards</w:t>
      </w:r>
      <w:r>
        <w:rPr>
          <w:rFonts w:ascii="Arial" w:hAnsi="Arial" w:cs="Arial"/>
          <w:sz w:val="22"/>
        </w:rPr>
        <w:t>. Available at: https://www.socialworkengland.org.uk/standards/professional-standards/ (Accessed: 14 April 2026).</w:t>
      </w: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34302" w14:textId="77777777" w:rsidR="00B91775" w:rsidRDefault="00B91775" w:rsidP="003C7C97">
      <w:pPr>
        <w:spacing w:after="0" w:line="240" w:lineRule="auto"/>
      </w:pPr>
      <w:r>
        <w:separator/>
      </w:r>
    </w:p>
  </w:endnote>
  <w:endnote w:type="continuationSeparator" w:id="0">
    <w:p w14:paraId="526BC18F" w14:textId="77777777" w:rsidR="00B91775" w:rsidRDefault="00B9177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9117475"/>
      <w:docPartObj>
        <w:docPartGallery w:val="Page Numbers (Bottom of Page)"/>
        <w:docPartUnique/>
      </w:docPartObj>
    </w:sdtPr>
    <w:sdtEndPr>
      <w:rPr>
        <w:noProof/>
      </w:rPr>
    </w:sdtEndPr>
    <w:sdtContent>
      <w:p w14:paraId="61E809D7" w14:textId="4578F7BB" w:rsidR="003C73C0" w:rsidRDefault="003C73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97704A" w14:textId="77777777" w:rsidR="003C73C0" w:rsidRDefault="003C7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1F2B9" w14:textId="77777777" w:rsidR="00B91775" w:rsidRDefault="00B91775" w:rsidP="003C7C97">
      <w:pPr>
        <w:spacing w:after="0" w:line="240" w:lineRule="auto"/>
      </w:pPr>
      <w:r>
        <w:separator/>
      </w:r>
    </w:p>
  </w:footnote>
  <w:footnote w:type="continuationSeparator" w:id="0">
    <w:p w14:paraId="1155A053" w14:textId="77777777" w:rsidR="00B91775" w:rsidRDefault="00B9177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CFE3A66"/>
    <w:lvl w:ilvl="0" w:tplc="D65AB140">
      <w:start w:val="1"/>
      <w:numFmt w:val="bullet"/>
      <w:lvlText w:val=""/>
      <w:lvlJc w:val="left"/>
      <w:pPr>
        <w:ind w:left="720" w:hanging="360"/>
      </w:pPr>
      <w:rPr>
        <w:rFonts w:ascii="Symbol" w:hAnsi="Symbol" w:hint="default"/>
      </w:rPr>
    </w:lvl>
    <w:lvl w:ilvl="1" w:tplc="5F326588">
      <w:start w:val="1"/>
      <w:numFmt w:val="bullet"/>
      <w:lvlText w:val="o"/>
      <w:lvlJc w:val="left"/>
      <w:pPr>
        <w:ind w:left="1440" w:hanging="360"/>
      </w:pPr>
      <w:rPr>
        <w:rFonts w:ascii="Courier New" w:hAnsi="Courier New" w:hint="default"/>
      </w:rPr>
    </w:lvl>
    <w:lvl w:ilvl="2" w:tplc="76A2C2F8">
      <w:start w:val="1"/>
      <w:numFmt w:val="bullet"/>
      <w:lvlText w:val=""/>
      <w:lvlJc w:val="left"/>
      <w:pPr>
        <w:ind w:left="2160" w:hanging="360"/>
      </w:pPr>
      <w:rPr>
        <w:rFonts w:ascii="Wingdings" w:hAnsi="Wingdings" w:hint="default"/>
      </w:rPr>
    </w:lvl>
    <w:lvl w:ilvl="3" w:tplc="39D4D17A">
      <w:start w:val="1"/>
      <w:numFmt w:val="bullet"/>
      <w:lvlText w:val=""/>
      <w:lvlJc w:val="left"/>
      <w:pPr>
        <w:ind w:left="2880" w:hanging="360"/>
      </w:pPr>
      <w:rPr>
        <w:rFonts w:ascii="Symbol" w:hAnsi="Symbol" w:hint="default"/>
      </w:rPr>
    </w:lvl>
    <w:lvl w:ilvl="4" w:tplc="B4944202">
      <w:start w:val="1"/>
      <w:numFmt w:val="bullet"/>
      <w:lvlText w:val="o"/>
      <w:lvlJc w:val="left"/>
      <w:pPr>
        <w:ind w:left="3600" w:hanging="360"/>
      </w:pPr>
      <w:rPr>
        <w:rFonts w:ascii="Courier New" w:hAnsi="Courier New" w:hint="default"/>
      </w:rPr>
    </w:lvl>
    <w:lvl w:ilvl="5" w:tplc="9B22F17A">
      <w:start w:val="1"/>
      <w:numFmt w:val="bullet"/>
      <w:lvlText w:val=""/>
      <w:lvlJc w:val="left"/>
      <w:pPr>
        <w:ind w:left="4320" w:hanging="360"/>
      </w:pPr>
      <w:rPr>
        <w:rFonts w:ascii="Wingdings" w:hAnsi="Wingdings" w:hint="default"/>
      </w:rPr>
    </w:lvl>
    <w:lvl w:ilvl="6" w:tplc="5ECC2A40">
      <w:start w:val="1"/>
      <w:numFmt w:val="bullet"/>
      <w:lvlText w:val=""/>
      <w:lvlJc w:val="left"/>
      <w:pPr>
        <w:ind w:left="5040" w:hanging="360"/>
      </w:pPr>
      <w:rPr>
        <w:rFonts w:ascii="Symbol" w:hAnsi="Symbol" w:hint="default"/>
      </w:rPr>
    </w:lvl>
    <w:lvl w:ilvl="7" w:tplc="445278B8">
      <w:start w:val="1"/>
      <w:numFmt w:val="bullet"/>
      <w:lvlText w:val="o"/>
      <w:lvlJc w:val="left"/>
      <w:pPr>
        <w:ind w:left="5760" w:hanging="360"/>
      </w:pPr>
      <w:rPr>
        <w:rFonts w:ascii="Courier New" w:hAnsi="Courier New" w:hint="default"/>
      </w:rPr>
    </w:lvl>
    <w:lvl w:ilvl="8" w:tplc="BC54684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042B504"/>
    <w:lvl w:ilvl="0" w:tplc="118EEDD6">
      <w:start w:val="1"/>
      <w:numFmt w:val="bullet"/>
      <w:lvlText w:val=""/>
      <w:lvlJc w:val="left"/>
      <w:pPr>
        <w:ind w:left="720" w:hanging="360"/>
      </w:pPr>
      <w:rPr>
        <w:rFonts w:ascii="Symbol" w:hAnsi="Symbol" w:hint="default"/>
      </w:rPr>
    </w:lvl>
    <w:lvl w:ilvl="1" w:tplc="EE32773C">
      <w:start w:val="1"/>
      <w:numFmt w:val="bullet"/>
      <w:lvlText w:val="o"/>
      <w:lvlJc w:val="left"/>
      <w:pPr>
        <w:ind w:left="1440" w:hanging="360"/>
      </w:pPr>
      <w:rPr>
        <w:rFonts w:ascii="Courier New" w:hAnsi="Courier New" w:hint="default"/>
      </w:rPr>
    </w:lvl>
    <w:lvl w:ilvl="2" w:tplc="9AE84218">
      <w:start w:val="1"/>
      <w:numFmt w:val="bullet"/>
      <w:lvlText w:val=""/>
      <w:lvlJc w:val="left"/>
      <w:pPr>
        <w:ind w:left="2160" w:hanging="360"/>
      </w:pPr>
      <w:rPr>
        <w:rFonts w:ascii="Wingdings" w:hAnsi="Wingdings" w:hint="default"/>
      </w:rPr>
    </w:lvl>
    <w:lvl w:ilvl="3" w:tplc="FAEA9CC6">
      <w:start w:val="1"/>
      <w:numFmt w:val="bullet"/>
      <w:lvlText w:val=""/>
      <w:lvlJc w:val="left"/>
      <w:pPr>
        <w:ind w:left="2880" w:hanging="360"/>
      </w:pPr>
      <w:rPr>
        <w:rFonts w:ascii="Symbol" w:hAnsi="Symbol" w:hint="default"/>
      </w:rPr>
    </w:lvl>
    <w:lvl w:ilvl="4" w:tplc="CCDC8D2E">
      <w:start w:val="1"/>
      <w:numFmt w:val="bullet"/>
      <w:lvlText w:val="o"/>
      <w:lvlJc w:val="left"/>
      <w:pPr>
        <w:ind w:left="3600" w:hanging="360"/>
      </w:pPr>
      <w:rPr>
        <w:rFonts w:ascii="Courier New" w:hAnsi="Courier New" w:hint="default"/>
      </w:rPr>
    </w:lvl>
    <w:lvl w:ilvl="5" w:tplc="858025F0">
      <w:start w:val="1"/>
      <w:numFmt w:val="bullet"/>
      <w:lvlText w:val=""/>
      <w:lvlJc w:val="left"/>
      <w:pPr>
        <w:ind w:left="4320" w:hanging="360"/>
      </w:pPr>
      <w:rPr>
        <w:rFonts w:ascii="Wingdings" w:hAnsi="Wingdings" w:hint="default"/>
      </w:rPr>
    </w:lvl>
    <w:lvl w:ilvl="6" w:tplc="C512C88E">
      <w:start w:val="1"/>
      <w:numFmt w:val="bullet"/>
      <w:lvlText w:val=""/>
      <w:lvlJc w:val="left"/>
      <w:pPr>
        <w:ind w:left="5040" w:hanging="360"/>
      </w:pPr>
      <w:rPr>
        <w:rFonts w:ascii="Symbol" w:hAnsi="Symbol" w:hint="default"/>
      </w:rPr>
    </w:lvl>
    <w:lvl w:ilvl="7" w:tplc="98847942">
      <w:start w:val="1"/>
      <w:numFmt w:val="bullet"/>
      <w:lvlText w:val="o"/>
      <w:lvlJc w:val="left"/>
      <w:pPr>
        <w:ind w:left="5760" w:hanging="360"/>
      </w:pPr>
      <w:rPr>
        <w:rFonts w:ascii="Courier New" w:hAnsi="Courier New" w:hint="default"/>
      </w:rPr>
    </w:lvl>
    <w:lvl w:ilvl="8" w:tplc="42A0428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8D58AA"/>
    <w:multiLevelType w:val="multilevel"/>
    <w:tmpl w:val="6E38C98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799A85A2"/>
    <w:lvl w:ilvl="0" w:tplc="3548917A">
      <w:start w:val="1"/>
      <w:numFmt w:val="bullet"/>
      <w:lvlText w:val=""/>
      <w:lvlJc w:val="left"/>
      <w:pPr>
        <w:ind w:left="720" w:hanging="360"/>
      </w:pPr>
      <w:rPr>
        <w:rFonts w:ascii="Symbol" w:hAnsi="Symbol" w:hint="default"/>
      </w:rPr>
    </w:lvl>
    <w:lvl w:ilvl="1" w:tplc="7B86533A">
      <w:start w:val="1"/>
      <w:numFmt w:val="bullet"/>
      <w:lvlText w:val="o"/>
      <w:lvlJc w:val="left"/>
      <w:pPr>
        <w:ind w:left="1440" w:hanging="360"/>
      </w:pPr>
      <w:rPr>
        <w:rFonts w:ascii="Courier New" w:hAnsi="Courier New" w:hint="default"/>
      </w:rPr>
    </w:lvl>
    <w:lvl w:ilvl="2" w:tplc="58A4F2F2">
      <w:start w:val="1"/>
      <w:numFmt w:val="bullet"/>
      <w:lvlText w:val=""/>
      <w:lvlJc w:val="left"/>
      <w:pPr>
        <w:ind w:left="2160" w:hanging="360"/>
      </w:pPr>
      <w:rPr>
        <w:rFonts w:ascii="Wingdings" w:hAnsi="Wingdings" w:hint="default"/>
      </w:rPr>
    </w:lvl>
    <w:lvl w:ilvl="3" w:tplc="B5E2236E">
      <w:start w:val="1"/>
      <w:numFmt w:val="bullet"/>
      <w:lvlText w:val=""/>
      <w:lvlJc w:val="left"/>
      <w:pPr>
        <w:ind w:left="2880" w:hanging="360"/>
      </w:pPr>
      <w:rPr>
        <w:rFonts w:ascii="Symbol" w:hAnsi="Symbol" w:hint="default"/>
      </w:rPr>
    </w:lvl>
    <w:lvl w:ilvl="4" w:tplc="9ACE5B88">
      <w:start w:val="1"/>
      <w:numFmt w:val="bullet"/>
      <w:lvlText w:val="o"/>
      <w:lvlJc w:val="left"/>
      <w:pPr>
        <w:ind w:left="3600" w:hanging="360"/>
      </w:pPr>
      <w:rPr>
        <w:rFonts w:ascii="Courier New" w:hAnsi="Courier New" w:hint="default"/>
      </w:rPr>
    </w:lvl>
    <w:lvl w:ilvl="5" w:tplc="ED489B2A">
      <w:start w:val="1"/>
      <w:numFmt w:val="bullet"/>
      <w:lvlText w:val=""/>
      <w:lvlJc w:val="left"/>
      <w:pPr>
        <w:ind w:left="4320" w:hanging="360"/>
      </w:pPr>
      <w:rPr>
        <w:rFonts w:ascii="Wingdings" w:hAnsi="Wingdings" w:hint="default"/>
      </w:rPr>
    </w:lvl>
    <w:lvl w:ilvl="6" w:tplc="3216FDC2">
      <w:start w:val="1"/>
      <w:numFmt w:val="bullet"/>
      <w:lvlText w:val=""/>
      <w:lvlJc w:val="left"/>
      <w:pPr>
        <w:ind w:left="5040" w:hanging="360"/>
      </w:pPr>
      <w:rPr>
        <w:rFonts w:ascii="Symbol" w:hAnsi="Symbol" w:hint="default"/>
      </w:rPr>
    </w:lvl>
    <w:lvl w:ilvl="7" w:tplc="955446FA">
      <w:start w:val="1"/>
      <w:numFmt w:val="bullet"/>
      <w:lvlText w:val="o"/>
      <w:lvlJc w:val="left"/>
      <w:pPr>
        <w:ind w:left="5760" w:hanging="360"/>
      </w:pPr>
      <w:rPr>
        <w:rFonts w:ascii="Courier New" w:hAnsi="Courier New" w:hint="default"/>
      </w:rPr>
    </w:lvl>
    <w:lvl w:ilvl="8" w:tplc="5BBA48C6">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8EACFE6E"/>
    <w:lvl w:ilvl="0" w:tplc="83FE4312">
      <w:start w:val="1"/>
      <w:numFmt w:val="bullet"/>
      <w:lvlText w:val=""/>
      <w:lvlJc w:val="left"/>
      <w:pPr>
        <w:ind w:left="720" w:hanging="360"/>
      </w:pPr>
      <w:rPr>
        <w:rFonts w:ascii="Symbol" w:hAnsi="Symbol" w:hint="default"/>
      </w:rPr>
    </w:lvl>
    <w:lvl w:ilvl="1" w:tplc="97C03E64">
      <w:start w:val="1"/>
      <w:numFmt w:val="bullet"/>
      <w:lvlText w:val="o"/>
      <w:lvlJc w:val="left"/>
      <w:pPr>
        <w:ind w:left="1440" w:hanging="360"/>
      </w:pPr>
      <w:rPr>
        <w:rFonts w:ascii="Courier New" w:hAnsi="Courier New" w:hint="default"/>
      </w:rPr>
    </w:lvl>
    <w:lvl w:ilvl="2" w:tplc="0F62955E">
      <w:start w:val="1"/>
      <w:numFmt w:val="bullet"/>
      <w:lvlText w:val=""/>
      <w:lvlJc w:val="left"/>
      <w:pPr>
        <w:ind w:left="2160" w:hanging="360"/>
      </w:pPr>
      <w:rPr>
        <w:rFonts w:ascii="Wingdings" w:hAnsi="Wingdings" w:hint="default"/>
      </w:rPr>
    </w:lvl>
    <w:lvl w:ilvl="3" w:tplc="D09C9BB0">
      <w:start w:val="1"/>
      <w:numFmt w:val="bullet"/>
      <w:lvlText w:val=""/>
      <w:lvlJc w:val="left"/>
      <w:pPr>
        <w:ind w:left="2880" w:hanging="360"/>
      </w:pPr>
      <w:rPr>
        <w:rFonts w:ascii="Symbol" w:hAnsi="Symbol" w:hint="default"/>
      </w:rPr>
    </w:lvl>
    <w:lvl w:ilvl="4" w:tplc="2A08E7AC">
      <w:start w:val="1"/>
      <w:numFmt w:val="bullet"/>
      <w:lvlText w:val="o"/>
      <w:lvlJc w:val="left"/>
      <w:pPr>
        <w:ind w:left="3600" w:hanging="360"/>
      </w:pPr>
      <w:rPr>
        <w:rFonts w:ascii="Courier New" w:hAnsi="Courier New" w:hint="default"/>
      </w:rPr>
    </w:lvl>
    <w:lvl w:ilvl="5" w:tplc="76286356">
      <w:start w:val="1"/>
      <w:numFmt w:val="bullet"/>
      <w:lvlText w:val=""/>
      <w:lvlJc w:val="left"/>
      <w:pPr>
        <w:ind w:left="4320" w:hanging="360"/>
      </w:pPr>
      <w:rPr>
        <w:rFonts w:ascii="Wingdings" w:hAnsi="Wingdings" w:hint="default"/>
      </w:rPr>
    </w:lvl>
    <w:lvl w:ilvl="6" w:tplc="48B0D61A">
      <w:start w:val="1"/>
      <w:numFmt w:val="bullet"/>
      <w:lvlText w:val=""/>
      <w:lvlJc w:val="left"/>
      <w:pPr>
        <w:ind w:left="5040" w:hanging="360"/>
      </w:pPr>
      <w:rPr>
        <w:rFonts w:ascii="Symbol" w:hAnsi="Symbol" w:hint="default"/>
      </w:rPr>
    </w:lvl>
    <w:lvl w:ilvl="7" w:tplc="3EAEF75E">
      <w:start w:val="1"/>
      <w:numFmt w:val="bullet"/>
      <w:lvlText w:val="o"/>
      <w:lvlJc w:val="left"/>
      <w:pPr>
        <w:ind w:left="5760" w:hanging="360"/>
      </w:pPr>
      <w:rPr>
        <w:rFonts w:ascii="Courier New" w:hAnsi="Courier New" w:hint="default"/>
      </w:rPr>
    </w:lvl>
    <w:lvl w:ilvl="8" w:tplc="8042D0C0">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973A12AC"/>
    <w:lvl w:ilvl="0" w:tplc="B3D8ED30">
      <w:start w:val="1"/>
      <w:numFmt w:val="bullet"/>
      <w:lvlText w:val=""/>
      <w:lvlJc w:val="left"/>
      <w:pPr>
        <w:ind w:left="720" w:hanging="360"/>
      </w:pPr>
      <w:rPr>
        <w:rFonts w:ascii="Symbol" w:hAnsi="Symbol" w:hint="default"/>
      </w:rPr>
    </w:lvl>
    <w:lvl w:ilvl="1" w:tplc="E7043DB2">
      <w:start w:val="1"/>
      <w:numFmt w:val="bullet"/>
      <w:lvlText w:val="o"/>
      <w:lvlJc w:val="left"/>
      <w:pPr>
        <w:ind w:left="1440" w:hanging="360"/>
      </w:pPr>
      <w:rPr>
        <w:rFonts w:ascii="Courier New" w:hAnsi="Courier New" w:hint="default"/>
      </w:rPr>
    </w:lvl>
    <w:lvl w:ilvl="2" w:tplc="47CAA2F6">
      <w:start w:val="1"/>
      <w:numFmt w:val="bullet"/>
      <w:lvlText w:val=""/>
      <w:lvlJc w:val="left"/>
      <w:pPr>
        <w:ind w:left="2160" w:hanging="360"/>
      </w:pPr>
      <w:rPr>
        <w:rFonts w:ascii="Wingdings" w:hAnsi="Wingdings" w:hint="default"/>
      </w:rPr>
    </w:lvl>
    <w:lvl w:ilvl="3" w:tplc="23FA82FE">
      <w:start w:val="1"/>
      <w:numFmt w:val="bullet"/>
      <w:lvlText w:val=""/>
      <w:lvlJc w:val="left"/>
      <w:pPr>
        <w:ind w:left="2880" w:hanging="360"/>
      </w:pPr>
      <w:rPr>
        <w:rFonts w:ascii="Symbol" w:hAnsi="Symbol" w:hint="default"/>
      </w:rPr>
    </w:lvl>
    <w:lvl w:ilvl="4" w:tplc="EB5A755E">
      <w:start w:val="1"/>
      <w:numFmt w:val="bullet"/>
      <w:lvlText w:val="o"/>
      <w:lvlJc w:val="left"/>
      <w:pPr>
        <w:ind w:left="3600" w:hanging="360"/>
      </w:pPr>
      <w:rPr>
        <w:rFonts w:ascii="Courier New" w:hAnsi="Courier New" w:hint="default"/>
      </w:rPr>
    </w:lvl>
    <w:lvl w:ilvl="5" w:tplc="0C160592">
      <w:start w:val="1"/>
      <w:numFmt w:val="bullet"/>
      <w:lvlText w:val=""/>
      <w:lvlJc w:val="left"/>
      <w:pPr>
        <w:ind w:left="4320" w:hanging="360"/>
      </w:pPr>
      <w:rPr>
        <w:rFonts w:ascii="Wingdings" w:hAnsi="Wingdings" w:hint="default"/>
      </w:rPr>
    </w:lvl>
    <w:lvl w:ilvl="6" w:tplc="11E86820">
      <w:start w:val="1"/>
      <w:numFmt w:val="bullet"/>
      <w:lvlText w:val=""/>
      <w:lvlJc w:val="left"/>
      <w:pPr>
        <w:ind w:left="5040" w:hanging="360"/>
      </w:pPr>
      <w:rPr>
        <w:rFonts w:ascii="Symbol" w:hAnsi="Symbol" w:hint="default"/>
      </w:rPr>
    </w:lvl>
    <w:lvl w:ilvl="7" w:tplc="0226C720">
      <w:start w:val="1"/>
      <w:numFmt w:val="bullet"/>
      <w:lvlText w:val="o"/>
      <w:lvlJc w:val="left"/>
      <w:pPr>
        <w:ind w:left="5760" w:hanging="360"/>
      </w:pPr>
      <w:rPr>
        <w:rFonts w:ascii="Courier New" w:hAnsi="Courier New" w:hint="default"/>
      </w:rPr>
    </w:lvl>
    <w:lvl w:ilvl="8" w:tplc="B85C1018">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41DE77F2"/>
    <w:lvl w:ilvl="0" w:tplc="EB746714">
      <w:start w:val="1"/>
      <w:numFmt w:val="bullet"/>
      <w:lvlText w:val=""/>
      <w:lvlJc w:val="left"/>
      <w:pPr>
        <w:ind w:left="720" w:hanging="360"/>
      </w:pPr>
      <w:rPr>
        <w:rFonts w:ascii="Symbol" w:hAnsi="Symbol" w:hint="default"/>
      </w:rPr>
    </w:lvl>
    <w:lvl w:ilvl="1" w:tplc="FF3A1892">
      <w:start w:val="1"/>
      <w:numFmt w:val="bullet"/>
      <w:lvlText w:val="o"/>
      <w:lvlJc w:val="left"/>
      <w:pPr>
        <w:ind w:left="1440" w:hanging="360"/>
      </w:pPr>
      <w:rPr>
        <w:rFonts w:ascii="Courier New" w:hAnsi="Courier New" w:hint="default"/>
      </w:rPr>
    </w:lvl>
    <w:lvl w:ilvl="2" w:tplc="12384BCA">
      <w:start w:val="1"/>
      <w:numFmt w:val="bullet"/>
      <w:lvlText w:val=""/>
      <w:lvlJc w:val="left"/>
      <w:pPr>
        <w:ind w:left="2160" w:hanging="360"/>
      </w:pPr>
      <w:rPr>
        <w:rFonts w:ascii="Wingdings" w:hAnsi="Wingdings" w:hint="default"/>
      </w:rPr>
    </w:lvl>
    <w:lvl w:ilvl="3" w:tplc="D3F29820">
      <w:start w:val="1"/>
      <w:numFmt w:val="bullet"/>
      <w:lvlText w:val=""/>
      <w:lvlJc w:val="left"/>
      <w:pPr>
        <w:ind w:left="2880" w:hanging="360"/>
      </w:pPr>
      <w:rPr>
        <w:rFonts w:ascii="Symbol" w:hAnsi="Symbol" w:hint="default"/>
      </w:rPr>
    </w:lvl>
    <w:lvl w:ilvl="4" w:tplc="6CB61D32">
      <w:start w:val="1"/>
      <w:numFmt w:val="bullet"/>
      <w:lvlText w:val="o"/>
      <w:lvlJc w:val="left"/>
      <w:pPr>
        <w:ind w:left="3600" w:hanging="360"/>
      </w:pPr>
      <w:rPr>
        <w:rFonts w:ascii="Courier New" w:hAnsi="Courier New" w:hint="default"/>
      </w:rPr>
    </w:lvl>
    <w:lvl w:ilvl="5" w:tplc="89A89D7E">
      <w:start w:val="1"/>
      <w:numFmt w:val="bullet"/>
      <w:lvlText w:val=""/>
      <w:lvlJc w:val="left"/>
      <w:pPr>
        <w:ind w:left="4320" w:hanging="360"/>
      </w:pPr>
      <w:rPr>
        <w:rFonts w:ascii="Wingdings" w:hAnsi="Wingdings" w:hint="default"/>
      </w:rPr>
    </w:lvl>
    <w:lvl w:ilvl="6" w:tplc="8F622D1C">
      <w:start w:val="1"/>
      <w:numFmt w:val="bullet"/>
      <w:lvlText w:val=""/>
      <w:lvlJc w:val="left"/>
      <w:pPr>
        <w:ind w:left="5040" w:hanging="360"/>
      </w:pPr>
      <w:rPr>
        <w:rFonts w:ascii="Symbol" w:hAnsi="Symbol" w:hint="default"/>
      </w:rPr>
    </w:lvl>
    <w:lvl w:ilvl="7" w:tplc="E86AE352">
      <w:start w:val="1"/>
      <w:numFmt w:val="bullet"/>
      <w:lvlText w:val="o"/>
      <w:lvlJc w:val="left"/>
      <w:pPr>
        <w:ind w:left="5760" w:hanging="360"/>
      </w:pPr>
      <w:rPr>
        <w:rFonts w:ascii="Courier New" w:hAnsi="Courier New" w:hint="default"/>
      </w:rPr>
    </w:lvl>
    <w:lvl w:ilvl="8" w:tplc="51DCFFC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198728">
    <w:abstractNumId w:val="12"/>
  </w:num>
  <w:num w:numId="2" w16cid:durableId="968559382">
    <w:abstractNumId w:val="13"/>
  </w:num>
  <w:num w:numId="3" w16cid:durableId="1420373740">
    <w:abstractNumId w:val="1"/>
  </w:num>
  <w:num w:numId="4" w16cid:durableId="1900900525">
    <w:abstractNumId w:val="3"/>
  </w:num>
  <w:num w:numId="5" w16cid:durableId="1306741241">
    <w:abstractNumId w:val="16"/>
  </w:num>
  <w:num w:numId="6" w16cid:durableId="1406299856">
    <w:abstractNumId w:val="24"/>
  </w:num>
  <w:num w:numId="7" w16cid:durableId="52895227">
    <w:abstractNumId w:val="9"/>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3639475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A7D4A"/>
    <w:rsid w:val="000C4AAB"/>
    <w:rsid w:val="000D41DC"/>
    <w:rsid w:val="001153B2"/>
    <w:rsid w:val="00125D37"/>
    <w:rsid w:val="00127C1A"/>
    <w:rsid w:val="00150D81"/>
    <w:rsid w:val="00166CEB"/>
    <w:rsid w:val="001706C5"/>
    <w:rsid w:val="00183CB9"/>
    <w:rsid w:val="00184A9A"/>
    <w:rsid w:val="001947DF"/>
    <w:rsid w:val="001B22BB"/>
    <w:rsid w:val="001B619C"/>
    <w:rsid w:val="001D1D3C"/>
    <w:rsid w:val="002205D4"/>
    <w:rsid w:val="00222C3A"/>
    <w:rsid w:val="00226D31"/>
    <w:rsid w:val="00236401"/>
    <w:rsid w:val="002370CE"/>
    <w:rsid w:val="00242974"/>
    <w:rsid w:val="00262361"/>
    <w:rsid w:val="002976D4"/>
    <w:rsid w:val="002A5577"/>
    <w:rsid w:val="002B4AA4"/>
    <w:rsid w:val="002E71BA"/>
    <w:rsid w:val="002F5066"/>
    <w:rsid w:val="003003FD"/>
    <w:rsid w:val="00310245"/>
    <w:rsid w:val="00316C95"/>
    <w:rsid w:val="0034378B"/>
    <w:rsid w:val="003458DB"/>
    <w:rsid w:val="003523D3"/>
    <w:rsid w:val="00364C35"/>
    <w:rsid w:val="00396F60"/>
    <w:rsid w:val="003A51D6"/>
    <w:rsid w:val="003B125E"/>
    <w:rsid w:val="003B2A5E"/>
    <w:rsid w:val="003C73C0"/>
    <w:rsid w:val="003C7C97"/>
    <w:rsid w:val="003D5DE6"/>
    <w:rsid w:val="00406B8D"/>
    <w:rsid w:val="00410068"/>
    <w:rsid w:val="0041618E"/>
    <w:rsid w:val="0042295C"/>
    <w:rsid w:val="00426EEC"/>
    <w:rsid w:val="004466C3"/>
    <w:rsid w:val="004552CE"/>
    <w:rsid w:val="00455746"/>
    <w:rsid w:val="00462453"/>
    <w:rsid w:val="00481FF7"/>
    <w:rsid w:val="00500295"/>
    <w:rsid w:val="005019F5"/>
    <w:rsid w:val="00501AAF"/>
    <w:rsid w:val="00526C19"/>
    <w:rsid w:val="00527AFA"/>
    <w:rsid w:val="005419DA"/>
    <w:rsid w:val="005554DE"/>
    <w:rsid w:val="005678AC"/>
    <w:rsid w:val="005679BD"/>
    <w:rsid w:val="005709B1"/>
    <w:rsid w:val="00572B3B"/>
    <w:rsid w:val="005836D2"/>
    <w:rsid w:val="00587C58"/>
    <w:rsid w:val="005A7FD4"/>
    <w:rsid w:val="005B1A84"/>
    <w:rsid w:val="005C6BA8"/>
    <w:rsid w:val="005D1AF9"/>
    <w:rsid w:val="005D5457"/>
    <w:rsid w:val="005E2605"/>
    <w:rsid w:val="005E2699"/>
    <w:rsid w:val="005E44B5"/>
    <w:rsid w:val="00612DEA"/>
    <w:rsid w:val="00614572"/>
    <w:rsid w:val="006232DF"/>
    <w:rsid w:val="00627934"/>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B3562"/>
    <w:rsid w:val="007C62C3"/>
    <w:rsid w:val="007D25AA"/>
    <w:rsid w:val="007F0873"/>
    <w:rsid w:val="00805726"/>
    <w:rsid w:val="00806E91"/>
    <w:rsid w:val="00815117"/>
    <w:rsid w:val="00824CB1"/>
    <w:rsid w:val="008520F8"/>
    <w:rsid w:val="00855F34"/>
    <w:rsid w:val="008826B6"/>
    <w:rsid w:val="008B0B22"/>
    <w:rsid w:val="008C58B0"/>
    <w:rsid w:val="008C591B"/>
    <w:rsid w:val="008C6182"/>
    <w:rsid w:val="0090779E"/>
    <w:rsid w:val="00926458"/>
    <w:rsid w:val="00933720"/>
    <w:rsid w:val="00947B40"/>
    <w:rsid w:val="009C7E52"/>
    <w:rsid w:val="009E4934"/>
    <w:rsid w:val="009F40A7"/>
    <w:rsid w:val="009F5CE6"/>
    <w:rsid w:val="00A035CD"/>
    <w:rsid w:val="00A304E2"/>
    <w:rsid w:val="00A50E80"/>
    <w:rsid w:val="00A513B0"/>
    <w:rsid w:val="00A63F7F"/>
    <w:rsid w:val="00A667CE"/>
    <w:rsid w:val="00A75042"/>
    <w:rsid w:val="00A774BC"/>
    <w:rsid w:val="00A82678"/>
    <w:rsid w:val="00A946CB"/>
    <w:rsid w:val="00AA77C8"/>
    <w:rsid w:val="00AC7BE2"/>
    <w:rsid w:val="00AE35BF"/>
    <w:rsid w:val="00B01F19"/>
    <w:rsid w:val="00B1067E"/>
    <w:rsid w:val="00B81790"/>
    <w:rsid w:val="00B81BBC"/>
    <w:rsid w:val="00B91775"/>
    <w:rsid w:val="00BD03D5"/>
    <w:rsid w:val="00C3215E"/>
    <w:rsid w:val="00C45272"/>
    <w:rsid w:val="00C47770"/>
    <w:rsid w:val="00C75856"/>
    <w:rsid w:val="00C85A7C"/>
    <w:rsid w:val="00C95214"/>
    <w:rsid w:val="00CC0AB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C4EBA"/>
    <w:rsid w:val="00DD5135"/>
    <w:rsid w:val="00E067A8"/>
    <w:rsid w:val="00E13924"/>
    <w:rsid w:val="00E15FD5"/>
    <w:rsid w:val="00E1725A"/>
    <w:rsid w:val="00E17334"/>
    <w:rsid w:val="00E33758"/>
    <w:rsid w:val="00E53185"/>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7758D"/>
    <w:rsid w:val="00F9012D"/>
    <w:rsid w:val="00F915D6"/>
    <w:rsid w:val="00FD3C88"/>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1663</Words>
  <Characters>9762</Characters>
  <Application>Microsoft Office Word</Application>
  <DocSecurity>0</DocSecurity>
  <Lines>184</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sharon burke</cp:lastModifiedBy>
  <cp:revision>2</cp:revision>
  <dcterms:created xsi:type="dcterms:W3CDTF">2026-04-19T20:19:00Z</dcterms:created>
  <dcterms:modified xsi:type="dcterms:W3CDTF">2026-04-19T20:19:00Z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83efe3fa-20ec-4101-89a4-d9e00ae0640e</vt:lpwstr>
  </property>
</Properties>
</file>