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F7141" w14:textId="77777777" w:rsidR="00F71FB7" w:rsidRDefault="00F71FB7" w:rsidP="00F71FB7">
      <w:pPr>
        <w:spacing w:line="480" w:lineRule="auto"/>
        <w:jc w:val="center"/>
        <w:rPr>
          <w:rFonts w:ascii="Times New Roman" w:hAnsi="Times New Roman" w:cs="Times New Roman"/>
          <w:b/>
          <w:bCs/>
        </w:rPr>
      </w:pPr>
    </w:p>
    <w:p w14:paraId="51AECADC" w14:textId="77777777" w:rsidR="00F71FB7" w:rsidRDefault="00F71FB7" w:rsidP="00F71FB7">
      <w:pPr>
        <w:spacing w:line="480" w:lineRule="auto"/>
        <w:jc w:val="center"/>
        <w:rPr>
          <w:rFonts w:ascii="Times New Roman" w:hAnsi="Times New Roman" w:cs="Times New Roman"/>
          <w:b/>
          <w:bCs/>
        </w:rPr>
      </w:pPr>
    </w:p>
    <w:p w14:paraId="2BC62AEB" w14:textId="77777777" w:rsidR="00F71FB7" w:rsidRDefault="00F71FB7" w:rsidP="00F71FB7">
      <w:pPr>
        <w:spacing w:line="480" w:lineRule="auto"/>
        <w:jc w:val="center"/>
        <w:rPr>
          <w:rFonts w:ascii="Times New Roman" w:hAnsi="Times New Roman" w:cs="Times New Roman"/>
          <w:b/>
          <w:bCs/>
        </w:rPr>
      </w:pPr>
    </w:p>
    <w:p w14:paraId="1CD890C1" w14:textId="77777777" w:rsidR="00F71FB7" w:rsidRDefault="00F71FB7" w:rsidP="00F71FB7">
      <w:pPr>
        <w:spacing w:line="480" w:lineRule="auto"/>
        <w:jc w:val="center"/>
        <w:rPr>
          <w:rFonts w:ascii="Times New Roman" w:hAnsi="Times New Roman" w:cs="Times New Roman"/>
          <w:b/>
          <w:bCs/>
        </w:rPr>
      </w:pPr>
    </w:p>
    <w:p w14:paraId="3C100EA4" w14:textId="77777777" w:rsidR="00BB5BC2" w:rsidRPr="00D45068" w:rsidRDefault="00BB5BC2" w:rsidP="00BB5BC2">
      <w:pPr>
        <w:jc w:val="center"/>
        <w:rPr>
          <w:rFonts w:ascii="Arial" w:hAnsi="Arial" w:cs="Arial"/>
          <w:b/>
          <w:bCs/>
        </w:rPr>
      </w:pPr>
      <w:r w:rsidRPr="00D45068">
        <w:rPr>
          <w:rFonts w:ascii="Arial" w:hAnsi="Arial" w:cs="Arial"/>
          <w:b/>
          <w:bCs/>
        </w:rPr>
        <w:t>HEALTH &amp; SOCIAL CARE</w:t>
      </w:r>
    </w:p>
    <w:p w14:paraId="4F0E8D28" w14:textId="77777777" w:rsidR="00BB5BC2" w:rsidRPr="00D45068" w:rsidRDefault="00BB5BC2" w:rsidP="00BB5BC2">
      <w:pPr>
        <w:jc w:val="center"/>
        <w:rPr>
          <w:rFonts w:ascii="Arial" w:hAnsi="Arial" w:cs="Arial"/>
          <w:b/>
          <w:bCs/>
        </w:rPr>
      </w:pPr>
    </w:p>
    <w:p w14:paraId="7C4A20BA" w14:textId="77777777" w:rsidR="00BB5BC2" w:rsidRPr="00D45068" w:rsidRDefault="00BB5BC2" w:rsidP="00BB5BC2">
      <w:pPr>
        <w:jc w:val="center"/>
        <w:rPr>
          <w:rFonts w:ascii="Arial" w:hAnsi="Arial" w:cs="Arial"/>
          <w:b/>
        </w:rPr>
      </w:pPr>
    </w:p>
    <w:p w14:paraId="42D680AC" w14:textId="77777777" w:rsidR="00BB5BC2" w:rsidRPr="00D45068" w:rsidRDefault="00BB5BC2" w:rsidP="00BB5BC2">
      <w:pPr>
        <w:jc w:val="center"/>
        <w:rPr>
          <w:rFonts w:ascii="Arial" w:hAnsi="Arial" w:cs="Arial"/>
          <w:b/>
        </w:rPr>
      </w:pPr>
    </w:p>
    <w:p w14:paraId="3A131F20" w14:textId="77777777" w:rsidR="00BB5BC2" w:rsidRPr="00D45068" w:rsidRDefault="00BB5BC2" w:rsidP="00BB5BC2">
      <w:pPr>
        <w:jc w:val="center"/>
        <w:rPr>
          <w:rFonts w:ascii="Arial" w:hAnsi="Arial" w:cs="Arial"/>
          <w:b/>
        </w:rPr>
      </w:pPr>
      <w:r w:rsidRPr="00D45068">
        <w:rPr>
          <w:rFonts w:ascii="Arial" w:hAnsi="Arial" w:cs="Arial"/>
          <w:b/>
        </w:rPr>
        <w:t>Student Name: Sabia Alam</w:t>
      </w:r>
    </w:p>
    <w:p w14:paraId="0A9DE3E6" w14:textId="77777777" w:rsidR="00BB5BC2" w:rsidRPr="00D45068" w:rsidRDefault="00BB5BC2" w:rsidP="00BB5BC2">
      <w:pPr>
        <w:jc w:val="center"/>
        <w:rPr>
          <w:rFonts w:ascii="Arial" w:hAnsi="Arial" w:cs="Arial"/>
          <w:b/>
        </w:rPr>
      </w:pPr>
      <w:r w:rsidRPr="00D45068">
        <w:rPr>
          <w:rFonts w:ascii="Arial" w:hAnsi="Arial" w:cs="Arial"/>
          <w:b/>
        </w:rPr>
        <w:t>Student I.D: 2507875</w:t>
      </w:r>
    </w:p>
    <w:p w14:paraId="663C96CA" w14:textId="77777777" w:rsidR="00BB5BC2" w:rsidRPr="00D45068" w:rsidRDefault="00BB5BC2" w:rsidP="00BB5BC2">
      <w:pPr>
        <w:jc w:val="center"/>
        <w:rPr>
          <w:rFonts w:ascii="Arial" w:hAnsi="Arial" w:cs="Arial"/>
          <w:b/>
        </w:rPr>
      </w:pPr>
      <w:r w:rsidRPr="00D45068">
        <w:rPr>
          <w:rFonts w:ascii="Arial" w:hAnsi="Arial" w:cs="Arial"/>
          <w:b/>
        </w:rPr>
        <w:t>University of Wales</w:t>
      </w:r>
    </w:p>
    <w:p w14:paraId="3D71B1FA" w14:textId="77777777" w:rsidR="00BB5BC2" w:rsidRPr="00D45068" w:rsidRDefault="00BB5BC2" w:rsidP="00BB5BC2">
      <w:pPr>
        <w:spacing w:before="120"/>
        <w:jc w:val="center"/>
        <w:rPr>
          <w:rFonts w:ascii="Arial" w:hAnsi="Arial" w:cs="Arial"/>
          <w:b/>
          <w:bCs/>
        </w:rPr>
      </w:pPr>
      <w:r w:rsidRPr="00D45068">
        <w:rPr>
          <w:rFonts w:ascii="Arial" w:hAnsi="Arial" w:cs="Arial"/>
          <w:b/>
        </w:rPr>
        <w:t xml:space="preserve">Module Code: </w:t>
      </w:r>
      <w:r w:rsidRPr="00D45068">
        <w:rPr>
          <w:rFonts w:ascii="Arial" w:hAnsi="Arial" w:cs="Arial"/>
          <w:b/>
          <w:bCs/>
        </w:rPr>
        <w:t>LCHS4003</w:t>
      </w:r>
    </w:p>
    <w:p w14:paraId="4DC5A18E" w14:textId="77777777" w:rsidR="00BB5BC2" w:rsidRPr="00D45068" w:rsidRDefault="00BB5BC2" w:rsidP="00BB5BC2">
      <w:pPr>
        <w:spacing w:before="120"/>
        <w:jc w:val="center"/>
        <w:rPr>
          <w:rFonts w:ascii="Arial" w:hAnsi="Arial" w:cs="Arial"/>
          <w:b/>
          <w:bCs/>
        </w:rPr>
      </w:pPr>
      <w:r w:rsidRPr="00D45068">
        <w:rPr>
          <w:rFonts w:ascii="Arial" w:hAnsi="Arial" w:cs="Arial"/>
          <w:b/>
        </w:rPr>
        <w:t xml:space="preserve">Module: </w:t>
      </w:r>
      <w:r w:rsidRPr="00D45068">
        <w:rPr>
          <w:rFonts w:ascii="Arial" w:hAnsi="Arial" w:cs="Arial"/>
          <w:b/>
          <w:bCs/>
        </w:rPr>
        <w:t>Introduction to Health and Social Care</w:t>
      </w:r>
    </w:p>
    <w:p w14:paraId="31D3A758" w14:textId="77777777" w:rsidR="00BB5BC2" w:rsidRPr="00D45068" w:rsidRDefault="00BB5BC2" w:rsidP="00BB5BC2">
      <w:pPr>
        <w:jc w:val="center"/>
        <w:rPr>
          <w:rFonts w:ascii="Arial" w:hAnsi="Arial" w:cs="Arial"/>
          <w:b/>
        </w:rPr>
      </w:pPr>
      <w:r w:rsidRPr="00D45068">
        <w:rPr>
          <w:rFonts w:ascii="Arial" w:hAnsi="Arial" w:cs="Arial"/>
          <w:b/>
        </w:rPr>
        <w:t>Lecturer: Wafa Nasir</w:t>
      </w:r>
    </w:p>
    <w:p w14:paraId="1FC79DE2" w14:textId="77777777" w:rsidR="00BB5BC2" w:rsidRPr="00D45068" w:rsidRDefault="00BB5BC2" w:rsidP="00BB5BC2">
      <w:pPr>
        <w:jc w:val="center"/>
        <w:rPr>
          <w:rFonts w:ascii="Arial" w:hAnsi="Arial" w:cs="Arial"/>
          <w:b/>
        </w:rPr>
      </w:pPr>
    </w:p>
    <w:p w14:paraId="70AADED0" w14:textId="4C742D5F" w:rsidR="00F71FB7" w:rsidRDefault="00F71FB7" w:rsidP="00F71FB7">
      <w:pPr>
        <w:spacing w:line="480" w:lineRule="auto"/>
        <w:jc w:val="center"/>
        <w:rPr>
          <w:rFonts w:ascii="Times New Roman" w:hAnsi="Times New Roman" w:cs="Times New Roman"/>
        </w:rPr>
      </w:pPr>
    </w:p>
    <w:p w14:paraId="132EFC8B" w14:textId="0C9B2954" w:rsidR="00F71FB7" w:rsidRDefault="00F71FB7">
      <w:pPr>
        <w:rPr>
          <w:rFonts w:ascii="Times New Roman" w:hAnsi="Times New Roman" w:cs="Times New Roman"/>
        </w:rPr>
      </w:pPr>
      <w:r>
        <w:rPr>
          <w:rFonts w:ascii="Times New Roman" w:hAnsi="Times New Roman" w:cs="Times New Roman"/>
        </w:rPr>
        <w:br w:type="page"/>
      </w:r>
    </w:p>
    <w:sdt>
      <w:sdtPr>
        <w:rPr>
          <w:rFonts w:ascii="Times New Roman" w:eastAsiaTheme="minorHAnsi" w:hAnsi="Times New Roman" w:cs="Times New Roman"/>
          <w:b/>
          <w:bCs/>
          <w:color w:val="auto"/>
          <w:kern w:val="2"/>
          <w:sz w:val="24"/>
          <w:szCs w:val="24"/>
          <w14:ligatures w14:val="standardContextual"/>
        </w:rPr>
        <w:id w:val="-541897711"/>
        <w:docPartObj>
          <w:docPartGallery w:val="Table of Contents"/>
          <w:docPartUnique/>
        </w:docPartObj>
      </w:sdtPr>
      <w:sdtEndPr>
        <w:rPr>
          <w:noProof/>
        </w:rPr>
      </w:sdtEndPr>
      <w:sdtContent>
        <w:p w14:paraId="1946489B" w14:textId="1A1D4485" w:rsidR="00F71FB7" w:rsidRPr="00BB5BC2" w:rsidRDefault="00F71FB7" w:rsidP="000452E6">
          <w:pPr>
            <w:pStyle w:val="TOCHeading"/>
            <w:spacing w:line="360" w:lineRule="auto"/>
            <w:rPr>
              <w:rFonts w:ascii="Arial" w:hAnsi="Arial" w:cs="Arial"/>
              <w:b/>
              <w:bCs/>
              <w:color w:val="auto"/>
              <w:sz w:val="24"/>
              <w:szCs w:val="24"/>
            </w:rPr>
          </w:pPr>
          <w:r w:rsidRPr="00BB5BC2">
            <w:rPr>
              <w:rFonts w:ascii="Arial" w:hAnsi="Arial" w:cs="Arial"/>
              <w:b/>
              <w:bCs/>
              <w:color w:val="auto"/>
              <w:sz w:val="24"/>
              <w:szCs w:val="24"/>
            </w:rPr>
            <w:t>Table of Contents</w:t>
          </w:r>
        </w:p>
        <w:p w14:paraId="14F05856" w14:textId="1376F3BE" w:rsidR="00D6405E" w:rsidRPr="00BB5BC2" w:rsidRDefault="00F71FB7" w:rsidP="000452E6">
          <w:pPr>
            <w:pStyle w:val="TOC1"/>
            <w:tabs>
              <w:tab w:val="right" w:leader="dot" w:pos="9350"/>
            </w:tabs>
            <w:spacing w:line="360" w:lineRule="auto"/>
            <w:rPr>
              <w:rFonts w:ascii="Arial" w:eastAsiaTheme="minorEastAsia" w:hAnsi="Arial" w:cs="Arial"/>
              <w:noProof/>
            </w:rPr>
          </w:pPr>
          <w:r w:rsidRPr="00BB5BC2">
            <w:rPr>
              <w:rFonts w:ascii="Arial" w:hAnsi="Arial" w:cs="Arial"/>
            </w:rPr>
            <w:fldChar w:fldCharType="begin"/>
          </w:r>
          <w:r w:rsidRPr="00BB5BC2">
            <w:rPr>
              <w:rFonts w:ascii="Arial" w:hAnsi="Arial" w:cs="Arial"/>
            </w:rPr>
            <w:instrText xml:space="preserve"> TOC \o "1-3" \h \z \u </w:instrText>
          </w:r>
          <w:r w:rsidRPr="00BB5BC2">
            <w:rPr>
              <w:rFonts w:ascii="Arial" w:hAnsi="Arial" w:cs="Arial"/>
            </w:rPr>
            <w:fldChar w:fldCharType="separate"/>
          </w:r>
          <w:hyperlink w:anchor="_Toc224166040" w:history="1">
            <w:r w:rsidR="00D6405E" w:rsidRPr="00BB5BC2">
              <w:rPr>
                <w:rStyle w:val="Hyperlink"/>
                <w:rFonts w:ascii="Arial" w:hAnsi="Arial" w:cs="Arial"/>
                <w:noProof/>
              </w:rPr>
              <w:t>Introduction</w:t>
            </w:r>
            <w:r w:rsidR="00D6405E" w:rsidRPr="00BB5BC2">
              <w:rPr>
                <w:rFonts w:ascii="Arial" w:hAnsi="Arial" w:cs="Arial"/>
                <w:noProof/>
                <w:webHidden/>
              </w:rPr>
              <w:tab/>
            </w:r>
            <w:r w:rsidR="00D6405E" w:rsidRPr="00BB5BC2">
              <w:rPr>
                <w:rFonts w:ascii="Arial" w:hAnsi="Arial" w:cs="Arial"/>
                <w:noProof/>
                <w:webHidden/>
              </w:rPr>
              <w:fldChar w:fldCharType="begin"/>
            </w:r>
            <w:r w:rsidR="00D6405E" w:rsidRPr="00BB5BC2">
              <w:rPr>
                <w:rFonts w:ascii="Arial" w:hAnsi="Arial" w:cs="Arial"/>
                <w:noProof/>
                <w:webHidden/>
              </w:rPr>
              <w:instrText xml:space="preserve"> PAGEREF _Toc224166040 \h </w:instrText>
            </w:r>
            <w:r w:rsidR="00D6405E" w:rsidRPr="00BB5BC2">
              <w:rPr>
                <w:rFonts w:ascii="Arial" w:hAnsi="Arial" w:cs="Arial"/>
                <w:noProof/>
                <w:webHidden/>
              </w:rPr>
            </w:r>
            <w:r w:rsidR="00D6405E" w:rsidRPr="00BB5BC2">
              <w:rPr>
                <w:rFonts w:ascii="Arial" w:hAnsi="Arial" w:cs="Arial"/>
                <w:noProof/>
                <w:webHidden/>
              </w:rPr>
              <w:fldChar w:fldCharType="separate"/>
            </w:r>
            <w:r w:rsidR="00D6405E" w:rsidRPr="00BB5BC2">
              <w:rPr>
                <w:rFonts w:ascii="Arial" w:hAnsi="Arial" w:cs="Arial"/>
                <w:noProof/>
                <w:webHidden/>
              </w:rPr>
              <w:t>1</w:t>
            </w:r>
            <w:r w:rsidR="00D6405E" w:rsidRPr="00BB5BC2">
              <w:rPr>
                <w:rFonts w:ascii="Arial" w:hAnsi="Arial" w:cs="Arial"/>
                <w:noProof/>
                <w:webHidden/>
              </w:rPr>
              <w:fldChar w:fldCharType="end"/>
            </w:r>
          </w:hyperlink>
        </w:p>
        <w:p w14:paraId="6379A7D1" w14:textId="5D67D3C5" w:rsidR="00D6405E" w:rsidRPr="00BB5BC2" w:rsidRDefault="00D6405E" w:rsidP="000452E6">
          <w:pPr>
            <w:pStyle w:val="TOC1"/>
            <w:tabs>
              <w:tab w:val="right" w:leader="dot" w:pos="9350"/>
            </w:tabs>
            <w:spacing w:line="360" w:lineRule="auto"/>
            <w:rPr>
              <w:rFonts w:ascii="Arial" w:eastAsiaTheme="minorEastAsia" w:hAnsi="Arial" w:cs="Arial"/>
              <w:noProof/>
            </w:rPr>
          </w:pPr>
          <w:hyperlink w:anchor="_Toc224166041" w:history="1">
            <w:r w:rsidRPr="00BB5BC2">
              <w:rPr>
                <w:rStyle w:val="Hyperlink"/>
                <w:rFonts w:ascii="Arial" w:hAnsi="Arial" w:cs="Arial"/>
                <w:noProof/>
              </w:rPr>
              <w:t>The Importance of Effective Communication in Mr. Ahmed’s Care</w:t>
            </w:r>
            <w:r w:rsidRPr="00BB5BC2">
              <w:rPr>
                <w:rFonts w:ascii="Arial" w:hAnsi="Arial" w:cs="Arial"/>
                <w:noProof/>
                <w:webHidden/>
              </w:rPr>
              <w:tab/>
            </w:r>
            <w:r w:rsidR="00D94033">
              <w:rPr>
                <w:rFonts w:ascii="Arial" w:hAnsi="Arial" w:cs="Arial"/>
                <w:noProof/>
                <w:webHidden/>
              </w:rPr>
              <w:t>1</w:t>
            </w:r>
          </w:hyperlink>
        </w:p>
        <w:p w14:paraId="4D27EF31" w14:textId="7BD5D1DE" w:rsidR="00D6405E" w:rsidRPr="00BB5BC2" w:rsidRDefault="00D6405E" w:rsidP="000452E6">
          <w:pPr>
            <w:pStyle w:val="TOC1"/>
            <w:tabs>
              <w:tab w:val="right" w:leader="dot" w:pos="9350"/>
            </w:tabs>
            <w:spacing w:line="360" w:lineRule="auto"/>
            <w:rPr>
              <w:rFonts w:ascii="Arial" w:eastAsiaTheme="minorEastAsia" w:hAnsi="Arial" w:cs="Arial"/>
              <w:noProof/>
            </w:rPr>
          </w:pPr>
          <w:hyperlink w:anchor="_Toc224166042" w:history="1">
            <w:r w:rsidRPr="00BB5BC2">
              <w:rPr>
                <w:rStyle w:val="Hyperlink"/>
                <w:rFonts w:ascii="Arial" w:hAnsi="Arial" w:cs="Arial"/>
                <w:noProof/>
              </w:rPr>
              <w:t>The Importance of Good Administrative Skills within Professional Practice in the Context of Mr Ahmed’s Care</w:t>
            </w:r>
            <w:r w:rsidRPr="00BB5BC2">
              <w:rPr>
                <w:rFonts w:ascii="Arial" w:hAnsi="Arial" w:cs="Arial"/>
                <w:noProof/>
                <w:webHidden/>
              </w:rPr>
              <w:tab/>
            </w:r>
            <w:r w:rsidR="00D94033">
              <w:rPr>
                <w:rFonts w:ascii="Arial" w:hAnsi="Arial" w:cs="Arial"/>
                <w:noProof/>
                <w:webHidden/>
              </w:rPr>
              <w:t>2</w:t>
            </w:r>
          </w:hyperlink>
        </w:p>
        <w:p w14:paraId="101004B8" w14:textId="539789DB" w:rsidR="00D6405E" w:rsidRPr="00BB5BC2" w:rsidRDefault="00D6405E" w:rsidP="000452E6">
          <w:pPr>
            <w:pStyle w:val="TOC1"/>
            <w:tabs>
              <w:tab w:val="right" w:leader="dot" w:pos="9350"/>
            </w:tabs>
            <w:spacing w:line="360" w:lineRule="auto"/>
            <w:rPr>
              <w:rFonts w:ascii="Arial" w:eastAsiaTheme="minorEastAsia" w:hAnsi="Arial" w:cs="Arial"/>
              <w:noProof/>
            </w:rPr>
          </w:pPr>
          <w:hyperlink w:anchor="_Toc224166043" w:history="1">
            <w:r w:rsidRPr="00BB5BC2">
              <w:rPr>
                <w:rStyle w:val="Hyperlink"/>
                <w:rFonts w:ascii="Arial" w:hAnsi="Arial" w:cs="Arial"/>
                <w:noProof/>
              </w:rPr>
              <w:t>The Importance of Working Collaboratively with Other Professionals Involved in Mr Ahmed’s Care</w:t>
            </w:r>
            <w:r w:rsidRPr="00BB5BC2">
              <w:rPr>
                <w:rFonts w:ascii="Arial" w:hAnsi="Arial" w:cs="Arial"/>
                <w:noProof/>
                <w:webHidden/>
              </w:rPr>
              <w:tab/>
            </w:r>
            <w:r w:rsidR="00D94033">
              <w:rPr>
                <w:rFonts w:ascii="Arial" w:hAnsi="Arial" w:cs="Arial"/>
                <w:noProof/>
                <w:webHidden/>
              </w:rPr>
              <w:t>3</w:t>
            </w:r>
          </w:hyperlink>
        </w:p>
        <w:p w14:paraId="5191B91F" w14:textId="1AEC8F17" w:rsidR="00D6405E" w:rsidRPr="00BB5BC2" w:rsidRDefault="00D6405E" w:rsidP="000452E6">
          <w:pPr>
            <w:pStyle w:val="TOC1"/>
            <w:tabs>
              <w:tab w:val="right" w:leader="dot" w:pos="9350"/>
            </w:tabs>
            <w:spacing w:line="360" w:lineRule="auto"/>
            <w:rPr>
              <w:rFonts w:ascii="Arial" w:eastAsiaTheme="minorEastAsia" w:hAnsi="Arial" w:cs="Arial"/>
              <w:noProof/>
            </w:rPr>
          </w:pPr>
          <w:hyperlink w:anchor="_Toc224166044" w:history="1">
            <w:r w:rsidRPr="00BB5BC2">
              <w:rPr>
                <w:rStyle w:val="Hyperlink"/>
                <w:rFonts w:ascii="Arial" w:hAnsi="Arial" w:cs="Arial"/>
                <w:noProof/>
              </w:rPr>
              <w:t>Conclusion</w:t>
            </w:r>
            <w:r w:rsidRPr="00BB5BC2">
              <w:rPr>
                <w:rFonts w:ascii="Arial" w:hAnsi="Arial" w:cs="Arial"/>
                <w:noProof/>
                <w:webHidden/>
              </w:rPr>
              <w:tab/>
            </w:r>
            <w:r w:rsidR="00D94033">
              <w:rPr>
                <w:rFonts w:ascii="Arial" w:hAnsi="Arial" w:cs="Arial"/>
                <w:noProof/>
                <w:webHidden/>
              </w:rPr>
              <w:t>3</w:t>
            </w:r>
          </w:hyperlink>
        </w:p>
        <w:p w14:paraId="5E77AF87" w14:textId="14080A60" w:rsidR="00D6405E" w:rsidRPr="00BB5BC2" w:rsidRDefault="00D6405E" w:rsidP="000452E6">
          <w:pPr>
            <w:pStyle w:val="TOC1"/>
            <w:tabs>
              <w:tab w:val="right" w:leader="dot" w:pos="9350"/>
            </w:tabs>
            <w:spacing w:line="360" w:lineRule="auto"/>
            <w:rPr>
              <w:rFonts w:ascii="Arial" w:eastAsiaTheme="minorEastAsia" w:hAnsi="Arial" w:cs="Arial"/>
              <w:noProof/>
            </w:rPr>
          </w:pPr>
          <w:hyperlink w:anchor="_Toc224166045" w:history="1">
            <w:r w:rsidRPr="00BB5BC2">
              <w:rPr>
                <w:rStyle w:val="Hyperlink"/>
                <w:rFonts w:ascii="Arial" w:hAnsi="Arial" w:cs="Arial"/>
                <w:noProof/>
              </w:rPr>
              <w:t>References</w:t>
            </w:r>
            <w:r w:rsidRPr="00BB5BC2">
              <w:rPr>
                <w:rFonts w:ascii="Arial" w:hAnsi="Arial" w:cs="Arial"/>
                <w:noProof/>
                <w:webHidden/>
              </w:rPr>
              <w:tab/>
            </w:r>
            <w:r w:rsidR="00D94033">
              <w:rPr>
                <w:rFonts w:ascii="Arial" w:hAnsi="Arial" w:cs="Arial"/>
                <w:noProof/>
                <w:webHidden/>
              </w:rPr>
              <w:t>4</w:t>
            </w:r>
          </w:hyperlink>
        </w:p>
        <w:p w14:paraId="385C1F87" w14:textId="3095C302" w:rsidR="00F71FB7" w:rsidRDefault="00F71FB7" w:rsidP="000452E6">
          <w:pPr>
            <w:spacing w:line="360" w:lineRule="auto"/>
          </w:pPr>
          <w:r w:rsidRPr="00BB5BC2">
            <w:rPr>
              <w:rFonts w:ascii="Arial" w:hAnsi="Arial" w:cs="Arial"/>
              <w:b/>
              <w:bCs/>
              <w:noProof/>
            </w:rPr>
            <w:fldChar w:fldCharType="end"/>
          </w:r>
        </w:p>
      </w:sdtContent>
    </w:sdt>
    <w:p w14:paraId="73817CD4" w14:textId="2EB69EF9" w:rsidR="00F71FB7" w:rsidRPr="00D6405E" w:rsidRDefault="00F71FB7" w:rsidP="00D6405E">
      <w:pPr>
        <w:rPr>
          <w:rFonts w:ascii="Times New Roman" w:eastAsiaTheme="majorEastAsia" w:hAnsi="Times New Roman" w:cs="Times New Roman"/>
          <w:b/>
          <w:sz w:val="26"/>
          <w:szCs w:val="40"/>
        </w:rPr>
        <w:sectPr w:rsidR="00F71FB7" w:rsidRPr="00D6405E" w:rsidSect="00F71FB7">
          <w:footerReference w:type="default" r:id="rId7"/>
          <w:pgSz w:w="12240" w:h="15840"/>
          <w:pgMar w:top="1440" w:right="1440" w:bottom="1440" w:left="1440" w:header="720" w:footer="720" w:gutter="0"/>
          <w:pgNumType w:fmt="lowerRoman" w:start="1"/>
          <w:cols w:space="720"/>
          <w:docGrid w:linePitch="360"/>
        </w:sectPr>
      </w:pPr>
    </w:p>
    <w:p w14:paraId="3C3D19B3" w14:textId="77777777" w:rsidR="00D6405E" w:rsidRPr="00BB5BC2" w:rsidRDefault="00D6405E" w:rsidP="00BB5BC2">
      <w:pPr>
        <w:pStyle w:val="Heading1"/>
        <w:spacing w:line="276" w:lineRule="auto"/>
        <w:rPr>
          <w:rFonts w:ascii="Arial" w:hAnsi="Arial" w:cs="Arial"/>
          <w:sz w:val="24"/>
          <w:szCs w:val="24"/>
        </w:rPr>
      </w:pPr>
      <w:bookmarkStart w:id="0" w:name="_Toc224166040"/>
      <w:r w:rsidRPr="00BB5BC2">
        <w:rPr>
          <w:rFonts w:ascii="Arial" w:hAnsi="Arial" w:cs="Arial"/>
          <w:sz w:val="24"/>
          <w:szCs w:val="24"/>
        </w:rPr>
        <w:lastRenderedPageBreak/>
        <w:t>Introduction</w:t>
      </w:r>
      <w:bookmarkEnd w:id="0"/>
    </w:p>
    <w:p w14:paraId="0F0FABB1" w14:textId="5E229212" w:rsidR="00D6405E" w:rsidRPr="00BB5BC2" w:rsidRDefault="00D6405E" w:rsidP="00BB5BC2">
      <w:pPr>
        <w:spacing w:line="276" w:lineRule="auto"/>
        <w:rPr>
          <w:rFonts w:ascii="Arial" w:hAnsi="Arial" w:cs="Arial"/>
          <w:sz w:val="22"/>
          <w:szCs w:val="22"/>
        </w:rPr>
      </w:pPr>
      <w:r w:rsidRPr="00BB5BC2">
        <w:rPr>
          <w:rFonts w:ascii="Arial" w:hAnsi="Arial" w:cs="Arial"/>
          <w:sz w:val="22"/>
          <w:szCs w:val="22"/>
        </w:rPr>
        <w:t xml:space="preserve">Mr. Ahmed is a 68-year-old Bengali male who has been discharged from </w:t>
      </w:r>
      <w:r w:rsidR="00A64EBF">
        <w:rPr>
          <w:rFonts w:ascii="Arial" w:hAnsi="Arial" w:cs="Arial"/>
          <w:sz w:val="22"/>
          <w:szCs w:val="22"/>
        </w:rPr>
        <w:t>the</w:t>
      </w:r>
      <w:r w:rsidRPr="00BB5BC2">
        <w:rPr>
          <w:rFonts w:ascii="Arial" w:hAnsi="Arial" w:cs="Arial"/>
          <w:sz w:val="22"/>
          <w:szCs w:val="22"/>
        </w:rPr>
        <w:t xml:space="preserve"> hospital after being a patient there due to a stroke. Mr. Ahmed currently resides in his house, which is on the ground floor, with his wife. He also has a care package that provides him with domiciliary care visits three times a day to cater to his needs regarding his personal hygiene, medication, and meal preparation. Mr. Ahmed’s care package is also being provided to him by his GP, who makes sure that Mr. Ahmed is provided with </w:t>
      </w:r>
      <w:r w:rsidR="00A64EBF">
        <w:rPr>
          <w:rFonts w:ascii="Arial" w:hAnsi="Arial" w:cs="Arial"/>
          <w:sz w:val="22"/>
          <w:szCs w:val="22"/>
        </w:rPr>
        <w:t xml:space="preserve">a </w:t>
      </w:r>
      <w:r w:rsidRPr="00BB5BC2">
        <w:rPr>
          <w:rFonts w:ascii="Arial" w:hAnsi="Arial" w:cs="Arial"/>
          <w:sz w:val="22"/>
          <w:szCs w:val="22"/>
        </w:rPr>
        <w:t xml:space="preserve">district nurse </w:t>
      </w:r>
      <w:r w:rsidR="00A64EBF">
        <w:rPr>
          <w:rFonts w:ascii="Arial" w:hAnsi="Arial" w:cs="Arial"/>
          <w:sz w:val="22"/>
          <w:szCs w:val="22"/>
        </w:rPr>
        <w:t>who visits twice weekly</w:t>
      </w:r>
      <w:r w:rsidRPr="00BB5BC2">
        <w:rPr>
          <w:rFonts w:ascii="Arial" w:hAnsi="Arial" w:cs="Arial"/>
          <w:sz w:val="22"/>
          <w:szCs w:val="22"/>
        </w:rPr>
        <w:t xml:space="preserve"> to monitor his blood pressure and wound care. He also receives speech and language therapy to help him cope with his problems of aphasia and mobility due to his stroke. Mr. Ahmed is currently suffering from severe problems of aphasia and mobility due to his stroke, which makes him highly dependent on his care package to ensure his independence and safety. Mr. Ahmed speaks Bengali as his first language </w:t>
      </w:r>
      <w:r w:rsidR="00A64EBF" w:rsidRPr="00BB5BC2">
        <w:rPr>
          <w:rFonts w:ascii="Arial" w:hAnsi="Arial" w:cs="Arial"/>
          <w:sz w:val="22"/>
          <w:szCs w:val="22"/>
        </w:rPr>
        <w:t>and</w:t>
      </w:r>
      <w:r w:rsidRPr="00BB5BC2">
        <w:rPr>
          <w:rFonts w:ascii="Arial" w:hAnsi="Arial" w:cs="Arial"/>
          <w:sz w:val="22"/>
          <w:szCs w:val="22"/>
        </w:rPr>
        <w:t xml:space="preserve"> experiences problems in communicating in complex English conversations. Hence, his wife often translates on his behalf during interactions with his caregivers. Although this has been very helpful to Mr. Ahmed, it has also at times posed problems of miscommunication or delays in direct communication with his caregivers.</w:t>
      </w:r>
    </w:p>
    <w:p w14:paraId="673A5999" w14:textId="20827ED8" w:rsidR="00D6405E" w:rsidRPr="00BB5BC2" w:rsidRDefault="00D6405E" w:rsidP="00BB5BC2">
      <w:pPr>
        <w:spacing w:line="276" w:lineRule="auto"/>
        <w:rPr>
          <w:rFonts w:ascii="Arial" w:hAnsi="Arial" w:cs="Arial"/>
          <w:sz w:val="22"/>
          <w:szCs w:val="22"/>
        </w:rPr>
      </w:pPr>
      <w:r w:rsidRPr="00BB5BC2">
        <w:rPr>
          <w:rFonts w:ascii="Arial" w:hAnsi="Arial" w:cs="Arial"/>
          <w:sz w:val="22"/>
          <w:szCs w:val="22"/>
        </w:rPr>
        <w:t xml:space="preserve">The recent missed visit of the care agency for medication administration has led to a delay in medication administration. This is a critical issue in health and social care services that puts patients from ethnic minorities at risk in the health and social care system of the UK. The care of patients after a stroke is a complex issue that involves multiple agencies and cultural sensitivity. The health and social care system of the UK has a history of development from the post-war period of the welfare state and the National Health Service Act of 1948. Despite all the developments in the health and social care system of the UK over the years, there are </w:t>
      </w:r>
      <w:r w:rsidR="00A64EBF" w:rsidRPr="00BB5BC2">
        <w:rPr>
          <w:rFonts w:ascii="Arial" w:hAnsi="Arial" w:cs="Arial"/>
          <w:sz w:val="22"/>
          <w:szCs w:val="22"/>
        </w:rPr>
        <w:t>several</w:t>
      </w:r>
      <w:r w:rsidRPr="00BB5BC2">
        <w:rPr>
          <w:rFonts w:ascii="Arial" w:hAnsi="Arial" w:cs="Arial"/>
          <w:sz w:val="22"/>
          <w:szCs w:val="22"/>
        </w:rPr>
        <w:t xml:space="preserve"> challenges faced by the system, such as a lack of staff and financial constraints, which affect the health and social care services provided to patients from diverse backgrounds (Redley et al., 2019).</w:t>
      </w:r>
    </w:p>
    <w:p w14:paraId="448C3A8B" w14:textId="77777777" w:rsidR="00D6405E" w:rsidRPr="00BB5BC2" w:rsidRDefault="00D6405E" w:rsidP="00BB5BC2">
      <w:pPr>
        <w:spacing w:line="276" w:lineRule="auto"/>
        <w:rPr>
          <w:rFonts w:ascii="Arial" w:hAnsi="Arial" w:cs="Arial"/>
          <w:sz w:val="22"/>
          <w:szCs w:val="22"/>
        </w:rPr>
      </w:pPr>
      <w:r w:rsidRPr="00BB5BC2">
        <w:rPr>
          <w:rFonts w:ascii="Arial" w:hAnsi="Arial" w:cs="Arial"/>
          <w:sz w:val="22"/>
          <w:szCs w:val="22"/>
        </w:rPr>
        <w:t>In this report, the importance of communication with patients according to the Equality Act 2010 would be discussed. For this purpose, the Shannon and Weaver Model of Communication would be used to ensure effective communication with patients with minimum ‘noise’ in communication. Best practices in administration according to the Data Protection Act 2018 would be discussed. For this purpose, the importance of record-keeping would be discussed. Finally, the importance of a multi-disciplinary team would be discussed to remove barriers to multi-disciplinary teams. Such health and social care practices are of critical importance in providing quality health and social care services to patients with complex health needs after a stroke. Such quality health and social care services would be helpful in preventing medication errors and providing equitable health and social care services to patients from diverse backgrounds, such as Mr. Ahmed, in the health and social care system of the UK.</w:t>
      </w:r>
    </w:p>
    <w:p w14:paraId="52AEB8EB" w14:textId="77777777" w:rsidR="00D6405E" w:rsidRPr="00BB5BC2" w:rsidRDefault="00D6405E" w:rsidP="00BB5BC2">
      <w:pPr>
        <w:pStyle w:val="Heading1"/>
        <w:spacing w:line="276" w:lineRule="auto"/>
        <w:rPr>
          <w:rFonts w:ascii="Arial" w:hAnsi="Arial" w:cs="Arial"/>
          <w:sz w:val="24"/>
          <w:szCs w:val="24"/>
        </w:rPr>
      </w:pPr>
      <w:bookmarkStart w:id="1" w:name="_Toc224166041"/>
      <w:r w:rsidRPr="00BB5BC2">
        <w:rPr>
          <w:rFonts w:ascii="Arial" w:hAnsi="Arial" w:cs="Arial"/>
          <w:sz w:val="24"/>
          <w:szCs w:val="24"/>
        </w:rPr>
        <w:t>The Importance of Effective Communication in Mr. Ahmed’s Care</w:t>
      </w:r>
      <w:bookmarkEnd w:id="1"/>
      <w:r w:rsidRPr="00BB5BC2">
        <w:rPr>
          <w:rFonts w:ascii="Arial" w:hAnsi="Arial" w:cs="Arial"/>
          <w:sz w:val="24"/>
          <w:szCs w:val="24"/>
        </w:rPr>
        <w:t xml:space="preserve">  </w:t>
      </w:r>
    </w:p>
    <w:p w14:paraId="13F8E1B8" w14:textId="77777777" w:rsidR="00D6405E" w:rsidRPr="00BB5BC2" w:rsidRDefault="00D6405E" w:rsidP="00BB5BC2">
      <w:pPr>
        <w:spacing w:line="276" w:lineRule="auto"/>
        <w:rPr>
          <w:rFonts w:ascii="Arial" w:hAnsi="Arial" w:cs="Arial"/>
          <w:sz w:val="22"/>
          <w:szCs w:val="22"/>
        </w:rPr>
      </w:pPr>
      <w:r w:rsidRPr="00BB5BC2">
        <w:rPr>
          <w:rFonts w:ascii="Arial" w:hAnsi="Arial" w:cs="Arial"/>
          <w:sz w:val="22"/>
          <w:szCs w:val="22"/>
        </w:rPr>
        <w:t xml:space="preserve">Communication is an essential aspect in providing safe and dignified care in the health and social care setting, particularly for stroke patients like Mr. Ahmed, who is suffering from aphasia and language barriers due to his stroke. Communication is vital in providing care and support to </w:t>
      </w:r>
      <w:r w:rsidRPr="00BB5BC2">
        <w:rPr>
          <w:rFonts w:ascii="Arial" w:hAnsi="Arial" w:cs="Arial"/>
          <w:sz w:val="22"/>
          <w:szCs w:val="22"/>
        </w:rPr>
        <w:lastRenderedPageBreak/>
        <w:t>the service user and their families by the health care professionals while at the same time abiding by the Equality Act 2010 in providing non-discriminatory care to the service user on the grounds of his disability and race (Equality Act 2010). For Mr. Ahmed, who is a Bengali male suffering from communication and language barriers due to his stroke, effective communication is vital in providing safe and dignified care to the service user while at the same time providing non-discriminatory care to the service user in the healthcare setting to maintain his dignity (Redley et al., 2019; Lockwood et al., 2012).</w:t>
      </w:r>
    </w:p>
    <w:p w14:paraId="4DF81B39" w14:textId="35C9B1D2" w:rsidR="00D6405E" w:rsidRPr="00BB5BC2" w:rsidRDefault="00D6405E" w:rsidP="00BB5BC2">
      <w:pPr>
        <w:spacing w:line="276" w:lineRule="auto"/>
        <w:rPr>
          <w:rFonts w:ascii="Arial" w:hAnsi="Arial" w:cs="Arial"/>
          <w:sz w:val="22"/>
          <w:szCs w:val="22"/>
        </w:rPr>
      </w:pPr>
      <w:r w:rsidRPr="00BB5BC2">
        <w:rPr>
          <w:rFonts w:ascii="Arial" w:hAnsi="Arial" w:cs="Arial"/>
          <w:sz w:val="22"/>
          <w:szCs w:val="22"/>
        </w:rPr>
        <w:t xml:space="preserve">The linear model of communication, which is one of the prominent models discussed in the teaching session, has been developed by the Shannon and Weaver (1948) model, which has been applied in the context of health and social care to explain the distortion of communication (Gillespie &amp; Schiff, 2018). The sender, i.e., the district nurse, will encode the message of communication and how the wound </w:t>
      </w:r>
      <w:r w:rsidR="00A64EBF" w:rsidRPr="00BB5BC2">
        <w:rPr>
          <w:rFonts w:ascii="Arial" w:hAnsi="Arial" w:cs="Arial"/>
          <w:sz w:val="22"/>
          <w:szCs w:val="22"/>
        </w:rPr>
        <w:t>must</w:t>
      </w:r>
      <w:r w:rsidRPr="00BB5BC2">
        <w:rPr>
          <w:rFonts w:ascii="Arial" w:hAnsi="Arial" w:cs="Arial"/>
          <w:sz w:val="22"/>
          <w:szCs w:val="22"/>
        </w:rPr>
        <w:t xml:space="preserve"> be cared for, which will be transmitted over the communication channel, which can be verbal and visual. The message will be received and decoded by the receiver, i.e., Mr. Ahmed, with the possibility of distortion and noise, which can be language, environment, and aphasia. The use of feedback has not been included in the model, which can be applied to remove the barriers (</w:t>
      </w:r>
      <w:proofErr w:type="spellStart"/>
      <w:r w:rsidRPr="00BB5BC2">
        <w:rPr>
          <w:rFonts w:ascii="Arial" w:hAnsi="Arial" w:cs="Arial"/>
          <w:sz w:val="22"/>
          <w:szCs w:val="22"/>
        </w:rPr>
        <w:t>Mohorek</w:t>
      </w:r>
      <w:proofErr w:type="spellEnd"/>
      <w:r w:rsidRPr="00BB5BC2">
        <w:rPr>
          <w:rFonts w:ascii="Arial" w:hAnsi="Arial" w:cs="Arial"/>
          <w:sz w:val="22"/>
          <w:szCs w:val="22"/>
        </w:rPr>
        <w:t xml:space="preserve"> &amp; Moore, 2015). The model has been applied in the context of multicultural settings and has been effective in removing the barriers or the noise, which can be cultural, and the use of encoding (</w:t>
      </w:r>
      <w:proofErr w:type="spellStart"/>
      <w:r w:rsidRPr="00BB5BC2">
        <w:rPr>
          <w:rFonts w:ascii="Arial" w:hAnsi="Arial" w:cs="Arial"/>
          <w:sz w:val="22"/>
          <w:szCs w:val="22"/>
        </w:rPr>
        <w:t>Bratan</w:t>
      </w:r>
      <w:proofErr w:type="spellEnd"/>
      <w:r w:rsidRPr="00BB5BC2">
        <w:rPr>
          <w:rFonts w:ascii="Arial" w:hAnsi="Arial" w:cs="Arial"/>
          <w:sz w:val="22"/>
          <w:szCs w:val="22"/>
        </w:rPr>
        <w:t xml:space="preserve"> et al., 2010). Mr. Ahmed will </w:t>
      </w:r>
      <w:r w:rsidR="00061011" w:rsidRPr="00BB5BC2">
        <w:rPr>
          <w:rFonts w:ascii="Arial" w:hAnsi="Arial" w:cs="Arial"/>
          <w:sz w:val="22"/>
          <w:szCs w:val="22"/>
        </w:rPr>
        <w:t>benefit</w:t>
      </w:r>
      <w:r w:rsidRPr="00BB5BC2">
        <w:rPr>
          <w:rFonts w:ascii="Arial" w:hAnsi="Arial" w:cs="Arial"/>
          <w:sz w:val="22"/>
          <w:szCs w:val="22"/>
        </w:rPr>
        <w:t xml:space="preserve"> </w:t>
      </w:r>
      <w:r w:rsidR="00061011" w:rsidRPr="00BB5BC2">
        <w:rPr>
          <w:rFonts w:ascii="Arial" w:hAnsi="Arial" w:cs="Arial"/>
          <w:sz w:val="22"/>
          <w:szCs w:val="22"/>
        </w:rPr>
        <w:t>from</w:t>
      </w:r>
      <w:r w:rsidRPr="00BB5BC2">
        <w:rPr>
          <w:rFonts w:ascii="Arial" w:hAnsi="Arial" w:cs="Arial"/>
          <w:sz w:val="22"/>
          <w:szCs w:val="22"/>
        </w:rPr>
        <w:t xml:space="preserve"> the use of the model of </w:t>
      </w:r>
      <w:r w:rsidR="00061011" w:rsidRPr="00BB5BC2">
        <w:rPr>
          <w:rFonts w:ascii="Arial" w:hAnsi="Arial" w:cs="Arial"/>
          <w:sz w:val="22"/>
          <w:szCs w:val="22"/>
        </w:rPr>
        <w:t>communication which</w:t>
      </w:r>
      <w:r w:rsidRPr="00BB5BC2">
        <w:rPr>
          <w:rFonts w:ascii="Arial" w:hAnsi="Arial" w:cs="Arial"/>
          <w:sz w:val="22"/>
          <w:szCs w:val="22"/>
        </w:rPr>
        <w:t xml:space="preserve"> will be </w:t>
      </w:r>
      <w:r w:rsidR="00061011" w:rsidRPr="00BB5BC2">
        <w:rPr>
          <w:rFonts w:ascii="Arial" w:hAnsi="Arial" w:cs="Arial"/>
          <w:sz w:val="22"/>
          <w:szCs w:val="22"/>
        </w:rPr>
        <w:t>translated,</w:t>
      </w:r>
      <w:r w:rsidRPr="00BB5BC2">
        <w:rPr>
          <w:rFonts w:ascii="Arial" w:hAnsi="Arial" w:cs="Arial"/>
          <w:sz w:val="22"/>
          <w:szCs w:val="22"/>
        </w:rPr>
        <w:t xml:space="preserve"> and gestures will be used, removing the barriers and meeting the requirements of the Act with regard</w:t>
      </w:r>
      <w:r w:rsidR="00061011">
        <w:rPr>
          <w:rFonts w:ascii="Arial" w:hAnsi="Arial" w:cs="Arial"/>
          <w:sz w:val="22"/>
          <w:szCs w:val="22"/>
        </w:rPr>
        <w:t>s</w:t>
      </w:r>
      <w:r w:rsidRPr="00BB5BC2">
        <w:rPr>
          <w:rFonts w:ascii="Arial" w:hAnsi="Arial" w:cs="Arial"/>
          <w:sz w:val="22"/>
          <w:szCs w:val="22"/>
        </w:rPr>
        <w:t xml:space="preserve"> to the use of inclusivity. The barriers will be removed with the use of cultural training and standards, which will remove the inequalities (Redley et al., 2019) and will empower Mr. Ahmed, </w:t>
      </w:r>
      <w:r w:rsidR="00061011" w:rsidRPr="00BB5BC2">
        <w:rPr>
          <w:rFonts w:ascii="Arial" w:hAnsi="Arial" w:cs="Arial"/>
          <w:sz w:val="22"/>
          <w:szCs w:val="22"/>
        </w:rPr>
        <w:t>remov</w:t>
      </w:r>
      <w:r w:rsidR="00061011">
        <w:rPr>
          <w:rFonts w:ascii="Arial" w:hAnsi="Arial" w:cs="Arial"/>
          <w:sz w:val="22"/>
          <w:szCs w:val="22"/>
        </w:rPr>
        <w:t xml:space="preserve">ing </w:t>
      </w:r>
      <w:r w:rsidRPr="00BB5BC2">
        <w:rPr>
          <w:rFonts w:ascii="Arial" w:hAnsi="Arial" w:cs="Arial"/>
          <w:sz w:val="22"/>
          <w:szCs w:val="22"/>
        </w:rPr>
        <w:t>the risks and promoting the use of equity and rehabilitation.</w:t>
      </w:r>
    </w:p>
    <w:p w14:paraId="42392935" w14:textId="4116E026" w:rsidR="00D6405E" w:rsidRPr="00BB5BC2" w:rsidRDefault="00D6405E" w:rsidP="00BB5BC2">
      <w:pPr>
        <w:pStyle w:val="Heading1"/>
        <w:spacing w:line="276" w:lineRule="auto"/>
        <w:rPr>
          <w:rFonts w:ascii="Arial" w:hAnsi="Arial" w:cs="Arial"/>
          <w:sz w:val="24"/>
          <w:szCs w:val="24"/>
        </w:rPr>
      </w:pPr>
      <w:bookmarkStart w:id="2" w:name="_Toc224166042"/>
      <w:r w:rsidRPr="00BB5BC2">
        <w:rPr>
          <w:rFonts w:ascii="Arial" w:hAnsi="Arial" w:cs="Arial"/>
          <w:sz w:val="24"/>
          <w:szCs w:val="24"/>
        </w:rPr>
        <w:t xml:space="preserve">The Importance of Good Administrative Skills within Professional Practice in the Context of </w:t>
      </w:r>
      <w:r w:rsidR="00061011" w:rsidRPr="00BB5BC2">
        <w:rPr>
          <w:rFonts w:ascii="Arial" w:hAnsi="Arial" w:cs="Arial"/>
          <w:sz w:val="24"/>
          <w:szCs w:val="24"/>
        </w:rPr>
        <w:t>Mr.</w:t>
      </w:r>
      <w:r w:rsidRPr="00BB5BC2">
        <w:rPr>
          <w:rFonts w:ascii="Arial" w:hAnsi="Arial" w:cs="Arial"/>
          <w:sz w:val="24"/>
          <w:szCs w:val="24"/>
        </w:rPr>
        <w:t xml:space="preserve"> Ahmed’s Care</w:t>
      </w:r>
      <w:bookmarkEnd w:id="2"/>
      <w:r w:rsidRPr="00BB5BC2">
        <w:rPr>
          <w:rFonts w:ascii="Arial" w:hAnsi="Arial" w:cs="Arial"/>
          <w:sz w:val="24"/>
          <w:szCs w:val="24"/>
        </w:rPr>
        <w:t xml:space="preserve">  </w:t>
      </w:r>
    </w:p>
    <w:p w14:paraId="25EEA561" w14:textId="15B79FCE" w:rsidR="00D6405E" w:rsidRPr="00BB5BC2" w:rsidRDefault="00D6405E" w:rsidP="00BB5BC2">
      <w:pPr>
        <w:spacing w:line="276" w:lineRule="auto"/>
        <w:rPr>
          <w:rFonts w:ascii="Arial" w:hAnsi="Arial" w:cs="Arial"/>
          <w:sz w:val="22"/>
          <w:szCs w:val="22"/>
        </w:rPr>
      </w:pPr>
      <w:r w:rsidRPr="00BB5BC2">
        <w:rPr>
          <w:rFonts w:ascii="Arial" w:hAnsi="Arial" w:cs="Arial"/>
          <w:sz w:val="22"/>
          <w:szCs w:val="22"/>
        </w:rPr>
        <w:t xml:space="preserve">Administrative skills provide the foundation of accountable practice, consistent practice, and risk management in health and social care services. For Mr. Ahmed’s case, good administrative skills would quickly identify missed visits and enable preventive action to be taken. Conversely, poor administrative skills would lead to disjointed practice, thereby exposing professionals to legal action. Record-keeping </w:t>
      </w:r>
      <w:r w:rsidR="00061011" w:rsidRPr="00BB5BC2">
        <w:rPr>
          <w:rFonts w:ascii="Arial" w:hAnsi="Arial" w:cs="Arial"/>
          <w:sz w:val="22"/>
          <w:szCs w:val="22"/>
        </w:rPr>
        <w:t>must</w:t>
      </w:r>
      <w:r w:rsidRPr="00BB5BC2">
        <w:rPr>
          <w:rFonts w:ascii="Arial" w:hAnsi="Arial" w:cs="Arial"/>
          <w:sz w:val="22"/>
          <w:szCs w:val="22"/>
        </w:rPr>
        <w:t xml:space="preserve"> be carried out with regard</w:t>
      </w:r>
      <w:r w:rsidR="00061011">
        <w:rPr>
          <w:rFonts w:ascii="Arial" w:hAnsi="Arial" w:cs="Arial"/>
          <w:sz w:val="22"/>
          <w:szCs w:val="22"/>
        </w:rPr>
        <w:t>s</w:t>
      </w:r>
      <w:r w:rsidRPr="00BB5BC2">
        <w:rPr>
          <w:rFonts w:ascii="Arial" w:hAnsi="Arial" w:cs="Arial"/>
          <w:sz w:val="22"/>
          <w:szCs w:val="22"/>
        </w:rPr>
        <w:t xml:space="preserve"> to the Data Protection Act 2018 (DPA 2018), which includes UK GDPR on handling personal data and sensitive health data. The eight principles of data protection include lawfulness, fairness, transparency, accuracy, </w:t>
      </w:r>
      <w:proofErr w:type="spellStart"/>
      <w:r w:rsidRPr="00BB5BC2">
        <w:rPr>
          <w:rFonts w:ascii="Arial" w:hAnsi="Arial" w:cs="Arial"/>
          <w:sz w:val="22"/>
          <w:szCs w:val="22"/>
        </w:rPr>
        <w:t>minimisation</w:t>
      </w:r>
      <w:proofErr w:type="spellEnd"/>
      <w:r w:rsidRPr="00BB5BC2">
        <w:rPr>
          <w:rFonts w:ascii="Arial" w:hAnsi="Arial" w:cs="Arial"/>
          <w:sz w:val="22"/>
          <w:szCs w:val="22"/>
        </w:rPr>
        <w:t xml:space="preserve">, storage limitation, integrity/confidentiality, and accountability (Taylor, 2020; </w:t>
      </w:r>
      <w:proofErr w:type="spellStart"/>
      <w:r w:rsidRPr="00BB5BC2">
        <w:rPr>
          <w:rFonts w:ascii="Arial" w:hAnsi="Arial" w:cs="Arial"/>
          <w:sz w:val="22"/>
          <w:szCs w:val="22"/>
        </w:rPr>
        <w:t>Tertulino</w:t>
      </w:r>
      <w:proofErr w:type="spellEnd"/>
      <w:r w:rsidRPr="00BB5BC2">
        <w:rPr>
          <w:rFonts w:ascii="Arial" w:hAnsi="Arial" w:cs="Arial"/>
          <w:sz w:val="22"/>
          <w:szCs w:val="22"/>
        </w:rPr>
        <w:t xml:space="preserve"> et al., 2024). In Mr. Ahmed’s case, his records would be processed in line with the eight principles of data protection and would be accurate and secure with immediate electronic recording. </w:t>
      </w:r>
    </w:p>
    <w:p w14:paraId="4F4B4CE2" w14:textId="08F6F113" w:rsidR="00D6405E" w:rsidRPr="00BB5BC2" w:rsidRDefault="00D6405E" w:rsidP="00BB5BC2">
      <w:pPr>
        <w:spacing w:line="276" w:lineRule="auto"/>
        <w:rPr>
          <w:rStyle w:val="Hyperlink"/>
          <w:rFonts w:ascii="Arial" w:hAnsi="Arial" w:cs="Arial"/>
          <w:color w:val="auto"/>
          <w:sz w:val="22"/>
          <w:szCs w:val="22"/>
          <w:u w:val="none"/>
        </w:rPr>
      </w:pPr>
      <w:r w:rsidRPr="00BB5BC2">
        <w:rPr>
          <w:rFonts w:ascii="Arial" w:hAnsi="Arial" w:cs="Arial"/>
          <w:sz w:val="22"/>
          <w:szCs w:val="22"/>
        </w:rPr>
        <w:t xml:space="preserve">Best practices on data protection provide guidelines on data-sharing practices that form an integral part of safe and effective practice. The eight principles of data protection would be applied to data-sharing practices of confidential health information (Subramanian, 2024). In Mr. Ahmed’s case, with his multi-disciplinary team practice, it would be possible to view records made by other health professionals such as nurses and therapists by GPs through electronic </w:t>
      </w:r>
      <w:r w:rsidRPr="00BB5BC2">
        <w:rPr>
          <w:rFonts w:ascii="Arial" w:hAnsi="Arial" w:cs="Arial"/>
          <w:sz w:val="22"/>
          <w:szCs w:val="22"/>
        </w:rPr>
        <w:lastRenderedPageBreak/>
        <w:t xml:space="preserve">records. </w:t>
      </w:r>
      <w:r w:rsidRPr="00BB5BC2">
        <w:rPr>
          <w:rFonts w:ascii="Arial" w:hAnsi="Arial" w:cs="Arial"/>
          <w:sz w:val="22"/>
          <w:szCs w:val="22"/>
        </w:rPr>
        <w:fldChar w:fldCharType="begin"/>
      </w:r>
      <w:r w:rsidRPr="00BB5BC2">
        <w:rPr>
          <w:rFonts w:ascii="Arial" w:hAnsi="Arial" w:cs="Arial"/>
          <w:sz w:val="22"/>
          <w:szCs w:val="22"/>
        </w:rPr>
        <w:instrText>HYPERLINK "t2210321@gmail.com"</w:instrText>
      </w:r>
      <w:r w:rsidRPr="00BB5BC2">
        <w:rPr>
          <w:rFonts w:ascii="Arial" w:hAnsi="Arial" w:cs="Arial"/>
          <w:sz w:val="22"/>
          <w:szCs w:val="22"/>
        </w:rPr>
      </w:r>
      <w:r w:rsidRPr="00BB5BC2">
        <w:rPr>
          <w:rFonts w:ascii="Arial" w:hAnsi="Arial" w:cs="Arial"/>
          <w:sz w:val="22"/>
          <w:szCs w:val="22"/>
        </w:rPr>
        <w:fldChar w:fldCharType="separate"/>
      </w:r>
      <w:r w:rsidRPr="00BB5BC2">
        <w:rPr>
          <w:rStyle w:val="Hyperlink"/>
          <w:rFonts w:ascii="Arial" w:hAnsi="Arial" w:cs="Arial"/>
          <w:color w:val="auto"/>
          <w:sz w:val="22"/>
          <w:szCs w:val="22"/>
          <w:u w:val="none"/>
        </w:rPr>
        <w:t xml:space="preserve">DPA compliance training, secure platforms, and breach reporting </w:t>
      </w:r>
      <w:r w:rsidR="00061011" w:rsidRPr="00BB5BC2">
        <w:rPr>
          <w:rStyle w:val="Hyperlink"/>
          <w:rFonts w:ascii="Arial" w:hAnsi="Arial" w:cs="Arial"/>
          <w:color w:val="auto"/>
          <w:sz w:val="22"/>
          <w:szCs w:val="22"/>
          <w:u w:val="none"/>
        </w:rPr>
        <w:t>enhances</w:t>
      </w:r>
      <w:r w:rsidRPr="00BB5BC2">
        <w:rPr>
          <w:rStyle w:val="Hyperlink"/>
          <w:rFonts w:ascii="Arial" w:hAnsi="Arial" w:cs="Arial"/>
          <w:color w:val="auto"/>
          <w:sz w:val="22"/>
          <w:szCs w:val="22"/>
          <w:u w:val="none"/>
        </w:rPr>
        <w:t xml:space="preserve"> practice (Pool et al., 2024). Strong administration protects vulnerable users, aids investigations, and delivers compliant, person-</w:t>
      </w:r>
      <w:r w:rsidR="00061011" w:rsidRPr="00BB5BC2">
        <w:rPr>
          <w:rStyle w:val="Hyperlink"/>
          <w:rFonts w:ascii="Arial" w:hAnsi="Arial" w:cs="Arial"/>
          <w:color w:val="auto"/>
          <w:sz w:val="22"/>
          <w:szCs w:val="22"/>
          <w:u w:val="none"/>
        </w:rPr>
        <w:t>centered</w:t>
      </w:r>
      <w:r w:rsidRPr="00BB5BC2">
        <w:rPr>
          <w:rStyle w:val="Hyperlink"/>
          <w:rFonts w:ascii="Arial" w:hAnsi="Arial" w:cs="Arial"/>
          <w:color w:val="auto"/>
          <w:sz w:val="22"/>
          <w:szCs w:val="22"/>
          <w:u w:val="none"/>
        </w:rPr>
        <w:t xml:space="preserve"> care.  </w:t>
      </w:r>
    </w:p>
    <w:p w14:paraId="16D1615B" w14:textId="72801A03" w:rsidR="00D6405E" w:rsidRPr="00BB5BC2" w:rsidRDefault="00D6405E" w:rsidP="00BB5BC2">
      <w:pPr>
        <w:pStyle w:val="Heading1"/>
        <w:spacing w:line="276" w:lineRule="auto"/>
        <w:rPr>
          <w:rStyle w:val="Hyperlink"/>
          <w:rFonts w:ascii="Arial" w:hAnsi="Arial" w:cs="Arial"/>
          <w:color w:val="auto"/>
          <w:sz w:val="24"/>
          <w:szCs w:val="24"/>
          <w:u w:val="none"/>
        </w:rPr>
      </w:pPr>
      <w:bookmarkStart w:id="3" w:name="_Toc224166043"/>
      <w:r w:rsidRPr="00BB5BC2">
        <w:rPr>
          <w:rStyle w:val="Hyperlink"/>
          <w:rFonts w:ascii="Arial" w:hAnsi="Arial" w:cs="Arial"/>
          <w:color w:val="auto"/>
          <w:sz w:val="24"/>
          <w:szCs w:val="24"/>
          <w:u w:val="none"/>
        </w:rPr>
        <w:t xml:space="preserve">The Importance of Working Collaboratively with Other Professionals Involved in </w:t>
      </w:r>
      <w:r w:rsidR="00061011" w:rsidRPr="00BB5BC2">
        <w:rPr>
          <w:rStyle w:val="Hyperlink"/>
          <w:rFonts w:ascii="Arial" w:hAnsi="Arial" w:cs="Arial"/>
          <w:color w:val="auto"/>
          <w:sz w:val="24"/>
          <w:szCs w:val="24"/>
          <w:u w:val="none"/>
        </w:rPr>
        <w:t>Mr.</w:t>
      </w:r>
      <w:r w:rsidRPr="00BB5BC2">
        <w:rPr>
          <w:rStyle w:val="Hyperlink"/>
          <w:rFonts w:ascii="Arial" w:hAnsi="Arial" w:cs="Arial"/>
          <w:color w:val="auto"/>
          <w:sz w:val="24"/>
          <w:szCs w:val="24"/>
          <w:u w:val="none"/>
        </w:rPr>
        <w:t xml:space="preserve"> Ahmed’s Care</w:t>
      </w:r>
      <w:bookmarkEnd w:id="3"/>
      <w:r w:rsidRPr="00BB5BC2">
        <w:rPr>
          <w:rStyle w:val="Hyperlink"/>
          <w:rFonts w:ascii="Arial" w:hAnsi="Arial" w:cs="Arial"/>
          <w:color w:val="auto"/>
          <w:sz w:val="24"/>
          <w:szCs w:val="24"/>
          <w:u w:val="none"/>
        </w:rPr>
        <w:t xml:space="preserve">  </w:t>
      </w:r>
    </w:p>
    <w:p w14:paraId="79909F12" w14:textId="1DDE864E" w:rsidR="00D6405E" w:rsidRPr="00BB5BC2" w:rsidRDefault="00D6405E" w:rsidP="00BB5BC2">
      <w:pPr>
        <w:spacing w:line="276" w:lineRule="auto"/>
        <w:rPr>
          <w:rStyle w:val="Hyperlink"/>
          <w:rFonts w:ascii="Arial" w:hAnsi="Arial" w:cs="Arial"/>
          <w:color w:val="auto"/>
          <w:sz w:val="22"/>
          <w:szCs w:val="22"/>
          <w:u w:val="none"/>
        </w:rPr>
      </w:pPr>
      <w:r w:rsidRPr="00BB5BC2">
        <w:rPr>
          <w:rStyle w:val="Hyperlink"/>
          <w:rFonts w:ascii="Arial" w:hAnsi="Arial" w:cs="Arial"/>
          <w:color w:val="auto"/>
          <w:sz w:val="22"/>
          <w:szCs w:val="22"/>
          <w:u w:val="none"/>
        </w:rPr>
        <w:t xml:space="preserve">Collaborative </w:t>
      </w:r>
      <w:r w:rsidR="00061011" w:rsidRPr="00BB5BC2">
        <w:rPr>
          <w:rStyle w:val="Hyperlink"/>
          <w:rFonts w:ascii="Arial" w:hAnsi="Arial" w:cs="Arial"/>
          <w:color w:val="auto"/>
          <w:sz w:val="22"/>
          <w:szCs w:val="22"/>
          <w:u w:val="none"/>
        </w:rPr>
        <w:t>work</w:t>
      </w:r>
      <w:r w:rsidRPr="00BB5BC2">
        <w:rPr>
          <w:rStyle w:val="Hyperlink"/>
          <w:rFonts w:ascii="Arial" w:hAnsi="Arial" w:cs="Arial"/>
          <w:color w:val="auto"/>
          <w:sz w:val="22"/>
          <w:szCs w:val="22"/>
          <w:u w:val="none"/>
        </w:rPr>
        <w:t xml:space="preserve"> integrates the GP, district nurse, domiciliary carers, and speech therapist to provide holistic support for </w:t>
      </w:r>
      <w:r w:rsidR="00061011" w:rsidRPr="00BB5BC2">
        <w:rPr>
          <w:rStyle w:val="Hyperlink"/>
          <w:rFonts w:ascii="Arial" w:hAnsi="Arial" w:cs="Arial"/>
          <w:color w:val="auto"/>
          <w:sz w:val="22"/>
          <w:szCs w:val="22"/>
          <w:u w:val="none"/>
        </w:rPr>
        <w:t>Mr.</w:t>
      </w:r>
      <w:r w:rsidRPr="00BB5BC2">
        <w:rPr>
          <w:rStyle w:val="Hyperlink"/>
          <w:rFonts w:ascii="Arial" w:hAnsi="Arial" w:cs="Arial"/>
          <w:color w:val="auto"/>
          <w:sz w:val="22"/>
          <w:szCs w:val="22"/>
          <w:u w:val="none"/>
        </w:rPr>
        <w:t xml:space="preserve"> Ahmed’s post-stroke needs. It bridges gaps, avoids duplication, and boosts safety</w:t>
      </w:r>
      <w:r w:rsidR="00061011">
        <w:rPr>
          <w:rStyle w:val="Hyperlink"/>
          <w:rFonts w:ascii="Arial" w:hAnsi="Arial" w:cs="Arial"/>
          <w:color w:val="auto"/>
          <w:sz w:val="22"/>
          <w:szCs w:val="22"/>
          <w:u w:val="none"/>
        </w:rPr>
        <w:t xml:space="preserve"> </w:t>
      </w:r>
      <w:r w:rsidRPr="00BB5BC2">
        <w:rPr>
          <w:rStyle w:val="Hyperlink"/>
          <w:rFonts w:ascii="Arial" w:hAnsi="Arial" w:cs="Arial"/>
          <w:color w:val="auto"/>
          <w:sz w:val="22"/>
          <w:szCs w:val="22"/>
          <w:u w:val="none"/>
        </w:rPr>
        <w:t xml:space="preserve">essential after the missed visit exposed coordination issues (Orr et al., 2025). Fostering collaboration involves multidisciplinary reviews (virtual or in-person), shared plans, and digital tools for information exchange. Integrated systems encourage joint protocols and include </w:t>
      </w:r>
      <w:r w:rsidR="00061011" w:rsidRPr="00BB5BC2">
        <w:rPr>
          <w:rStyle w:val="Hyperlink"/>
          <w:rFonts w:ascii="Arial" w:hAnsi="Arial" w:cs="Arial"/>
          <w:color w:val="auto"/>
          <w:sz w:val="22"/>
          <w:szCs w:val="22"/>
          <w:u w:val="none"/>
        </w:rPr>
        <w:t>Mr.</w:t>
      </w:r>
      <w:r w:rsidRPr="00BB5BC2">
        <w:rPr>
          <w:rStyle w:val="Hyperlink"/>
          <w:rFonts w:ascii="Arial" w:hAnsi="Arial" w:cs="Arial"/>
          <w:color w:val="auto"/>
          <w:sz w:val="22"/>
          <w:szCs w:val="22"/>
          <w:u w:val="none"/>
        </w:rPr>
        <w:t xml:space="preserve"> Ahmed and his wife for person-</w:t>
      </w:r>
      <w:r w:rsidR="00061011" w:rsidRPr="00BB5BC2">
        <w:rPr>
          <w:rStyle w:val="Hyperlink"/>
          <w:rFonts w:ascii="Arial" w:hAnsi="Arial" w:cs="Arial"/>
          <w:color w:val="auto"/>
          <w:sz w:val="22"/>
          <w:szCs w:val="22"/>
          <w:u w:val="none"/>
        </w:rPr>
        <w:t>centered</w:t>
      </w:r>
      <w:r w:rsidRPr="00BB5BC2">
        <w:rPr>
          <w:rStyle w:val="Hyperlink"/>
          <w:rFonts w:ascii="Arial" w:hAnsi="Arial" w:cs="Arial"/>
          <w:color w:val="auto"/>
          <w:sz w:val="22"/>
          <w:szCs w:val="22"/>
          <w:u w:val="none"/>
        </w:rPr>
        <w:t xml:space="preserve"> care (Thomson et al., 2024). Coordinators define roles, with joint training fostering understanding. Challenges include differing priorities, resource shortages leading to missed visits, communication silos, and data-sharing concerns under the DPA 2018. Strategies encompass governance like escalation protocols, trust via relationships, feedback loops, and equitable resource distribution. Mitigating power imbalances through community engagement ensures effectiveness (Prendergast et al., 2024; Dixon, 2022).  </w:t>
      </w:r>
    </w:p>
    <w:p w14:paraId="3C336C87" w14:textId="5C7E06B6" w:rsidR="00D6405E" w:rsidRPr="00BB5BC2" w:rsidRDefault="00D6405E" w:rsidP="00BB5BC2">
      <w:pPr>
        <w:spacing w:line="276" w:lineRule="auto"/>
        <w:rPr>
          <w:rStyle w:val="Hyperlink"/>
          <w:rFonts w:ascii="Arial" w:hAnsi="Arial" w:cs="Arial"/>
          <w:color w:val="auto"/>
          <w:sz w:val="22"/>
          <w:szCs w:val="22"/>
          <w:u w:val="none"/>
        </w:rPr>
      </w:pPr>
      <w:r w:rsidRPr="00BB5BC2">
        <w:rPr>
          <w:rStyle w:val="Hyperlink"/>
          <w:rFonts w:ascii="Arial" w:hAnsi="Arial" w:cs="Arial"/>
          <w:color w:val="auto"/>
          <w:sz w:val="22"/>
          <w:szCs w:val="22"/>
          <w:u w:val="none"/>
        </w:rPr>
        <w:t xml:space="preserve">Such collaboration delivers safer, efficient care, enhancing </w:t>
      </w:r>
      <w:r w:rsidR="00061011" w:rsidRPr="00BB5BC2">
        <w:rPr>
          <w:rStyle w:val="Hyperlink"/>
          <w:rFonts w:ascii="Arial" w:hAnsi="Arial" w:cs="Arial"/>
          <w:color w:val="auto"/>
          <w:sz w:val="22"/>
          <w:szCs w:val="22"/>
          <w:u w:val="none"/>
        </w:rPr>
        <w:t>Mr.</w:t>
      </w:r>
      <w:r w:rsidRPr="00BB5BC2">
        <w:rPr>
          <w:rStyle w:val="Hyperlink"/>
          <w:rFonts w:ascii="Arial" w:hAnsi="Arial" w:cs="Arial"/>
          <w:color w:val="auto"/>
          <w:sz w:val="22"/>
          <w:szCs w:val="22"/>
          <w:u w:val="none"/>
        </w:rPr>
        <w:t xml:space="preserve"> Ahmed’s independence and quality of life.  </w:t>
      </w:r>
    </w:p>
    <w:p w14:paraId="1BD73B9B" w14:textId="77777777" w:rsidR="00D6405E" w:rsidRPr="00BB5BC2" w:rsidRDefault="00D6405E" w:rsidP="00BB5BC2">
      <w:pPr>
        <w:pStyle w:val="Heading1"/>
        <w:spacing w:line="276" w:lineRule="auto"/>
        <w:rPr>
          <w:rStyle w:val="Hyperlink"/>
          <w:rFonts w:ascii="Arial" w:hAnsi="Arial" w:cs="Arial"/>
          <w:color w:val="auto"/>
          <w:sz w:val="24"/>
          <w:szCs w:val="24"/>
          <w:u w:val="none"/>
        </w:rPr>
      </w:pPr>
      <w:bookmarkStart w:id="4" w:name="_Toc224166044"/>
      <w:r w:rsidRPr="00BB5BC2">
        <w:rPr>
          <w:rStyle w:val="Hyperlink"/>
          <w:rFonts w:ascii="Arial" w:hAnsi="Arial" w:cs="Arial"/>
          <w:color w:val="auto"/>
          <w:sz w:val="24"/>
          <w:szCs w:val="24"/>
          <w:u w:val="none"/>
        </w:rPr>
        <w:t>Conclusion</w:t>
      </w:r>
      <w:bookmarkEnd w:id="4"/>
      <w:r w:rsidRPr="00BB5BC2">
        <w:rPr>
          <w:rStyle w:val="Hyperlink"/>
          <w:rFonts w:ascii="Arial" w:hAnsi="Arial" w:cs="Arial"/>
          <w:color w:val="auto"/>
          <w:sz w:val="24"/>
          <w:szCs w:val="24"/>
          <w:u w:val="none"/>
        </w:rPr>
        <w:t xml:space="preserve">  </w:t>
      </w:r>
    </w:p>
    <w:p w14:paraId="2B166481" w14:textId="7B4027D4" w:rsidR="00D6405E" w:rsidRPr="00BB5BC2" w:rsidRDefault="00D6405E" w:rsidP="00BB5BC2">
      <w:pPr>
        <w:spacing w:line="276" w:lineRule="auto"/>
        <w:rPr>
          <w:rFonts w:ascii="Arial" w:hAnsi="Arial" w:cs="Arial"/>
          <w:sz w:val="22"/>
          <w:szCs w:val="22"/>
        </w:rPr>
      </w:pPr>
      <w:r w:rsidRPr="00BB5BC2">
        <w:rPr>
          <w:rStyle w:val="Hyperlink"/>
          <w:rFonts w:ascii="Arial" w:hAnsi="Arial" w:cs="Arial"/>
          <w:color w:val="auto"/>
          <w:sz w:val="22"/>
          <w:szCs w:val="22"/>
          <w:u w:val="none"/>
        </w:rPr>
        <w:t xml:space="preserve">This report has sought to identify some of the key aspects of Mr. Ahmed’s care after his stroke, </w:t>
      </w:r>
      <w:r w:rsidR="00061011" w:rsidRPr="00BB5BC2">
        <w:rPr>
          <w:rStyle w:val="Hyperlink"/>
          <w:rFonts w:ascii="Arial" w:hAnsi="Arial" w:cs="Arial"/>
          <w:color w:val="auto"/>
          <w:sz w:val="22"/>
          <w:szCs w:val="22"/>
          <w:u w:val="none"/>
        </w:rPr>
        <w:t>regarding</w:t>
      </w:r>
      <w:r w:rsidRPr="00BB5BC2">
        <w:rPr>
          <w:rStyle w:val="Hyperlink"/>
          <w:rFonts w:ascii="Arial" w:hAnsi="Arial" w:cs="Arial"/>
          <w:color w:val="auto"/>
          <w:sz w:val="22"/>
          <w:szCs w:val="22"/>
          <w:u w:val="none"/>
        </w:rPr>
        <w:t xml:space="preserve"> the UK’s health and social care system. The first section of this report has sought to emphasize the importance of communication, </w:t>
      </w:r>
      <w:r w:rsidR="00061011" w:rsidRPr="00BB5BC2">
        <w:rPr>
          <w:rStyle w:val="Hyperlink"/>
          <w:rFonts w:ascii="Arial" w:hAnsi="Arial" w:cs="Arial"/>
          <w:color w:val="auto"/>
          <w:sz w:val="22"/>
          <w:szCs w:val="22"/>
          <w:u w:val="none"/>
        </w:rPr>
        <w:t>regarding</w:t>
      </w:r>
      <w:r w:rsidRPr="00BB5BC2">
        <w:rPr>
          <w:rStyle w:val="Hyperlink"/>
          <w:rFonts w:ascii="Arial" w:hAnsi="Arial" w:cs="Arial"/>
          <w:color w:val="auto"/>
          <w:sz w:val="22"/>
          <w:szCs w:val="22"/>
          <w:u w:val="none"/>
        </w:rPr>
        <w:t xml:space="preserve"> the Equality Act 2010 and the Shannon and Weaver model (1948), </w:t>
      </w:r>
      <w:r w:rsidR="00061011" w:rsidRPr="00BB5BC2">
        <w:rPr>
          <w:rStyle w:val="Hyperlink"/>
          <w:rFonts w:ascii="Arial" w:hAnsi="Arial" w:cs="Arial"/>
          <w:color w:val="auto"/>
          <w:sz w:val="22"/>
          <w:szCs w:val="22"/>
          <w:u w:val="none"/>
        </w:rPr>
        <w:t>about</w:t>
      </w:r>
      <w:r w:rsidRPr="00BB5BC2">
        <w:rPr>
          <w:rStyle w:val="Hyperlink"/>
          <w:rFonts w:ascii="Arial" w:hAnsi="Arial" w:cs="Arial"/>
          <w:color w:val="auto"/>
          <w:sz w:val="22"/>
          <w:szCs w:val="22"/>
          <w:u w:val="none"/>
        </w:rPr>
        <w:t xml:space="preserve"> language barriers, aphasia, and noise, which may have caused a delay in administering medication to Mr. Ahmed recently. The second section of this report has sought to emphasize the importance of administrative skills, </w:t>
      </w:r>
      <w:r w:rsidR="00061011" w:rsidRPr="00BB5BC2">
        <w:rPr>
          <w:rStyle w:val="Hyperlink"/>
          <w:rFonts w:ascii="Arial" w:hAnsi="Arial" w:cs="Arial"/>
          <w:color w:val="auto"/>
          <w:sz w:val="22"/>
          <w:szCs w:val="22"/>
          <w:u w:val="none"/>
        </w:rPr>
        <w:t>about</w:t>
      </w:r>
      <w:r w:rsidRPr="00BB5BC2">
        <w:rPr>
          <w:rStyle w:val="Hyperlink"/>
          <w:rFonts w:ascii="Arial" w:hAnsi="Arial" w:cs="Arial"/>
          <w:color w:val="auto"/>
          <w:sz w:val="22"/>
          <w:szCs w:val="22"/>
          <w:u w:val="none"/>
        </w:rPr>
        <w:t xml:space="preserve"> the Data Protection Act 2018, which requires accurate records and accountability, particularly in multidisciplinary records. The third section of this report has sought to emphasize the importance of effective working with others, </w:t>
      </w:r>
      <w:r w:rsidR="00061011" w:rsidRPr="00BB5BC2">
        <w:rPr>
          <w:rStyle w:val="Hyperlink"/>
          <w:rFonts w:ascii="Arial" w:hAnsi="Arial" w:cs="Arial"/>
          <w:color w:val="auto"/>
          <w:sz w:val="22"/>
          <w:szCs w:val="22"/>
          <w:u w:val="none"/>
        </w:rPr>
        <w:t>regarding</w:t>
      </w:r>
      <w:r w:rsidRPr="00BB5BC2">
        <w:rPr>
          <w:rStyle w:val="Hyperlink"/>
          <w:rFonts w:ascii="Arial" w:hAnsi="Arial" w:cs="Arial"/>
          <w:color w:val="auto"/>
          <w:sz w:val="22"/>
          <w:szCs w:val="22"/>
          <w:u w:val="none"/>
        </w:rPr>
        <w:t xml:space="preserve"> the challenges faced by multidisciplinary teams and working effectively despite the constraints. These aspects, which are included in relation to the literature, have helped mitigate the risks associated with vulnerable patients such as Mr. Ahmed and have ensured effective, person-centered and equitable care, as per the requirements of the integrated care system in the UK (Thomson et al., 2024; Redley et al., 2019).</w:t>
      </w:r>
      <w:r w:rsidRPr="00BB5BC2">
        <w:rPr>
          <w:rFonts w:ascii="Arial" w:hAnsi="Arial" w:cs="Arial"/>
          <w:sz w:val="22"/>
          <w:szCs w:val="22"/>
        </w:rPr>
        <w:fldChar w:fldCharType="end"/>
      </w:r>
      <w:r w:rsidRPr="00BB5BC2">
        <w:rPr>
          <w:rFonts w:ascii="Arial" w:hAnsi="Arial" w:cs="Arial"/>
          <w:sz w:val="22"/>
          <w:szCs w:val="22"/>
        </w:rPr>
        <w:t xml:space="preserve"> </w:t>
      </w:r>
    </w:p>
    <w:p w14:paraId="151A6F60" w14:textId="77777777" w:rsidR="00D6405E" w:rsidRPr="00BB5BC2" w:rsidRDefault="00D6405E" w:rsidP="00BB5BC2">
      <w:pPr>
        <w:spacing w:line="276" w:lineRule="auto"/>
        <w:ind w:firstLine="720"/>
        <w:rPr>
          <w:rFonts w:ascii="Arial" w:hAnsi="Arial" w:cs="Arial"/>
          <w:sz w:val="22"/>
          <w:szCs w:val="22"/>
        </w:rPr>
      </w:pPr>
    </w:p>
    <w:p w14:paraId="322F666E" w14:textId="77777777" w:rsidR="00D6405E" w:rsidRPr="00BB5BC2" w:rsidRDefault="00D6405E" w:rsidP="00BB5BC2">
      <w:pPr>
        <w:spacing w:line="276" w:lineRule="auto"/>
        <w:ind w:firstLine="720"/>
        <w:rPr>
          <w:rFonts w:ascii="Arial" w:hAnsi="Arial" w:cs="Arial"/>
          <w:sz w:val="22"/>
          <w:szCs w:val="22"/>
        </w:rPr>
      </w:pPr>
    </w:p>
    <w:p w14:paraId="5F795869" w14:textId="77777777" w:rsidR="00D6405E" w:rsidRPr="00BB5BC2" w:rsidRDefault="00D6405E" w:rsidP="00BB5BC2">
      <w:pPr>
        <w:spacing w:line="276" w:lineRule="auto"/>
        <w:ind w:firstLine="720"/>
        <w:rPr>
          <w:rFonts w:ascii="Arial" w:hAnsi="Arial" w:cs="Arial"/>
          <w:sz w:val="22"/>
          <w:szCs w:val="22"/>
        </w:rPr>
      </w:pPr>
      <w:r w:rsidRPr="00BB5BC2">
        <w:rPr>
          <w:rFonts w:ascii="Arial" w:hAnsi="Arial" w:cs="Arial"/>
          <w:sz w:val="22"/>
          <w:szCs w:val="22"/>
        </w:rPr>
        <w:br w:type="page"/>
      </w:r>
    </w:p>
    <w:p w14:paraId="4D4194CD" w14:textId="08CE5B53" w:rsidR="00D6405E" w:rsidRPr="00BB5BC2" w:rsidRDefault="00D6405E" w:rsidP="00BB5BC2">
      <w:pPr>
        <w:pStyle w:val="Heading1"/>
        <w:spacing w:line="276" w:lineRule="auto"/>
        <w:rPr>
          <w:rFonts w:ascii="Arial" w:hAnsi="Arial" w:cs="Arial"/>
          <w:sz w:val="22"/>
          <w:szCs w:val="22"/>
        </w:rPr>
      </w:pPr>
      <w:bookmarkStart w:id="5" w:name="_Toc224166045"/>
      <w:r w:rsidRPr="00BB5BC2">
        <w:rPr>
          <w:rFonts w:ascii="Arial" w:hAnsi="Arial" w:cs="Arial"/>
          <w:sz w:val="22"/>
          <w:szCs w:val="22"/>
        </w:rPr>
        <w:lastRenderedPageBreak/>
        <w:t>References</w:t>
      </w:r>
      <w:bookmarkEnd w:id="5"/>
      <w:r w:rsidRPr="00BB5BC2">
        <w:rPr>
          <w:rFonts w:ascii="Arial" w:hAnsi="Arial" w:cs="Arial"/>
          <w:sz w:val="22"/>
          <w:szCs w:val="22"/>
        </w:rPr>
        <w:t xml:space="preserve">  </w:t>
      </w:r>
    </w:p>
    <w:p w14:paraId="67F66273" w14:textId="77777777" w:rsidR="00D6405E" w:rsidRPr="00BB5BC2" w:rsidRDefault="00D6405E" w:rsidP="00BB5BC2">
      <w:pPr>
        <w:spacing w:line="276" w:lineRule="auto"/>
        <w:ind w:left="720" w:hanging="720"/>
        <w:rPr>
          <w:rFonts w:ascii="Arial" w:hAnsi="Arial" w:cs="Arial"/>
          <w:sz w:val="22"/>
          <w:szCs w:val="22"/>
        </w:rPr>
      </w:pPr>
      <w:proofErr w:type="spellStart"/>
      <w:r w:rsidRPr="00BB5BC2">
        <w:rPr>
          <w:rFonts w:ascii="Arial" w:hAnsi="Arial" w:cs="Arial"/>
          <w:sz w:val="22"/>
          <w:szCs w:val="22"/>
        </w:rPr>
        <w:t>Bratan</w:t>
      </w:r>
      <w:proofErr w:type="spellEnd"/>
      <w:r w:rsidRPr="00BB5BC2">
        <w:rPr>
          <w:rFonts w:ascii="Arial" w:hAnsi="Arial" w:cs="Arial"/>
          <w:sz w:val="22"/>
          <w:szCs w:val="22"/>
        </w:rPr>
        <w:t xml:space="preserve">, T., Stramer, K. and Greenhalgh, T. (2010) ''Never heard of it'– Understanding the public's lack of awareness of a new electronic patient record', Health Expectations, 13(4), pp. 379-391. Available at: https://pmc.ncbi.nlm.nih.gov/articles/PMC5060545 (Accessed: 10 March 2026).  </w:t>
      </w:r>
    </w:p>
    <w:p w14:paraId="722BB7C8" w14:textId="77777777" w:rsidR="00D6405E" w:rsidRPr="00BB5BC2" w:rsidRDefault="00D6405E" w:rsidP="00BB5BC2">
      <w:pPr>
        <w:spacing w:line="276" w:lineRule="auto"/>
        <w:ind w:left="720" w:hanging="720"/>
        <w:rPr>
          <w:rFonts w:ascii="Arial" w:hAnsi="Arial" w:cs="Arial"/>
          <w:sz w:val="22"/>
          <w:szCs w:val="22"/>
        </w:rPr>
      </w:pPr>
      <w:r w:rsidRPr="00BB5BC2">
        <w:rPr>
          <w:rFonts w:ascii="Arial" w:hAnsi="Arial" w:cs="Arial"/>
          <w:sz w:val="22"/>
          <w:szCs w:val="22"/>
        </w:rPr>
        <w:t xml:space="preserve">Dixon, S. (2022) 'Supporting the 'multi' in multi-agency working: learning with and from each other could enable multi-agency safeguarding', British Journal of General Practice, 72(722), pp. 438-439. Available at: https://pmc.ncbi.nlm.nih.gov/articles/PMC9423065 (Accessed: 10 March 2026).  </w:t>
      </w:r>
    </w:p>
    <w:p w14:paraId="123663FA" w14:textId="77777777" w:rsidR="00D6405E" w:rsidRPr="00BB5BC2" w:rsidRDefault="00D6405E" w:rsidP="00BB5BC2">
      <w:pPr>
        <w:spacing w:line="276" w:lineRule="auto"/>
        <w:ind w:left="720" w:hanging="720"/>
        <w:rPr>
          <w:rFonts w:ascii="Arial" w:hAnsi="Arial" w:cs="Arial"/>
          <w:sz w:val="22"/>
          <w:szCs w:val="22"/>
        </w:rPr>
      </w:pPr>
      <w:r w:rsidRPr="00BB5BC2">
        <w:rPr>
          <w:rFonts w:ascii="Arial" w:hAnsi="Arial" w:cs="Arial"/>
          <w:sz w:val="22"/>
          <w:szCs w:val="22"/>
        </w:rPr>
        <w:t xml:space="preserve">Gillespie, D.J. and Schiff, M. (2018) 'A Critique of the Shannon-Weaver Theory of Communication and Its Implications for Nursing', Research and Theory for Nursing Practice, 32(2), pp. 216-225. Available at: https://pubmed.ncbi.nlm.nih.gov/29792257 (Accessed: 10 March 2026).  </w:t>
      </w:r>
    </w:p>
    <w:p w14:paraId="4BA62C16" w14:textId="77777777" w:rsidR="00D6405E" w:rsidRPr="00BB5BC2" w:rsidRDefault="00D6405E" w:rsidP="00BB5BC2">
      <w:pPr>
        <w:spacing w:line="276" w:lineRule="auto"/>
        <w:ind w:left="720" w:hanging="720"/>
        <w:rPr>
          <w:rFonts w:ascii="Arial" w:hAnsi="Arial" w:cs="Arial"/>
          <w:sz w:val="22"/>
          <w:szCs w:val="22"/>
        </w:rPr>
      </w:pPr>
      <w:r w:rsidRPr="00BB5BC2">
        <w:rPr>
          <w:rFonts w:ascii="Arial" w:hAnsi="Arial" w:cs="Arial"/>
          <w:sz w:val="22"/>
          <w:szCs w:val="22"/>
        </w:rPr>
        <w:t xml:space="preserve">Jones, M.C. et al. (2023) 'Navigating data governance associated with real-world data for clinical and translational research in intensive care', Critical Care, 27(1), p. 375. Available at: https://pmc.ncbi.nlm.nih.gov/articles/PMC10551984 (Accessed: 10 March 2026).  </w:t>
      </w:r>
    </w:p>
    <w:p w14:paraId="40F61FA9" w14:textId="77777777" w:rsidR="00D6405E" w:rsidRPr="00BB5BC2" w:rsidRDefault="00D6405E" w:rsidP="00BB5BC2">
      <w:pPr>
        <w:spacing w:line="276" w:lineRule="auto"/>
        <w:ind w:left="720" w:hanging="720"/>
        <w:rPr>
          <w:rFonts w:ascii="Arial" w:hAnsi="Arial" w:cs="Arial"/>
          <w:sz w:val="22"/>
          <w:szCs w:val="22"/>
        </w:rPr>
      </w:pPr>
      <w:r w:rsidRPr="00BB5BC2">
        <w:rPr>
          <w:rFonts w:ascii="Arial" w:hAnsi="Arial" w:cs="Arial"/>
          <w:sz w:val="22"/>
          <w:szCs w:val="22"/>
        </w:rPr>
        <w:t xml:space="preserve">Lockwood, G., Henderson, C. and Thornicroft, G. (2012) 'The Equality Act 2010 and mental health', The British Journal of Psychiatry, 200(3), pp. 182-183. Available at: https://www.cambridge.org/core/journals/the-british-journal-of-psychiatry/article/equality-act-2010-and-mental-health/0A1B0578B9C318D76B1B8C8A1744037A (Accessed: 10 March 2026).  </w:t>
      </w:r>
    </w:p>
    <w:p w14:paraId="3D295DCD" w14:textId="77777777" w:rsidR="00D6405E" w:rsidRPr="00BB5BC2" w:rsidRDefault="00D6405E" w:rsidP="00BB5BC2">
      <w:pPr>
        <w:spacing w:line="276" w:lineRule="auto"/>
        <w:ind w:left="720" w:hanging="720"/>
        <w:rPr>
          <w:rFonts w:ascii="Arial" w:hAnsi="Arial" w:cs="Arial"/>
          <w:sz w:val="22"/>
          <w:szCs w:val="22"/>
        </w:rPr>
      </w:pPr>
      <w:proofErr w:type="spellStart"/>
      <w:r w:rsidRPr="00BB5BC2">
        <w:rPr>
          <w:rFonts w:ascii="Arial" w:hAnsi="Arial" w:cs="Arial"/>
          <w:sz w:val="22"/>
          <w:szCs w:val="22"/>
        </w:rPr>
        <w:t>Mohorek</w:t>
      </w:r>
      <w:proofErr w:type="spellEnd"/>
      <w:r w:rsidRPr="00BB5BC2">
        <w:rPr>
          <w:rFonts w:ascii="Arial" w:hAnsi="Arial" w:cs="Arial"/>
          <w:sz w:val="22"/>
          <w:szCs w:val="22"/>
        </w:rPr>
        <w:t xml:space="preserve">, M. and Moore, T. (2015) 'Establishing a Conceptual Framework for Handoffs Using Communication Theory', Journal of Radiology Nursing, 34(4), pp. 179-185. Available at: https://www.sciencedirect.com/science/article/abs/pii/S193172041400302X (Accessed: 10 March 2026).  </w:t>
      </w:r>
    </w:p>
    <w:p w14:paraId="77005F48" w14:textId="77777777" w:rsidR="00D6405E" w:rsidRPr="00BB5BC2" w:rsidRDefault="00D6405E" w:rsidP="00BB5BC2">
      <w:pPr>
        <w:spacing w:line="276" w:lineRule="auto"/>
        <w:ind w:left="720" w:hanging="720"/>
        <w:rPr>
          <w:rFonts w:ascii="Arial" w:hAnsi="Arial" w:cs="Arial"/>
          <w:sz w:val="22"/>
          <w:szCs w:val="22"/>
        </w:rPr>
      </w:pPr>
      <w:r w:rsidRPr="00BB5BC2">
        <w:rPr>
          <w:rFonts w:ascii="Arial" w:hAnsi="Arial" w:cs="Arial"/>
          <w:sz w:val="22"/>
          <w:szCs w:val="22"/>
        </w:rPr>
        <w:t xml:space="preserve">Orr, D.M.R. et al. (2025) 'Navigating the challenges of collaborative inter-agency practice in supporting people experiencing self-neglect in England: A multi-professional realist interview study', The British Journal of Social Work, Advance Article. Available at: https://academic.oup.com/bjsw/advance-article/doi/10.1093/bjsw/bcaf239/8315294 (Accessed: 10 March 2026).  </w:t>
      </w:r>
    </w:p>
    <w:p w14:paraId="645436E1" w14:textId="77777777" w:rsidR="00D6405E" w:rsidRPr="00BB5BC2" w:rsidRDefault="00D6405E" w:rsidP="00BB5BC2">
      <w:pPr>
        <w:spacing w:line="276" w:lineRule="auto"/>
        <w:ind w:left="720" w:hanging="720"/>
        <w:rPr>
          <w:rFonts w:ascii="Arial" w:hAnsi="Arial" w:cs="Arial"/>
          <w:sz w:val="22"/>
          <w:szCs w:val="22"/>
        </w:rPr>
      </w:pPr>
      <w:r w:rsidRPr="00BB5BC2">
        <w:rPr>
          <w:rFonts w:ascii="Arial" w:hAnsi="Arial" w:cs="Arial"/>
          <w:sz w:val="22"/>
          <w:szCs w:val="22"/>
        </w:rPr>
        <w:t xml:space="preserve">Pool, J. et al. (2024) 'A systematic analysis of failures in protecting personal health data: A scoping review', International Journal of Information Management, 74, p. 102386. Available at: https://www.sciencedirect.com/science/article/pii/S0268401223001007 (Accessed: 10 March 2026).  </w:t>
      </w:r>
    </w:p>
    <w:p w14:paraId="0DCA3AF8" w14:textId="77777777" w:rsidR="00D6405E" w:rsidRPr="00BB5BC2" w:rsidRDefault="00D6405E" w:rsidP="00BB5BC2">
      <w:pPr>
        <w:spacing w:line="276" w:lineRule="auto"/>
        <w:ind w:left="720" w:hanging="720"/>
        <w:rPr>
          <w:rFonts w:ascii="Arial" w:hAnsi="Arial" w:cs="Arial"/>
          <w:sz w:val="22"/>
          <w:szCs w:val="22"/>
        </w:rPr>
      </w:pPr>
      <w:r w:rsidRPr="00BB5BC2">
        <w:rPr>
          <w:rFonts w:ascii="Arial" w:hAnsi="Arial" w:cs="Arial"/>
          <w:sz w:val="22"/>
          <w:szCs w:val="22"/>
        </w:rPr>
        <w:t xml:space="preserve">Prendergast, L. et al. (2024) 'Barriers and enablers to care-leavers engagement with multi-agency support: A scoping review', Children and Youth Services Review, 159, p. 107488. Available at: https://www.sciencedirect.com/science/article/pii/S0190740924000732 (Accessed: 10 March 2026).  </w:t>
      </w:r>
    </w:p>
    <w:p w14:paraId="2244FEC8" w14:textId="77777777" w:rsidR="00D6405E" w:rsidRPr="00BB5BC2" w:rsidRDefault="00D6405E" w:rsidP="00BB5BC2">
      <w:pPr>
        <w:spacing w:line="276" w:lineRule="auto"/>
        <w:ind w:left="720" w:hanging="720"/>
        <w:rPr>
          <w:rFonts w:ascii="Arial" w:hAnsi="Arial" w:cs="Arial"/>
          <w:sz w:val="22"/>
          <w:szCs w:val="22"/>
        </w:rPr>
      </w:pPr>
      <w:r w:rsidRPr="00BB5BC2">
        <w:rPr>
          <w:rFonts w:ascii="Arial" w:hAnsi="Arial" w:cs="Arial"/>
          <w:sz w:val="22"/>
          <w:szCs w:val="22"/>
        </w:rPr>
        <w:lastRenderedPageBreak/>
        <w:t xml:space="preserve">Redley, M. et al. (2019) '“Reasonable adjustments” under the UK's Equality Act 2010: An enquiry into the care and treatment to patients with intellectual disabilities in acute hospital settings', Journal of Applied Research in Intellectual Disabilities, 32(6), pp. 1412-1420. Available at: https://pmc.ncbi.nlm.nih.gov/articles/PMC8045550 (Accessed: 10 March 2026).  </w:t>
      </w:r>
    </w:p>
    <w:p w14:paraId="4BEF0B75" w14:textId="77777777" w:rsidR="00D6405E" w:rsidRPr="00BB5BC2" w:rsidRDefault="00D6405E" w:rsidP="00BB5BC2">
      <w:pPr>
        <w:spacing w:line="276" w:lineRule="auto"/>
        <w:ind w:left="720" w:hanging="720"/>
        <w:rPr>
          <w:rFonts w:ascii="Arial" w:hAnsi="Arial" w:cs="Arial"/>
          <w:sz w:val="22"/>
          <w:szCs w:val="22"/>
        </w:rPr>
      </w:pPr>
      <w:r w:rsidRPr="00BB5BC2">
        <w:rPr>
          <w:rFonts w:ascii="Arial" w:hAnsi="Arial" w:cs="Arial"/>
          <w:sz w:val="22"/>
          <w:szCs w:val="22"/>
        </w:rPr>
        <w:t xml:space="preserve">Shannon, C. E. and Weaver, W. (1948) 'A mathematical theory of communication', Bell System Technical Journal, 27, pp. 379-423, 623-656. Available at: https://ieeexplore.ieee.org/document/6773024 (Accessed: 10 March 2026).  </w:t>
      </w:r>
    </w:p>
    <w:p w14:paraId="2C976850" w14:textId="77777777" w:rsidR="00D6405E" w:rsidRPr="00BB5BC2" w:rsidRDefault="00D6405E" w:rsidP="00BB5BC2">
      <w:pPr>
        <w:spacing w:line="276" w:lineRule="auto"/>
        <w:ind w:left="720" w:hanging="720"/>
        <w:rPr>
          <w:rFonts w:ascii="Arial" w:hAnsi="Arial" w:cs="Arial"/>
          <w:sz w:val="22"/>
          <w:szCs w:val="22"/>
        </w:rPr>
      </w:pPr>
      <w:r w:rsidRPr="00BB5BC2">
        <w:rPr>
          <w:rFonts w:ascii="Arial" w:hAnsi="Arial" w:cs="Arial"/>
          <w:sz w:val="22"/>
          <w:szCs w:val="22"/>
        </w:rPr>
        <w:t xml:space="preserve">Snow, M. et al. (2025) 'Best Practices for Implementing Electronic Care Records in Adult Social Care: Rapid Scoping Review', JMIR Aging, 8, p. e60107. Available at: https://aging.jmir.org/2025/1/e60107 (Accessed: 10 March 2026).  </w:t>
      </w:r>
    </w:p>
    <w:p w14:paraId="4789929D" w14:textId="77777777" w:rsidR="00D6405E" w:rsidRPr="00BB5BC2" w:rsidRDefault="00D6405E" w:rsidP="00BB5BC2">
      <w:pPr>
        <w:spacing w:line="276" w:lineRule="auto"/>
        <w:ind w:left="720" w:hanging="720"/>
        <w:rPr>
          <w:rFonts w:ascii="Arial" w:hAnsi="Arial" w:cs="Arial"/>
          <w:sz w:val="22"/>
          <w:szCs w:val="22"/>
        </w:rPr>
      </w:pPr>
      <w:r w:rsidRPr="00BB5BC2">
        <w:rPr>
          <w:rFonts w:ascii="Arial" w:hAnsi="Arial" w:cs="Arial"/>
          <w:sz w:val="22"/>
          <w:szCs w:val="22"/>
        </w:rPr>
        <w:t xml:space="preserve">Subramanian, H. (2024) 'Patient Health Record Protection Beyond the Health Insurance Portability and Accountability Act: A Scoping Review', JMIR Medical Informatics, 12, p. e51268. Available at: https://pmc.ncbi.nlm.nih.gov/articles/PMC11579621 (Accessed: 10 March 2026).  </w:t>
      </w:r>
    </w:p>
    <w:p w14:paraId="03CA6ACE" w14:textId="77777777" w:rsidR="00D6405E" w:rsidRPr="00BB5BC2" w:rsidRDefault="00D6405E" w:rsidP="00BB5BC2">
      <w:pPr>
        <w:spacing w:line="276" w:lineRule="auto"/>
        <w:ind w:left="720" w:hanging="720"/>
        <w:rPr>
          <w:rFonts w:ascii="Arial" w:hAnsi="Arial" w:cs="Arial"/>
          <w:sz w:val="22"/>
          <w:szCs w:val="22"/>
        </w:rPr>
      </w:pPr>
      <w:r w:rsidRPr="00BB5BC2">
        <w:rPr>
          <w:rFonts w:ascii="Arial" w:hAnsi="Arial" w:cs="Arial"/>
          <w:sz w:val="22"/>
          <w:szCs w:val="22"/>
        </w:rPr>
        <w:t xml:space="preserve">Taylor, M.J. (2020) 'Public Interest, Health Research and Data Protection Law: Establishing a Legitimate Expectation of Privacy in Medical Records', Laws, 9(1), p. 6. Available at: https://www.mdpi.com/2075-471X/9/1/6 (Accessed: 10 March 2026).  </w:t>
      </w:r>
    </w:p>
    <w:p w14:paraId="0770052E" w14:textId="77777777" w:rsidR="00D6405E" w:rsidRPr="00BB5BC2" w:rsidRDefault="00D6405E" w:rsidP="00BB5BC2">
      <w:pPr>
        <w:spacing w:line="276" w:lineRule="auto"/>
        <w:ind w:left="720" w:hanging="720"/>
        <w:rPr>
          <w:rFonts w:ascii="Arial" w:hAnsi="Arial" w:cs="Arial"/>
          <w:sz w:val="22"/>
          <w:szCs w:val="22"/>
        </w:rPr>
      </w:pPr>
      <w:proofErr w:type="spellStart"/>
      <w:r w:rsidRPr="00BB5BC2">
        <w:rPr>
          <w:rFonts w:ascii="Arial" w:hAnsi="Arial" w:cs="Arial"/>
          <w:sz w:val="22"/>
          <w:szCs w:val="22"/>
        </w:rPr>
        <w:t>Tertulino</w:t>
      </w:r>
      <w:proofErr w:type="spellEnd"/>
      <w:r w:rsidRPr="00BB5BC2">
        <w:rPr>
          <w:rFonts w:ascii="Arial" w:hAnsi="Arial" w:cs="Arial"/>
          <w:sz w:val="22"/>
          <w:szCs w:val="22"/>
        </w:rPr>
        <w:t xml:space="preserve">, R. et al. (2024) 'Privacy in electronic health records: a systematic mapping study', </w:t>
      </w:r>
      <w:proofErr w:type="spellStart"/>
      <w:r w:rsidRPr="00BB5BC2">
        <w:rPr>
          <w:rFonts w:ascii="Arial" w:hAnsi="Arial" w:cs="Arial"/>
          <w:sz w:val="22"/>
          <w:szCs w:val="22"/>
        </w:rPr>
        <w:t>Zeitschrift</w:t>
      </w:r>
      <w:proofErr w:type="spellEnd"/>
      <w:r w:rsidRPr="00BB5BC2">
        <w:rPr>
          <w:rFonts w:ascii="Arial" w:hAnsi="Arial" w:cs="Arial"/>
          <w:sz w:val="22"/>
          <w:szCs w:val="22"/>
        </w:rPr>
        <w:t xml:space="preserve"> für </w:t>
      </w:r>
      <w:proofErr w:type="spellStart"/>
      <w:r w:rsidRPr="00BB5BC2">
        <w:rPr>
          <w:rFonts w:ascii="Arial" w:hAnsi="Arial" w:cs="Arial"/>
          <w:sz w:val="22"/>
          <w:szCs w:val="22"/>
        </w:rPr>
        <w:t>Gesundheitswissenschaften</w:t>
      </w:r>
      <w:proofErr w:type="spellEnd"/>
      <w:r w:rsidRPr="00BB5BC2">
        <w:rPr>
          <w:rFonts w:ascii="Arial" w:hAnsi="Arial" w:cs="Arial"/>
          <w:sz w:val="22"/>
          <w:szCs w:val="22"/>
        </w:rPr>
        <w:t xml:space="preserve">, 32(1), pp. 1-16. Available at: https://link.springer.com/article/10.1007/s10389-022-01795-z (Accessed: 10 March 2026).  </w:t>
      </w:r>
    </w:p>
    <w:p w14:paraId="6F836CDB" w14:textId="77777777" w:rsidR="00D6405E" w:rsidRPr="00BB5BC2" w:rsidRDefault="00D6405E" w:rsidP="00BB5BC2">
      <w:pPr>
        <w:spacing w:line="276" w:lineRule="auto"/>
        <w:ind w:left="720" w:hanging="720"/>
        <w:rPr>
          <w:rFonts w:ascii="Arial" w:hAnsi="Arial" w:cs="Arial"/>
          <w:sz w:val="22"/>
          <w:szCs w:val="22"/>
        </w:rPr>
      </w:pPr>
      <w:r w:rsidRPr="00BB5BC2">
        <w:rPr>
          <w:rFonts w:ascii="Arial" w:hAnsi="Arial" w:cs="Arial"/>
          <w:sz w:val="22"/>
          <w:szCs w:val="22"/>
        </w:rPr>
        <w:t>Thomson, L.J.M. et al. (2024) 'Barriers and enablers of integrated care in the UK: a rapid evidence review of review articles and grey literature 2018–2022', Social Sciences &amp; Humanities Open, 9, p. 100850. Available at: https://pmc.ncbi.nlm.nih.gov/articles/PMC10794528 (Accessed: 10 March 2026).</w:t>
      </w:r>
    </w:p>
    <w:sectPr w:rsidR="00D6405E" w:rsidRPr="00BB5BC2" w:rsidSect="00D6405E">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465BC7" w14:textId="77777777" w:rsidR="00382F87" w:rsidRDefault="00382F87" w:rsidP="00F71FB7">
      <w:pPr>
        <w:spacing w:after="0" w:line="240" w:lineRule="auto"/>
      </w:pPr>
      <w:r>
        <w:separator/>
      </w:r>
    </w:p>
  </w:endnote>
  <w:endnote w:type="continuationSeparator" w:id="0">
    <w:p w14:paraId="76471956" w14:textId="77777777" w:rsidR="00382F87" w:rsidRDefault="00382F87" w:rsidP="00F71F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2059081"/>
      <w:docPartObj>
        <w:docPartGallery w:val="Page Numbers (Bottom of Page)"/>
        <w:docPartUnique/>
      </w:docPartObj>
    </w:sdtPr>
    <w:sdtContent>
      <w:p w14:paraId="60EE5050" w14:textId="621CDB72" w:rsidR="00BB5BC2" w:rsidRDefault="00BB5BC2">
        <w:pPr>
          <w:pStyle w:val="Footer"/>
          <w:jc w:val="center"/>
        </w:pPr>
        <w:r>
          <w:fldChar w:fldCharType="begin"/>
        </w:r>
        <w:r>
          <w:instrText>PAGE   \* MERGEFORMAT</w:instrText>
        </w:r>
        <w:r>
          <w:fldChar w:fldCharType="separate"/>
        </w:r>
        <w:r>
          <w:rPr>
            <w:lang w:val="en-GB"/>
          </w:rPr>
          <w:t>2</w:t>
        </w:r>
        <w:r>
          <w:fldChar w:fldCharType="end"/>
        </w:r>
      </w:p>
    </w:sdtContent>
  </w:sdt>
  <w:p w14:paraId="70F82BAE" w14:textId="77777777" w:rsidR="00BB5BC2" w:rsidRDefault="00BB5B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63AD14" w14:textId="77777777" w:rsidR="00382F87" w:rsidRDefault="00382F87" w:rsidP="00F71FB7">
      <w:pPr>
        <w:spacing w:after="0" w:line="240" w:lineRule="auto"/>
      </w:pPr>
      <w:r>
        <w:separator/>
      </w:r>
    </w:p>
  </w:footnote>
  <w:footnote w:type="continuationSeparator" w:id="0">
    <w:p w14:paraId="118AC7EE" w14:textId="77777777" w:rsidR="00382F87" w:rsidRDefault="00382F87" w:rsidP="00F71F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DD3"/>
    <w:rsid w:val="000452E6"/>
    <w:rsid w:val="00061011"/>
    <w:rsid w:val="001351FE"/>
    <w:rsid w:val="00177D46"/>
    <w:rsid w:val="00216A6B"/>
    <w:rsid w:val="00293AE2"/>
    <w:rsid w:val="00343AE7"/>
    <w:rsid w:val="00382F87"/>
    <w:rsid w:val="00424719"/>
    <w:rsid w:val="004A77E1"/>
    <w:rsid w:val="00563D10"/>
    <w:rsid w:val="00564E69"/>
    <w:rsid w:val="005C3766"/>
    <w:rsid w:val="0061146C"/>
    <w:rsid w:val="0065589D"/>
    <w:rsid w:val="0067755A"/>
    <w:rsid w:val="00760F31"/>
    <w:rsid w:val="00891A79"/>
    <w:rsid w:val="008B0C94"/>
    <w:rsid w:val="009246BB"/>
    <w:rsid w:val="00A06B8C"/>
    <w:rsid w:val="00A64EBF"/>
    <w:rsid w:val="00BB5BC2"/>
    <w:rsid w:val="00C33DD3"/>
    <w:rsid w:val="00D55C53"/>
    <w:rsid w:val="00D6405E"/>
    <w:rsid w:val="00D94033"/>
    <w:rsid w:val="00E0183F"/>
    <w:rsid w:val="00E716E3"/>
    <w:rsid w:val="00EC6416"/>
    <w:rsid w:val="00F00D45"/>
    <w:rsid w:val="00F27B75"/>
    <w:rsid w:val="00F71FB7"/>
    <w:rsid w:val="00F9459E"/>
    <w:rsid w:val="00F97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B9D81"/>
  <w15:chartTrackingRefBased/>
  <w15:docId w15:val="{3B520026-5355-4750-9EBB-3DB6A69E7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46C"/>
    <w:pPr>
      <w:keepNext/>
      <w:keepLines/>
      <w:spacing w:before="360" w:after="80"/>
      <w:outlineLvl w:val="0"/>
    </w:pPr>
    <w:rPr>
      <w:rFonts w:ascii="Times New Roman" w:eastAsiaTheme="majorEastAsia" w:hAnsi="Times New Roman" w:cstheme="majorBidi"/>
      <w:b/>
      <w:sz w:val="26"/>
      <w:szCs w:val="40"/>
    </w:rPr>
  </w:style>
  <w:style w:type="paragraph" w:styleId="Heading2">
    <w:name w:val="heading 2"/>
    <w:basedOn w:val="Normal"/>
    <w:next w:val="Normal"/>
    <w:link w:val="Heading2Char"/>
    <w:uiPriority w:val="9"/>
    <w:unhideWhenUsed/>
    <w:qFormat/>
    <w:rsid w:val="00A06B8C"/>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A06B8C"/>
    <w:pPr>
      <w:keepNext/>
      <w:keepLines/>
      <w:spacing w:before="160" w:after="80"/>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C33DD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33DD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33D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3D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3D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3D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46C"/>
    <w:rPr>
      <w:rFonts w:ascii="Times New Roman" w:eastAsiaTheme="majorEastAsia" w:hAnsi="Times New Roman" w:cstheme="majorBidi"/>
      <w:b/>
      <w:sz w:val="26"/>
      <w:szCs w:val="40"/>
    </w:rPr>
  </w:style>
  <w:style w:type="character" w:customStyle="1" w:styleId="Heading2Char">
    <w:name w:val="Heading 2 Char"/>
    <w:basedOn w:val="DefaultParagraphFont"/>
    <w:link w:val="Heading2"/>
    <w:uiPriority w:val="9"/>
    <w:rsid w:val="00A06B8C"/>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A06B8C"/>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C33DD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33DD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33D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3D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3D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3DD3"/>
    <w:rPr>
      <w:rFonts w:eastAsiaTheme="majorEastAsia" w:cstheme="majorBidi"/>
      <w:color w:val="272727" w:themeColor="text1" w:themeTint="D8"/>
    </w:rPr>
  </w:style>
  <w:style w:type="paragraph" w:styleId="Title">
    <w:name w:val="Title"/>
    <w:basedOn w:val="Normal"/>
    <w:next w:val="Normal"/>
    <w:link w:val="TitleChar"/>
    <w:uiPriority w:val="10"/>
    <w:qFormat/>
    <w:rsid w:val="00C33D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3D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3D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3D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3DD3"/>
    <w:pPr>
      <w:spacing w:before="160"/>
      <w:jc w:val="center"/>
    </w:pPr>
    <w:rPr>
      <w:i/>
      <w:iCs/>
      <w:color w:val="404040" w:themeColor="text1" w:themeTint="BF"/>
    </w:rPr>
  </w:style>
  <w:style w:type="character" w:customStyle="1" w:styleId="QuoteChar">
    <w:name w:val="Quote Char"/>
    <w:basedOn w:val="DefaultParagraphFont"/>
    <w:link w:val="Quote"/>
    <w:uiPriority w:val="29"/>
    <w:rsid w:val="00C33DD3"/>
    <w:rPr>
      <w:i/>
      <w:iCs/>
      <w:color w:val="404040" w:themeColor="text1" w:themeTint="BF"/>
    </w:rPr>
  </w:style>
  <w:style w:type="paragraph" w:styleId="ListParagraph">
    <w:name w:val="List Paragraph"/>
    <w:basedOn w:val="Normal"/>
    <w:uiPriority w:val="34"/>
    <w:qFormat/>
    <w:rsid w:val="00C33DD3"/>
    <w:pPr>
      <w:ind w:left="720"/>
      <w:contextualSpacing/>
    </w:pPr>
  </w:style>
  <w:style w:type="character" w:styleId="IntenseEmphasis">
    <w:name w:val="Intense Emphasis"/>
    <w:basedOn w:val="DefaultParagraphFont"/>
    <w:uiPriority w:val="21"/>
    <w:qFormat/>
    <w:rsid w:val="00C33DD3"/>
    <w:rPr>
      <w:i/>
      <w:iCs/>
      <w:color w:val="2F5496" w:themeColor="accent1" w:themeShade="BF"/>
    </w:rPr>
  </w:style>
  <w:style w:type="paragraph" w:styleId="IntenseQuote">
    <w:name w:val="Intense Quote"/>
    <w:basedOn w:val="Normal"/>
    <w:next w:val="Normal"/>
    <w:link w:val="IntenseQuoteChar"/>
    <w:uiPriority w:val="30"/>
    <w:qFormat/>
    <w:rsid w:val="00C33D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33DD3"/>
    <w:rPr>
      <w:i/>
      <w:iCs/>
      <w:color w:val="2F5496" w:themeColor="accent1" w:themeShade="BF"/>
    </w:rPr>
  </w:style>
  <w:style w:type="character" w:styleId="IntenseReference">
    <w:name w:val="Intense Reference"/>
    <w:basedOn w:val="DefaultParagraphFont"/>
    <w:uiPriority w:val="32"/>
    <w:qFormat/>
    <w:rsid w:val="00C33DD3"/>
    <w:rPr>
      <w:b/>
      <w:bCs/>
      <w:smallCaps/>
      <w:color w:val="2F5496" w:themeColor="accent1" w:themeShade="BF"/>
      <w:spacing w:val="5"/>
    </w:rPr>
  </w:style>
  <w:style w:type="character" w:styleId="Hyperlink">
    <w:name w:val="Hyperlink"/>
    <w:basedOn w:val="DefaultParagraphFont"/>
    <w:uiPriority w:val="99"/>
    <w:unhideWhenUsed/>
    <w:rsid w:val="00891A79"/>
    <w:rPr>
      <w:color w:val="0563C1" w:themeColor="hyperlink"/>
      <w:u w:val="single"/>
    </w:rPr>
  </w:style>
  <w:style w:type="character" w:styleId="UnresolvedMention">
    <w:name w:val="Unresolved Mention"/>
    <w:basedOn w:val="DefaultParagraphFont"/>
    <w:uiPriority w:val="99"/>
    <w:semiHidden/>
    <w:unhideWhenUsed/>
    <w:rsid w:val="00891A79"/>
    <w:rPr>
      <w:color w:val="605E5C"/>
      <w:shd w:val="clear" w:color="auto" w:fill="E1DFDD"/>
    </w:rPr>
  </w:style>
  <w:style w:type="paragraph" w:styleId="TOCHeading">
    <w:name w:val="TOC Heading"/>
    <w:basedOn w:val="Heading1"/>
    <w:next w:val="Normal"/>
    <w:uiPriority w:val="39"/>
    <w:unhideWhenUsed/>
    <w:qFormat/>
    <w:rsid w:val="00F71FB7"/>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F71FB7"/>
    <w:pPr>
      <w:spacing w:after="100"/>
    </w:pPr>
  </w:style>
  <w:style w:type="paragraph" w:styleId="Header">
    <w:name w:val="header"/>
    <w:basedOn w:val="Normal"/>
    <w:link w:val="HeaderChar"/>
    <w:uiPriority w:val="99"/>
    <w:unhideWhenUsed/>
    <w:rsid w:val="00F71F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1FB7"/>
  </w:style>
  <w:style w:type="paragraph" w:styleId="Footer">
    <w:name w:val="footer"/>
    <w:basedOn w:val="Normal"/>
    <w:link w:val="FooterChar"/>
    <w:uiPriority w:val="99"/>
    <w:unhideWhenUsed/>
    <w:rsid w:val="00F71F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1F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C26447-953F-463C-B4F5-EB7133A3F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7</Pages>
  <Words>2274</Words>
  <Characters>12964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OCHIENG'' - BBTEC202171890</dc:creator>
  <cp:keywords/>
  <dc:description/>
  <cp:lastModifiedBy>Sabia Alam (2507875)</cp:lastModifiedBy>
  <cp:revision>5</cp:revision>
  <dcterms:created xsi:type="dcterms:W3CDTF">2026-03-15T10:25:00Z</dcterms:created>
  <dcterms:modified xsi:type="dcterms:W3CDTF">2026-03-15T11:18:00Z</dcterms:modified>
</cp:coreProperties>
</file>