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F2F2" w:themeColor="background1" w:themeShade="F2"/>
  <w:body>
    <w:p w14:paraId="4A5D4623" w14:textId="3999C3E4" w:rsidR="00A31E57" w:rsidRDefault="00733558" w:rsidP="00C34CCB">
      <w:r w:rsidRPr="0046267F">
        <w:rPr>
          <w:noProof/>
        </w:rPr>
        <w:drawing>
          <wp:anchor distT="0" distB="0" distL="114300" distR="114300" simplePos="0" relativeHeight="251658240" behindDoc="0" locked="0" layoutInCell="1" allowOverlap="1" wp14:anchorId="564709D6" wp14:editId="1400EDCB">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p>
    <w:p w14:paraId="35FDDCDD" w14:textId="77777777" w:rsidR="001D4D7A" w:rsidRDefault="001D4D7A" w:rsidP="00446BA9">
      <w:pPr>
        <w:spacing w:line="240" w:lineRule="auto"/>
        <w:jc w:val="center"/>
        <w:rPr>
          <w:b/>
          <w:bCs/>
          <w:color w:val="0A2F41" w:themeColor="accent1" w:themeShade="80"/>
          <w:sz w:val="40"/>
          <w:szCs w:val="40"/>
        </w:rPr>
      </w:pPr>
      <w:bookmarkStart w:id="0" w:name="_Hlk206672359"/>
    </w:p>
    <w:p w14:paraId="00BF79EB" w14:textId="77777777" w:rsidR="00EC7327" w:rsidRDefault="002035F1" w:rsidP="00EC7327">
      <w:pPr>
        <w:spacing w:line="240" w:lineRule="auto"/>
        <w:jc w:val="center"/>
        <w:rPr>
          <w:b/>
          <w:bCs/>
          <w:color w:val="0A2F41" w:themeColor="accent1" w:themeShade="80"/>
          <w:sz w:val="40"/>
          <w:szCs w:val="40"/>
        </w:rPr>
      </w:pPr>
      <w:r>
        <w:rPr>
          <w:b/>
          <w:bCs/>
          <w:color w:val="0A2F41" w:themeColor="accent1" w:themeShade="80"/>
          <w:sz w:val="40"/>
          <w:szCs w:val="40"/>
        </w:rPr>
        <w:t xml:space="preserve">BSc. </w:t>
      </w:r>
      <w:r w:rsidR="009E03C5" w:rsidRPr="009E03C5">
        <w:rPr>
          <w:b/>
          <w:bCs/>
          <w:color w:val="0A2F41" w:themeColor="accent1" w:themeShade="80"/>
          <w:sz w:val="40"/>
          <w:szCs w:val="40"/>
        </w:rPr>
        <w:t>Applied Computing</w:t>
      </w:r>
      <w:r w:rsidR="009E03C5">
        <w:rPr>
          <w:b/>
          <w:bCs/>
          <w:color w:val="0A2F41" w:themeColor="accent1" w:themeShade="80"/>
          <w:sz w:val="40"/>
          <w:szCs w:val="40"/>
        </w:rPr>
        <w:t>.</w:t>
      </w:r>
      <w:r w:rsidR="00D6082B">
        <w:rPr>
          <w:b/>
          <w:bCs/>
          <w:color w:val="0A2F41" w:themeColor="accent1" w:themeShade="80"/>
          <w:sz w:val="40"/>
          <w:szCs w:val="40"/>
        </w:rPr>
        <w:t xml:space="preserve"> Data Security </w:t>
      </w:r>
      <w:proofErr w:type="gramStart"/>
      <w:r w:rsidR="00D6082B">
        <w:rPr>
          <w:b/>
          <w:bCs/>
          <w:color w:val="0A2F41" w:themeColor="accent1" w:themeShade="80"/>
          <w:sz w:val="40"/>
          <w:szCs w:val="40"/>
        </w:rPr>
        <w:t>And</w:t>
      </w:r>
      <w:proofErr w:type="gramEnd"/>
      <w:r w:rsidR="00D6082B">
        <w:rPr>
          <w:b/>
          <w:bCs/>
          <w:color w:val="0A2F41" w:themeColor="accent1" w:themeShade="80"/>
          <w:sz w:val="40"/>
          <w:szCs w:val="40"/>
        </w:rPr>
        <w:t xml:space="preserve"> Compliance</w:t>
      </w:r>
      <w:bookmarkEnd w:id="0"/>
    </w:p>
    <w:p w14:paraId="191EB920" w14:textId="28245593" w:rsidR="00D6082B" w:rsidRPr="00D6082B" w:rsidRDefault="00D6082B" w:rsidP="00EC7327">
      <w:pPr>
        <w:spacing w:line="240" w:lineRule="auto"/>
        <w:jc w:val="center"/>
        <w:rPr>
          <w:sz w:val="40"/>
          <w:szCs w:val="40"/>
        </w:rPr>
      </w:pPr>
      <w:r w:rsidRPr="00D6082B">
        <w:rPr>
          <w:b/>
          <w:color w:val="1F2D3D"/>
          <w:sz w:val="40"/>
          <w:szCs w:val="40"/>
        </w:rPr>
        <w:t xml:space="preserve">Securing the Hybrid Workforce and </w:t>
      </w:r>
      <w:r w:rsidR="005D4851">
        <w:rPr>
          <w:b/>
          <w:color w:val="1F2D3D"/>
          <w:sz w:val="40"/>
          <w:szCs w:val="40"/>
        </w:rPr>
        <w:t>l</w:t>
      </w:r>
      <w:r w:rsidRPr="00D6082B">
        <w:rPr>
          <w:b/>
          <w:color w:val="1F2D3D"/>
          <w:sz w:val="40"/>
          <w:szCs w:val="40"/>
        </w:rPr>
        <w:t xml:space="preserve">earning from Equifax: A </w:t>
      </w:r>
      <w:r w:rsidR="005D4851">
        <w:rPr>
          <w:b/>
          <w:color w:val="1F2D3D"/>
          <w:sz w:val="40"/>
          <w:szCs w:val="40"/>
        </w:rPr>
        <w:t>s</w:t>
      </w:r>
      <w:r w:rsidRPr="00D6082B">
        <w:rPr>
          <w:b/>
          <w:color w:val="1F2D3D"/>
          <w:sz w:val="40"/>
          <w:szCs w:val="40"/>
        </w:rPr>
        <w:t xml:space="preserve">tructured </w:t>
      </w:r>
      <w:r w:rsidR="005D4851">
        <w:rPr>
          <w:b/>
          <w:color w:val="1F2D3D"/>
          <w:sz w:val="40"/>
          <w:szCs w:val="40"/>
        </w:rPr>
        <w:t>a</w:t>
      </w:r>
      <w:r w:rsidRPr="00D6082B">
        <w:rPr>
          <w:b/>
          <w:color w:val="1F2D3D"/>
          <w:sz w:val="40"/>
          <w:szCs w:val="40"/>
        </w:rPr>
        <w:t>pproach to Data Security and Compliance</w:t>
      </w:r>
    </w:p>
    <w:p w14:paraId="0EA718E5" w14:textId="393AA8C2" w:rsidR="0030743F" w:rsidRDefault="008A266D" w:rsidP="00446BA9">
      <w:pPr>
        <w:pStyle w:val="Title"/>
        <w:jc w:val="center"/>
        <w:rPr>
          <w:rFonts w:ascii="Arial" w:hAnsi="Arial" w:cs="Arial"/>
          <w:b/>
          <w:color w:val="0B769F" w:themeColor="accent4" w:themeShade="BF"/>
          <w:sz w:val="40"/>
          <w:szCs w:val="40"/>
        </w:rPr>
      </w:pPr>
      <w:r w:rsidRPr="008A266D">
        <w:rPr>
          <w:rFonts w:ascii="Arial" w:hAnsi="Arial" w:cs="Arial"/>
          <w:b/>
          <w:color w:val="0B769F" w:themeColor="accent4" w:themeShade="BF"/>
          <w:sz w:val="40"/>
          <w:szCs w:val="40"/>
        </w:rPr>
        <w:t>ACCA5034</w:t>
      </w:r>
      <w:r w:rsidR="009E03C5">
        <w:rPr>
          <w:rFonts w:ascii="Arial" w:hAnsi="Arial" w:cs="Arial"/>
          <w:b/>
          <w:color w:val="0B769F" w:themeColor="accent4" w:themeShade="BF"/>
          <w:sz w:val="40"/>
          <w:szCs w:val="40"/>
        </w:rPr>
        <w:t>.</w:t>
      </w:r>
    </w:p>
    <w:p w14:paraId="630E6551" w14:textId="737806DF" w:rsidR="00FB0F82" w:rsidRDefault="00FB0F82" w:rsidP="00446BA9">
      <w:pPr>
        <w:spacing w:line="240" w:lineRule="auto"/>
      </w:pPr>
    </w:p>
    <w:p w14:paraId="5EAC9B3C" w14:textId="77777777" w:rsidR="001D4D7A" w:rsidRPr="00FB0F82" w:rsidRDefault="001D4D7A" w:rsidP="00446BA9">
      <w:pPr>
        <w:spacing w:line="240" w:lineRule="auto"/>
      </w:pPr>
    </w:p>
    <w:p w14:paraId="33453A4D" w14:textId="14168249" w:rsidR="00FB783B" w:rsidRPr="00BE3E3D" w:rsidRDefault="002035F1" w:rsidP="00446BA9">
      <w:pPr>
        <w:shd w:val="clear" w:color="auto" w:fill="0C3512" w:themeFill="accent3" w:themeFillShade="80"/>
        <w:spacing w:line="240" w:lineRule="auto"/>
        <w:jc w:val="center"/>
        <w:rPr>
          <w:b/>
          <w:bCs/>
          <w:color w:val="F2F2F2" w:themeColor="background1" w:themeShade="F2"/>
          <w:sz w:val="36"/>
          <w:szCs w:val="36"/>
        </w:rPr>
      </w:pPr>
      <w:r w:rsidRPr="00BE3E3D">
        <w:rPr>
          <w:b/>
          <w:bCs/>
          <w:color w:val="F2F2F2" w:themeColor="background1" w:themeShade="F2"/>
          <w:sz w:val="36"/>
          <w:szCs w:val="36"/>
        </w:rPr>
        <w:t>Lecturer</w:t>
      </w:r>
      <w:r>
        <w:rPr>
          <w:b/>
          <w:bCs/>
          <w:color w:val="F2F2F2" w:themeColor="background1" w:themeShade="F2"/>
          <w:sz w:val="36"/>
          <w:szCs w:val="36"/>
        </w:rPr>
        <w:t xml:space="preserve">: </w:t>
      </w:r>
      <w:r w:rsidR="008A266D" w:rsidRPr="008A266D">
        <w:rPr>
          <w:rFonts w:cs="Arial"/>
          <w:b/>
          <w:bCs/>
          <w:color w:val="F2F2F2" w:themeColor="background1" w:themeShade="F2"/>
          <w:sz w:val="36"/>
          <w:szCs w:val="36"/>
        </w:rPr>
        <w:t>Dr Ayman El Hajjar</w:t>
      </w:r>
    </w:p>
    <w:p w14:paraId="1AB8B912" w14:textId="05DFB64D" w:rsidR="000116F2" w:rsidRPr="00907E9F" w:rsidRDefault="000116F2" w:rsidP="00446BA9">
      <w:pPr>
        <w:shd w:val="clear" w:color="auto" w:fill="800000"/>
        <w:spacing w:line="240" w:lineRule="auto"/>
        <w:jc w:val="center"/>
        <w:rPr>
          <w:b/>
          <w:bCs/>
          <w:color w:val="FFC000"/>
          <w:sz w:val="36"/>
          <w:szCs w:val="36"/>
        </w:rPr>
      </w:pPr>
      <w:r w:rsidRPr="00907E9F">
        <w:rPr>
          <w:b/>
          <w:bCs/>
          <w:color w:val="FFC000"/>
          <w:sz w:val="36"/>
          <w:szCs w:val="36"/>
        </w:rPr>
        <w:t>University of Wales Trinity Saint David</w:t>
      </w:r>
    </w:p>
    <w:p w14:paraId="222C83F3" w14:textId="1216FB21" w:rsidR="00F05330" w:rsidRPr="00907E9F" w:rsidRDefault="000116F2" w:rsidP="00446BA9">
      <w:pPr>
        <w:shd w:val="clear" w:color="auto" w:fill="800000"/>
        <w:spacing w:line="240" w:lineRule="auto"/>
        <w:jc w:val="center"/>
        <w:rPr>
          <w:rStyle w:val="Strong"/>
          <w:rFonts w:cs="Arial"/>
          <w:color w:val="FFC000"/>
          <w:sz w:val="23"/>
          <w:szCs w:val="23"/>
          <w:shd w:val="clear" w:color="auto" w:fill="FFFFFF"/>
        </w:rPr>
      </w:pPr>
      <w:r w:rsidRPr="00907E9F">
        <w:rPr>
          <w:rStyle w:val="Strong"/>
          <w:rFonts w:cs="Arial"/>
          <w:color w:val="FFC000"/>
          <w:sz w:val="23"/>
          <w:szCs w:val="23"/>
          <w:highlight w:val="darkRed"/>
          <w:shd w:val="clear" w:color="auto" w:fill="FFFFFF"/>
        </w:rPr>
        <w:t>(London Campus)</w:t>
      </w:r>
    </w:p>
    <w:p w14:paraId="16ACE267" w14:textId="670EDD3B" w:rsidR="00CC0FC0" w:rsidRDefault="00CC0FC0" w:rsidP="00446BA9">
      <w:pPr>
        <w:spacing w:line="240" w:lineRule="auto"/>
        <w:jc w:val="center"/>
        <w:rPr>
          <w:rStyle w:val="Strong"/>
          <w:rFonts w:cs="Arial"/>
          <w:color w:val="D86DCB" w:themeColor="accent5" w:themeTint="99"/>
          <w:sz w:val="23"/>
          <w:szCs w:val="23"/>
          <w:shd w:val="clear" w:color="auto" w:fill="FFFFFF"/>
        </w:rPr>
      </w:pPr>
    </w:p>
    <w:p w14:paraId="4049FD32" w14:textId="71833C0E" w:rsidR="001D4D7A" w:rsidRDefault="001D4D7A" w:rsidP="00446BA9">
      <w:pPr>
        <w:spacing w:line="240" w:lineRule="auto"/>
        <w:jc w:val="center"/>
        <w:rPr>
          <w:rStyle w:val="Strong"/>
          <w:rFonts w:cs="Arial"/>
          <w:color w:val="D86DCB" w:themeColor="accent5" w:themeTint="99"/>
          <w:sz w:val="23"/>
          <w:szCs w:val="23"/>
          <w:shd w:val="clear" w:color="auto" w:fill="FFFFFF"/>
        </w:rPr>
      </w:pPr>
    </w:p>
    <w:p w14:paraId="52A3DD92" w14:textId="77777777" w:rsidR="001D4D7A" w:rsidRPr="0046267F" w:rsidRDefault="001D4D7A" w:rsidP="00446BA9">
      <w:pPr>
        <w:spacing w:line="240" w:lineRule="auto"/>
        <w:jc w:val="center"/>
        <w:rPr>
          <w:rStyle w:val="Strong"/>
          <w:rFonts w:cs="Arial"/>
          <w:color w:val="D86DCB" w:themeColor="accent5" w:themeTint="99"/>
          <w:sz w:val="23"/>
          <w:szCs w:val="23"/>
          <w:shd w:val="clear" w:color="auto" w:fill="FFFFFF"/>
        </w:rPr>
      </w:pPr>
    </w:p>
    <w:p w14:paraId="3D34D423" w14:textId="7C38B945" w:rsidR="00FB783B" w:rsidRPr="00201CB7" w:rsidRDefault="00E9484C" w:rsidP="00446BA9">
      <w:pPr>
        <w:shd w:val="clear" w:color="auto" w:fill="0C3512" w:themeFill="accent3" w:themeFillShade="80"/>
        <w:spacing w:line="240" w:lineRule="auto"/>
        <w:rPr>
          <w:b/>
          <w:bCs/>
          <w:sz w:val="28"/>
          <w:szCs w:val="28"/>
        </w:rPr>
      </w:pPr>
      <w:r w:rsidRPr="00201CB7">
        <w:rPr>
          <w:b/>
          <w:bCs/>
          <w:sz w:val="28"/>
          <w:szCs w:val="28"/>
        </w:rPr>
        <w:t xml:space="preserve">Student Name: </w:t>
      </w:r>
      <w:r w:rsidR="002035F1">
        <w:rPr>
          <w:b/>
          <w:bCs/>
          <w:sz w:val="28"/>
          <w:szCs w:val="28"/>
        </w:rPr>
        <w:t>Ataur Rahman</w:t>
      </w:r>
    </w:p>
    <w:p w14:paraId="620D9E07" w14:textId="214126F6" w:rsidR="00FB783B" w:rsidRDefault="00E9484C" w:rsidP="00446BA9">
      <w:pPr>
        <w:shd w:val="clear" w:color="auto" w:fill="0C3512" w:themeFill="accent3" w:themeFillShade="80"/>
        <w:spacing w:line="240" w:lineRule="auto"/>
        <w:rPr>
          <w:b/>
          <w:bCs/>
          <w:sz w:val="28"/>
          <w:szCs w:val="28"/>
        </w:rPr>
      </w:pPr>
      <w:r w:rsidRPr="00201CB7">
        <w:rPr>
          <w:b/>
          <w:bCs/>
          <w:sz w:val="28"/>
          <w:szCs w:val="28"/>
        </w:rPr>
        <w:t xml:space="preserve">Student Number: </w:t>
      </w:r>
      <w:r w:rsidR="00FB783B" w:rsidRPr="00201CB7">
        <w:rPr>
          <w:b/>
          <w:bCs/>
          <w:sz w:val="28"/>
          <w:szCs w:val="28"/>
        </w:rPr>
        <w:t>2430</w:t>
      </w:r>
      <w:r w:rsidR="002035F1">
        <w:rPr>
          <w:b/>
          <w:bCs/>
          <w:sz w:val="28"/>
          <w:szCs w:val="28"/>
        </w:rPr>
        <w:t>256</w:t>
      </w:r>
    </w:p>
    <w:p w14:paraId="10CE5E37" w14:textId="03727CF0" w:rsidR="00E50783" w:rsidRDefault="00E50783" w:rsidP="00446BA9">
      <w:pPr>
        <w:shd w:val="clear" w:color="auto" w:fill="0C3512" w:themeFill="accent3" w:themeFillShade="80"/>
        <w:spacing w:line="240" w:lineRule="auto"/>
        <w:rPr>
          <w:b/>
          <w:bCs/>
          <w:sz w:val="28"/>
          <w:szCs w:val="28"/>
        </w:rPr>
      </w:pPr>
      <w:r>
        <w:rPr>
          <w:b/>
          <w:bCs/>
          <w:sz w:val="28"/>
          <w:szCs w:val="28"/>
        </w:rPr>
        <w:t>Group: 01</w:t>
      </w:r>
    </w:p>
    <w:p w14:paraId="7596115F" w14:textId="74EBF648" w:rsidR="00E50783" w:rsidRPr="00201CB7" w:rsidRDefault="00E50783" w:rsidP="00446BA9">
      <w:pPr>
        <w:shd w:val="clear" w:color="auto" w:fill="0C3512" w:themeFill="accent3" w:themeFillShade="80"/>
        <w:spacing w:line="240" w:lineRule="auto"/>
        <w:rPr>
          <w:b/>
          <w:bCs/>
          <w:sz w:val="28"/>
          <w:szCs w:val="28"/>
        </w:rPr>
      </w:pPr>
      <w:r>
        <w:rPr>
          <w:b/>
          <w:bCs/>
          <w:sz w:val="28"/>
          <w:szCs w:val="28"/>
        </w:rPr>
        <w:t>Team: 01</w:t>
      </w:r>
    </w:p>
    <w:p w14:paraId="0C2D130F" w14:textId="039CE7F5" w:rsidR="0041473A" w:rsidRPr="00107FB4" w:rsidRDefault="00E9484C" w:rsidP="00446BA9">
      <w:pPr>
        <w:shd w:val="clear" w:color="auto" w:fill="0C3512" w:themeFill="accent3" w:themeFillShade="80"/>
        <w:spacing w:line="240" w:lineRule="auto"/>
      </w:pPr>
      <w:r w:rsidRPr="00201CB7">
        <w:rPr>
          <w:b/>
          <w:bCs/>
          <w:sz w:val="28"/>
          <w:szCs w:val="28"/>
        </w:rPr>
        <w:t xml:space="preserve">Date: </w:t>
      </w:r>
      <w:r w:rsidR="008A266D">
        <w:rPr>
          <w:b/>
          <w:bCs/>
          <w:sz w:val="28"/>
          <w:szCs w:val="28"/>
        </w:rPr>
        <w:t>11</w:t>
      </w:r>
      <w:r w:rsidR="009D1420">
        <w:rPr>
          <w:b/>
          <w:bCs/>
          <w:sz w:val="28"/>
          <w:szCs w:val="28"/>
        </w:rPr>
        <w:t>/</w:t>
      </w:r>
      <w:r w:rsidR="009E03C5">
        <w:rPr>
          <w:b/>
          <w:bCs/>
          <w:sz w:val="28"/>
          <w:szCs w:val="28"/>
        </w:rPr>
        <w:t>0</w:t>
      </w:r>
      <w:r w:rsidR="008A266D">
        <w:rPr>
          <w:b/>
          <w:bCs/>
          <w:sz w:val="28"/>
          <w:szCs w:val="28"/>
        </w:rPr>
        <w:t>8</w:t>
      </w:r>
      <w:r w:rsidR="009D1420">
        <w:rPr>
          <w:b/>
          <w:bCs/>
          <w:sz w:val="28"/>
          <w:szCs w:val="28"/>
        </w:rPr>
        <w:t>/202</w:t>
      </w:r>
      <w:r w:rsidR="009E03C5">
        <w:rPr>
          <w:b/>
          <w:bCs/>
          <w:sz w:val="28"/>
          <w:szCs w:val="28"/>
        </w:rPr>
        <w:t>6</w:t>
      </w:r>
      <w:r w:rsidR="0041473A" w:rsidRPr="00107FB4">
        <w:br w:type="page"/>
      </w:r>
    </w:p>
    <w:p w14:paraId="5538F25E" w14:textId="77777777" w:rsidR="0041473A" w:rsidRPr="00113F8C" w:rsidRDefault="0041473A" w:rsidP="00446BA9">
      <w:pPr>
        <w:jc w:val="right"/>
        <w:rPr>
          <w:b/>
          <w:bCs/>
        </w:rPr>
      </w:pPr>
    </w:p>
    <w:sdt>
      <w:sdtPr>
        <w:rPr>
          <w:b/>
        </w:rPr>
        <w:id w:val="1333416918"/>
        <w:docPartObj>
          <w:docPartGallery w:val="Table of Contents"/>
          <w:docPartUnique/>
        </w:docPartObj>
      </w:sdtPr>
      <w:sdtEndPr>
        <w:rPr>
          <w:b w:val="0"/>
          <w:bCs/>
          <w:noProof/>
        </w:rPr>
      </w:sdtEndPr>
      <w:sdtContent>
        <w:p w14:paraId="0FCED06D" w14:textId="7DEDD2D0" w:rsidR="00AF4EB6" w:rsidRPr="00C34CCB" w:rsidRDefault="00AF4EB6" w:rsidP="00C34CCB">
          <w:pPr>
            <w:rPr>
              <w:b/>
              <w:bCs/>
              <w:sz w:val="32"/>
              <w:szCs w:val="32"/>
            </w:rPr>
          </w:pPr>
          <w:r w:rsidRPr="00C34CCB">
            <w:rPr>
              <w:b/>
              <w:bCs/>
              <w:sz w:val="32"/>
              <w:szCs w:val="32"/>
            </w:rPr>
            <w:t>Table of Contents</w:t>
          </w:r>
        </w:p>
        <w:p w14:paraId="267F1FB3" w14:textId="51D86DF1" w:rsidR="005D2337" w:rsidRDefault="0094401D">
          <w:pPr>
            <w:pStyle w:val="TOC1"/>
            <w:tabs>
              <w:tab w:val="right" w:leader="dot" w:pos="10456"/>
            </w:tabs>
            <w:rPr>
              <w:rFonts w:asciiTheme="minorHAnsi" w:eastAsiaTheme="minorEastAsia" w:hAnsiTheme="minorHAnsi"/>
              <w:noProof/>
              <w:sz w:val="24"/>
              <w:szCs w:val="24"/>
              <w:lang w:val="en-GB" w:eastAsia="en-GB"/>
            </w:rPr>
          </w:pPr>
          <w:r w:rsidRPr="000405AE">
            <w:rPr>
              <w:sz w:val="18"/>
              <w:szCs w:val="18"/>
            </w:rPr>
            <w:fldChar w:fldCharType="begin"/>
          </w:r>
          <w:r w:rsidRPr="000405AE">
            <w:rPr>
              <w:sz w:val="18"/>
              <w:szCs w:val="18"/>
            </w:rPr>
            <w:instrText xml:space="preserve"> TOC \o "1-3" \h \z \u </w:instrText>
          </w:r>
          <w:r w:rsidRPr="000405AE">
            <w:rPr>
              <w:sz w:val="18"/>
              <w:szCs w:val="18"/>
            </w:rPr>
            <w:fldChar w:fldCharType="separate"/>
          </w:r>
          <w:hyperlink w:anchor="_Toc237431784" w:history="1">
            <w:r w:rsidR="005D2337" w:rsidRPr="00313F49">
              <w:rPr>
                <w:rStyle w:val="Hyperlink"/>
                <w:noProof/>
              </w:rPr>
              <w:t>Task 1: Research in Data Security and Compliance</w:t>
            </w:r>
            <w:r w:rsidR="005D2337">
              <w:rPr>
                <w:noProof/>
                <w:webHidden/>
              </w:rPr>
              <w:tab/>
            </w:r>
            <w:r w:rsidR="005D2337">
              <w:rPr>
                <w:noProof/>
                <w:webHidden/>
              </w:rPr>
              <w:fldChar w:fldCharType="begin"/>
            </w:r>
            <w:r w:rsidR="005D2337">
              <w:rPr>
                <w:noProof/>
                <w:webHidden/>
              </w:rPr>
              <w:instrText xml:space="preserve"> PAGEREF _Toc237431784 \h </w:instrText>
            </w:r>
            <w:r w:rsidR="005D2337">
              <w:rPr>
                <w:noProof/>
                <w:webHidden/>
              </w:rPr>
            </w:r>
            <w:r w:rsidR="005D2337">
              <w:rPr>
                <w:noProof/>
                <w:webHidden/>
              </w:rPr>
              <w:fldChar w:fldCharType="separate"/>
            </w:r>
            <w:r w:rsidR="005D2337">
              <w:rPr>
                <w:noProof/>
                <w:webHidden/>
              </w:rPr>
              <w:t>1</w:t>
            </w:r>
            <w:r w:rsidR="005D2337">
              <w:rPr>
                <w:noProof/>
                <w:webHidden/>
              </w:rPr>
              <w:fldChar w:fldCharType="end"/>
            </w:r>
          </w:hyperlink>
        </w:p>
        <w:p w14:paraId="75EFDB8F" w14:textId="64D0A39A" w:rsidR="005D2337" w:rsidRDefault="005D2337">
          <w:pPr>
            <w:pStyle w:val="TOC2"/>
            <w:tabs>
              <w:tab w:val="right" w:leader="dot" w:pos="10456"/>
            </w:tabs>
            <w:rPr>
              <w:rFonts w:asciiTheme="minorHAnsi" w:eastAsiaTheme="minorEastAsia" w:hAnsiTheme="minorHAnsi"/>
              <w:noProof/>
              <w:sz w:val="24"/>
              <w:szCs w:val="24"/>
              <w:lang w:val="en-GB" w:eastAsia="en-GB"/>
            </w:rPr>
          </w:pPr>
          <w:hyperlink w:anchor="_Toc237431785" w:history="1">
            <w:r w:rsidRPr="00313F49">
              <w:rPr>
                <w:rStyle w:val="Hyperlink"/>
                <w:noProof/>
              </w:rPr>
              <w:t>1.1 Introduction</w:t>
            </w:r>
            <w:r>
              <w:rPr>
                <w:noProof/>
                <w:webHidden/>
              </w:rPr>
              <w:tab/>
            </w:r>
            <w:r>
              <w:rPr>
                <w:noProof/>
                <w:webHidden/>
              </w:rPr>
              <w:fldChar w:fldCharType="begin"/>
            </w:r>
            <w:r>
              <w:rPr>
                <w:noProof/>
                <w:webHidden/>
              </w:rPr>
              <w:instrText xml:space="preserve"> PAGEREF _Toc237431785 \h </w:instrText>
            </w:r>
            <w:r>
              <w:rPr>
                <w:noProof/>
                <w:webHidden/>
              </w:rPr>
            </w:r>
            <w:r>
              <w:rPr>
                <w:noProof/>
                <w:webHidden/>
              </w:rPr>
              <w:fldChar w:fldCharType="separate"/>
            </w:r>
            <w:r>
              <w:rPr>
                <w:noProof/>
                <w:webHidden/>
              </w:rPr>
              <w:t>1</w:t>
            </w:r>
            <w:r>
              <w:rPr>
                <w:noProof/>
                <w:webHidden/>
              </w:rPr>
              <w:fldChar w:fldCharType="end"/>
            </w:r>
          </w:hyperlink>
        </w:p>
        <w:p w14:paraId="0DC6EC5F" w14:textId="36031A9F" w:rsidR="005D2337" w:rsidRDefault="005D2337">
          <w:pPr>
            <w:pStyle w:val="TOC2"/>
            <w:tabs>
              <w:tab w:val="right" w:leader="dot" w:pos="10456"/>
            </w:tabs>
            <w:rPr>
              <w:rFonts w:asciiTheme="minorHAnsi" w:eastAsiaTheme="minorEastAsia" w:hAnsiTheme="minorHAnsi"/>
              <w:noProof/>
              <w:sz w:val="24"/>
              <w:szCs w:val="24"/>
              <w:lang w:val="en-GB" w:eastAsia="en-GB"/>
            </w:rPr>
          </w:pPr>
          <w:hyperlink w:anchor="_Toc237431786" w:history="1">
            <w:r w:rsidRPr="00313F49">
              <w:rPr>
                <w:rStyle w:val="Hyperlink"/>
                <w:noProof/>
              </w:rPr>
              <w:t>1.2 Why the Corporate Perimeter no longer holds</w:t>
            </w:r>
            <w:r>
              <w:rPr>
                <w:noProof/>
                <w:webHidden/>
              </w:rPr>
              <w:tab/>
            </w:r>
            <w:r>
              <w:rPr>
                <w:noProof/>
                <w:webHidden/>
              </w:rPr>
              <w:fldChar w:fldCharType="begin"/>
            </w:r>
            <w:r>
              <w:rPr>
                <w:noProof/>
                <w:webHidden/>
              </w:rPr>
              <w:instrText xml:space="preserve"> PAGEREF _Toc237431786 \h </w:instrText>
            </w:r>
            <w:r>
              <w:rPr>
                <w:noProof/>
                <w:webHidden/>
              </w:rPr>
            </w:r>
            <w:r>
              <w:rPr>
                <w:noProof/>
                <w:webHidden/>
              </w:rPr>
              <w:fldChar w:fldCharType="separate"/>
            </w:r>
            <w:r>
              <w:rPr>
                <w:noProof/>
                <w:webHidden/>
              </w:rPr>
              <w:t>1</w:t>
            </w:r>
            <w:r>
              <w:rPr>
                <w:noProof/>
                <w:webHidden/>
              </w:rPr>
              <w:fldChar w:fldCharType="end"/>
            </w:r>
          </w:hyperlink>
        </w:p>
        <w:p w14:paraId="2366AFE3" w14:textId="3FF5C459" w:rsidR="005D2337" w:rsidRDefault="005D2337">
          <w:pPr>
            <w:pStyle w:val="TOC2"/>
            <w:tabs>
              <w:tab w:val="right" w:leader="dot" w:pos="10456"/>
            </w:tabs>
            <w:rPr>
              <w:rFonts w:asciiTheme="minorHAnsi" w:eastAsiaTheme="minorEastAsia" w:hAnsiTheme="minorHAnsi"/>
              <w:noProof/>
              <w:sz w:val="24"/>
              <w:szCs w:val="24"/>
              <w:lang w:val="en-GB" w:eastAsia="en-GB"/>
            </w:rPr>
          </w:pPr>
          <w:hyperlink w:anchor="_Toc237431787" w:history="1">
            <w:r w:rsidRPr="00313F49">
              <w:rPr>
                <w:rStyle w:val="Hyperlink"/>
                <w:noProof/>
              </w:rPr>
              <w:t>1.3 Zero Trust Network Access</w:t>
            </w:r>
            <w:r>
              <w:rPr>
                <w:noProof/>
                <w:webHidden/>
              </w:rPr>
              <w:tab/>
            </w:r>
            <w:r>
              <w:rPr>
                <w:noProof/>
                <w:webHidden/>
              </w:rPr>
              <w:fldChar w:fldCharType="begin"/>
            </w:r>
            <w:r>
              <w:rPr>
                <w:noProof/>
                <w:webHidden/>
              </w:rPr>
              <w:instrText xml:space="preserve"> PAGEREF _Toc237431787 \h </w:instrText>
            </w:r>
            <w:r>
              <w:rPr>
                <w:noProof/>
                <w:webHidden/>
              </w:rPr>
            </w:r>
            <w:r>
              <w:rPr>
                <w:noProof/>
                <w:webHidden/>
              </w:rPr>
              <w:fldChar w:fldCharType="separate"/>
            </w:r>
            <w:r>
              <w:rPr>
                <w:noProof/>
                <w:webHidden/>
              </w:rPr>
              <w:t>2</w:t>
            </w:r>
            <w:r>
              <w:rPr>
                <w:noProof/>
                <w:webHidden/>
              </w:rPr>
              <w:fldChar w:fldCharType="end"/>
            </w:r>
          </w:hyperlink>
        </w:p>
        <w:p w14:paraId="357653DC" w14:textId="4486CD59" w:rsidR="005D2337" w:rsidRDefault="005D2337">
          <w:pPr>
            <w:pStyle w:val="TOC2"/>
            <w:tabs>
              <w:tab w:val="right" w:leader="dot" w:pos="10456"/>
            </w:tabs>
            <w:rPr>
              <w:rFonts w:asciiTheme="minorHAnsi" w:eastAsiaTheme="minorEastAsia" w:hAnsiTheme="minorHAnsi"/>
              <w:noProof/>
              <w:sz w:val="24"/>
              <w:szCs w:val="24"/>
              <w:lang w:val="en-GB" w:eastAsia="en-GB"/>
            </w:rPr>
          </w:pPr>
          <w:hyperlink w:anchor="_Toc237431788" w:history="1">
            <w:r w:rsidRPr="00313F49">
              <w:rPr>
                <w:rStyle w:val="Hyperlink"/>
                <w:noProof/>
              </w:rPr>
              <w:t>1.4 Secure Access Service Edge</w:t>
            </w:r>
            <w:r>
              <w:rPr>
                <w:noProof/>
                <w:webHidden/>
              </w:rPr>
              <w:tab/>
            </w:r>
            <w:r>
              <w:rPr>
                <w:noProof/>
                <w:webHidden/>
              </w:rPr>
              <w:fldChar w:fldCharType="begin"/>
            </w:r>
            <w:r>
              <w:rPr>
                <w:noProof/>
                <w:webHidden/>
              </w:rPr>
              <w:instrText xml:space="preserve"> PAGEREF _Toc237431788 \h </w:instrText>
            </w:r>
            <w:r>
              <w:rPr>
                <w:noProof/>
                <w:webHidden/>
              </w:rPr>
            </w:r>
            <w:r>
              <w:rPr>
                <w:noProof/>
                <w:webHidden/>
              </w:rPr>
              <w:fldChar w:fldCharType="separate"/>
            </w:r>
            <w:r>
              <w:rPr>
                <w:noProof/>
                <w:webHidden/>
              </w:rPr>
              <w:t>3</w:t>
            </w:r>
            <w:r>
              <w:rPr>
                <w:noProof/>
                <w:webHidden/>
              </w:rPr>
              <w:fldChar w:fldCharType="end"/>
            </w:r>
          </w:hyperlink>
        </w:p>
        <w:p w14:paraId="177BE1D6" w14:textId="73B5CC31" w:rsidR="005D2337" w:rsidRDefault="005D2337">
          <w:pPr>
            <w:pStyle w:val="TOC2"/>
            <w:tabs>
              <w:tab w:val="right" w:leader="dot" w:pos="10456"/>
            </w:tabs>
            <w:rPr>
              <w:rFonts w:asciiTheme="minorHAnsi" w:eastAsiaTheme="minorEastAsia" w:hAnsiTheme="minorHAnsi"/>
              <w:noProof/>
              <w:sz w:val="24"/>
              <w:szCs w:val="24"/>
              <w:lang w:val="en-GB" w:eastAsia="en-GB"/>
            </w:rPr>
          </w:pPr>
          <w:hyperlink w:anchor="_Toc237431789" w:history="1">
            <w:r w:rsidRPr="00313F49">
              <w:rPr>
                <w:rStyle w:val="Hyperlink"/>
                <w:noProof/>
              </w:rPr>
              <w:t>1.5 Data Loss Prevention</w:t>
            </w:r>
            <w:r>
              <w:rPr>
                <w:noProof/>
                <w:webHidden/>
              </w:rPr>
              <w:tab/>
            </w:r>
            <w:r>
              <w:rPr>
                <w:noProof/>
                <w:webHidden/>
              </w:rPr>
              <w:fldChar w:fldCharType="begin"/>
            </w:r>
            <w:r>
              <w:rPr>
                <w:noProof/>
                <w:webHidden/>
              </w:rPr>
              <w:instrText xml:space="preserve"> PAGEREF _Toc237431789 \h </w:instrText>
            </w:r>
            <w:r>
              <w:rPr>
                <w:noProof/>
                <w:webHidden/>
              </w:rPr>
            </w:r>
            <w:r>
              <w:rPr>
                <w:noProof/>
                <w:webHidden/>
              </w:rPr>
              <w:fldChar w:fldCharType="separate"/>
            </w:r>
            <w:r>
              <w:rPr>
                <w:noProof/>
                <w:webHidden/>
              </w:rPr>
              <w:t>3</w:t>
            </w:r>
            <w:r>
              <w:rPr>
                <w:noProof/>
                <w:webHidden/>
              </w:rPr>
              <w:fldChar w:fldCharType="end"/>
            </w:r>
          </w:hyperlink>
        </w:p>
        <w:p w14:paraId="06938A17" w14:textId="3B9A5CCF" w:rsidR="005D2337" w:rsidRDefault="005D2337">
          <w:pPr>
            <w:pStyle w:val="TOC2"/>
            <w:tabs>
              <w:tab w:val="right" w:leader="dot" w:pos="10456"/>
            </w:tabs>
            <w:rPr>
              <w:rFonts w:asciiTheme="minorHAnsi" w:eastAsiaTheme="minorEastAsia" w:hAnsiTheme="minorHAnsi"/>
              <w:noProof/>
              <w:sz w:val="24"/>
              <w:szCs w:val="24"/>
              <w:lang w:val="en-GB" w:eastAsia="en-GB"/>
            </w:rPr>
          </w:pPr>
          <w:hyperlink w:anchor="_Toc237431790" w:history="1">
            <w:r w:rsidRPr="00313F49">
              <w:rPr>
                <w:rStyle w:val="Hyperlink"/>
                <w:noProof/>
              </w:rPr>
              <w:t>1.6 Critical Evaluation: Integration, Governance and Limits</w:t>
            </w:r>
            <w:r>
              <w:rPr>
                <w:noProof/>
                <w:webHidden/>
              </w:rPr>
              <w:tab/>
            </w:r>
            <w:r>
              <w:rPr>
                <w:noProof/>
                <w:webHidden/>
              </w:rPr>
              <w:fldChar w:fldCharType="begin"/>
            </w:r>
            <w:r>
              <w:rPr>
                <w:noProof/>
                <w:webHidden/>
              </w:rPr>
              <w:instrText xml:space="preserve"> PAGEREF _Toc237431790 \h </w:instrText>
            </w:r>
            <w:r>
              <w:rPr>
                <w:noProof/>
                <w:webHidden/>
              </w:rPr>
            </w:r>
            <w:r>
              <w:rPr>
                <w:noProof/>
                <w:webHidden/>
              </w:rPr>
              <w:fldChar w:fldCharType="separate"/>
            </w:r>
            <w:r>
              <w:rPr>
                <w:noProof/>
                <w:webHidden/>
              </w:rPr>
              <w:t>4</w:t>
            </w:r>
            <w:r>
              <w:rPr>
                <w:noProof/>
                <w:webHidden/>
              </w:rPr>
              <w:fldChar w:fldCharType="end"/>
            </w:r>
          </w:hyperlink>
        </w:p>
        <w:p w14:paraId="6525426F" w14:textId="61155C18" w:rsidR="005D2337" w:rsidRDefault="005D2337">
          <w:pPr>
            <w:pStyle w:val="TOC2"/>
            <w:tabs>
              <w:tab w:val="right" w:leader="dot" w:pos="10456"/>
            </w:tabs>
            <w:rPr>
              <w:rFonts w:asciiTheme="minorHAnsi" w:eastAsiaTheme="minorEastAsia" w:hAnsiTheme="minorHAnsi"/>
              <w:noProof/>
              <w:sz w:val="24"/>
              <w:szCs w:val="24"/>
              <w:lang w:val="en-GB" w:eastAsia="en-GB"/>
            </w:rPr>
          </w:pPr>
          <w:hyperlink w:anchor="_Toc237431791" w:history="1">
            <w:r w:rsidRPr="00313F49">
              <w:rPr>
                <w:rStyle w:val="Hyperlink"/>
                <w:noProof/>
              </w:rPr>
              <w:t>1.7 Conclusion</w:t>
            </w:r>
            <w:r>
              <w:rPr>
                <w:noProof/>
                <w:webHidden/>
              </w:rPr>
              <w:tab/>
            </w:r>
            <w:r>
              <w:rPr>
                <w:noProof/>
                <w:webHidden/>
              </w:rPr>
              <w:fldChar w:fldCharType="begin"/>
            </w:r>
            <w:r>
              <w:rPr>
                <w:noProof/>
                <w:webHidden/>
              </w:rPr>
              <w:instrText xml:space="preserve"> PAGEREF _Toc237431791 \h </w:instrText>
            </w:r>
            <w:r>
              <w:rPr>
                <w:noProof/>
                <w:webHidden/>
              </w:rPr>
            </w:r>
            <w:r>
              <w:rPr>
                <w:noProof/>
                <w:webHidden/>
              </w:rPr>
              <w:fldChar w:fldCharType="separate"/>
            </w:r>
            <w:r>
              <w:rPr>
                <w:noProof/>
                <w:webHidden/>
              </w:rPr>
              <w:t>6</w:t>
            </w:r>
            <w:r>
              <w:rPr>
                <w:noProof/>
                <w:webHidden/>
              </w:rPr>
              <w:fldChar w:fldCharType="end"/>
            </w:r>
          </w:hyperlink>
        </w:p>
        <w:p w14:paraId="6172915C" w14:textId="6547DCFA" w:rsidR="005D2337" w:rsidRDefault="005D2337">
          <w:pPr>
            <w:pStyle w:val="TOC1"/>
            <w:tabs>
              <w:tab w:val="right" w:leader="dot" w:pos="10456"/>
            </w:tabs>
            <w:rPr>
              <w:rFonts w:asciiTheme="minorHAnsi" w:eastAsiaTheme="minorEastAsia" w:hAnsiTheme="minorHAnsi"/>
              <w:noProof/>
              <w:sz w:val="24"/>
              <w:szCs w:val="24"/>
              <w:lang w:val="en-GB" w:eastAsia="en-GB"/>
            </w:rPr>
          </w:pPr>
          <w:hyperlink w:anchor="_Toc237431792" w:history="1">
            <w:r w:rsidRPr="00313F49">
              <w:rPr>
                <w:rStyle w:val="Hyperlink"/>
                <w:noProof/>
              </w:rPr>
              <w:t>Task 2: Case Scenario, a Structured Cybersecurity Programme for Equifax</w:t>
            </w:r>
            <w:r>
              <w:rPr>
                <w:noProof/>
                <w:webHidden/>
              </w:rPr>
              <w:tab/>
            </w:r>
            <w:r>
              <w:rPr>
                <w:noProof/>
                <w:webHidden/>
              </w:rPr>
              <w:fldChar w:fldCharType="begin"/>
            </w:r>
            <w:r>
              <w:rPr>
                <w:noProof/>
                <w:webHidden/>
              </w:rPr>
              <w:instrText xml:space="preserve"> PAGEREF _Toc237431792 \h </w:instrText>
            </w:r>
            <w:r>
              <w:rPr>
                <w:noProof/>
                <w:webHidden/>
              </w:rPr>
            </w:r>
            <w:r>
              <w:rPr>
                <w:noProof/>
                <w:webHidden/>
              </w:rPr>
              <w:fldChar w:fldCharType="separate"/>
            </w:r>
            <w:r>
              <w:rPr>
                <w:noProof/>
                <w:webHidden/>
              </w:rPr>
              <w:t>7</w:t>
            </w:r>
            <w:r>
              <w:rPr>
                <w:noProof/>
                <w:webHidden/>
              </w:rPr>
              <w:fldChar w:fldCharType="end"/>
            </w:r>
          </w:hyperlink>
        </w:p>
        <w:p w14:paraId="033F6BFD" w14:textId="015497AF" w:rsidR="005D2337" w:rsidRDefault="005D2337">
          <w:pPr>
            <w:pStyle w:val="TOC2"/>
            <w:tabs>
              <w:tab w:val="right" w:leader="dot" w:pos="10456"/>
            </w:tabs>
            <w:rPr>
              <w:rFonts w:asciiTheme="minorHAnsi" w:eastAsiaTheme="minorEastAsia" w:hAnsiTheme="minorHAnsi"/>
              <w:noProof/>
              <w:sz w:val="24"/>
              <w:szCs w:val="24"/>
              <w:lang w:val="en-GB" w:eastAsia="en-GB"/>
            </w:rPr>
          </w:pPr>
          <w:hyperlink w:anchor="_Toc237431793" w:history="1">
            <w:r w:rsidRPr="00313F49">
              <w:rPr>
                <w:rStyle w:val="Hyperlink"/>
                <w:noProof/>
              </w:rPr>
              <w:t>2.1 Introduction</w:t>
            </w:r>
            <w:r>
              <w:rPr>
                <w:noProof/>
                <w:webHidden/>
              </w:rPr>
              <w:tab/>
            </w:r>
            <w:r>
              <w:rPr>
                <w:noProof/>
                <w:webHidden/>
              </w:rPr>
              <w:fldChar w:fldCharType="begin"/>
            </w:r>
            <w:r>
              <w:rPr>
                <w:noProof/>
                <w:webHidden/>
              </w:rPr>
              <w:instrText xml:space="preserve"> PAGEREF _Toc237431793 \h </w:instrText>
            </w:r>
            <w:r>
              <w:rPr>
                <w:noProof/>
                <w:webHidden/>
              </w:rPr>
            </w:r>
            <w:r>
              <w:rPr>
                <w:noProof/>
                <w:webHidden/>
              </w:rPr>
              <w:fldChar w:fldCharType="separate"/>
            </w:r>
            <w:r>
              <w:rPr>
                <w:noProof/>
                <w:webHidden/>
              </w:rPr>
              <w:t>7</w:t>
            </w:r>
            <w:r>
              <w:rPr>
                <w:noProof/>
                <w:webHidden/>
              </w:rPr>
              <w:fldChar w:fldCharType="end"/>
            </w:r>
          </w:hyperlink>
        </w:p>
        <w:p w14:paraId="331E7C2A" w14:textId="455677FF" w:rsidR="005D2337" w:rsidRDefault="005D2337">
          <w:pPr>
            <w:pStyle w:val="TOC2"/>
            <w:tabs>
              <w:tab w:val="right" w:leader="dot" w:pos="10456"/>
            </w:tabs>
            <w:rPr>
              <w:rFonts w:asciiTheme="minorHAnsi" w:eastAsiaTheme="minorEastAsia" w:hAnsiTheme="minorHAnsi"/>
              <w:noProof/>
              <w:sz w:val="24"/>
              <w:szCs w:val="24"/>
              <w:lang w:val="en-GB" w:eastAsia="en-GB"/>
            </w:rPr>
          </w:pPr>
          <w:hyperlink w:anchor="_Toc237431794" w:history="1">
            <w:r w:rsidRPr="00313F49">
              <w:rPr>
                <w:rStyle w:val="Hyperlink"/>
                <w:noProof/>
              </w:rPr>
              <w:t>2.2 Organisational Structure and Accountability</w:t>
            </w:r>
            <w:r>
              <w:rPr>
                <w:noProof/>
                <w:webHidden/>
              </w:rPr>
              <w:tab/>
            </w:r>
            <w:r>
              <w:rPr>
                <w:noProof/>
                <w:webHidden/>
              </w:rPr>
              <w:fldChar w:fldCharType="begin"/>
            </w:r>
            <w:r>
              <w:rPr>
                <w:noProof/>
                <w:webHidden/>
              </w:rPr>
              <w:instrText xml:space="preserve"> PAGEREF _Toc237431794 \h </w:instrText>
            </w:r>
            <w:r>
              <w:rPr>
                <w:noProof/>
                <w:webHidden/>
              </w:rPr>
            </w:r>
            <w:r>
              <w:rPr>
                <w:noProof/>
                <w:webHidden/>
              </w:rPr>
              <w:fldChar w:fldCharType="separate"/>
            </w:r>
            <w:r>
              <w:rPr>
                <w:noProof/>
                <w:webHidden/>
              </w:rPr>
              <w:t>7</w:t>
            </w:r>
            <w:r>
              <w:rPr>
                <w:noProof/>
                <w:webHidden/>
              </w:rPr>
              <w:fldChar w:fldCharType="end"/>
            </w:r>
          </w:hyperlink>
        </w:p>
        <w:p w14:paraId="338E1407" w14:textId="5A7F0366" w:rsidR="005D2337" w:rsidRDefault="005D2337">
          <w:pPr>
            <w:pStyle w:val="TOC2"/>
            <w:tabs>
              <w:tab w:val="right" w:leader="dot" w:pos="10456"/>
            </w:tabs>
            <w:rPr>
              <w:rFonts w:asciiTheme="minorHAnsi" w:eastAsiaTheme="minorEastAsia" w:hAnsiTheme="minorHAnsi"/>
              <w:noProof/>
              <w:sz w:val="24"/>
              <w:szCs w:val="24"/>
              <w:lang w:val="en-GB" w:eastAsia="en-GB"/>
            </w:rPr>
          </w:pPr>
          <w:hyperlink w:anchor="_Toc237431795" w:history="1">
            <w:r w:rsidRPr="00313F49">
              <w:rPr>
                <w:rStyle w:val="Hyperlink"/>
                <w:noProof/>
              </w:rPr>
              <w:t>2.3 Policies and Procedures</w:t>
            </w:r>
            <w:r>
              <w:rPr>
                <w:noProof/>
                <w:webHidden/>
              </w:rPr>
              <w:tab/>
            </w:r>
            <w:r>
              <w:rPr>
                <w:noProof/>
                <w:webHidden/>
              </w:rPr>
              <w:fldChar w:fldCharType="begin"/>
            </w:r>
            <w:r>
              <w:rPr>
                <w:noProof/>
                <w:webHidden/>
              </w:rPr>
              <w:instrText xml:space="preserve"> PAGEREF _Toc237431795 \h </w:instrText>
            </w:r>
            <w:r>
              <w:rPr>
                <w:noProof/>
                <w:webHidden/>
              </w:rPr>
            </w:r>
            <w:r>
              <w:rPr>
                <w:noProof/>
                <w:webHidden/>
              </w:rPr>
              <w:fldChar w:fldCharType="separate"/>
            </w:r>
            <w:r>
              <w:rPr>
                <w:noProof/>
                <w:webHidden/>
              </w:rPr>
              <w:t>9</w:t>
            </w:r>
            <w:r>
              <w:rPr>
                <w:noProof/>
                <w:webHidden/>
              </w:rPr>
              <w:fldChar w:fldCharType="end"/>
            </w:r>
          </w:hyperlink>
        </w:p>
        <w:p w14:paraId="6CA326EF" w14:textId="195D9E4E" w:rsidR="005D2337" w:rsidRDefault="005D2337">
          <w:pPr>
            <w:pStyle w:val="TOC2"/>
            <w:tabs>
              <w:tab w:val="right" w:leader="dot" w:pos="10456"/>
            </w:tabs>
            <w:rPr>
              <w:rFonts w:asciiTheme="minorHAnsi" w:eastAsiaTheme="minorEastAsia" w:hAnsiTheme="minorHAnsi"/>
              <w:noProof/>
              <w:sz w:val="24"/>
              <w:szCs w:val="24"/>
              <w:lang w:val="en-GB" w:eastAsia="en-GB"/>
            </w:rPr>
          </w:pPr>
          <w:hyperlink w:anchor="_Toc237431796" w:history="1">
            <w:r w:rsidRPr="00313F49">
              <w:rPr>
                <w:rStyle w:val="Hyperlink"/>
                <w:noProof/>
              </w:rPr>
              <w:t>2.4 Governance and Strategic Alignment</w:t>
            </w:r>
            <w:r>
              <w:rPr>
                <w:noProof/>
                <w:webHidden/>
              </w:rPr>
              <w:tab/>
            </w:r>
            <w:r>
              <w:rPr>
                <w:noProof/>
                <w:webHidden/>
              </w:rPr>
              <w:fldChar w:fldCharType="begin"/>
            </w:r>
            <w:r>
              <w:rPr>
                <w:noProof/>
                <w:webHidden/>
              </w:rPr>
              <w:instrText xml:space="preserve"> PAGEREF _Toc237431796 \h </w:instrText>
            </w:r>
            <w:r>
              <w:rPr>
                <w:noProof/>
                <w:webHidden/>
              </w:rPr>
            </w:r>
            <w:r>
              <w:rPr>
                <w:noProof/>
                <w:webHidden/>
              </w:rPr>
              <w:fldChar w:fldCharType="separate"/>
            </w:r>
            <w:r>
              <w:rPr>
                <w:noProof/>
                <w:webHidden/>
              </w:rPr>
              <w:t>9</w:t>
            </w:r>
            <w:r>
              <w:rPr>
                <w:noProof/>
                <w:webHidden/>
              </w:rPr>
              <w:fldChar w:fldCharType="end"/>
            </w:r>
          </w:hyperlink>
        </w:p>
        <w:p w14:paraId="4A198939" w14:textId="64802E44" w:rsidR="005D2337" w:rsidRDefault="005D2337">
          <w:pPr>
            <w:pStyle w:val="TOC2"/>
            <w:tabs>
              <w:tab w:val="right" w:leader="dot" w:pos="10456"/>
            </w:tabs>
            <w:rPr>
              <w:rFonts w:asciiTheme="minorHAnsi" w:eastAsiaTheme="minorEastAsia" w:hAnsiTheme="minorHAnsi"/>
              <w:noProof/>
              <w:sz w:val="24"/>
              <w:szCs w:val="24"/>
              <w:lang w:val="en-GB" w:eastAsia="en-GB"/>
            </w:rPr>
          </w:pPr>
          <w:hyperlink w:anchor="_Toc237431797" w:history="1">
            <w:r w:rsidRPr="00313F49">
              <w:rPr>
                <w:rStyle w:val="Hyperlink"/>
                <w:noProof/>
              </w:rPr>
              <w:t>2.5 Risk Management and Assessment</w:t>
            </w:r>
            <w:r>
              <w:rPr>
                <w:noProof/>
                <w:webHidden/>
              </w:rPr>
              <w:tab/>
            </w:r>
            <w:r>
              <w:rPr>
                <w:noProof/>
                <w:webHidden/>
              </w:rPr>
              <w:fldChar w:fldCharType="begin"/>
            </w:r>
            <w:r>
              <w:rPr>
                <w:noProof/>
                <w:webHidden/>
              </w:rPr>
              <w:instrText xml:space="preserve"> PAGEREF _Toc237431797 \h </w:instrText>
            </w:r>
            <w:r>
              <w:rPr>
                <w:noProof/>
                <w:webHidden/>
              </w:rPr>
            </w:r>
            <w:r>
              <w:rPr>
                <w:noProof/>
                <w:webHidden/>
              </w:rPr>
              <w:fldChar w:fldCharType="separate"/>
            </w:r>
            <w:r>
              <w:rPr>
                <w:noProof/>
                <w:webHidden/>
              </w:rPr>
              <w:t>10</w:t>
            </w:r>
            <w:r>
              <w:rPr>
                <w:noProof/>
                <w:webHidden/>
              </w:rPr>
              <w:fldChar w:fldCharType="end"/>
            </w:r>
          </w:hyperlink>
        </w:p>
        <w:p w14:paraId="50B226D9" w14:textId="3AA82124" w:rsidR="005D2337" w:rsidRDefault="005D2337">
          <w:pPr>
            <w:pStyle w:val="TOC2"/>
            <w:tabs>
              <w:tab w:val="right" w:leader="dot" w:pos="10456"/>
            </w:tabs>
            <w:rPr>
              <w:rFonts w:asciiTheme="minorHAnsi" w:eastAsiaTheme="minorEastAsia" w:hAnsiTheme="minorHAnsi"/>
              <w:noProof/>
              <w:sz w:val="24"/>
              <w:szCs w:val="24"/>
              <w:lang w:val="en-GB" w:eastAsia="en-GB"/>
            </w:rPr>
          </w:pPr>
          <w:hyperlink w:anchor="_Toc237431798" w:history="1">
            <w:r w:rsidRPr="00313F49">
              <w:rPr>
                <w:rStyle w:val="Hyperlink"/>
                <w:noProof/>
              </w:rPr>
              <w:t>2.6 Compliance, Incident Response and Protection Controls</w:t>
            </w:r>
            <w:r>
              <w:rPr>
                <w:noProof/>
                <w:webHidden/>
              </w:rPr>
              <w:tab/>
            </w:r>
            <w:r>
              <w:rPr>
                <w:noProof/>
                <w:webHidden/>
              </w:rPr>
              <w:fldChar w:fldCharType="begin"/>
            </w:r>
            <w:r>
              <w:rPr>
                <w:noProof/>
                <w:webHidden/>
              </w:rPr>
              <w:instrText xml:space="preserve"> PAGEREF _Toc237431798 \h </w:instrText>
            </w:r>
            <w:r>
              <w:rPr>
                <w:noProof/>
                <w:webHidden/>
              </w:rPr>
            </w:r>
            <w:r>
              <w:rPr>
                <w:noProof/>
                <w:webHidden/>
              </w:rPr>
              <w:fldChar w:fldCharType="separate"/>
            </w:r>
            <w:r>
              <w:rPr>
                <w:noProof/>
                <w:webHidden/>
              </w:rPr>
              <w:t>11</w:t>
            </w:r>
            <w:r>
              <w:rPr>
                <w:noProof/>
                <w:webHidden/>
              </w:rPr>
              <w:fldChar w:fldCharType="end"/>
            </w:r>
          </w:hyperlink>
        </w:p>
        <w:p w14:paraId="5D89362F" w14:textId="0B901AF5" w:rsidR="005D2337" w:rsidRDefault="005D2337">
          <w:pPr>
            <w:pStyle w:val="TOC2"/>
            <w:tabs>
              <w:tab w:val="right" w:leader="dot" w:pos="10456"/>
            </w:tabs>
            <w:rPr>
              <w:rFonts w:asciiTheme="minorHAnsi" w:eastAsiaTheme="minorEastAsia" w:hAnsiTheme="minorHAnsi"/>
              <w:noProof/>
              <w:sz w:val="24"/>
              <w:szCs w:val="24"/>
              <w:lang w:val="en-GB" w:eastAsia="en-GB"/>
            </w:rPr>
          </w:pPr>
          <w:hyperlink w:anchor="_Toc237431799" w:history="1">
            <w:r w:rsidRPr="00313F49">
              <w:rPr>
                <w:rStyle w:val="Hyperlink"/>
                <w:noProof/>
              </w:rPr>
              <w:t>2.7 Conclusion</w:t>
            </w:r>
            <w:r>
              <w:rPr>
                <w:noProof/>
                <w:webHidden/>
              </w:rPr>
              <w:tab/>
            </w:r>
            <w:r>
              <w:rPr>
                <w:noProof/>
                <w:webHidden/>
              </w:rPr>
              <w:fldChar w:fldCharType="begin"/>
            </w:r>
            <w:r>
              <w:rPr>
                <w:noProof/>
                <w:webHidden/>
              </w:rPr>
              <w:instrText xml:space="preserve"> PAGEREF _Toc237431799 \h </w:instrText>
            </w:r>
            <w:r>
              <w:rPr>
                <w:noProof/>
                <w:webHidden/>
              </w:rPr>
            </w:r>
            <w:r>
              <w:rPr>
                <w:noProof/>
                <w:webHidden/>
              </w:rPr>
              <w:fldChar w:fldCharType="separate"/>
            </w:r>
            <w:r>
              <w:rPr>
                <w:noProof/>
                <w:webHidden/>
              </w:rPr>
              <w:t>12</w:t>
            </w:r>
            <w:r>
              <w:rPr>
                <w:noProof/>
                <w:webHidden/>
              </w:rPr>
              <w:fldChar w:fldCharType="end"/>
            </w:r>
          </w:hyperlink>
        </w:p>
        <w:p w14:paraId="73F0A3BB" w14:textId="46549911" w:rsidR="005D2337" w:rsidRDefault="005D2337">
          <w:pPr>
            <w:pStyle w:val="TOC1"/>
            <w:tabs>
              <w:tab w:val="right" w:leader="dot" w:pos="10456"/>
            </w:tabs>
            <w:rPr>
              <w:rFonts w:asciiTheme="minorHAnsi" w:eastAsiaTheme="minorEastAsia" w:hAnsiTheme="minorHAnsi"/>
              <w:noProof/>
              <w:sz w:val="24"/>
              <w:szCs w:val="24"/>
              <w:lang w:val="en-GB" w:eastAsia="en-GB"/>
            </w:rPr>
          </w:pPr>
          <w:hyperlink w:anchor="_Toc237431800" w:history="1">
            <w:r w:rsidRPr="00313F49">
              <w:rPr>
                <w:rStyle w:val="Hyperlink"/>
                <w:noProof/>
              </w:rPr>
              <w:t>References</w:t>
            </w:r>
            <w:r>
              <w:rPr>
                <w:noProof/>
                <w:webHidden/>
              </w:rPr>
              <w:tab/>
            </w:r>
            <w:r>
              <w:rPr>
                <w:noProof/>
                <w:webHidden/>
              </w:rPr>
              <w:fldChar w:fldCharType="begin"/>
            </w:r>
            <w:r>
              <w:rPr>
                <w:noProof/>
                <w:webHidden/>
              </w:rPr>
              <w:instrText xml:space="preserve"> PAGEREF _Toc237431800 \h </w:instrText>
            </w:r>
            <w:r>
              <w:rPr>
                <w:noProof/>
                <w:webHidden/>
              </w:rPr>
            </w:r>
            <w:r>
              <w:rPr>
                <w:noProof/>
                <w:webHidden/>
              </w:rPr>
              <w:fldChar w:fldCharType="separate"/>
            </w:r>
            <w:r>
              <w:rPr>
                <w:noProof/>
                <w:webHidden/>
              </w:rPr>
              <w:t>13</w:t>
            </w:r>
            <w:r>
              <w:rPr>
                <w:noProof/>
                <w:webHidden/>
              </w:rPr>
              <w:fldChar w:fldCharType="end"/>
            </w:r>
          </w:hyperlink>
        </w:p>
        <w:p w14:paraId="71C62408" w14:textId="2A62AD19" w:rsidR="005D2337" w:rsidRDefault="005D2337">
          <w:pPr>
            <w:pStyle w:val="TOC1"/>
            <w:tabs>
              <w:tab w:val="right" w:leader="dot" w:pos="10456"/>
            </w:tabs>
            <w:rPr>
              <w:rFonts w:asciiTheme="minorHAnsi" w:eastAsiaTheme="minorEastAsia" w:hAnsiTheme="minorHAnsi"/>
              <w:noProof/>
              <w:sz w:val="24"/>
              <w:szCs w:val="24"/>
              <w:lang w:val="en-GB" w:eastAsia="en-GB"/>
            </w:rPr>
          </w:pPr>
          <w:hyperlink w:anchor="_Toc237431801" w:history="1">
            <w:r w:rsidRPr="00313F49">
              <w:rPr>
                <w:rStyle w:val="Hyperlink"/>
                <w:noProof/>
              </w:rPr>
              <w:t>Appendix A: RACI Matrix for Core Security Activities</w:t>
            </w:r>
            <w:r>
              <w:rPr>
                <w:noProof/>
                <w:webHidden/>
              </w:rPr>
              <w:tab/>
            </w:r>
            <w:r>
              <w:rPr>
                <w:noProof/>
                <w:webHidden/>
              </w:rPr>
              <w:fldChar w:fldCharType="begin"/>
            </w:r>
            <w:r>
              <w:rPr>
                <w:noProof/>
                <w:webHidden/>
              </w:rPr>
              <w:instrText xml:space="preserve"> PAGEREF _Toc237431801 \h </w:instrText>
            </w:r>
            <w:r>
              <w:rPr>
                <w:noProof/>
                <w:webHidden/>
              </w:rPr>
            </w:r>
            <w:r>
              <w:rPr>
                <w:noProof/>
                <w:webHidden/>
              </w:rPr>
              <w:fldChar w:fldCharType="separate"/>
            </w:r>
            <w:r>
              <w:rPr>
                <w:noProof/>
                <w:webHidden/>
              </w:rPr>
              <w:t>15</w:t>
            </w:r>
            <w:r>
              <w:rPr>
                <w:noProof/>
                <w:webHidden/>
              </w:rPr>
              <w:fldChar w:fldCharType="end"/>
            </w:r>
          </w:hyperlink>
        </w:p>
        <w:p w14:paraId="6D5A6A69" w14:textId="596144B6" w:rsidR="00C27183" w:rsidRDefault="0094401D" w:rsidP="00446BA9">
          <w:r w:rsidRPr="000405AE">
            <w:rPr>
              <w:b/>
              <w:bCs/>
              <w:noProof/>
              <w:sz w:val="18"/>
              <w:szCs w:val="18"/>
            </w:rPr>
            <w:fldChar w:fldCharType="end"/>
          </w:r>
        </w:p>
      </w:sdtContent>
    </w:sdt>
    <w:p w14:paraId="0038BAA6" w14:textId="1B5D17E2" w:rsidR="00C82881" w:rsidRDefault="00C82881" w:rsidP="00C82881">
      <w:pPr>
        <w:spacing w:line="259" w:lineRule="auto"/>
        <w:jc w:val="left"/>
        <w:sectPr w:rsidR="00C82881" w:rsidSect="004863CC">
          <w:headerReference w:type="even" r:id="rId9"/>
          <w:headerReference w:type="default" r:id="rId10"/>
          <w:headerReference w:type="first" r:id="rId11"/>
          <w:pgSz w:w="11906" w:h="16838" w:code="9"/>
          <w:pgMar w:top="720" w:right="720" w:bottom="720" w:left="720" w:header="0" w:footer="0" w:gutter="0"/>
          <w:pgBorders w:offsetFrom="page">
            <w:top w:val="thinThickSmallGap" w:sz="12" w:space="24" w:color="0A2F41" w:themeColor="accent1" w:themeShade="80"/>
            <w:left w:val="thinThickSmallGap" w:sz="12" w:space="24" w:color="0A2F41" w:themeColor="accent1" w:themeShade="80"/>
            <w:bottom w:val="thickThinSmallGap" w:sz="12" w:space="24" w:color="0A2F41" w:themeColor="accent1" w:themeShade="80"/>
            <w:right w:val="thickThinSmallGap" w:sz="12" w:space="24" w:color="0A2F41" w:themeColor="accent1" w:themeShade="80"/>
          </w:pgBorders>
          <w:pgNumType w:start="1"/>
          <w:cols w:space="708"/>
          <w:docGrid w:linePitch="360"/>
        </w:sectPr>
      </w:pPr>
      <w:r>
        <w:br w:type="page"/>
      </w:r>
    </w:p>
    <w:p w14:paraId="1156EFFF" w14:textId="05882500" w:rsidR="00E36F36" w:rsidRDefault="00D6082B" w:rsidP="00D6082B">
      <w:pPr>
        <w:pStyle w:val="Heading1"/>
        <w:rPr>
          <w:sz w:val="36"/>
          <w:szCs w:val="36"/>
        </w:rPr>
      </w:pPr>
      <w:bookmarkStart w:id="1" w:name="_Toc237431784"/>
      <w:r>
        <w:rPr>
          <w:sz w:val="36"/>
          <w:szCs w:val="36"/>
        </w:rPr>
        <w:lastRenderedPageBreak/>
        <w:t>Task 1: Research in Data Security and Compliance</w:t>
      </w:r>
      <w:bookmarkEnd w:id="1"/>
    </w:p>
    <w:p w14:paraId="49C8D3DE" w14:textId="3C510D3B" w:rsidR="00D6082B" w:rsidRDefault="00A32E4C" w:rsidP="00A32E4C">
      <w:pPr>
        <w:pStyle w:val="Heading2"/>
      </w:pPr>
      <w:bookmarkStart w:id="2" w:name="_Toc237431785"/>
      <w:r>
        <w:t xml:space="preserve">1.1 </w:t>
      </w:r>
      <w:r w:rsidR="00D6082B">
        <w:t>Introduction</w:t>
      </w:r>
      <w:bookmarkEnd w:id="2"/>
    </w:p>
    <w:p w14:paraId="7AA7D249" w14:textId="476E0D92" w:rsidR="00D6082B" w:rsidRDefault="00D6082B" w:rsidP="00D6082B">
      <w:r>
        <w:t xml:space="preserve">Hybrid working stopped being a temporary arrangement some time ago. Gallup’s May 2024 tracking put 53% of employees in remote-capable roles on a hybrid schedule, with a further 27% working remotely full time, and found the pattern had held steady rather than reversed as many predicted [1]. For a security team, that stability is the problem. A workforce that used to sit inside a small number of offices, behind a small number of firewalls, now authenticates from home routers, co-working spaces, airport </w:t>
      </w:r>
      <w:proofErr w:type="spellStart"/>
      <w:r>
        <w:t>longes</w:t>
      </w:r>
      <w:proofErr w:type="spellEnd"/>
      <w:r>
        <w:t xml:space="preserve"> and personal phones, often to systems that themselves liv</w:t>
      </w:r>
      <w:r w:rsidR="00A660FF">
        <w:t>e</w:t>
      </w:r>
      <w:r>
        <w:t xml:space="preserve"> outside the corporate network in SaaS platforms. The question thi</w:t>
      </w:r>
      <w:r w:rsidR="00A660FF">
        <w:t>s</w:t>
      </w:r>
      <w:r>
        <w:t xml:space="preserve"> paper addresses is how an organization builds an environment that anticipates, protects against, detects and automatically responds</w:t>
      </w:r>
      <w:r w:rsidR="002A73A6">
        <w:t xml:space="preserve"> to threats under those conditions, using three technologies that are frequently marketed together but rarely examined together: zero-trust network access (ZTNA), secure access service edge (SASE) and data loss prevention (DLP).</w:t>
      </w:r>
    </w:p>
    <w:p w14:paraId="0703E3BB" w14:textId="3F6B3948" w:rsidR="002A73A6" w:rsidRDefault="002A73A6" w:rsidP="00D6082B">
      <w:r>
        <w:t>The argument development here is that none of the three is a substitute for the others, and that treating any of them as a complete answer to h</w:t>
      </w:r>
      <w:r w:rsidR="00A660FF">
        <w:t>y</w:t>
      </w:r>
      <w:r>
        <w:t>brid</w:t>
      </w:r>
      <w:r w:rsidR="00A660FF">
        <w:t xml:space="preserve"> </w:t>
      </w:r>
      <w:r>
        <w:t>work risk is a mistake. ZTNA governs who and what is allowed to reach a resource. SASE governs how traffic gets there and lets that governance travel with the user rather</w:t>
      </w:r>
      <w:r w:rsidR="00A660FF">
        <w:t xml:space="preserve"> than</w:t>
      </w:r>
      <w:r>
        <w:t xml:space="preserve"> staying fixed to an office network. DLP governs what happens to the data once access has been granted, which is the point ZTNA and SASE are designed to reach. The paper works through each control in turn, then evaluates what they achieve together and where the model still falls short.</w:t>
      </w:r>
    </w:p>
    <w:p w14:paraId="62842FCF" w14:textId="77777777" w:rsidR="002A73A6" w:rsidRDefault="002A73A6" w:rsidP="00D6082B"/>
    <w:p w14:paraId="00FE3F81" w14:textId="7DB602A6" w:rsidR="002A73A6" w:rsidRDefault="00A32E4C" w:rsidP="00A32E4C">
      <w:pPr>
        <w:pStyle w:val="Heading2"/>
      </w:pPr>
      <w:bookmarkStart w:id="3" w:name="_Toc237431786"/>
      <w:r>
        <w:t xml:space="preserve">1.2 </w:t>
      </w:r>
      <w:r w:rsidR="002A73A6">
        <w:t>Why the Corporate Perimeter no longer holds</w:t>
      </w:r>
      <w:bookmarkEnd w:id="3"/>
    </w:p>
    <w:p w14:paraId="4A706EA1" w14:textId="77777777" w:rsidR="002A73A6" w:rsidRDefault="002A73A6" w:rsidP="002A73A6"/>
    <w:p w14:paraId="1DCB1BD7" w14:textId="70FAD7E6" w:rsidR="00EC7327" w:rsidRDefault="002A73A6" w:rsidP="00EC7327">
      <w:r>
        <w:t xml:space="preserve">Perimeter security assumes a defensible edge: a network boundary where traffic can be inspected, and an inside that is trusted more than the outside. Virtual Private Networks (VPN) extended </w:t>
      </w:r>
      <w:r w:rsidR="00D32A01">
        <w:t>that boundary to remote users by tunnelling them into the corporate network, but a VPN authenticates a connection once and then largely gets out of the way, granting broad-network-level reach rather than access scoped to a specific application. The national Institute of Standards and Technology (NIST) Special Publication</w:t>
      </w:r>
      <w:r w:rsidR="00EC7327">
        <w:t xml:space="preserve"> </w:t>
      </w:r>
      <w:r w:rsidR="00EC7327">
        <w:t>800-207 makes the underlying problem explicit: attackers who compromise a single account or endpoint inside a traditionally trusted network segment can often move laterally with little further resistance, because the model was built to keep outsiders out rather than to constrain insiders once they are in [2].</w:t>
      </w:r>
    </w:p>
    <w:p w14:paraId="13F7D004" w14:textId="77777777" w:rsidR="00EC7327" w:rsidRDefault="00EC7327" w:rsidP="00EC7327">
      <w:r>
        <w:t xml:space="preserve">Verizon's 2024 Data Breach Investigations Report gives that concern a current number. Vulnerability exploitation as an initial access vector rose 180% year on year, and exploitation of edge devices and VPNs specifically increased from 3% to 22% of that vector, driven partly by zero-day attacks against the very </w:t>
      </w:r>
      <w:proofErr w:type="gramStart"/>
      <w:r>
        <w:t>appliances</w:t>
      </w:r>
      <w:proofErr w:type="gramEnd"/>
      <w:r>
        <w:t xml:space="preserve"> </w:t>
      </w:r>
      <w:proofErr w:type="spellStart"/>
      <w:r>
        <w:t>organisations</w:t>
      </w:r>
      <w:proofErr w:type="spellEnd"/>
      <w:r>
        <w:t xml:space="preserve"> rely on to extend their perimeter to remote staff [3]. The report also found that it typically takes </w:t>
      </w:r>
      <w:proofErr w:type="spellStart"/>
      <w:r>
        <w:t>organisations</w:t>
      </w:r>
      <w:proofErr w:type="spellEnd"/>
      <w:r>
        <w:t xml:space="preserve"> 55 days to remediate half of their critical vulnerabilities once a patch is available, a gap that is difficult to close when the affected systems sit on infrastructure the security team no longer fully </w:t>
      </w:r>
      <w:r>
        <w:lastRenderedPageBreak/>
        <w:t xml:space="preserve">controls, such as a contractor's laptop or a branch office router [3]. A hybrid workforce multiplies the number of network edges an </w:t>
      </w:r>
      <w:proofErr w:type="spellStart"/>
      <w:r>
        <w:t>organisation</w:t>
      </w:r>
      <w:proofErr w:type="spellEnd"/>
      <w:r>
        <w:t xml:space="preserve"> has to defend at exactly the moment attackers are getting faster at finding the weak ones.</w:t>
      </w:r>
    </w:p>
    <w:p w14:paraId="24F3D2D1" w14:textId="77777777" w:rsidR="00EC7327" w:rsidRDefault="00EC7327" w:rsidP="00EC7327">
      <w:r>
        <w:t xml:space="preserve">The practical shape of that expansion is worth being specific about, because it changes what a security team is actually defending. Bring-your-own-device use means the </w:t>
      </w:r>
      <w:proofErr w:type="spellStart"/>
      <w:r>
        <w:t>organisation</w:t>
      </w:r>
      <w:proofErr w:type="spellEnd"/>
      <w:r>
        <w:t xml:space="preserve"> frequently has no control over the patch level of the machine an employee is typing on. Consumer-grade home routers rarely receive firmware updates and are managed by nobody with security training. Shadow IT, meaning cloud tools and file-sharing services staff adopt on their own to get work done, sits entirely outside whatever visibility the security team has built into sanctioned systems. None of these were significant considerations when most work happened inside a small number of buildings the </w:t>
      </w:r>
      <w:proofErr w:type="spellStart"/>
      <w:r>
        <w:t>organisation</w:t>
      </w:r>
      <w:proofErr w:type="spellEnd"/>
      <w:r>
        <w:t xml:space="preserve"> itself controlled, and none of them are addressed by a firewall configured to defend a network edge that a growing share of daily work never passes through.</w:t>
      </w:r>
    </w:p>
    <w:p w14:paraId="38EB5998" w14:textId="189217A4" w:rsidR="00EC7327" w:rsidRDefault="00A32E4C" w:rsidP="00EC7327">
      <w:pPr>
        <w:pStyle w:val="Heading2"/>
      </w:pPr>
      <w:bookmarkStart w:id="4" w:name="_Toc237431787"/>
      <w:r>
        <w:t xml:space="preserve">1.3 </w:t>
      </w:r>
      <w:r w:rsidR="00EC7327">
        <w:t>Zero Trust Network Access</w:t>
      </w:r>
      <w:bookmarkEnd w:id="4"/>
    </w:p>
    <w:p w14:paraId="37D8E281" w14:textId="77777777" w:rsidR="00EC7327" w:rsidRDefault="00EC7327" w:rsidP="00EC7327">
      <w:r>
        <w:t xml:space="preserve">NIST SP 800-207 defines zero trust as a set of principles rather than a single product: no implicit trust is granted based on network location or asset ownership, every access request is authenticated and </w:t>
      </w:r>
      <w:proofErr w:type="spellStart"/>
      <w:r>
        <w:t>authorised</w:t>
      </w:r>
      <w:proofErr w:type="spellEnd"/>
      <w:r>
        <w:t xml:space="preserve"> individually, and access is granted per session, at the minimum level of privilege needed for the task [2]. The architecture NIST describes has three logical components working together: a policy engine that decides whether to grant access based on identity, device posture, </w:t>
      </w:r>
      <w:proofErr w:type="spellStart"/>
      <w:r>
        <w:t>behavioural</w:t>
      </w:r>
      <w:proofErr w:type="spellEnd"/>
      <w:r>
        <w:t xml:space="preserve"> signals and other context; a policy administrator that executes that decision by establishing or severing the communication path; and a policy enforcement point that sits between the user and the resource and carries out the administrator's instruction [2].</w:t>
      </w:r>
    </w:p>
    <w:p w14:paraId="167630E1" w14:textId="77777777" w:rsidR="00EC7327" w:rsidRDefault="00EC7327" w:rsidP="00EC7327">
      <w:r>
        <w:t xml:space="preserve">ZTNA is the practical, deployable form of that model. Instead of placing a user on the network and trusting the network to constrain them, ZTNA brokers each connection to a named application, verifies identity and device posture before granting it, and re-evaluates that decision continuously rather than once at login. In effect it replaces network-level access with application-level access, so that a compromised laptop can reach the one finance application it was </w:t>
      </w:r>
      <w:proofErr w:type="spellStart"/>
      <w:r>
        <w:t>authorised</w:t>
      </w:r>
      <w:proofErr w:type="spellEnd"/>
      <w:r>
        <w:t xml:space="preserve"> for rather than the whole finance subnet. This directly answers the lateral-movement weakness that made the Equifax breach so damaging, a connection this paper returns to in Task 2.</w:t>
      </w:r>
    </w:p>
    <w:p w14:paraId="4F3DDC30" w14:textId="77777777" w:rsidR="00EC7327" w:rsidRDefault="00EC7327" w:rsidP="00EC7327">
      <w:r>
        <w:t xml:space="preserve">The approach is not free of friction. Continuous verification depends on rich, reliable telemetry about devices and users, which is hard to gather from unmanaged personal devices and legacy systems that were never built to report their own health. Retrofitting per-application access controls onto older, monolithic applications can require re-architecture rather than a configuration change. And a policy engine is only as good as the policies written into it: an </w:t>
      </w:r>
      <w:proofErr w:type="spellStart"/>
      <w:r>
        <w:t>organisation</w:t>
      </w:r>
      <w:proofErr w:type="spellEnd"/>
      <w:r>
        <w:t xml:space="preserve"> that migrates to ZTNA but keeps overly broad access rules out of convenience gains a new access-control layer without gaining the security benefit it was meant to provide. Zero trust, in other words, is a governance discipline before it is a technology purchase, a point developed further in section 6.</w:t>
      </w:r>
    </w:p>
    <w:p w14:paraId="1334FCF9" w14:textId="6AE256E9" w:rsidR="00EC7327" w:rsidRDefault="00EC7327" w:rsidP="00EC7327">
      <w:r>
        <w:t xml:space="preserve">Most </w:t>
      </w:r>
      <w:proofErr w:type="spellStart"/>
      <w:r>
        <w:t>organisations</w:t>
      </w:r>
      <w:proofErr w:type="spellEnd"/>
      <w:r>
        <w:t xml:space="preserve"> that succeed with ZTNA do not attempt a single cut-over from network-level trust to per-application brokering. A more realistic path starts by inventorying which applications actually need to be </w:t>
      </w:r>
      <w:r>
        <w:lastRenderedPageBreak/>
        <w:t>reachable from outside the office, moving the highest-risk of those, typically internet-facing administrative interfaces and anything holding regulated data, behind a policy enforcement point first, and using the access logs that generates to refine policy before extending the same model to lower-risk systems. Micro</w:t>
      </w:r>
      <w:r w:rsidR="0010034E">
        <w:t>-</w:t>
      </w:r>
      <w:r>
        <w:t>segmentation, dividing the internal network into smaller zones so that a credential valid in one zone is not automatically valid in the next, follows the same logic at the network layer and is what would have limited how far the Equifax attackers could travel once inside a single exposed application, a case examined in full in Task 2.</w:t>
      </w:r>
    </w:p>
    <w:p w14:paraId="72D9A6A2" w14:textId="7468DD66" w:rsidR="00EC7327" w:rsidRDefault="00A32E4C" w:rsidP="00EC7327">
      <w:pPr>
        <w:pStyle w:val="Heading2"/>
      </w:pPr>
      <w:bookmarkStart w:id="5" w:name="_Toc237431788"/>
      <w:r>
        <w:t>1.</w:t>
      </w:r>
      <w:r w:rsidR="00EC7327">
        <w:t>4</w:t>
      </w:r>
      <w:r>
        <w:t xml:space="preserve"> </w:t>
      </w:r>
      <w:r w:rsidR="00EC7327">
        <w:t>Secure Access Service Edge</w:t>
      </w:r>
      <w:bookmarkEnd w:id="5"/>
    </w:p>
    <w:p w14:paraId="22DA8E50" w14:textId="77777777" w:rsidR="00EC7327" w:rsidRDefault="00EC7327" w:rsidP="00EC7327">
      <w:r>
        <w:t xml:space="preserve">Gartner, which coined the term in 2019, defines SASE as the convergence of network connectivity (chiefly software-defined WAN) with a set of security functions, including secure web gateway, cloud access security broker, firewall-as-a-service and zero trust network access, delivered primarily as a cloud service rather than through hardware at a fixed location [4]. The practical effect for a hybrid workforce is that security policy stops being tied to a physical office network and instead follows the user to whichever point of presence they connect to, whether that is a home office, a client site or a coffee shop. A remote worker's traffic is inspected and policed at a nearby cloud edge node instead of being backhauled across a private network link to a data </w:t>
      </w:r>
      <w:proofErr w:type="spellStart"/>
      <w:r>
        <w:t>centre</w:t>
      </w:r>
      <w:proofErr w:type="spellEnd"/>
      <w:r>
        <w:t xml:space="preserve"> for inspection, which was the traditional way of extending office-grade controls to remote staff and which adds latency in proportion to distance from that data </w:t>
      </w:r>
      <w:proofErr w:type="spellStart"/>
      <w:r>
        <w:t>centre</w:t>
      </w:r>
      <w:proofErr w:type="spellEnd"/>
      <w:r>
        <w:t>.</w:t>
      </w:r>
    </w:p>
    <w:p w14:paraId="35925779" w14:textId="77777777" w:rsidR="00EC7327" w:rsidRDefault="00EC7327" w:rsidP="00EC7327">
      <w:r>
        <w:t xml:space="preserve">SASE is best read as the delivery mechanism that makes ZTNA and other controls consistently available regardless of where a user happens to be, rather than as a security control in its own right. That is also its main limitation as an evaluation matter. Because SASE bundles several previously separate products into one platform, an </w:t>
      </w:r>
      <w:proofErr w:type="spellStart"/>
      <w:r>
        <w:t>organisation</w:t>
      </w:r>
      <w:proofErr w:type="spellEnd"/>
      <w:r>
        <w:t xml:space="preserve"> adopting it is making a multi-year commitment to a single vendor's roadmap across networking and security simultaneously, which raises the cost of switching later and makes the maturity of any one component, such as its DLP or CASB module, harder to assess independently. Migrating away from established MPLS wide-area networks and appliance-based firewalls toward a cloud-delivered model is also a significant infrastructure project, not a quick swap, and </w:t>
      </w:r>
      <w:proofErr w:type="spellStart"/>
      <w:r>
        <w:t>organisations</w:t>
      </w:r>
      <w:proofErr w:type="spellEnd"/>
      <w:r>
        <w:t xml:space="preserve"> with heavy investment in legacy networking equipment may find the transition slower and more expensive than vendor marketing implies.</w:t>
      </w:r>
    </w:p>
    <w:p w14:paraId="4A329094" w14:textId="77777777" w:rsidR="00EC7327" w:rsidRDefault="00EC7327" w:rsidP="00EC7327">
      <w:r>
        <w:t xml:space="preserve">A related evaluation point concerns performance and availability. Once security enforcement moves from an </w:t>
      </w:r>
      <w:proofErr w:type="spellStart"/>
      <w:r>
        <w:t>organisation's</w:t>
      </w:r>
      <w:proofErr w:type="spellEnd"/>
      <w:r>
        <w:t xml:space="preserve"> own data </w:t>
      </w:r>
      <w:proofErr w:type="spellStart"/>
      <w:r>
        <w:t>centre</w:t>
      </w:r>
      <w:proofErr w:type="spellEnd"/>
      <w:r>
        <w:t xml:space="preserve"> to a third-party cloud edge, an outage or latency spike at the provider becomes an outage or latency spike for every remote employee trying to reach every application, which is a different failure mode to a single office losing its own internet connection. Vendor selection therefore has to weigh the breadth of a provider's point-of-presence network and its published availability record alongside the completeness of its security feature set, since a SASE platform that is comprehensive on paper but has thin regional coverage will produce a worse experience for hybrid staff than the office-bound model it replaced.</w:t>
      </w:r>
    </w:p>
    <w:p w14:paraId="10E14C85" w14:textId="7762C0CA" w:rsidR="00EC7327" w:rsidRDefault="00A32E4C" w:rsidP="00EC7327">
      <w:pPr>
        <w:pStyle w:val="Heading2"/>
      </w:pPr>
      <w:bookmarkStart w:id="6" w:name="_Toc237431789"/>
      <w:r>
        <w:t>1.</w:t>
      </w:r>
      <w:r w:rsidR="00EC7327">
        <w:t>5</w:t>
      </w:r>
      <w:r>
        <w:t xml:space="preserve"> </w:t>
      </w:r>
      <w:r w:rsidR="00EC7327">
        <w:t>Data Loss Prevention</w:t>
      </w:r>
      <w:bookmarkEnd w:id="6"/>
    </w:p>
    <w:p w14:paraId="2E413A1F" w14:textId="77777777" w:rsidR="00EC7327" w:rsidRDefault="00EC7327" w:rsidP="00EC7327">
      <w:proofErr w:type="spellStart"/>
      <w:r>
        <w:t>Tahboub</w:t>
      </w:r>
      <w:proofErr w:type="spellEnd"/>
      <w:r>
        <w:t xml:space="preserve"> and Saleh describe DLP as a set of systems built to identify, monitor and control sensitive data as it moves across an </w:t>
      </w:r>
      <w:proofErr w:type="spellStart"/>
      <w:r>
        <w:t>organisation's</w:t>
      </w:r>
      <w:proofErr w:type="spellEnd"/>
      <w:r>
        <w:t xml:space="preserve"> network, endpoints and storage, using content inspection and contextual </w:t>
      </w:r>
      <w:r>
        <w:lastRenderedPageBreak/>
        <w:t>analysis to decide whether a given transfer should be allowed, blocked or logged [5]. Where ZTNA decides whether a connection is permitted and SASE decides how that connection is routed and inspected, DLP is concerned with the payload itself: it looks inside a file being uploaded, an email being sent or a document being copied to a USB drive, and applies policy based on content rather than only on who is asking.</w:t>
      </w:r>
    </w:p>
    <w:p w14:paraId="175F8CC2" w14:textId="77777777" w:rsidR="00EC7327" w:rsidRDefault="00EC7327" w:rsidP="00EC7327">
      <w:r>
        <w:t>That focus is what makes DLP necessary in a hybrid environment rather than optional. A ZTNA policy can correctly authenticate an employee and correctly grant them access to a customer database, because that access is part of their job, and still have no way of stopping that same employee, or an attacker who has stolen their session, from exporting the entire table to a personal cloud drive once access has been granted. Unmanaged personal devices, employees' use of consumer file-sharing and messaging tools, and email sent from home networks all create exfiltration paths that identity and network controls alone do not close. Endpoint DLP agents, cloud-based DLP integrated into a CASB, and network-level content inspection each cover a different point in that chain.</w:t>
      </w:r>
    </w:p>
    <w:p w14:paraId="47A7AB9E" w14:textId="77777777" w:rsidR="00EC7327" w:rsidRDefault="00EC7327" w:rsidP="00EC7327">
      <w:r>
        <w:t xml:space="preserve">DLP has real limits. Content-inspection rules generate false positives when legitimate business documents happen to match sensitive-data patterns, which over time trains staff to route around the control rather than comply with it. Encrypted traffic is a structural blind spot unless the </w:t>
      </w:r>
      <w:proofErr w:type="spellStart"/>
      <w:r>
        <w:t>organisation</w:t>
      </w:r>
      <w:proofErr w:type="spellEnd"/>
      <w:r>
        <w:t xml:space="preserve"> also decrypts and re-inspects it, which raises its own privacy and performance questions, and unstructured or novel forms of sensitive data, such as a screenshot of a spreadsheet, are harder to classify reliably than a well-formatted credit card number. DLP works best as one layer among several rather than as a standalone control, which is the argument developed in the next section.</w:t>
      </w:r>
    </w:p>
    <w:p w14:paraId="066FAEA2" w14:textId="77777777" w:rsidR="00EC7327" w:rsidRDefault="00EC7327" w:rsidP="00EC7327">
      <w:r>
        <w:t xml:space="preserve">DLP is also one of the few controls in this paper aimed squarely at insider risk rather than external attack. A malicious or careless insider with legitimate credentials is not stopped by better authentication, because the authentication was never the problem, and is not stopped by network segmentation if the data they are misusing sits inside the segment they are </w:t>
      </w:r>
      <w:proofErr w:type="spellStart"/>
      <w:r>
        <w:t>authorised</w:t>
      </w:r>
      <w:proofErr w:type="spellEnd"/>
      <w:r>
        <w:t xml:space="preserve"> to reach. Content-aware inspection at the point of transfer is what catches that case, which is why mature DLP deployments increasingly pair content rules with </w:t>
      </w:r>
      <w:proofErr w:type="spellStart"/>
      <w:r>
        <w:t>behavioural</w:t>
      </w:r>
      <w:proofErr w:type="spellEnd"/>
      <w:r>
        <w:t xml:space="preserve"> signals, such as an unusually large export or an unusual destination, rather than relying on static keyword matching alone.</w:t>
      </w:r>
    </w:p>
    <w:p w14:paraId="058B355A" w14:textId="3802197C" w:rsidR="00EC7327" w:rsidRDefault="00A32E4C" w:rsidP="00EC7327">
      <w:pPr>
        <w:pStyle w:val="Heading2"/>
      </w:pPr>
      <w:bookmarkStart w:id="7" w:name="_Toc237431790"/>
      <w:r>
        <w:t xml:space="preserve">1.6 </w:t>
      </w:r>
      <w:r w:rsidR="00EC7327">
        <w:t>Critical Evaluation: Integration, Governance and Limits</w:t>
      </w:r>
      <w:bookmarkEnd w:id="7"/>
    </w:p>
    <w:p w14:paraId="488A6F86" w14:textId="77777777" w:rsidR="00EC7327" w:rsidRDefault="00EC7327" w:rsidP="00EC7327">
      <w:r>
        <w:t xml:space="preserve">Read individually, ZTNA, SASE and DLP address different questions: who may connect, how that connection is delivered and inspected, and what may leave once access is granted. Read together, they form a layered model in which a compromise at any single point still leaves the others in place. A stolen credential is constrained by continuous ZTNA verification and least-privilege scoping. A compromised home network is brought under consistent policy by SASE rather than left entirely outside corporate visibility. An </w:t>
      </w:r>
      <w:proofErr w:type="spellStart"/>
      <w:r>
        <w:t>authorised</w:t>
      </w:r>
      <w:proofErr w:type="spellEnd"/>
      <w:r>
        <w:t xml:space="preserve"> user attempting to exfiltrate data, whether carelessly or maliciously, is caught by DLP even though their access was legitimate. This layering is what the task brief's language of anticipating, protecting, detecting and automatically responding actually requires in practice: no single product performs all four functions, and the combination is designed precisely to cover the gaps each individual control leaves open. Figure 1 sets out how the three controls sit relative to one another for a single user session, regardless of the user's physical location.</w:t>
      </w:r>
    </w:p>
    <w:p w14:paraId="01E53981" w14:textId="77777777" w:rsidR="00EC7327" w:rsidRDefault="00EC7327" w:rsidP="00EC7327">
      <w:pPr>
        <w:jc w:val="center"/>
      </w:pPr>
      <w:r>
        <w:rPr>
          <w:noProof/>
        </w:rPr>
        <w:lastRenderedPageBreak/>
        <w:drawing>
          <wp:inline distT="0" distB="0" distL="0" distR="0" wp14:anchorId="023B4389" wp14:editId="369A8163">
            <wp:extent cx="5120640" cy="34767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_layers.png"/>
                    <pic:cNvPicPr/>
                  </pic:nvPicPr>
                  <pic:blipFill>
                    <a:blip r:embed="rId12"/>
                    <a:stretch>
                      <a:fillRect/>
                    </a:stretch>
                  </pic:blipFill>
                  <pic:spPr>
                    <a:xfrm>
                      <a:off x="0" y="0"/>
                      <a:ext cx="5120640" cy="3476790"/>
                    </a:xfrm>
                    <a:prstGeom prst="rect">
                      <a:avLst/>
                    </a:prstGeom>
                  </pic:spPr>
                </pic:pic>
              </a:graphicData>
            </a:graphic>
          </wp:inline>
        </w:drawing>
      </w:r>
    </w:p>
    <w:p w14:paraId="51DBCAD3" w14:textId="77777777" w:rsidR="00EC7327" w:rsidRDefault="00EC7327" w:rsidP="00EC7327">
      <w:pPr>
        <w:jc w:val="center"/>
      </w:pPr>
      <w:r>
        <w:rPr>
          <w:i/>
          <w:color w:val="444444"/>
          <w:sz w:val="20"/>
        </w:rPr>
        <w:t>Figure 1: Layered access model combining SASE, ZTNA and DLP for a hybrid workforce.</w:t>
      </w:r>
    </w:p>
    <w:p w14:paraId="7800ECFF" w14:textId="77777777" w:rsidR="00EC7327" w:rsidRDefault="00EC7327" w:rsidP="00EC7327">
      <w:r>
        <w:t xml:space="preserve">The limits of this model are </w:t>
      </w:r>
      <w:proofErr w:type="spellStart"/>
      <w:r>
        <w:t>organisational</w:t>
      </w:r>
      <w:proofErr w:type="spellEnd"/>
      <w:r>
        <w:t xml:space="preserve"> as much as technical. IBM's 2024 Cost of a Data Breach Report found that the average time to identify and contain a breach was 258 days, the lowest figure in seven years but still a large window, and that </w:t>
      </w:r>
      <w:proofErr w:type="spellStart"/>
      <w:r>
        <w:t>organisations</w:t>
      </w:r>
      <w:proofErr w:type="spellEnd"/>
      <w:r>
        <w:t xml:space="preserve"> using AI-assisted detection cut that figure by close to 100 days on average, which suggests the tooling matters but is far from sufficient on its own [6]. Deploying ZTNA, SASE and DLP without the staff to tune their policies, investigate their alerts and retire stale access rules produces a security stack that looks comprehensive on a vendor diagram while doing little in practice. Small and medium-sized </w:t>
      </w:r>
      <w:proofErr w:type="spellStart"/>
      <w:r>
        <w:t>organisations</w:t>
      </w:r>
      <w:proofErr w:type="spellEnd"/>
      <w:r>
        <w:t xml:space="preserve"> in particular face a genuine cost and skills barrier to running all three well, and "zero trust" has become enough of a marketing term that a product labelled this way is not a guarantee that the underlying architecture matches NIST's actual definition.</w:t>
      </w:r>
    </w:p>
    <w:p w14:paraId="5690FC81" w14:textId="77777777" w:rsidR="00EC7327" w:rsidRDefault="00EC7327" w:rsidP="00EC7327">
      <w:r>
        <w:t xml:space="preserve">None of this is a one-off project. Access policies drift as staff change roles and projects end, new SaaS applications get adopted faster than the security team can review them, and DLP rules written for last year's most sensitive data category can miss this year's. An </w:t>
      </w:r>
      <w:proofErr w:type="spellStart"/>
      <w:r>
        <w:t>organisation</w:t>
      </w:r>
      <w:proofErr w:type="spellEnd"/>
      <w:r>
        <w:t xml:space="preserve"> that treats a ZTNA, SASE and DLP rollout as complete once the software is installed will find the controls decaying quietly rather than failing loudly, which is a harder problem to notice and a more dangerous one to leave unaddressed. Sustaining the model requires the same recurring review cycle that Task 2 builds into the Equifax remediation </w:t>
      </w:r>
      <w:proofErr w:type="spellStart"/>
      <w:r>
        <w:t>programme</w:t>
      </w:r>
      <w:proofErr w:type="spellEnd"/>
      <w:r>
        <w:t>: a defined owner, a measurable target and a fixed audit interval for each control, rather than a single implementation milestone treated as the end of the work.</w:t>
      </w:r>
    </w:p>
    <w:p w14:paraId="1333C319" w14:textId="68D1685F" w:rsidR="00EC7327" w:rsidRDefault="00EC7327" w:rsidP="00EC7327">
      <w:r>
        <w:t xml:space="preserve">Regulation is now a second driver of adoption alongside risk reduction, and the two are converging. The EU's General Data Protection Regulation </w:t>
      </w:r>
      <w:r w:rsidR="001F4F65">
        <w:t xml:space="preserve">(GDPR) </w:t>
      </w:r>
      <w:r>
        <w:t xml:space="preserve">already requires </w:t>
      </w:r>
      <w:proofErr w:type="spellStart"/>
      <w:r>
        <w:t>organisations</w:t>
      </w:r>
      <w:proofErr w:type="spellEnd"/>
      <w:r>
        <w:t xml:space="preserve"> to apply technical measures appropriate to risk when processing personal data [7]. The Digital Operational Resilience Act</w:t>
      </w:r>
      <w:r w:rsidR="001F4F65">
        <w:t xml:space="preserve"> (DORA)</w:t>
      </w:r>
      <w:r>
        <w:t xml:space="preserve">, which entered into application in January 2025, imposes ICT risk-management and resilience-testing obligations on EU financial entities specifically [8], and the NIS2 Directive extends comparable cybersecurity risk-management and incident-reporting duties across eighteen sectors classed as essential or important [9]. </w:t>
      </w:r>
      <w:r>
        <w:lastRenderedPageBreak/>
        <w:t xml:space="preserve">None of these </w:t>
      </w:r>
      <w:proofErr w:type="gramStart"/>
      <w:r>
        <w:t>instruments</w:t>
      </w:r>
      <w:proofErr w:type="gramEnd"/>
      <w:r>
        <w:t xml:space="preserve"> mandates ZTNA, SASE or DLP by name, but each expects the kind of continuous risk management, access control and monitoring that those technologies are built to support, and each treats governance failure, not merely technical failure, as a compliance matter. That framing carries directly into Task 2.</w:t>
      </w:r>
    </w:p>
    <w:p w14:paraId="43D04E94" w14:textId="7AE62621" w:rsidR="00EC7327" w:rsidRDefault="00A32E4C" w:rsidP="00EC7327">
      <w:pPr>
        <w:pStyle w:val="Heading2"/>
      </w:pPr>
      <w:bookmarkStart w:id="8" w:name="_Toc237431791"/>
      <w:r>
        <w:t xml:space="preserve">1.7 </w:t>
      </w:r>
      <w:r w:rsidR="00EC7327">
        <w:t>Conclusion</w:t>
      </w:r>
      <w:bookmarkEnd w:id="8"/>
    </w:p>
    <w:p w14:paraId="29635BF5" w14:textId="77777777" w:rsidR="00EC7327" w:rsidRDefault="00EC7327" w:rsidP="00EC7327">
      <w:r>
        <w:t xml:space="preserve">The perimeter that traditional security controls were built to defend has effectively dissolved for any </w:t>
      </w:r>
      <w:proofErr w:type="spellStart"/>
      <w:r>
        <w:t>organisation</w:t>
      </w:r>
      <w:proofErr w:type="spellEnd"/>
      <w:r>
        <w:t xml:space="preserve"> with a hybrid workforce, and patching that perimeter with a VPN is not a substitute for redesigning access around identity and data rather than network location. ZTNA, SASE and DLP address separate parts of that redesign and are strongest when deployed as a coordinated layer rather than as isolated purchases. None of them removes the need for governance: policy quality, staffing and continuous tuning determine whether the layer actually reduces risk or simply adds cost, and an </w:t>
      </w:r>
      <w:proofErr w:type="spellStart"/>
      <w:r>
        <w:t>organisation</w:t>
      </w:r>
      <w:proofErr w:type="spellEnd"/>
      <w:r>
        <w:t xml:space="preserve"> that buys the technology without building that discipline around it will still be caught out by the same class of failure the technology was bought to prevent. The following section applies this reasoning to a real breach, the 2017 Equifax incident, to design a cybersecurity </w:t>
      </w:r>
      <w:proofErr w:type="spellStart"/>
      <w:r>
        <w:t>programme</w:t>
      </w:r>
      <w:proofErr w:type="spellEnd"/>
      <w:r>
        <w:t xml:space="preserve"> that treats these controls as part of a governed system rather than a checklist.</w:t>
      </w:r>
    </w:p>
    <w:p w14:paraId="63CB97D3" w14:textId="77777777" w:rsidR="00EC7327" w:rsidRDefault="00EC7327" w:rsidP="00EC7327">
      <w:r>
        <w:br w:type="page"/>
      </w:r>
    </w:p>
    <w:p w14:paraId="148C60FB" w14:textId="77777777" w:rsidR="00EC7327" w:rsidRDefault="00EC7327" w:rsidP="00EC7327">
      <w:pPr>
        <w:pStyle w:val="Heading1"/>
      </w:pPr>
      <w:bookmarkStart w:id="9" w:name="_Toc237431792"/>
      <w:r>
        <w:lastRenderedPageBreak/>
        <w:t xml:space="preserve">Task 2: Case Scenario, a Structured Cybersecurity </w:t>
      </w:r>
      <w:proofErr w:type="spellStart"/>
      <w:r>
        <w:t>Programme</w:t>
      </w:r>
      <w:proofErr w:type="spellEnd"/>
      <w:r>
        <w:t xml:space="preserve"> for Equifax</w:t>
      </w:r>
      <w:bookmarkEnd w:id="9"/>
    </w:p>
    <w:p w14:paraId="6871432A" w14:textId="788D7056" w:rsidR="00EC7327" w:rsidRDefault="00A32E4C" w:rsidP="00EC7327">
      <w:pPr>
        <w:pStyle w:val="Heading2"/>
      </w:pPr>
      <w:bookmarkStart w:id="10" w:name="_Toc237431793"/>
      <w:r>
        <w:t xml:space="preserve">2.1 </w:t>
      </w:r>
      <w:r w:rsidR="00EC7327">
        <w:t>Introduction</w:t>
      </w:r>
      <w:bookmarkEnd w:id="10"/>
    </w:p>
    <w:p w14:paraId="5C2A951F" w14:textId="77777777" w:rsidR="00EC7327" w:rsidRDefault="00EC7327" w:rsidP="00EC7327">
      <w:r>
        <w:t xml:space="preserve">On 7 March 2017, Apache disclosed a critical remote-code-execution vulnerability in the Struts web framework, tracked as CVE-2017-5638, and released a patch the same day. The US Department of Homeland Security notified Equifax of the vulnerability the next day, and an internal email instructed administrators to patch affected systems. Equifax's own vulnerability scan, run on 15 March, failed to identify the exposed system, and on 10 March, attackers had already begun exploiting the same flaw against Equifax's online dispute portal. </w:t>
      </w:r>
      <w:proofErr w:type="spellStart"/>
      <w:r>
        <w:t>Unauthorised</w:t>
      </w:r>
      <w:proofErr w:type="spellEnd"/>
      <w:r>
        <w:t xml:space="preserve"> access continued from 13 May to 30 July 2017, undetected in part because a digital certificate used to decrypt and inspect outbound traffic had expired roughly ten months earlier, leaving that channel uninspected for the duration of the intrusion [10] [11]. By the time Equifax discovered the breach, after renewing the expired certificate, attackers had extracted the personal data of approximately 147 million individuals, including Social Security numbers, dates of birth and addresses.</w:t>
      </w:r>
    </w:p>
    <w:p w14:paraId="68A7B18F" w14:textId="0DC09F64" w:rsidR="00EC7327" w:rsidRDefault="00EC7327" w:rsidP="00EC7327">
      <w:r>
        <w:t>The US Government Accountability Office's</w:t>
      </w:r>
      <w:r w:rsidR="004F22D1">
        <w:t xml:space="preserve"> (GAO)</w:t>
      </w:r>
      <w:r>
        <w:t xml:space="preserve"> review and the House Oversight and Government Reform Committee's staff report both concluded that the breach was, in the Committee's words, entirely preventable, and both identified failures across identification of vulnerable assets, detection of intrusion, network segmentation and data governance rather than a single point of technical failure [10] [11]. This section uses that finding as the basis for a forward-looking cybersecurity </w:t>
      </w:r>
      <w:proofErr w:type="spellStart"/>
      <w:r>
        <w:t>programme</w:t>
      </w:r>
      <w:proofErr w:type="spellEnd"/>
      <w:r>
        <w:t xml:space="preserve">, structured around </w:t>
      </w:r>
      <w:proofErr w:type="spellStart"/>
      <w:r>
        <w:t>organisational</w:t>
      </w:r>
      <w:proofErr w:type="spellEnd"/>
      <w:r>
        <w:t xml:space="preserve"> accountability, policy, strategic governance, risk assessment and compliance controls, and drawing on the ZTNA, SASE and DLP analysis from Task 1 where it applies directly to the gaps the case exposed.</w:t>
      </w:r>
    </w:p>
    <w:p w14:paraId="045398FD" w14:textId="77777777" w:rsidR="00EC7327" w:rsidRDefault="00EC7327" w:rsidP="00EC7327">
      <w:r>
        <w:t xml:space="preserve">The brief for this task asks for analytical reasoning and justified design decisions rather than a further retelling of the incident, and the structure below is built to answer that instruction directly. Each of the five components that follows, </w:t>
      </w:r>
      <w:proofErr w:type="spellStart"/>
      <w:r>
        <w:t>organisational</w:t>
      </w:r>
      <w:proofErr w:type="spellEnd"/>
      <w:r>
        <w:t xml:space="preserve"> structure, policy, strategic governance, risk assessment and compliance controls, is traced back to a specific finding from the GAO or House investigation rather than presented as generic best practice, so that the reasoning for each design choice is visible and defensible against the facts of the case rather than asserted on authority alone.</w:t>
      </w:r>
    </w:p>
    <w:p w14:paraId="1620D3D1" w14:textId="651B7FD0" w:rsidR="00EC7327" w:rsidRDefault="00EC7327" w:rsidP="00EC7327">
      <w:pPr>
        <w:pStyle w:val="Heading2"/>
      </w:pPr>
      <w:bookmarkStart w:id="11" w:name="_Toc237431794"/>
      <w:r>
        <w:t>2.</w:t>
      </w:r>
      <w:r w:rsidR="00A32E4C">
        <w:t>2</w:t>
      </w:r>
      <w:r>
        <w:t xml:space="preserve"> </w:t>
      </w:r>
      <w:proofErr w:type="spellStart"/>
      <w:r>
        <w:t>Organisational</w:t>
      </w:r>
      <w:proofErr w:type="spellEnd"/>
      <w:r>
        <w:t xml:space="preserve"> Structure and Accountability</w:t>
      </w:r>
      <w:bookmarkEnd w:id="11"/>
    </w:p>
    <w:p w14:paraId="046AAB5B" w14:textId="77777777" w:rsidR="00EC7327" w:rsidRDefault="00EC7327" w:rsidP="00EC7327">
      <w:r>
        <w:t>The House Committee's report attributes part of Equifax's failure to a security function that lacked the authority and visibility to force remediation across the business, with responsibility for patching split across teams and no single accountable owner ensuring the March patch instruction was actually carried out [11]. The structure proposed here answers that finding directly, by giving the Chief Information Security Officer a formal reporting line to a Board Cyber Risk Committee rather than routing security oversight through a general IT or legal reporting chain, so that unresolved risk reaches the board without being filtered by the operational teams whose performance it reflects. Figure 2 sets out the reporting structure.</w:t>
      </w:r>
    </w:p>
    <w:p w14:paraId="0B3C7EE7" w14:textId="77777777" w:rsidR="00EC7327" w:rsidRDefault="00EC7327" w:rsidP="00EC7327">
      <w:pPr>
        <w:jc w:val="center"/>
      </w:pPr>
      <w:r>
        <w:rPr>
          <w:noProof/>
        </w:rPr>
        <w:lastRenderedPageBreak/>
        <w:drawing>
          <wp:inline distT="0" distB="0" distL="0" distR="0" wp14:anchorId="606289A8" wp14:editId="3F47E8F1">
            <wp:extent cx="5669280" cy="38878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governance.png"/>
                    <pic:cNvPicPr/>
                  </pic:nvPicPr>
                  <pic:blipFill>
                    <a:blip r:embed="rId13"/>
                    <a:stretch>
                      <a:fillRect/>
                    </a:stretch>
                  </pic:blipFill>
                  <pic:spPr>
                    <a:xfrm>
                      <a:off x="0" y="0"/>
                      <a:ext cx="5669280" cy="3887870"/>
                    </a:xfrm>
                    <a:prstGeom prst="rect">
                      <a:avLst/>
                    </a:prstGeom>
                  </pic:spPr>
                </pic:pic>
              </a:graphicData>
            </a:graphic>
          </wp:inline>
        </w:drawing>
      </w:r>
    </w:p>
    <w:p w14:paraId="2ADD2A47" w14:textId="77777777" w:rsidR="00EC7327" w:rsidRDefault="00EC7327" w:rsidP="00EC7327">
      <w:pPr>
        <w:jc w:val="center"/>
      </w:pPr>
      <w:r>
        <w:rPr>
          <w:i/>
          <w:color w:val="444444"/>
          <w:sz w:val="20"/>
        </w:rPr>
        <w:t>Figure 2: Proposed governance and reporting structure.</w:t>
      </w:r>
    </w:p>
    <w:p w14:paraId="01ABAEC7" w14:textId="77777777" w:rsidR="00EC7327" w:rsidRDefault="00EC7327" w:rsidP="00EC7327">
      <w:r>
        <w:t>Four operational roles report to the CISO. A Security Architecture lead is accountable for the design of network segmentation and access control, including the ZTNA and SASE deployment discussed in Task 1. A Vulnerability and Patch Management lead owns the asset inventory and the patch pipeline, closing the specific gap that let the Struts vulnerability go unpatched for months after a fix existed. A Secure Development lead is responsible for scanning and approving third-party components, such as open-source frameworks like Struts, before and after they enter production. A Data Governance Officer owns data classification and retention, addressing the Committee's finding that Equifax retained more sensitive consumer data, for longer, than its business purpose required [11].</w:t>
      </w:r>
    </w:p>
    <w:p w14:paraId="325CB89F" w14:textId="77777777" w:rsidR="00EC7327" w:rsidRDefault="00EC7327" w:rsidP="00EC7327">
      <w:r>
        <w:t>Two further lines are shown separately from the CISO's operational chain: Internal Audit reports independently to the Board, so that the effectiveness of security controls is verified by a function with no stake in the outcome, and Legal and Compliance handles regulatory liaison and breach notification obligations. Separating audit from the CISO's own operational reporting matters because Equifax's internal vulnerability scan was the very control that failed to detect the unpatched system; an audit function positioned to challenge that result, rather than one that reports through the same chain being audited, is more likely to catch a repeat of that specific failure.</w:t>
      </w:r>
    </w:p>
    <w:p w14:paraId="2A238BAD" w14:textId="77777777" w:rsidR="00EC7327" w:rsidRDefault="00EC7327" w:rsidP="00EC7327">
      <w:r>
        <w:t xml:space="preserve">Role allocation also carries budget authority, which the House Committee's report treats as a live issue: patching work identified as necessary was not completed even after the vulnerability was flagged internally, which points to a resourcing and </w:t>
      </w:r>
      <w:proofErr w:type="spellStart"/>
      <w:r>
        <w:t>prioritisation</w:t>
      </w:r>
      <w:proofErr w:type="spellEnd"/>
      <w:r>
        <w:t xml:space="preserve"> gap rather than only an awareness gap. Under the structure proposed here, the Vulnerability and Patch Management lead has authority to require downtime windows across business units for critical patching and reports patch-SLA compliance to the CISO monthly, so that a </w:t>
      </w:r>
      <w:r>
        <w:lastRenderedPageBreak/>
        <w:t>delay of the kind that let CVE-2017-5638 remain unpatched becomes visible to the Board Cyber Risk Committee within weeks rather than only after an incident forces disclosure.</w:t>
      </w:r>
    </w:p>
    <w:p w14:paraId="30B22325" w14:textId="4FA26B4C" w:rsidR="00EC7327" w:rsidRDefault="00A32E4C" w:rsidP="00EC7327">
      <w:pPr>
        <w:pStyle w:val="Heading2"/>
      </w:pPr>
      <w:bookmarkStart w:id="12" w:name="_Toc237431795"/>
      <w:r>
        <w:t>2.</w:t>
      </w:r>
      <w:r w:rsidR="00EC7327">
        <w:t>3</w:t>
      </w:r>
      <w:r>
        <w:t xml:space="preserve"> </w:t>
      </w:r>
      <w:r w:rsidR="00EC7327">
        <w:t>Policies and Procedures</w:t>
      </w:r>
      <w:bookmarkEnd w:id="12"/>
    </w:p>
    <w:p w14:paraId="08C38478" w14:textId="6756E77C" w:rsidR="00EC7327" w:rsidRDefault="00EC7327" w:rsidP="00EC7327">
      <w:r>
        <w:t>The policies proposed below map directly onto the causal chain the investigations identified: a known vulnerability, a missed patch, an undetected intrusion and an unsegmented network that let attackers reach far more data than the initial foothold should have allowed. Table 1 sets out five policies, each with a measurable target and an audit cadence, on the view that a policy without a metric is a statement of intent rather than a control.</w:t>
      </w:r>
    </w:p>
    <w:tbl>
      <w:tblPr>
        <w:tblStyle w:val="GridTable4"/>
        <w:tblW w:w="5000" w:type="pct"/>
        <w:tblLook w:val="04A0" w:firstRow="1" w:lastRow="0" w:firstColumn="1" w:lastColumn="0" w:noHBand="0" w:noVBand="1"/>
      </w:tblPr>
      <w:tblGrid>
        <w:gridCol w:w="1839"/>
        <w:gridCol w:w="2693"/>
        <w:gridCol w:w="4797"/>
        <w:gridCol w:w="1127"/>
      </w:tblGrid>
      <w:tr w:rsidR="00EC7327" w14:paraId="38D6CF4B" w14:textId="77777777" w:rsidTr="00A32E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 w:type="pct"/>
            <w:vAlign w:val="center"/>
          </w:tcPr>
          <w:p w14:paraId="4FBDAA90" w14:textId="77777777" w:rsidR="00EC7327" w:rsidRDefault="00EC7327" w:rsidP="00A32E4C">
            <w:pPr>
              <w:jc w:val="left"/>
            </w:pPr>
            <w:r>
              <w:rPr>
                <w:color w:val="FFFFFF"/>
                <w:sz w:val="19"/>
              </w:rPr>
              <w:t>Policy</w:t>
            </w:r>
          </w:p>
        </w:tc>
        <w:tc>
          <w:tcPr>
            <w:tcW w:w="1288" w:type="pct"/>
            <w:vAlign w:val="center"/>
          </w:tcPr>
          <w:p w14:paraId="3A452E47" w14:textId="77777777" w:rsidR="00EC7327" w:rsidRDefault="00EC7327" w:rsidP="00A32E4C">
            <w:pPr>
              <w:jc w:val="left"/>
              <w:cnfStyle w:val="100000000000" w:firstRow="1" w:lastRow="0" w:firstColumn="0" w:lastColumn="0" w:oddVBand="0" w:evenVBand="0" w:oddHBand="0" w:evenHBand="0" w:firstRowFirstColumn="0" w:firstRowLastColumn="0" w:lastRowFirstColumn="0" w:lastRowLastColumn="0"/>
            </w:pPr>
            <w:r>
              <w:rPr>
                <w:color w:val="FFFFFF"/>
                <w:sz w:val="19"/>
              </w:rPr>
              <w:t>Objective</w:t>
            </w:r>
          </w:p>
        </w:tc>
        <w:tc>
          <w:tcPr>
            <w:tcW w:w="2294" w:type="pct"/>
            <w:vAlign w:val="center"/>
          </w:tcPr>
          <w:p w14:paraId="0B0D3D14" w14:textId="77777777" w:rsidR="00EC7327" w:rsidRDefault="00EC7327" w:rsidP="00A32E4C">
            <w:pPr>
              <w:jc w:val="left"/>
              <w:cnfStyle w:val="100000000000" w:firstRow="1" w:lastRow="0" w:firstColumn="0" w:lastColumn="0" w:oddVBand="0" w:evenVBand="0" w:oddHBand="0" w:evenHBand="0" w:firstRowFirstColumn="0" w:firstRowLastColumn="0" w:lastRowFirstColumn="0" w:lastRowLastColumn="0"/>
            </w:pPr>
            <w:r>
              <w:rPr>
                <w:color w:val="FFFFFF"/>
                <w:sz w:val="19"/>
              </w:rPr>
              <w:t>Measurable target</w:t>
            </w:r>
          </w:p>
        </w:tc>
        <w:tc>
          <w:tcPr>
            <w:tcW w:w="539" w:type="pct"/>
            <w:vAlign w:val="center"/>
          </w:tcPr>
          <w:p w14:paraId="15ECCF3B" w14:textId="77777777" w:rsidR="00EC7327" w:rsidRDefault="00EC7327" w:rsidP="00A32E4C">
            <w:pPr>
              <w:jc w:val="left"/>
              <w:cnfStyle w:val="100000000000" w:firstRow="1" w:lastRow="0" w:firstColumn="0" w:lastColumn="0" w:oddVBand="0" w:evenVBand="0" w:oddHBand="0" w:evenHBand="0" w:firstRowFirstColumn="0" w:firstRowLastColumn="0" w:lastRowFirstColumn="0" w:lastRowLastColumn="0"/>
            </w:pPr>
            <w:r>
              <w:rPr>
                <w:color w:val="FFFFFF"/>
                <w:sz w:val="19"/>
              </w:rPr>
              <w:t>Audit frequency</w:t>
            </w:r>
          </w:p>
        </w:tc>
      </w:tr>
      <w:tr w:rsidR="00EC7327" w14:paraId="09AB8402" w14:textId="77777777" w:rsidTr="00A32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 w:type="pct"/>
            <w:vAlign w:val="center"/>
          </w:tcPr>
          <w:p w14:paraId="23DB4751" w14:textId="77777777" w:rsidR="00EC7327" w:rsidRDefault="00EC7327" w:rsidP="00A32E4C">
            <w:pPr>
              <w:jc w:val="left"/>
            </w:pPr>
            <w:r>
              <w:rPr>
                <w:sz w:val="19"/>
              </w:rPr>
              <w:t>Vulnerability</w:t>
            </w:r>
            <w:r w:rsidRPr="0025757D">
              <w:rPr>
                <w:sz w:val="16"/>
                <w:szCs w:val="16"/>
              </w:rPr>
              <w:t xml:space="preserve"> </w:t>
            </w:r>
            <w:r>
              <w:rPr>
                <w:sz w:val="19"/>
              </w:rPr>
              <w:t>and patch management</w:t>
            </w:r>
          </w:p>
        </w:tc>
        <w:tc>
          <w:tcPr>
            <w:tcW w:w="1288" w:type="pct"/>
            <w:vAlign w:val="center"/>
          </w:tcPr>
          <w:p w14:paraId="2E4BA473" w14:textId="246CDCC3" w:rsidR="00EC7327" w:rsidRDefault="00EC7327" w:rsidP="00A32E4C">
            <w:pPr>
              <w:jc w:val="left"/>
              <w:cnfStyle w:val="000000100000" w:firstRow="0" w:lastRow="0" w:firstColumn="0" w:lastColumn="0" w:oddVBand="0" w:evenVBand="0" w:oddHBand="1" w:evenHBand="0" w:firstRowFirstColumn="0" w:firstRowLastColumn="0" w:lastRowFirstColumn="0" w:lastRowLastColumn="0"/>
            </w:pPr>
            <w:r>
              <w:rPr>
                <w:sz w:val="19"/>
              </w:rPr>
              <w:t>Close</w:t>
            </w:r>
            <w:r w:rsidR="0025757D">
              <w:rPr>
                <w:sz w:val="16"/>
                <w:szCs w:val="16"/>
              </w:rPr>
              <w:t xml:space="preserve"> </w:t>
            </w:r>
            <w:r>
              <w:rPr>
                <w:sz w:val="19"/>
              </w:rPr>
              <w:t>known vulnerabilities before they can be exploited</w:t>
            </w:r>
          </w:p>
        </w:tc>
        <w:tc>
          <w:tcPr>
            <w:tcW w:w="2294" w:type="pct"/>
            <w:vAlign w:val="center"/>
          </w:tcPr>
          <w:p w14:paraId="26F0A832" w14:textId="77777777" w:rsidR="00EC7327" w:rsidRDefault="00EC7327" w:rsidP="00A32E4C">
            <w:pPr>
              <w:jc w:val="left"/>
              <w:cnfStyle w:val="000000100000" w:firstRow="0" w:lastRow="0" w:firstColumn="0" w:lastColumn="0" w:oddVBand="0" w:evenVBand="0" w:oddHBand="1" w:evenHBand="0" w:firstRowFirstColumn="0" w:firstRowLastColumn="0" w:lastRowFirstColumn="0" w:lastRowLastColumn="0"/>
            </w:pPr>
            <w:r>
              <w:rPr>
                <w:sz w:val="19"/>
              </w:rPr>
              <w:t>Critical vulnerabilities (CVSS 9.0+) patched or mitigated within 72 hours of a vendor patch being available</w:t>
            </w:r>
          </w:p>
        </w:tc>
        <w:tc>
          <w:tcPr>
            <w:tcW w:w="539" w:type="pct"/>
            <w:vAlign w:val="center"/>
          </w:tcPr>
          <w:p w14:paraId="79714686" w14:textId="77777777" w:rsidR="00EC7327" w:rsidRDefault="00EC7327" w:rsidP="00A32E4C">
            <w:pPr>
              <w:jc w:val="left"/>
              <w:cnfStyle w:val="000000100000" w:firstRow="0" w:lastRow="0" w:firstColumn="0" w:lastColumn="0" w:oddVBand="0" w:evenVBand="0" w:oddHBand="1" w:evenHBand="0" w:firstRowFirstColumn="0" w:firstRowLastColumn="0" w:lastRowFirstColumn="0" w:lastRowLastColumn="0"/>
            </w:pPr>
            <w:r>
              <w:rPr>
                <w:sz w:val="19"/>
              </w:rPr>
              <w:t>Monthly</w:t>
            </w:r>
          </w:p>
        </w:tc>
      </w:tr>
      <w:tr w:rsidR="00EC7327" w14:paraId="681DB290" w14:textId="77777777" w:rsidTr="00A32E4C">
        <w:tc>
          <w:tcPr>
            <w:cnfStyle w:val="001000000000" w:firstRow="0" w:lastRow="0" w:firstColumn="1" w:lastColumn="0" w:oddVBand="0" w:evenVBand="0" w:oddHBand="0" w:evenHBand="0" w:firstRowFirstColumn="0" w:firstRowLastColumn="0" w:lastRowFirstColumn="0" w:lastRowLastColumn="0"/>
            <w:tcW w:w="879" w:type="pct"/>
            <w:vAlign w:val="center"/>
          </w:tcPr>
          <w:p w14:paraId="13F407FD" w14:textId="77777777" w:rsidR="00EC7327" w:rsidRDefault="00EC7327" w:rsidP="00A32E4C">
            <w:pPr>
              <w:jc w:val="left"/>
            </w:pPr>
            <w:r>
              <w:rPr>
                <w:sz w:val="19"/>
              </w:rPr>
              <w:t>Asset inventory and discovery</w:t>
            </w:r>
          </w:p>
        </w:tc>
        <w:tc>
          <w:tcPr>
            <w:tcW w:w="1288" w:type="pct"/>
            <w:vAlign w:val="center"/>
          </w:tcPr>
          <w:p w14:paraId="13E31E6C" w14:textId="77777777" w:rsidR="00EC7327" w:rsidRDefault="00EC7327" w:rsidP="00A32E4C">
            <w:pPr>
              <w:jc w:val="left"/>
              <w:cnfStyle w:val="000000000000" w:firstRow="0" w:lastRow="0" w:firstColumn="0" w:lastColumn="0" w:oddVBand="0" w:evenVBand="0" w:oddHBand="0" w:evenHBand="0" w:firstRowFirstColumn="0" w:firstRowLastColumn="0" w:lastRowFirstColumn="0" w:lastRowLastColumn="0"/>
            </w:pPr>
            <w:r>
              <w:rPr>
                <w:sz w:val="19"/>
              </w:rPr>
              <w:t>Maintain a complete, current record of internet-facing and internal systems</w:t>
            </w:r>
          </w:p>
        </w:tc>
        <w:tc>
          <w:tcPr>
            <w:tcW w:w="2294" w:type="pct"/>
            <w:vAlign w:val="center"/>
          </w:tcPr>
          <w:p w14:paraId="0B12E0D7" w14:textId="77777777" w:rsidR="00EC7327" w:rsidRDefault="00EC7327" w:rsidP="00A32E4C">
            <w:pPr>
              <w:jc w:val="left"/>
              <w:cnfStyle w:val="000000000000" w:firstRow="0" w:lastRow="0" w:firstColumn="0" w:lastColumn="0" w:oddVBand="0" w:evenVBand="0" w:oddHBand="0" w:evenHBand="0" w:firstRowFirstColumn="0" w:firstRowLastColumn="0" w:lastRowFirstColumn="0" w:lastRowLastColumn="0"/>
            </w:pPr>
            <w:r>
              <w:rPr>
                <w:sz w:val="19"/>
              </w:rPr>
              <w:t>100% of internet-facing assets scanned and matched against the inventory weekly</w:t>
            </w:r>
          </w:p>
        </w:tc>
        <w:tc>
          <w:tcPr>
            <w:tcW w:w="539" w:type="pct"/>
            <w:vAlign w:val="center"/>
          </w:tcPr>
          <w:p w14:paraId="6E485625" w14:textId="77777777" w:rsidR="00EC7327" w:rsidRDefault="00EC7327" w:rsidP="00A32E4C">
            <w:pPr>
              <w:jc w:val="left"/>
              <w:cnfStyle w:val="000000000000" w:firstRow="0" w:lastRow="0" w:firstColumn="0" w:lastColumn="0" w:oddVBand="0" w:evenVBand="0" w:oddHBand="0" w:evenHBand="0" w:firstRowFirstColumn="0" w:firstRowLastColumn="0" w:lastRowFirstColumn="0" w:lastRowLastColumn="0"/>
            </w:pPr>
            <w:r>
              <w:rPr>
                <w:sz w:val="19"/>
              </w:rPr>
              <w:t>Quarterly</w:t>
            </w:r>
          </w:p>
        </w:tc>
      </w:tr>
      <w:tr w:rsidR="00EC7327" w14:paraId="7FC326F1" w14:textId="77777777" w:rsidTr="00A32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 w:type="pct"/>
            <w:vAlign w:val="center"/>
          </w:tcPr>
          <w:p w14:paraId="56583885" w14:textId="77777777" w:rsidR="00EC7327" w:rsidRDefault="00EC7327" w:rsidP="00A32E4C">
            <w:pPr>
              <w:jc w:val="left"/>
            </w:pPr>
            <w:r>
              <w:rPr>
                <w:sz w:val="19"/>
              </w:rPr>
              <w:t>Secure software development lifecycle</w:t>
            </w:r>
          </w:p>
        </w:tc>
        <w:tc>
          <w:tcPr>
            <w:tcW w:w="1288" w:type="pct"/>
            <w:vAlign w:val="center"/>
          </w:tcPr>
          <w:p w14:paraId="117D29F9" w14:textId="77777777" w:rsidR="00EC7327" w:rsidRDefault="00EC7327" w:rsidP="00A32E4C">
            <w:pPr>
              <w:jc w:val="left"/>
              <w:cnfStyle w:val="000000100000" w:firstRow="0" w:lastRow="0" w:firstColumn="0" w:lastColumn="0" w:oddVBand="0" w:evenVBand="0" w:oddHBand="1" w:evenHBand="0" w:firstRowFirstColumn="0" w:firstRowLastColumn="0" w:lastRowFirstColumn="0" w:lastRowLastColumn="0"/>
            </w:pPr>
            <w:r>
              <w:rPr>
                <w:sz w:val="19"/>
              </w:rPr>
              <w:t>Prevent vulnerable third-party components from reaching production</w:t>
            </w:r>
          </w:p>
        </w:tc>
        <w:tc>
          <w:tcPr>
            <w:tcW w:w="2294" w:type="pct"/>
            <w:vAlign w:val="center"/>
          </w:tcPr>
          <w:p w14:paraId="09BFFF44" w14:textId="77777777" w:rsidR="00EC7327" w:rsidRDefault="00EC7327" w:rsidP="00A32E4C">
            <w:pPr>
              <w:jc w:val="left"/>
              <w:cnfStyle w:val="000000100000" w:firstRow="0" w:lastRow="0" w:firstColumn="0" w:lastColumn="0" w:oddVBand="0" w:evenVBand="0" w:oddHBand="1" w:evenHBand="0" w:firstRowFirstColumn="0" w:firstRowLastColumn="0" w:lastRowFirstColumn="0" w:lastRowLastColumn="0"/>
            </w:pPr>
            <w:r>
              <w:rPr>
                <w:sz w:val="19"/>
              </w:rPr>
              <w:t>Software composition analysis run on every build; no critical-severity component deployed without a documented exception</w:t>
            </w:r>
          </w:p>
        </w:tc>
        <w:tc>
          <w:tcPr>
            <w:tcW w:w="539" w:type="pct"/>
            <w:vAlign w:val="center"/>
          </w:tcPr>
          <w:p w14:paraId="25B083F5" w14:textId="77777777" w:rsidR="00EC7327" w:rsidRDefault="00EC7327" w:rsidP="00A32E4C">
            <w:pPr>
              <w:jc w:val="left"/>
              <w:cnfStyle w:val="000000100000" w:firstRow="0" w:lastRow="0" w:firstColumn="0" w:lastColumn="0" w:oddVBand="0" w:evenVBand="0" w:oddHBand="1" w:evenHBand="0" w:firstRowFirstColumn="0" w:firstRowLastColumn="0" w:lastRowFirstColumn="0" w:lastRowLastColumn="0"/>
            </w:pPr>
            <w:r>
              <w:rPr>
                <w:sz w:val="19"/>
              </w:rPr>
              <w:t>Quarterly</w:t>
            </w:r>
          </w:p>
        </w:tc>
      </w:tr>
      <w:tr w:rsidR="00EC7327" w14:paraId="732E6AE4" w14:textId="77777777" w:rsidTr="00A32E4C">
        <w:tc>
          <w:tcPr>
            <w:cnfStyle w:val="001000000000" w:firstRow="0" w:lastRow="0" w:firstColumn="1" w:lastColumn="0" w:oddVBand="0" w:evenVBand="0" w:oddHBand="0" w:evenHBand="0" w:firstRowFirstColumn="0" w:firstRowLastColumn="0" w:lastRowFirstColumn="0" w:lastRowLastColumn="0"/>
            <w:tcW w:w="879" w:type="pct"/>
            <w:vAlign w:val="center"/>
          </w:tcPr>
          <w:p w14:paraId="7CB9DCB0" w14:textId="77777777" w:rsidR="00EC7327" w:rsidRDefault="00EC7327" w:rsidP="00A32E4C">
            <w:pPr>
              <w:jc w:val="left"/>
            </w:pPr>
            <w:r>
              <w:rPr>
                <w:sz w:val="19"/>
              </w:rPr>
              <w:t>Data classification and protection</w:t>
            </w:r>
          </w:p>
        </w:tc>
        <w:tc>
          <w:tcPr>
            <w:tcW w:w="1288" w:type="pct"/>
            <w:vAlign w:val="center"/>
          </w:tcPr>
          <w:p w14:paraId="015456EF" w14:textId="77777777" w:rsidR="00EC7327" w:rsidRDefault="00EC7327" w:rsidP="00A32E4C">
            <w:pPr>
              <w:jc w:val="left"/>
              <w:cnfStyle w:val="000000000000" w:firstRow="0" w:lastRow="0" w:firstColumn="0" w:lastColumn="0" w:oddVBand="0" w:evenVBand="0" w:oddHBand="0" w:evenHBand="0" w:firstRowFirstColumn="0" w:firstRowLastColumn="0" w:lastRowFirstColumn="0" w:lastRowLastColumn="0"/>
            </w:pPr>
            <w:r>
              <w:rPr>
                <w:sz w:val="19"/>
              </w:rPr>
              <w:t>Limit the volume and retention of sensitive personal data held</w:t>
            </w:r>
          </w:p>
        </w:tc>
        <w:tc>
          <w:tcPr>
            <w:tcW w:w="2294" w:type="pct"/>
            <w:vAlign w:val="center"/>
          </w:tcPr>
          <w:p w14:paraId="1B97C034" w14:textId="77777777" w:rsidR="00EC7327" w:rsidRDefault="00EC7327" w:rsidP="00A32E4C">
            <w:pPr>
              <w:jc w:val="left"/>
              <w:cnfStyle w:val="000000000000" w:firstRow="0" w:lastRow="0" w:firstColumn="0" w:lastColumn="0" w:oddVBand="0" w:evenVBand="0" w:oddHBand="0" w:evenHBand="0" w:firstRowFirstColumn="0" w:firstRowLastColumn="0" w:lastRowFirstColumn="0" w:lastRowLastColumn="0"/>
            </w:pPr>
            <w:r>
              <w:rPr>
                <w:sz w:val="19"/>
              </w:rPr>
              <w:t>All datasets classified within 30 days of creation; retention beyond policy limits requires documented business justification</w:t>
            </w:r>
          </w:p>
        </w:tc>
        <w:tc>
          <w:tcPr>
            <w:tcW w:w="539" w:type="pct"/>
            <w:vAlign w:val="center"/>
          </w:tcPr>
          <w:p w14:paraId="27B55945" w14:textId="77777777" w:rsidR="00EC7327" w:rsidRDefault="00EC7327" w:rsidP="00A32E4C">
            <w:pPr>
              <w:jc w:val="left"/>
              <w:cnfStyle w:val="000000000000" w:firstRow="0" w:lastRow="0" w:firstColumn="0" w:lastColumn="0" w:oddVBand="0" w:evenVBand="0" w:oddHBand="0" w:evenHBand="0" w:firstRowFirstColumn="0" w:firstRowLastColumn="0" w:lastRowFirstColumn="0" w:lastRowLastColumn="0"/>
            </w:pPr>
            <w:r>
              <w:rPr>
                <w:sz w:val="19"/>
              </w:rPr>
              <w:t>Semi-annual</w:t>
            </w:r>
          </w:p>
        </w:tc>
      </w:tr>
      <w:tr w:rsidR="00EC7327" w14:paraId="63193D1D" w14:textId="77777777" w:rsidTr="00A32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 w:type="pct"/>
            <w:vAlign w:val="center"/>
          </w:tcPr>
          <w:p w14:paraId="56C7A593" w14:textId="77777777" w:rsidR="00EC7327" w:rsidRDefault="00EC7327" w:rsidP="00A32E4C">
            <w:pPr>
              <w:jc w:val="left"/>
            </w:pPr>
            <w:r>
              <w:rPr>
                <w:sz w:val="19"/>
              </w:rPr>
              <w:t>Continuous monitoring</w:t>
            </w:r>
          </w:p>
        </w:tc>
        <w:tc>
          <w:tcPr>
            <w:tcW w:w="1288" w:type="pct"/>
            <w:vAlign w:val="center"/>
          </w:tcPr>
          <w:p w14:paraId="4427DA7C" w14:textId="77777777" w:rsidR="00EC7327" w:rsidRDefault="00EC7327" w:rsidP="00A32E4C">
            <w:pPr>
              <w:jc w:val="left"/>
              <w:cnfStyle w:val="000000100000" w:firstRow="0" w:lastRow="0" w:firstColumn="0" w:lastColumn="0" w:oddVBand="0" w:evenVBand="0" w:oddHBand="1" w:evenHBand="0" w:firstRowFirstColumn="0" w:firstRowLastColumn="0" w:lastRowFirstColumn="0" w:lastRowLastColumn="0"/>
            </w:pPr>
            <w:r>
              <w:rPr>
                <w:sz w:val="19"/>
              </w:rPr>
              <w:t>Detect intrusion and data exfiltration in near real time</w:t>
            </w:r>
          </w:p>
        </w:tc>
        <w:tc>
          <w:tcPr>
            <w:tcW w:w="2294" w:type="pct"/>
            <w:vAlign w:val="center"/>
          </w:tcPr>
          <w:p w14:paraId="47F597F8" w14:textId="77777777" w:rsidR="00EC7327" w:rsidRDefault="00EC7327" w:rsidP="00A32E4C">
            <w:pPr>
              <w:jc w:val="left"/>
              <w:cnfStyle w:val="000000100000" w:firstRow="0" w:lastRow="0" w:firstColumn="0" w:lastColumn="0" w:oddVBand="0" w:evenVBand="0" w:oddHBand="1" w:evenHBand="0" w:firstRowFirstColumn="0" w:firstRowLastColumn="0" w:lastRowFirstColumn="0" w:lastRowLastColumn="0"/>
            </w:pPr>
            <w:r>
              <w:rPr>
                <w:sz w:val="19"/>
              </w:rPr>
              <w:t>100% of TLS-inspected egress traffic covered by valid, current certificates; monitoring coverage reviewed against the asset inventory</w:t>
            </w:r>
          </w:p>
        </w:tc>
        <w:tc>
          <w:tcPr>
            <w:tcW w:w="539" w:type="pct"/>
            <w:vAlign w:val="center"/>
          </w:tcPr>
          <w:p w14:paraId="33D3E587" w14:textId="77777777" w:rsidR="00EC7327" w:rsidRDefault="00EC7327" w:rsidP="00BF267A">
            <w:pPr>
              <w:keepNext/>
              <w:jc w:val="left"/>
              <w:cnfStyle w:val="000000100000" w:firstRow="0" w:lastRow="0" w:firstColumn="0" w:lastColumn="0" w:oddVBand="0" w:evenVBand="0" w:oddHBand="1" w:evenHBand="0" w:firstRowFirstColumn="0" w:firstRowLastColumn="0" w:lastRowFirstColumn="0" w:lastRowLastColumn="0"/>
            </w:pPr>
            <w:r>
              <w:rPr>
                <w:sz w:val="19"/>
              </w:rPr>
              <w:t>Monthly</w:t>
            </w:r>
          </w:p>
        </w:tc>
      </w:tr>
    </w:tbl>
    <w:p w14:paraId="5A4A6FE7" w14:textId="74DB747C" w:rsidR="00EC7327" w:rsidRDefault="00BF267A" w:rsidP="00BF267A">
      <w:pPr>
        <w:pStyle w:val="Caption"/>
        <w:jc w:val="center"/>
      </w:pPr>
      <w:r>
        <w:t xml:space="preserve">Table </w:t>
      </w:r>
      <w:r>
        <w:fldChar w:fldCharType="begin"/>
      </w:r>
      <w:r>
        <w:instrText xml:space="preserve"> SEQ Table \* ARABIC </w:instrText>
      </w:r>
      <w:r>
        <w:fldChar w:fldCharType="separate"/>
      </w:r>
      <w:r>
        <w:rPr>
          <w:noProof/>
        </w:rPr>
        <w:t>1</w:t>
      </w:r>
      <w:r>
        <w:fldChar w:fldCharType="end"/>
      </w:r>
      <w:r w:rsidR="00A32E4C">
        <w:rPr>
          <w:color w:val="444444"/>
          <w:sz w:val="20"/>
        </w:rPr>
        <w:t xml:space="preserve">: </w:t>
      </w:r>
      <w:r w:rsidR="00A32E4C" w:rsidRPr="00A32E4C">
        <w:rPr>
          <w:color w:val="444444"/>
          <w:sz w:val="20"/>
        </w:rPr>
        <w:t xml:space="preserve">Core policies for the proposed </w:t>
      </w:r>
      <w:proofErr w:type="spellStart"/>
      <w:r w:rsidR="00A32E4C" w:rsidRPr="00A32E4C">
        <w:rPr>
          <w:color w:val="444444"/>
          <w:sz w:val="20"/>
        </w:rPr>
        <w:t>programme</w:t>
      </w:r>
      <w:proofErr w:type="spellEnd"/>
      <w:r w:rsidR="00A32E4C" w:rsidRPr="00A32E4C">
        <w:rPr>
          <w:color w:val="444444"/>
          <w:sz w:val="20"/>
        </w:rPr>
        <w:t>.</w:t>
      </w:r>
    </w:p>
    <w:p w14:paraId="74B3E01C" w14:textId="77777777" w:rsidR="00EC7327" w:rsidRDefault="00EC7327" w:rsidP="00EC7327">
      <w:r>
        <w:t>The continuous monitoring policy directly targets the certificate failure that let Equifax's own inspection tools run blind for ten months: a monthly reconciliation between the asset inventory and the list of certificates due for renewal would have flagged the lapse well before it became a two-month blind spot for attacker traffic. Each policy is written to be auditable rather than aspirational, so that Internal Audit, reporting through the line described in section 2, can verify compliance against a defined number rather than a subjective judgement.</w:t>
      </w:r>
    </w:p>
    <w:p w14:paraId="33A9814B" w14:textId="3D4E73BD" w:rsidR="00EC7327" w:rsidRDefault="00BF267A" w:rsidP="00EC7327">
      <w:pPr>
        <w:pStyle w:val="Heading2"/>
      </w:pPr>
      <w:bookmarkStart w:id="13" w:name="_Toc237431796"/>
      <w:r>
        <w:t>2.</w:t>
      </w:r>
      <w:r w:rsidR="00EC7327">
        <w:t>4 Governance and Strategic Alignment</w:t>
      </w:r>
      <w:bookmarkEnd w:id="13"/>
    </w:p>
    <w:p w14:paraId="08D1DC1D" w14:textId="77777777" w:rsidR="00EC7327" w:rsidRDefault="00EC7327" w:rsidP="00EC7327">
      <w:r>
        <w:t xml:space="preserve">The NIST Cybersecurity Framework 2.0, published in February 2024, </w:t>
      </w:r>
      <w:proofErr w:type="spellStart"/>
      <w:r>
        <w:t>organises</w:t>
      </w:r>
      <w:proofErr w:type="spellEnd"/>
      <w:r>
        <w:t xml:space="preserve"> cybersecurity activity into six functions: Govern, Identify, Protect, Detect, Respond and Recover [12]. The addition of Govern as a standalone function in the 2.0 revision, sitting above and informing the other five, is directly relevant to Equifax, whose failure the House Committee traced back to governance and accountability gaps as much as to any single missed technical control [11]. Figure 3 maps each function to a specific element of the </w:t>
      </w:r>
      <w:proofErr w:type="spellStart"/>
      <w:r>
        <w:t>programme</w:t>
      </w:r>
      <w:proofErr w:type="spellEnd"/>
      <w:r>
        <w:t xml:space="preserve"> proposed in this report.</w:t>
      </w:r>
    </w:p>
    <w:p w14:paraId="75F5EB0C" w14:textId="77777777" w:rsidR="00EC7327" w:rsidRDefault="00EC7327" w:rsidP="00EC7327">
      <w:pPr>
        <w:jc w:val="center"/>
      </w:pPr>
      <w:r>
        <w:rPr>
          <w:noProof/>
        </w:rPr>
        <w:lastRenderedPageBreak/>
        <w:drawing>
          <wp:inline distT="0" distB="0" distL="0" distR="0" wp14:anchorId="44C04981" wp14:editId="1FD0BF8B">
            <wp:extent cx="5852160" cy="309356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csf.png"/>
                    <pic:cNvPicPr/>
                  </pic:nvPicPr>
                  <pic:blipFill>
                    <a:blip r:embed="rId14"/>
                    <a:stretch>
                      <a:fillRect/>
                    </a:stretch>
                  </pic:blipFill>
                  <pic:spPr>
                    <a:xfrm>
                      <a:off x="0" y="0"/>
                      <a:ext cx="5852160" cy="3093566"/>
                    </a:xfrm>
                    <a:prstGeom prst="rect">
                      <a:avLst/>
                    </a:prstGeom>
                  </pic:spPr>
                </pic:pic>
              </a:graphicData>
            </a:graphic>
          </wp:inline>
        </w:drawing>
      </w:r>
    </w:p>
    <w:p w14:paraId="76471322" w14:textId="77777777" w:rsidR="00EC7327" w:rsidRDefault="00EC7327" w:rsidP="00EC7327">
      <w:pPr>
        <w:jc w:val="center"/>
      </w:pPr>
      <w:r>
        <w:rPr>
          <w:i/>
          <w:color w:val="444444"/>
          <w:sz w:val="20"/>
        </w:rPr>
        <w:t xml:space="preserve">Figure 3: NIST CSF 2.0 functions mapped to the Equifax remediation </w:t>
      </w:r>
      <w:proofErr w:type="spellStart"/>
      <w:r>
        <w:rPr>
          <w:i/>
          <w:color w:val="444444"/>
          <w:sz w:val="20"/>
        </w:rPr>
        <w:t>programme</w:t>
      </w:r>
      <w:proofErr w:type="spellEnd"/>
      <w:r>
        <w:rPr>
          <w:i/>
          <w:color w:val="444444"/>
          <w:sz w:val="20"/>
        </w:rPr>
        <w:t>.</w:t>
      </w:r>
    </w:p>
    <w:p w14:paraId="1FB5EF39" w14:textId="77777777" w:rsidR="00EC7327" w:rsidRDefault="00EC7327" w:rsidP="00EC7327">
      <w:r>
        <w:t xml:space="preserve">Positioning Govern first is a deliberate structural choice, not a formality. It establishes that the Board Cyber Risk Committee and CISO reporting line described in section 2 exist before, and inform, the technical controls under Identify, Protect, Detect, Respond and Recover, rather than being added afterwards to give existing technical work a governance label. Business continuity and long-term resilience follow from that ordering: an </w:t>
      </w:r>
      <w:proofErr w:type="spellStart"/>
      <w:r>
        <w:t>organisation</w:t>
      </w:r>
      <w:proofErr w:type="spellEnd"/>
      <w:r>
        <w:t xml:space="preserve"> that treats security governance as prior to and continuous with strategy is positioned to catch a lapse such as the expired certificate through routine oversight, rather than relying on the breach itself to surface the gap. The financial and reputational stakes are not abstract. Equifax's post-breach settlement and remediation costs ran into the billions of dollars, a scale of loss that strategic alignment with a </w:t>
      </w:r>
      <w:proofErr w:type="spellStart"/>
      <w:r>
        <w:t>recognised</w:t>
      </w:r>
      <w:proofErr w:type="spellEnd"/>
      <w:r>
        <w:t xml:space="preserve"> framework is intended to make far less likely.</w:t>
      </w:r>
    </w:p>
    <w:p w14:paraId="21A71887" w14:textId="77777777" w:rsidR="00EC7327" w:rsidRDefault="00EC7327" w:rsidP="00EC7327">
      <w:r>
        <w:t xml:space="preserve">Strategic alignment also means the security </w:t>
      </w:r>
      <w:proofErr w:type="spellStart"/>
      <w:r>
        <w:t>programme</w:t>
      </w:r>
      <w:proofErr w:type="spellEnd"/>
      <w:r>
        <w:t xml:space="preserve"> is reviewed on the same cadence as other enterprise risk, rather than treated as a separate technical workstream that only surfaces at Board level when something goes wrong. Under CSF 2.0, the Govern function calls for the </w:t>
      </w:r>
      <w:proofErr w:type="spellStart"/>
      <w:r>
        <w:t>organisation's</w:t>
      </w:r>
      <w:proofErr w:type="spellEnd"/>
      <w:r>
        <w:t xml:space="preserve"> risk management strategy, roles and policy to be reviewed and communicated on a defined schedule, which is why the quarterly risk register review in Appendix A sits under the Board Cyber Risk Committee's direct accountability rather than being delegated entirely to operational staff. Formal certification of the resulting information security management system against ISO/IEC 27001:2022 would add independent, third-party assurance on top of the CSF 2.0 self-assessment, giving the Board external evidence that controls are operating as designed rather than relying solely on internal reporting [13]. Consumer trust, which Equifax's own disclosures show was damaged in a way that outlasted the immediate financial settlement, is rebuilt more by this kind of demonstrable, ongoing oversight than by a one-time remediation exercise.</w:t>
      </w:r>
    </w:p>
    <w:p w14:paraId="2264BD13" w14:textId="36FDFB31" w:rsidR="00EC7327" w:rsidRDefault="00BF267A" w:rsidP="00EC7327">
      <w:pPr>
        <w:pStyle w:val="Heading2"/>
      </w:pPr>
      <w:bookmarkStart w:id="14" w:name="_Toc237431797"/>
      <w:r>
        <w:t>2.</w:t>
      </w:r>
      <w:r w:rsidR="00EC7327">
        <w:t>5 Risk Management and Assessment</w:t>
      </w:r>
      <w:bookmarkEnd w:id="14"/>
    </w:p>
    <w:p w14:paraId="0DB64711" w14:textId="77777777" w:rsidR="00EC7327" w:rsidRDefault="00EC7327" w:rsidP="00EC7327">
      <w:r>
        <w:t xml:space="preserve">A high-level risk assessment for the environment described in the case identifies five dominant risk areas, </w:t>
      </w:r>
      <w:proofErr w:type="spellStart"/>
      <w:r>
        <w:t>summarised</w:t>
      </w:r>
      <w:proofErr w:type="spellEnd"/>
      <w:r>
        <w:t xml:space="preserve"> in Table 2 with an indicative likelihood and impact rating and the primary mitigation drawn from the </w:t>
      </w:r>
      <w:proofErr w:type="spellStart"/>
      <w:r>
        <w:t>programme</w:t>
      </w:r>
      <w:proofErr w:type="spellEnd"/>
      <w:r>
        <w:t xml:space="preserve"> above.</w:t>
      </w:r>
    </w:p>
    <w:tbl>
      <w:tblPr>
        <w:tblStyle w:val="GridTable4"/>
        <w:tblW w:w="5000" w:type="pct"/>
        <w:tblLook w:val="04A0" w:firstRow="1" w:lastRow="0" w:firstColumn="1" w:lastColumn="0" w:noHBand="0" w:noVBand="1"/>
      </w:tblPr>
      <w:tblGrid>
        <w:gridCol w:w="4529"/>
        <w:gridCol w:w="1167"/>
        <w:gridCol w:w="962"/>
        <w:gridCol w:w="3798"/>
      </w:tblGrid>
      <w:tr w:rsidR="00BF267A" w14:paraId="0E3C6F52" w14:textId="77777777" w:rsidTr="00BF26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pct"/>
            <w:vAlign w:val="center"/>
          </w:tcPr>
          <w:p w14:paraId="0095B13C" w14:textId="77777777" w:rsidR="00EC7327" w:rsidRDefault="00EC7327" w:rsidP="00BF267A">
            <w:pPr>
              <w:jc w:val="left"/>
            </w:pPr>
            <w:r>
              <w:rPr>
                <w:color w:val="FFFFFF"/>
                <w:sz w:val="19"/>
              </w:rPr>
              <w:lastRenderedPageBreak/>
              <w:t>Risk</w:t>
            </w:r>
          </w:p>
        </w:tc>
        <w:tc>
          <w:tcPr>
            <w:tcW w:w="558" w:type="pct"/>
            <w:vAlign w:val="center"/>
          </w:tcPr>
          <w:p w14:paraId="09BCFE5A" w14:textId="77777777" w:rsidR="00EC7327" w:rsidRDefault="00EC7327" w:rsidP="00BF267A">
            <w:pPr>
              <w:jc w:val="left"/>
              <w:cnfStyle w:val="100000000000" w:firstRow="1" w:lastRow="0" w:firstColumn="0" w:lastColumn="0" w:oddVBand="0" w:evenVBand="0" w:oddHBand="0" w:evenHBand="0" w:firstRowFirstColumn="0" w:firstRowLastColumn="0" w:lastRowFirstColumn="0" w:lastRowLastColumn="0"/>
            </w:pPr>
            <w:r>
              <w:rPr>
                <w:color w:val="FFFFFF"/>
                <w:sz w:val="19"/>
              </w:rPr>
              <w:t>Likelihood</w:t>
            </w:r>
          </w:p>
        </w:tc>
        <w:tc>
          <w:tcPr>
            <w:tcW w:w="460" w:type="pct"/>
            <w:vAlign w:val="center"/>
          </w:tcPr>
          <w:p w14:paraId="327674F9" w14:textId="77777777" w:rsidR="00EC7327" w:rsidRDefault="00EC7327" w:rsidP="00BF267A">
            <w:pPr>
              <w:jc w:val="left"/>
              <w:cnfStyle w:val="100000000000" w:firstRow="1" w:lastRow="0" w:firstColumn="0" w:lastColumn="0" w:oddVBand="0" w:evenVBand="0" w:oddHBand="0" w:evenHBand="0" w:firstRowFirstColumn="0" w:firstRowLastColumn="0" w:lastRowFirstColumn="0" w:lastRowLastColumn="0"/>
            </w:pPr>
            <w:r>
              <w:rPr>
                <w:color w:val="FFFFFF"/>
                <w:sz w:val="19"/>
              </w:rPr>
              <w:t>Impact</w:t>
            </w:r>
          </w:p>
        </w:tc>
        <w:tc>
          <w:tcPr>
            <w:tcW w:w="1816" w:type="pct"/>
            <w:vAlign w:val="center"/>
          </w:tcPr>
          <w:p w14:paraId="0572553B" w14:textId="77777777" w:rsidR="00EC7327" w:rsidRDefault="00EC7327" w:rsidP="00BF267A">
            <w:pPr>
              <w:jc w:val="left"/>
              <w:cnfStyle w:val="100000000000" w:firstRow="1" w:lastRow="0" w:firstColumn="0" w:lastColumn="0" w:oddVBand="0" w:evenVBand="0" w:oddHBand="0" w:evenHBand="0" w:firstRowFirstColumn="0" w:firstRowLastColumn="0" w:lastRowFirstColumn="0" w:lastRowLastColumn="0"/>
            </w:pPr>
            <w:r>
              <w:rPr>
                <w:color w:val="FFFFFF"/>
                <w:sz w:val="19"/>
              </w:rPr>
              <w:t>Primary mitigation</w:t>
            </w:r>
          </w:p>
        </w:tc>
      </w:tr>
      <w:tr w:rsidR="00BF267A" w14:paraId="013910E7" w14:textId="77777777" w:rsidTr="00BF26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pct"/>
            <w:vAlign w:val="center"/>
          </w:tcPr>
          <w:p w14:paraId="3F87656F" w14:textId="77777777" w:rsidR="00EC7327" w:rsidRDefault="00EC7327" w:rsidP="00BF267A">
            <w:pPr>
              <w:jc w:val="left"/>
            </w:pPr>
            <w:r>
              <w:rPr>
                <w:sz w:val="19"/>
              </w:rPr>
              <w:t>Unpatched internet-facing application (e.g. the dispute portal running Apache Struts)</w:t>
            </w:r>
          </w:p>
        </w:tc>
        <w:tc>
          <w:tcPr>
            <w:tcW w:w="558" w:type="pct"/>
            <w:vAlign w:val="center"/>
          </w:tcPr>
          <w:p w14:paraId="484B1DD7" w14:textId="77777777" w:rsidR="00EC7327" w:rsidRDefault="00EC7327" w:rsidP="00BF267A">
            <w:pPr>
              <w:jc w:val="left"/>
              <w:cnfStyle w:val="000000100000" w:firstRow="0" w:lastRow="0" w:firstColumn="0" w:lastColumn="0" w:oddVBand="0" w:evenVBand="0" w:oddHBand="1" w:evenHBand="0" w:firstRowFirstColumn="0" w:firstRowLastColumn="0" w:lastRowFirstColumn="0" w:lastRowLastColumn="0"/>
            </w:pPr>
            <w:r>
              <w:rPr>
                <w:sz w:val="19"/>
              </w:rPr>
              <w:t>High</w:t>
            </w:r>
          </w:p>
        </w:tc>
        <w:tc>
          <w:tcPr>
            <w:tcW w:w="460" w:type="pct"/>
            <w:vAlign w:val="center"/>
          </w:tcPr>
          <w:p w14:paraId="04C4A06B" w14:textId="77777777" w:rsidR="00EC7327" w:rsidRDefault="00EC7327" w:rsidP="00BF267A">
            <w:pPr>
              <w:jc w:val="left"/>
              <w:cnfStyle w:val="000000100000" w:firstRow="0" w:lastRow="0" w:firstColumn="0" w:lastColumn="0" w:oddVBand="0" w:evenVBand="0" w:oddHBand="1" w:evenHBand="0" w:firstRowFirstColumn="0" w:firstRowLastColumn="0" w:lastRowFirstColumn="0" w:lastRowLastColumn="0"/>
            </w:pPr>
            <w:r>
              <w:rPr>
                <w:sz w:val="19"/>
              </w:rPr>
              <w:t>Severe</w:t>
            </w:r>
          </w:p>
        </w:tc>
        <w:tc>
          <w:tcPr>
            <w:tcW w:w="1816" w:type="pct"/>
            <w:vAlign w:val="center"/>
          </w:tcPr>
          <w:p w14:paraId="064ADE26" w14:textId="77777777" w:rsidR="00EC7327" w:rsidRDefault="00EC7327" w:rsidP="00BF267A">
            <w:pPr>
              <w:jc w:val="left"/>
              <w:cnfStyle w:val="000000100000" w:firstRow="0" w:lastRow="0" w:firstColumn="0" w:lastColumn="0" w:oddVBand="0" w:evenVBand="0" w:oddHBand="1" w:evenHBand="0" w:firstRowFirstColumn="0" w:firstRowLastColumn="0" w:lastRowFirstColumn="0" w:lastRowLastColumn="0"/>
            </w:pPr>
            <w:r>
              <w:rPr>
                <w:sz w:val="19"/>
              </w:rPr>
              <w:t>72-hour patch SLA for critical vulnerabilities; asset inventory tied to vulnerability scanning</w:t>
            </w:r>
          </w:p>
        </w:tc>
      </w:tr>
      <w:tr w:rsidR="00BF267A" w14:paraId="24AE263D" w14:textId="77777777" w:rsidTr="00BF267A">
        <w:tc>
          <w:tcPr>
            <w:cnfStyle w:val="001000000000" w:firstRow="0" w:lastRow="0" w:firstColumn="1" w:lastColumn="0" w:oddVBand="0" w:evenVBand="0" w:oddHBand="0" w:evenHBand="0" w:firstRowFirstColumn="0" w:firstRowLastColumn="0" w:lastRowFirstColumn="0" w:lastRowLastColumn="0"/>
            <w:tcW w:w="2166" w:type="pct"/>
            <w:vAlign w:val="center"/>
          </w:tcPr>
          <w:p w14:paraId="054A3122" w14:textId="77777777" w:rsidR="00EC7327" w:rsidRDefault="00EC7327" w:rsidP="00BF267A">
            <w:pPr>
              <w:jc w:val="left"/>
            </w:pPr>
            <w:r>
              <w:rPr>
                <w:sz w:val="19"/>
              </w:rPr>
              <w:t>Open-source/third-party component risk introduced through the software supply chain</w:t>
            </w:r>
          </w:p>
        </w:tc>
        <w:tc>
          <w:tcPr>
            <w:tcW w:w="558" w:type="pct"/>
            <w:vAlign w:val="center"/>
          </w:tcPr>
          <w:p w14:paraId="0A4B9636" w14:textId="77777777" w:rsidR="00EC7327" w:rsidRDefault="00EC7327" w:rsidP="00BF267A">
            <w:pPr>
              <w:jc w:val="left"/>
              <w:cnfStyle w:val="000000000000" w:firstRow="0" w:lastRow="0" w:firstColumn="0" w:lastColumn="0" w:oddVBand="0" w:evenVBand="0" w:oddHBand="0" w:evenHBand="0" w:firstRowFirstColumn="0" w:firstRowLastColumn="0" w:lastRowFirstColumn="0" w:lastRowLastColumn="0"/>
            </w:pPr>
            <w:r>
              <w:rPr>
                <w:sz w:val="19"/>
              </w:rPr>
              <w:t>High</w:t>
            </w:r>
          </w:p>
        </w:tc>
        <w:tc>
          <w:tcPr>
            <w:tcW w:w="460" w:type="pct"/>
            <w:vAlign w:val="center"/>
          </w:tcPr>
          <w:p w14:paraId="10CE3EB7" w14:textId="77777777" w:rsidR="00EC7327" w:rsidRDefault="00EC7327" w:rsidP="00BF267A">
            <w:pPr>
              <w:jc w:val="left"/>
              <w:cnfStyle w:val="000000000000" w:firstRow="0" w:lastRow="0" w:firstColumn="0" w:lastColumn="0" w:oddVBand="0" w:evenVBand="0" w:oddHBand="0" w:evenHBand="0" w:firstRowFirstColumn="0" w:firstRowLastColumn="0" w:lastRowFirstColumn="0" w:lastRowLastColumn="0"/>
            </w:pPr>
            <w:r>
              <w:rPr>
                <w:sz w:val="19"/>
              </w:rPr>
              <w:t>Severe</w:t>
            </w:r>
          </w:p>
        </w:tc>
        <w:tc>
          <w:tcPr>
            <w:tcW w:w="1816" w:type="pct"/>
            <w:vAlign w:val="center"/>
          </w:tcPr>
          <w:p w14:paraId="5348A350" w14:textId="77777777" w:rsidR="00EC7327" w:rsidRDefault="00EC7327" w:rsidP="00BF267A">
            <w:pPr>
              <w:jc w:val="left"/>
              <w:cnfStyle w:val="000000000000" w:firstRow="0" w:lastRow="0" w:firstColumn="0" w:lastColumn="0" w:oddVBand="0" w:evenVBand="0" w:oddHBand="0" w:evenHBand="0" w:firstRowFirstColumn="0" w:firstRowLastColumn="0" w:lastRowFirstColumn="0" w:lastRowLastColumn="0"/>
            </w:pPr>
            <w:r>
              <w:rPr>
                <w:sz w:val="19"/>
              </w:rPr>
              <w:t>Software composition analysis in the secure SDLC; documented exception process for unpatched dependencies</w:t>
            </w:r>
          </w:p>
        </w:tc>
      </w:tr>
      <w:tr w:rsidR="00BF267A" w14:paraId="18180DA6" w14:textId="77777777" w:rsidTr="00BF26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pct"/>
            <w:vAlign w:val="center"/>
          </w:tcPr>
          <w:p w14:paraId="47FDA69C" w14:textId="77777777" w:rsidR="00EC7327" w:rsidRDefault="00EC7327" w:rsidP="00BF267A">
            <w:pPr>
              <w:jc w:val="left"/>
            </w:pPr>
            <w:r>
              <w:rPr>
                <w:sz w:val="19"/>
              </w:rPr>
              <w:t>Flat network segmentation allowing lateral movement between the initial foothold and multiple sensitive databases</w:t>
            </w:r>
          </w:p>
        </w:tc>
        <w:tc>
          <w:tcPr>
            <w:tcW w:w="558" w:type="pct"/>
            <w:vAlign w:val="center"/>
          </w:tcPr>
          <w:p w14:paraId="68ED8E34" w14:textId="77777777" w:rsidR="00EC7327" w:rsidRDefault="00EC7327" w:rsidP="00BF267A">
            <w:pPr>
              <w:jc w:val="left"/>
              <w:cnfStyle w:val="000000100000" w:firstRow="0" w:lastRow="0" w:firstColumn="0" w:lastColumn="0" w:oddVBand="0" w:evenVBand="0" w:oddHBand="1" w:evenHBand="0" w:firstRowFirstColumn="0" w:firstRowLastColumn="0" w:lastRowFirstColumn="0" w:lastRowLastColumn="0"/>
            </w:pPr>
            <w:r>
              <w:rPr>
                <w:sz w:val="19"/>
              </w:rPr>
              <w:t>Medium</w:t>
            </w:r>
          </w:p>
        </w:tc>
        <w:tc>
          <w:tcPr>
            <w:tcW w:w="460" w:type="pct"/>
            <w:vAlign w:val="center"/>
          </w:tcPr>
          <w:p w14:paraId="7C75516E" w14:textId="77777777" w:rsidR="00EC7327" w:rsidRDefault="00EC7327" w:rsidP="00BF267A">
            <w:pPr>
              <w:jc w:val="left"/>
              <w:cnfStyle w:val="000000100000" w:firstRow="0" w:lastRow="0" w:firstColumn="0" w:lastColumn="0" w:oddVBand="0" w:evenVBand="0" w:oddHBand="1" w:evenHBand="0" w:firstRowFirstColumn="0" w:firstRowLastColumn="0" w:lastRowFirstColumn="0" w:lastRowLastColumn="0"/>
            </w:pPr>
            <w:r>
              <w:rPr>
                <w:sz w:val="19"/>
              </w:rPr>
              <w:t>Severe</w:t>
            </w:r>
          </w:p>
        </w:tc>
        <w:tc>
          <w:tcPr>
            <w:tcW w:w="1816" w:type="pct"/>
            <w:vAlign w:val="center"/>
          </w:tcPr>
          <w:p w14:paraId="3BC1E26C" w14:textId="77777777" w:rsidR="00EC7327" w:rsidRDefault="00EC7327" w:rsidP="00BF267A">
            <w:pPr>
              <w:jc w:val="left"/>
              <w:cnfStyle w:val="000000100000" w:firstRow="0" w:lastRow="0" w:firstColumn="0" w:lastColumn="0" w:oddVBand="0" w:evenVBand="0" w:oddHBand="1" w:evenHBand="0" w:firstRowFirstColumn="0" w:firstRowLastColumn="0" w:lastRowFirstColumn="0" w:lastRowLastColumn="0"/>
            </w:pPr>
            <w:r>
              <w:rPr>
                <w:sz w:val="19"/>
              </w:rPr>
              <w:t xml:space="preserve">ZTNA-based per-application access control and </w:t>
            </w:r>
            <w:proofErr w:type="spellStart"/>
            <w:r>
              <w:rPr>
                <w:sz w:val="19"/>
              </w:rPr>
              <w:t>microsegmentation</w:t>
            </w:r>
            <w:proofErr w:type="spellEnd"/>
            <w:r>
              <w:rPr>
                <w:sz w:val="19"/>
              </w:rPr>
              <w:t xml:space="preserve"> (Task 1, section 3)</w:t>
            </w:r>
          </w:p>
        </w:tc>
      </w:tr>
      <w:tr w:rsidR="00BF267A" w14:paraId="1B680C3F" w14:textId="77777777" w:rsidTr="00BF267A">
        <w:tc>
          <w:tcPr>
            <w:cnfStyle w:val="001000000000" w:firstRow="0" w:lastRow="0" w:firstColumn="1" w:lastColumn="0" w:oddVBand="0" w:evenVBand="0" w:oddHBand="0" w:evenHBand="0" w:firstRowFirstColumn="0" w:firstRowLastColumn="0" w:lastRowFirstColumn="0" w:lastRowLastColumn="0"/>
            <w:tcW w:w="2166" w:type="pct"/>
            <w:vAlign w:val="center"/>
          </w:tcPr>
          <w:p w14:paraId="6DD0468F" w14:textId="77777777" w:rsidR="00EC7327" w:rsidRDefault="00EC7327" w:rsidP="00BF267A">
            <w:pPr>
              <w:jc w:val="left"/>
            </w:pPr>
            <w:r>
              <w:rPr>
                <w:sz w:val="19"/>
              </w:rPr>
              <w:t>Expired or misconfigured TLS inspection certificates blinding monitoring to encrypted exfiltration</w:t>
            </w:r>
          </w:p>
        </w:tc>
        <w:tc>
          <w:tcPr>
            <w:tcW w:w="558" w:type="pct"/>
            <w:vAlign w:val="center"/>
          </w:tcPr>
          <w:p w14:paraId="6A2FD10F" w14:textId="77777777" w:rsidR="00EC7327" w:rsidRDefault="00EC7327" w:rsidP="00BF267A">
            <w:pPr>
              <w:jc w:val="left"/>
              <w:cnfStyle w:val="000000000000" w:firstRow="0" w:lastRow="0" w:firstColumn="0" w:lastColumn="0" w:oddVBand="0" w:evenVBand="0" w:oddHBand="0" w:evenHBand="0" w:firstRowFirstColumn="0" w:firstRowLastColumn="0" w:lastRowFirstColumn="0" w:lastRowLastColumn="0"/>
            </w:pPr>
            <w:r>
              <w:rPr>
                <w:sz w:val="19"/>
              </w:rPr>
              <w:t>Medium</w:t>
            </w:r>
          </w:p>
        </w:tc>
        <w:tc>
          <w:tcPr>
            <w:tcW w:w="460" w:type="pct"/>
            <w:vAlign w:val="center"/>
          </w:tcPr>
          <w:p w14:paraId="4774290E" w14:textId="77777777" w:rsidR="00EC7327" w:rsidRDefault="00EC7327" w:rsidP="00BF267A">
            <w:pPr>
              <w:jc w:val="left"/>
              <w:cnfStyle w:val="000000000000" w:firstRow="0" w:lastRow="0" w:firstColumn="0" w:lastColumn="0" w:oddVBand="0" w:evenVBand="0" w:oddHBand="0" w:evenHBand="0" w:firstRowFirstColumn="0" w:firstRowLastColumn="0" w:lastRowFirstColumn="0" w:lastRowLastColumn="0"/>
            </w:pPr>
            <w:r>
              <w:rPr>
                <w:sz w:val="19"/>
              </w:rPr>
              <w:t>Severe</w:t>
            </w:r>
          </w:p>
        </w:tc>
        <w:tc>
          <w:tcPr>
            <w:tcW w:w="1816" w:type="pct"/>
            <w:vAlign w:val="center"/>
          </w:tcPr>
          <w:p w14:paraId="4E57DA8C" w14:textId="77777777" w:rsidR="00EC7327" w:rsidRDefault="00EC7327" w:rsidP="00BF267A">
            <w:pPr>
              <w:jc w:val="left"/>
              <w:cnfStyle w:val="000000000000" w:firstRow="0" w:lastRow="0" w:firstColumn="0" w:lastColumn="0" w:oddVBand="0" w:evenVBand="0" w:oddHBand="0" w:evenHBand="0" w:firstRowFirstColumn="0" w:firstRowLastColumn="0" w:lastRowFirstColumn="0" w:lastRowLastColumn="0"/>
            </w:pPr>
            <w:r>
              <w:rPr>
                <w:sz w:val="19"/>
              </w:rPr>
              <w:t>Certificate lifecycle management under the continuous monitoring policy</w:t>
            </w:r>
          </w:p>
        </w:tc>
      </w:tr>
      <w:tr w:rsidR="00BF267A" w14:paraId="1341101D" w14:textId="77777777" w:rsidTr="00BF26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pct"/>
            <w:vAlign w:val="center"/>
          </w:tcPr>
          <w:p w14:paraId="01AA8922" w14:textId="77777777" w:rsidR="00EC7327" w:rsidRDefault="00EC7327" w:rsidP="00BF267A">
            <w:pPr>
              <w:jc w:val="left"/>
            </w:pPr>
            <w:r>
              <w:rPr>
                <w:sz w:val="19"/>
              </w:rPr>
              <w:t>Plaintext or weakly protected credentials stored on internal systems, enabling escalation beyond the initial point of entry</w:t>
            </w:r>
          </w:p>
        </w:tc>
        <w:tc>
          <w:tcPr>
            <w:tcW w:w="558" w:type="pct"/>
            <w:vAlign w:val="center"/>
          </w:tcPr>
          <w:p w14:paraId="065B9254" w14:textId="77777777" w:rsidR="00EC7327" w:rsidRDefault="00EC7327" w:rsidP="00BF267A">
            <w:pPr>
              <w:jc w:val="left"/>
              <w:cnfStyle w:val="000000100000" w:firstRow="0" w:lastRow="0" w:firstColumn="0" w:lastColumn="0" w:oddVBand="0" w:evenVBand="0" w:oddHBand="1" w:evenHBand="0" w:firstRowFirstColumn="0" w:firstRowLastColumn="0" w:lastRowFirstColumn="0" w:lastRowLastColumn="0"/>
            </w:pPr>
            <w:r>
              <w:rPr>
                <w:sz w:val="19"/>
              </w:rPr>
              <w:t>Medium</w:t>
            </w:r>
          </w:p>
        </w:tc>
        <w:tc>
          <w:tcPr>
            <w:tcW w:w="460" w:type="pct"/>
            <w:vAlign w:val="center"/>
          </w:tcPr>
          <w:p w14:paraId="0209641B" w14:textId="77777777" w:rsidR="00EC7327" w:rsidRDefault="00EC7327" w:rsidP="00BF267A">
            <w:pPr>
              <w:jc w:val="left"/>
              <w:cnfStyle w:val="000000100000" w:firstRow="0" w:lastRow="0" w:firstColumn="0" w:lastColumn="0" w:oddVBand="0" w:evenVBand="0" w:oddHBand="1" w:evenHBand="0" w:firstRowFirstColumn="0" w:firstRowLastColumn="0" w:lastRowFirstColumn="0" w:lastRowLastColumn="0"/>
            </w:pPr>
            <w:r>
              <w:rPr>
                <w:sz w:val="19"/>
              </w:rPr>
              <w:t>Severe</w:t>
            </w:r>
          </w:p>
        </w:tc>
        <w:tc>
          <w:tcPr>
            <w:tcW w:w="1816" w:type="pct"/>
            <w:vAlign w:val="center"/>
          </w:tcPr>
          <w:p w14:paraId="3D522422" w14:textId="77777777" w:rsidR="00EC7327" w:rsidRDefault="00EC7327" w:rsidP="00BF267A">
            <w:pPr>
              <w:keepNext/>
              <w:jc w:val="left"/>
              <w:cnfStyle w:val="000000100000" w:firstRow="0" w:lastRow="0" w:firstColumn="0" w:lastColumn="0" w:oddVBand="0" w:evenVBand="0" w:oddHBand="1" w:evenHBand="0" w:firstRowFirstColumn="0" w:firstRowLastColumn="0" w:lastRowFirstColumn="0" w:lastRowLastColumn="0"/>
            </w:pPr>
            <w:r>
              <w:rPr>
                <w:sz w:val="19"/>
              </w:rPr>
              <w:t>Credential vaulting and encryption at rest; least-privilege database access enforced through ZTNA policy</w:t>
            </w:r>
          </w:p>
        </w:tc>
      </w:tr>
    </w:tbl>
    <w:p w14:paraId="4213F15E" w14:textId="1BAFE37F" w:rsidR="00EC7327" w:rsidRDefault="00BF267A" w:rsidP="00BF267A">
      <w:pPr>
        <w:pStyle w:val="Caption"/>
        <w:jc w:val="center"/>
      </w:pPr>
      <w:r>
        <w:t xml:space="preserve">Table </w:t>
      </w:r>
      <w:r>
        <w:fldChar w:fldCharType="begin"/>
      </w:r>
      <w:r>
        <w:instrText xml:space="preserve"> SEQ Table \* ARABIC </w:instrText>
      </w:r>
      <w:r>
        <w:fldChar w:fldCharType="separate"/>
      </w:r>
      <w:r>
        <w:rPr>
          <w:noProof/>
        </w:rPr>
        <w:t>2</w:t>
      </w:r>
      <w:r>
        <w:fldChar w:fldCharType="end"/>
      </w:r>
      <w:r>
        <w:t xml:space="preserve">: </w:t>
      </w:r>
      <w:r>
        <w:rPr>
          <w:color w:val="444444"/>
          <w:sz w:val="20"/>
        </w:rPr>
        <w:t>High-level risk register.</w:t>
      </w:r>
    </w:p>
    <w:p w14:paraId="121F6BE8" w14:textId="77777777" w:rsidR="00EC7327" w:rsidRDefault="00EC7327" w:rsidP="00EC7327">
      <w:r>
        <w:t xml:space="preserve">The fifth risk reflects a detail confirmed in the FTC's later settlement with Equifax: once inside the network, attackers located administrative credentials stored in plain text on an internal system and used them to query 51 separate databases over the following weeks [14]. That finding is what turns a single compromised web application into a breach of 147 million records, and it is a risk a patch alone does not touch; even a perfectly maintained patch cycle does not stop an attacker who is already inside from finding a credential left in a readable file. The pattern across all five risks is that each was individually foreseeable and each was addressed by an existing control that had failed operationally rather than one that did not exist: a patch existed but was not applied, a scan ran but produced a false negative, segmentation existed but was not granular enough to contain the intrusion, a monitoring tool existed but was blind due to an expired certificate, and a credential-storage standard existed but was not enforced consistently. </w:t>
      </w:r>
      <w:proofErr w:type="spellStart"/>
      <w:r>
        <w:t>Prioritisation</w:t>
      </w:r>
      <w:proofErr w:type="spellEnd"/>
      <w:r>
        <w:t xml:space="preserve"> therefore </w:t>
      </w:r>
      <w:proofErr w:type="spellStart"/>
      <w:r>
        <w:t>favours</w:t>
      </w:r>
      <w:proofErr w:type="spellEnd"/>
      <w:r>
        <w:t xml:space="preserve"> mitigations that reduce reliance on any single control functioning perfectly, which is the rationale for combining a hard patch SLA with independent asset-inventory reconciliation, network segmentation and credential vaulting, rather than relying on any one of these alone.</w:t>
      </w:r>
    </w:p>
    <w:p w14:paraId="5A7B6511" w14:textId="68084A92" w:rsidR="00EC7327" w:rsidRDefault="004A3020" w:rsidP="00EC7327">
      <w:pPr>
        <w:pStyle w:val="Heading2"/>
      </w:pPr>
      <w:bookmarkStart w:id="15" w:name="_Toc237431798"/>
      <w:r>
        <w:t>2.</w:t>
      </w:r>
      <w:r w:rsidR="00EC7327">
        <w:t>6 Compliance, Incident Response and Protection Controls</w:t>
      </w:r>
      <w:bookmarkEnd w:id="15"/>
    </w:p>
    <w:p w14:paraId="4AE12972" w14:textId="77777777" w:rsidR="00EC7327" w:rsidRDefault="00EC7327" w:rsidP="00EC7327">
      <w:r>
        <w:t xml:space="preserve">Regulatory alignment for a </w:t>
      </w:r>
      <w:proofErr w:type="spellStart"/>
      <w:r>
        <w:t>programme</w:t>
      </w:r>
      <w:proofErr w:type="spellEnd"/>
      <w:r>
        <w:t xml:space="preserve"> of this kind should follow the breach notification model established by the GDPR, which requires notification of a personal data breach to the relevant supervisory authority within 72 hours of the </w:t>
      </w:r>
      <w:proofErr w:type="spellStart"/>
      <w:r>
        <w:t>organisation</w:t>
      </w:r>
      <w:proofErr w:type="spellEnd"/>
      <w:r>
        <w:t xml:space="preserve"> becoming aware of it [7]. Equifax took over six weeks to publicly disclose the 2017 breach after its internal discovery; a policy committing to a fixed, short notification window, applied consistently regardless of jurisdiction, removes the discretion that produced that delay.</w:t>
      </w:r>
    </w:p>
    <w:p w14:paraId="3AFFE650" w14:textId="77777777" w:rsidR="00EC7327" w:rsidRDefault="00EC7327" w:rsidP="00EC7327">
      <w:r>
        <w:t xml:space="preserve">Incident response should be built around a documented plan with defined roles, escalation paths and playbooks for the scenarios most relevant to the risk register in Table 2, tested through tabletop exercises rather than left untested until a real incident forces the first run-through. A realistic testing cadence is at least two exercises a year, one covering an external web-application compromise similar to the actual 2017 event </w:t>
      </w:r>
      <w:r>
        <w:lastRenderedPageBreak/>
        <w:t>and one covering an insider or credential-misuse scenario, with findings from each exercise fed back into the policy metrics in Table 1 so that the plan improves rather than remains static. Disaster recovery planning should keep backups logically and administratively separate from production systems, so that a compromise of production credentials cannot also compromise the recovery path.</w:t>
      </w:r>
    </w:p>
    <w:p w14:paraId="0633541F" w14:textId="77777777" w:rsidR="00EC7327" w:rsidRDefault="00EC7327" w:rsidP="00EC7327">
      <w:r>
        <w:t xml:space="preserve">On the technical side, the </w:t>
      </w:r>
      <w:proofErr w:type="spellStart"/>
      <w:r>
        <w:t>programme</w:t>
      </w:r>
      <w:proofErr w:type="spellEnd"/>
      <w:r>
        <w:t xml:space="preserve"> combines the ZTNA and SASE controls from Task 1, which limit how far an intrusion can spread once it begins, with continuous vulnerability scanning that is reconciled against the asset inventory rather than run in isolation, endpoint detection and response tooling, encryption with actively managed certificate lifecycles, and strong authentication, including multi-factor authentication, for all administrative and internet-facing application accounts. The justification for this combination is measurable. IBM's 2024 data places the average breach dwell time at 258 days industry-wide [6], while Equifax's own attackers had roughly 76 days of undetected access, itself long enough to extract data on around 40% of the US adult population; controls that close the detection gap, in particular working certificate-based traffic inspection and an access model that limits lateral movement, address the two specific technical failures that turned an exploited web application into a breach of that scale. Reducing dwell time and constraining lateral reach are the two levers with the clearest link, in this case, between the technical control and the limitation of harm actually observed.</w:t>
      </w:r>
    </w:p>
    <w:p w14:paraId="7A2EE08E" w14:textId="08204BE8" w:rsidR="00EC7327" w:rsidRDefault="00ED37BC" w:rsidP="00EC7327">
      <w:pPr>
        <w:pStyle w:val="Heading2"/>
      </w:pPr>
      <w:bookmarkStart w:id="16" w:name="_Toc237431799"/>
      <w:r>
        <w:t>2.</w:t>
      </w:r>
      <w:r w:rsidR="00EC7327">
        <w:t>7 Conclusion</w:t>
      </w:r>
      <w:bookmarkEnd w:id="16"/>
    </w:p>
    <w:p w14:paraId="7369A9BC" w14:textId="77777777" w:rsidR="00EC7327" w:rsidRDefault="00EC7327" w:rsidP="00EC7327">
      <w:r>
        <w:t xml:space="preserve">The five components of this </w:t>
      </w:r>
      <w:proofErr w:type="spellStart"/>
      <w:r>
        <w:t>programme</w:t>
      </w:r>
      <w:proofErr w:type="spellEnd"/>
      <w:r>
        <w:t xml:space="preserve">, accountable governance, auditable policy, strategic alignment to a </w:t>
      </w:r>
      <w:proofErr w:type="spellStart"/>
      <w:r>
        <w:t>recognised</w:t>
      </w:r>
      <w:proofErr w:type="spellEnd"/>
      <w:r>
        <w:t xml:space="preserve"> framework, an evidence-based risk register and a compliance and control layer built on ZTNA, SASE and DLP, are designed to function as one system rather than as independent workstreams. The Equifax case shows why that matters: nearly every individual technical control that could have prevented or limited the breach already existed inside the </w:t>
      </w:r>
      <w:proofErr w:type="spellStart"/>
      <w:r>
        <w:t>organisation</w:t>
      </w:r>
      <w:proofErr w:type="spellEnd"/>
      <w:r>
        <w:t xml:space="preserve"> in some form, a patch, a scan, a segmentation boundary, a monitoring certificate, a credential-storage standard, and each failed for a governance or process reason rather than a technology gap. A </w:t>
      </w:r>
      <w:proofErr w:type="spellStart"/>
      <w:r>
        <w:t>programme</w:t>
      </w:r>
      <w:proofErr w:type="spellEnd"/>
      <w:r>
        <w:t xml:space="preserve"> that fixes only the technology while leaving accountability, patch discipline and independent audit unaddressed would be exposed to the same failure mode again. Regular independent audit against the metrics in Table 1, reporting through the line shown in Figure 2, is what keeps that from happening quietly, and is the single design choice in this report most directly aimed at preventing a second Equifax rather than only responding to the first.</w:t>
      </w:r>
    </w:p>
    <w:p w14:paraId="37A17EC5" w14:textId="77777777" w:rsidR="00EC7327" w:rsidRDefault="00EC7327" w:rsidP="00EC7327">
      <w:r>
        <w:br w:type="page"/>
      </w:r>
    </w:p>
    <w:p w14:paraId="49890D94" w14:textId="77777777" w:rsidR="00EC7327" w:rsidRDefault="00EC7327" w:rsidP="00EC7327">
      <w:pPr>
        <w:pStyle w:val="Heading1"/>
      </w:pPr>
      <w:bookmarkStart w:id="17" w:name="_Toc237431800"/>
      <w:r>
        <w:lastRenderedPageBreak/>
        <w:t>References</w:t>
      </w:r>
      <w:bookmarkEnd w:id="17"/>
    </w:p>
    <w:p w14:paraId="48412A4D" w14:textId="77777777" w:rsidR="00EC7327" w:rsidRDefault="00EC7327" w:rsidP="00EC7327">
      <w:pPr>
        <w:ind w:left="567" w:hanging="567"/>
      </w:pPr>
      <w:r>
        <w:rPr>
          <w:b/>
        </w:rPr>
        <w:t xml:space="preserve">[1] </w:t>
      </w:r>
      <w:r>
        <w:t>Gallup, "Hybrid Work in Retreat? Barely," Gallup Workplace, Washington, DC, USA, 2025. [Online]. Available: https://www.gallup.com/workplace/694361/hybrid-work-retreat-barely.aspx</w:t>
      </w:r>
    </w:p>
    <w:p w14:paraId="07009628" w14:textId="77777777" w:rsidR="00EC7327" w:rsidRDefault="00EC7327" w:rsidP="00EC7327">
      <w:pPr>
        <w:ind w:left="567" w:hanging="567"/>
      </w:pPr>
      <w:r>
        <w:rPr>
          <w:b/>
        </w:rPr>
        <w:t xml:space="preserve">[2] </w:t>
      </w:r>
      <w:r>
        <w:t>S. Rose, O. Borchert, S. Mitchell, and S. Connelly, "Zero Trust Architecture," National Institute of Standards and Technology, Gaithersburg, MD, USA, NIST Special Publication 800-207, Aug. 2020. [Online]. Available: https://doi.org/10.6028/NIST.SP.800-207</w:t>
      </w:r>
    </w:p>
    <w:p w14:paraId="3C8D2944" w14:textId="77777777" w:rsidR="00EC7327" w:rsidRDefault="00EC7327" w:rsidP="00EC7327">
      <w:pPr>
        <w:ind w:left="567" w:hanging="567"/>
      </w:pPr>
      <w:r>
        <w:rPr>
          <w:b/>
        </w:rPr>
        <w:t xml:space="preserve">[3] </w:t>
      </w:r>
      <w:r>
        <w:t>Verizon, "2024 Data Breach Investigations Report," Verizon, Basking Ridge, NJ, USA, 2024.</w:t>
      </w:r>
    </w:p>
    <w:p w14:paraId="0E74DA0B" w14:textId="77777777" w:rsidR="00EC7327" w:rsidRDefault="00EC7327" w:rsidP="00EC7327">
      <w:pPr>
        <w:ind w:left="567" w:hanging="567"/>
      </w:pPr>
      <w:r>
        <w:rPr>
          <w:b/>
        </w:rPr>
        <w:t xml:space="preserve">[4] </w:t>
      </w:r>
      <w:r>
        <w:t>Gartner, "Secure Access Service Edge (SASE)," Gartner Information Technology Glossary. [Online]. Available: https://www.gartner.com/en/information-technology/glossary/secure-access-service-edge-sase</w:t>
      </w:r>
    </w:p>
    <w:p w14:paraId="33DD7E49" w14:textId="77777777" w:rsidR="00EC7327" w:rsidRDefault="00EC7327" w:rsidP="00EC7327">
      <w:pPr>
        <w:ind w:left="567" w:hanging="567"/>
      </w:pPr>
      <w:r>
        <w:rPr>
          <w:b/>
        </w:rPr>
        <w:t xml:space="preserve">[5] </w:t>
      </w:r>
      <w:r>
        <w:t xml:space="preserve">R. </w:t>
      </w:r>
      <w:proofErr w:type="spellStart"/>
      <w:r>
        <w:t>Tahboub</w:t>
      </w:r>
      <w:proofErr w:type="spellEnd"/>
      <w:r>
        <w:t xml:space="preserve"> and Y. Saleh, "Data leakage/loss prevention systems (DLP)," in Proc. 2014 World Congress on Computer Applications and Information Systems (WCCAIS), </w:t>
      </w:r>
      <w:proofErr w:type="spellStart"/>
      <w:r>
        <w:t>Hammamet</w:t>
      </w:r>
      <w:proofErr w:type="spellEnd"/>
      <w:r>
        <w:t xml:space="preserve">, Tunisia, 2014, </w:t>
      </w:r>
      <w:proofErr w:type="spellStart"/>
      <w:r>
        <w:t>doi</w:t>
      </w:r>
      <w:proofErr w:type="spellEnd"/>
      <w:r>
        <w:t>: 10.1109/WCCAIS.2014.6916624.</w:t>
      </w:r>
    </w:p>
    <w:p w14:paraId="53428964" w14:textId="77777777" w:rsidR="00EC7327" w:rsidRDefault="00EC7327" w:rsidP="00EC7327">
      <w:pPr>
        <w:ind w:left="567" w:hanging="567"/>
      </w:pPr>
      <w:r>
        <w:rPr>
          <w:b/>
        </w:rPr>
        <w:t xml:space="preserve">[6] </w:t>
      </w:r>
      <w:r>
        <w:t>IBM Security, "Cost of a Data Breach Report 2024," IBM, Armonk, NY, USA, Jul. 2024.</w:t>
      </w:r>
    </w:p>
    <w:p w14:paraId="3A9D971F" w14:textId="77777777" w:rsidR="00EC7327" w:rsidRDefault="00EC7327" w:rsidP="00EC7327">
      <w:pPr>
        <w:ind w:left="567" w:hanging="567"/>
      </w:pPr>
      <w:r>
        <w:rPr>
          <w:b/>
        </w:rPr>
        <w:t xml:space="preserve">[7] </w:t>
      </w:r>
      <w:r>
        <w:t>European Parliament and Council of the European Union, Regulation (EU) 2016/679 of 27 April 2016 on the protection of natural persons with regard to the processing of personal data (General Data Protection Regulation), Official Journal of the European Union, L 119, 4 May 2016.</w:t>
      </w:r>
    </w:p>
    <w:p w14:paraId="4ABB5947" w14:textId="77777777" w:rsidR="00EC7327" w:rsidRDefault="00EC7327" w:rsidP="00EC7327">
      <w:pPr>
        <w:ind w:left="567" w:hanging="567"/>
      </w:pPr>
      <w:r>
        <w:rPr>
          <w:b/>
        </w:rPr>
        <w:t xml:space="preserve">[8] </w:t>
      </w:r>
      <w:r>
        <w:t>European Parliament and Council of the European Union, Regulation (EU) 2022/2554 of 14 December 2022 on digital operational resilience for the financial sector (Digital Operational Resilience Act), Official Journal of the European Union, L 333, 27 Dec. 2022.</w:t>
      </w:r>
    </w:p>
    <w:p w14:paraId="105CCA8B" w14:textId="77777777" w:rsidR="00EC7327" w:rsidRDefault="00EC7327" w:rsidP="00EC7327">
      <w:pPr>
        <w:ind w:left="567" w:hanging="567"/>
      </w:pPr>
      <w:r>
        <w:rPr>
          <w:b/>
        </w:rPr>
        <w:t xml:space="preserve">[9] </w:t>
      </w:r>
      <w:r>
        <w:t>European Parliament and Council of the European Union, Directive (EU) 2022/2555 of 14 December 2022 on measures for a high common level of cybersecurity across the Union (NIS 2 Directive), Official Journal of the European Union, L 333, 27 Dec. 2022.</w:t>
      </w:r>
    </w:p>
    <w:p w14:paraId="52D2F07D" w14:textId="77777777" w:rsidR="00EC7327" w:rsidRDefault="00EC7327" w:rsidP="00EC7327">
      <w:pPr>
        <w:ind w:left="567" w:hanging="567"/>
      </w:pPr>
      <w:r>
        <w:rPr>
          <w:b/>
        </w:rPr>
        <w:t xml:space="preserve">[10] </w:t>
      </w:r>
      <w:r>
        <w:t>U.S. Government Accountability Office, "Data Protection: Actions Taken by Equifax and Federal Agencies in Response to the 2017 Breach," Washington, DC, USA, Rep. GAO-18-559, Aug. 2018.</w:t>
      </w:r>
    </w:p>
    <w:p w14:paraId="0160DBE2" w14:textId="77777777" w:rsidR="00EC7327" w:rsidRDefault="00EC7327" w:rsidP="00EC7327">
      <w:pPr>
        <w:ind w:left="567" w:hanging="567"/>
      </w:pPr>
      <w:r>
        <w:rPr>
          <w:b/>
        </w:rPr>
        <w:t xml:space="preserve">[11] </w:t>
      </w:r>
      <w:r>
        <w:t>U.S. House of Representatives, Committee on Oversight and Government Reform, "The Equifax Data Breach," Majority Staff Report, 115th Congress, Washington, DC, USA, Dec. 2018.</w:t>
      </w:r>
    </w:p>
    <w:p w14:paraId="7BE012DD" w14:textId="77777777" w:rsidR="00EC7327" w:rsidRDefault="00EC7327" w:rsidP="00EC7327">
      <w:pPr>
        <w:ind w:left="567" w:hanging="567"/>
      </w:pPr>
      <w:r>
        <w:rPr>
          <w:b/>
        </w:rPr>
        <w:t xml:space="preserve">[12] </w:t>
      </w:r>
      <w:r>
        <w:t>National Institute of Standards and Technology, "The NIST Cybersecurity Framework (CSF) 2.0," NIST Cybersecurity White Paper (CSWP) 29, Gaithersburg, MD, USA, Feb. 2024. [Online]. Available: https://doi.org/10.6028/NIST.CSWP.29</w:t>
      </w:r>
    </w:p>
    <w:p w14:paraId="5E40971B" w14:textId="77777777" w:rsidR="00EC7327" w:rsidRDefault="00EC7327" w:rsidP="00EC7327">
      <w:pPr>
        <w:ind w:left="567" w:hanging="567"/>
      </w:pPr>
      <w:r>
        <w:rPr>
          <w:b/>
        </w:rPr>
        <w:t xml:space="preserve">[13] </w:t>
      </w:r>
      <w:r>
        <w:t>International Organization for Standardization, "Information security, cybersecurity and privacy protection, Information security management systems, Requirements," ISO/IEC 27001:2022, Geneva, Switzerland, 2022.</w:t>
      </w:r>
    </w:p>
    <w:p w14:paraId="6EF1BEB2" w14:textId="77777777" w:rsidR="00EC7327" w:rsidRDefault="00EC7327" w:rsidP="00EC7327">
      <w:pPr>
        <w:ind w:left="567" w:hanging="567"/>
      </w:pPr>
      <w:r>
        <w:rPr>
          <w:b/>
        </w:rPr>
        <w:lastRenderedPageBreak/>
        <w:t xml:space="preserve">[14] </w:t>
      </w:r>
      <w:r>
        <w:t>Federal Trade Commission, "$575 million Equifax settlement illustrates security basics for your business," FTC Business Blog, Washington, DC, USA, Jul. 2019. [Online]. Available: https://www.ftc.gov/business-guidance/blog/2019/07/575-million-equifax-settlement-illustrates-security-basics-your-business</w:t>
      </w:r>
    </w:p>
    <w:p w14:paraId="4B2DB557" w14:textId="77777777" w:rsidR="00EC7327" w:rsidRDefault="00EC7327" w:rsidP="00EC7327">
      <w:r>
        <w:br w:type="page"/>
      </w:r>
    </w:p>
    <w:p w14:paraId="33929C0E" w14:textId="77777777" w:rsidR="00EC7327" w:rsidRDefault="00EC7327" w:rsidP="00EC7327">
      <w:pPr>
        <w:pStyle w:val="Heading1"/>
      </w:pPr>
      <w:bookmarkStart w:id="18" w:name="_Toc237431801"/>
      <w:r>
        <w:lastRenderedPageBreak/>
        <w:t>Appendix A: RACI Matrix for Core Security Activities</w:t>
      </w:r>
      <w:bookmarkEnd w:id="18"/>
    </w:p>
    <w:p w14:paraId="1A798993" w14:textId="77777777" w:rsidR="00EC7327" w:rsidRDefault="00EC7327" w:rsidP="00EC7327">
      <w:r>
        <w:t>This appendix expands on the governance structure in Task 2, section 2, showing accountability for the activities most relevant to the risk register in Table 2. R = Responsible, A = Accountable, C = Consulted, I = Informed.</w:t>
      </w:r>
    </w:p>
    <w:p w14:paraId="439F80A1" w14:textId="21A8CC3F" w:rsidR="00EC7327" w:rsidRDefault="00EC7327" w:rsidP="00EC7327"/>
    <w:tbl>
      <w:tblPr>
        <w:tblStyle w:val="GridTable4"/>
        <w:tblW w:w="5000" w:type="pct"/>
        <w:tblLook w:val="04A0" w:firstRow="1" w:lastRow="0" w:firstColumn="1" w:lastColumn="0" w:noHBand="0" w:noVBand="1"/>
      </w:tblPr>
      <w:tblGrid>
        <w:gridCol w:w="1743"/>
        <w:gridCol w:w="1743"/>
        <w:gridCol w:w="1743"/>
        <w:gridCol w:w="1743"/>
        <w:gridCol w:w="1742"/>
        <w:gridCol w:w="1742"/>
      </w:tblGrid>
      <w:tr w:rsidR="00EC7327" w14:paraId="0698DB2C" w14:textId="77777777" w:rsidTr="00B077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tcPr>
          <w:p w14:paraId="59166B1E" w14:textId="77777777" w:rsidR="00EC7327" w:rsidRDefault="00EC7327" w:rsidP="00D339F1">
            <w:r>
              <w:rPr>
                <w:color w:val="FFFFFF"/>
                <w:sz w:val="19"/>
              </w:rPr>
              <w:t>Activity</w:t>
            </w:r>
          </w:p>
        </w:tc>
        <w:tc>
          <w:tcPr>
            <w:tcW w:w="833" w:type="pct"/>
          </w:tcPr>
          <w:p w14:paraId="4C183471" w14:textId="77777777" w:rsidR="00EC7327" w:rsidRDefault="00EC7327" w:rsidP="00D339F1">
            <w:pPr>
              <w:cnfStyle w:val="100000000000" w:firstRow="1" w:lastRow="0" w:firstColumn="0" w:lastColumn="0" w:oddVBand="0" w:evenVBand="0" w:oddHBand="0" w:evenHBand="0" w:firstRowFirstColumn="0" w:firstRowLastColumn="0" w:lastRowFirstColumn="0" w:lastRowLastColumn="0"/>
            </w:pPr>
            <w:r>
              <w:rPr>
                <w:color w:val="FFFFFF"/>
                <w:sz w:val="19"/>
              </w:rPr>
              <w:t>CISO</w:t>
            </w:r>
          </w:p>
        </w:tc>
        <w:tc>
          <w:tcPr>
            <w:tcW w:w="833" w:type="pct"/>
          </w:tcPr>
          <w:p w14:paraId="57A0A505" w14:textId="77777777" w:rsidR="00EC7327" w:rsidRDefault="00EC7327" w:rsidP="00D339F1">
            <w:pPr>
              <w:cnfStyle w:val="100000000000" w:firstRow="1" w:lastRow="0" w:firstColumn="0" w:lastColumn="0" w:oddVBand="0" w:evenVBand="0" w:oddHBand="0" w:evenHBand="0" w:firstRowFirstColumn="0" w:firstRowLastColumn="0" w:lastRowFirstColumn="0" w:lastRowLastColumn="0"/>
            </w:pPr>
            <w:r>
              <w:rPr>
                <w:color w:val="FFFFFF"/>
                <w:sz w:val="19"/>
              </w:rPr>
              <w:t>Vuln. &amp; Patch Lead</w:t>
            </w:r>
          </w:p>
        </w:tc>
        <w:tc>
          <w:tcPr>
            <w:tcW w:w="833" w:type="pct"/>
          </w:tcPr>
          <w:p w14:paraId="48E7A614" w14:textId="77777777" w:rsidR="00EC7327" w:rsidRDefault="00EC7327" w:rsidP="00D339F1">
            <w:pPr>
              <w:cnfStyle w:val="100000000000" w:firstRow="1" w:lastRow="0" w:firstColumn="0" w:lastColumn="0" w:oddVBand="0" w:evenVBand="0" w:oddHBand="0" w:evenHBand="0" w:firstRowFirstColumn="0" w:firstRowLastColumn="0" w:lastRowFirstColumn="0" w:lastRowLastColumn="0"/>
            </w:pPr>
            <w:r>
              <w:rPr>
                <w:color w:val="FFFFFF"/>
                <w:sz w:val="19"/>
              </w:rPr>
              <w:t>Security Architecture Lead</w:t>
            </w:r>
          </w:p>
        </w:tc>
        <w:tc>
          <w:tcPr>
            <w:tcW w:w="833" w:type="pct"/>
          </w:tcPr>
          <w:p w14:paraId="79DB315E" w14:textId="77777777" w:rsidR="00EC7327" w:rsidRDefault="00EC7327" w:rsidP="00D339F1">
            <w:pPr>
              <w:cnfStyle w:val="100000000000" w:firstRow="1" w:lastRow="0" w:firstColumn="0" w:lastColumn="0" w:oddVBand="0" w:evenVBand="0" w:oddHBand="0" w:evenHBand="0" w:firstRowFirstColumn="0" w:firstRowLastColumn="0" w:lastRowFirstColumn="0" w:lastRowLastColumn="0"/>
            </w:pPr>
            <w:r>
              <w:rPr>
                <w:color w:val="FFFFFF"/>
                <w:sz w:val="19"/>
              </w:rPr>
              <w:t>Data Governance Officer</w:t>
            </w:r>
          </w:p>
        </w:tc>
        <w:tc>
          <w:tcPr>
            <w:tcW w:w="833" w:type="pct"/>
          </w:tcPr>
          <w:p w14:paraId="6901D6C3" w14:textId="77777777" w:rsidR="00EC7327" w:rsidRDefault="00EC7327" w:rsidP="00D339F1">
            <w:pPr>
              <w:cnfStyle w:val="100000000000" w:firstRow="1" w:lastRow="0" w:firstColumn="0" w:lastColumn="0" w:oddVBand="0" w:evenVBand="0" w:oddHBand="0" w:evenHBand="0" w:firstRowFirstColumn="0" w:firstRowLastColumn="0" w:lastRowFirstColumn="0" w:lastRowLastColumn="0"/>
            </w:pPr>
            <w:r>
              <w:rPr>
                <w:color w:val="FFFFFF"/>
                <w:sz w:val="19"/>
              </w:rPr>
              <w:t>Board Cyber Risk Committee</w:t>
            </w:r>
          </w:p>
        </w:tc>
      </w:tr>
      <w:tr w:rsidR="00EC7327" w14:paraId="4E718EEA" w14:textId="77777777" w:rsidTr="00B07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tcPr>
          <w:p w14:paraId="311CE2C7" w14:textId="77777777" w:rsidR="00EC7327" w:rsidRDefault="00EC7327" w:rsidP="00D339F1">
            <w:r>
              <w:rPr>
                <w:sz w:val="19"/>
              </w:rPr>
              <w:t>Critical patch deployment</w:t>
            </w:r>
          </w:p>
        </w:tc>
        <w:tc>
          <w:tcPr>
            <w:tcW w:w="833" w:type="pct"/>
          </w:tcPr>
          <w:p w14:paraId="3C34C42F" w14:textId="77777777" w:rsidR="00EC7327" w:rsidRDefault="00EC7327" w:rsidP="00D339F1">
            <w:pPr>
              <w:cnfStyle w:val="000000100000" w:firstRow="0" w:lastRow="0" w:firstColumn="0" w:lastColumn="0" w:oddVBand="0" w:evenVBand="0" w:oddHBand="1" w:evenHBand="0" w:firstRowFirstColumn="0" w:firstRowLastColumn="0" w:lastRowFirstColumn="0" w:lastRowLastColumn="0"/>
            </w:pPr>
            <w:r>
              <w:rPr>
                <w:sz w:val="19"/>
              </w:rPr>
              <w:t>A</w:t>
            </w:r>
          </w:p>
        </w:tc>
        <w:tc>
          <w:tcPr>
            <w:tcW w:w="833" w:type="pct"/>
          </w:tcPr>
          <w:p w14:paraId="4F571B63" w14:textId="77777777" w:rsidR="00EC7327" w:rsidRDefault="00EC7327" w:rsidP="00D339F1">
            <w:pPr>
              <w:cnfStyle w:val="000000100000" w:firstRow="0" w:lastRow="0" w:firstColumn="0" w:lastColumn="0" w:oddVBand="0" w:evenVBand="0" w:oddHBand="1" w:evenHBand="0" w:firstRowFirstColumn="0" w:firstRowLastColumn="0" w:lastRowFirstColumn="0" w:lastRowLastColumn="0"/>
            </w:pPr>
            <w:r>
              <w:rPr>
                <w:sz w:val="19"/>
              </w:rPr>
              <w:t>R</w:t>
            </w:r>
          </w:p>
        </w:tc>
        <w:tc>
          <w:tcPr>
            <w:tcW w:w="833" w:type="pct"/>
          </w:tcPr>
          <w:p w14:paraId="5BC27669" w14:textId="77777777" w:rsidR="00EC7327" w:rsidRDefault="00EC7327" w:rsidP="00D339F1">
            <w:pPr>
              <w:cnfStyle w:val="000000100000" w:firstRow="0" w:lastRow="0" w:firstColumn="0" w:lastColumn="0" w:oddVBand="0" w:evenVBand="0" w:oddHBand="1" w:evenHBand="0" w:firstRowFirstColumn="0" w:firstRowLastColumn="0" w:lastRowFirstColumn="0" w:lastRowLastColumn="0"/>
            </w:pPr>
            <w:r>
              <w:rPr>
                <w:sz w:val="19"/>
              </w:rPr>
              <w:t>C</w:t>
            </w:r>
          </w:p>
        </w:tc>
        <w:tc>
          <w:tcPr>
            <w:tcW w:w="833" w:type="pct"/>
          </w:tcPr>
          <w:p w14:paraId="4E4584FE" w14:textId="77777777" w:rsidR="00EC7327" w:rsidRDefault="00EC7327" w:rsidP="00D339F1">
            <w:pPr>
              <w:cnfStyle w:val="000000100000" w:firstRow="0" w:lastRow="0" w:firstColumn="0" w:lastColumn="0" w:oddVBand="0" w:evenVBand="0" w:oddHBand="1" w:evenHBand="0" w:firstRowFirstColumn="0" w:firstRowLastColumn="0" w:lastRowFirstColumn="0" w:lastRowLastColumn="0"/>
            </w:pPr>
            <w:r>
              <w:rPr>
                <w:sz w:val="19"/>
              </w:rPr>
              <w:t>I</w:t>
            </w:r>
          </w:p>
        </w:tc>
        <w:tc>
          <w:tcPr>
            <w:tcW w:w="833" w:type="pct"/>
          </w:tcPr>
          <w:p w14:paraId="5C0BDEDC" w14:textId="77777777" w:rsidR="00EC7327" w:rsidRDefault="00EC7327" w:rsidP="00D339F1">
            <w:pPr>
              <w:cnfStyle w:val="000000100000" w:firstRow="0" w:lastRow="0" w:firstColumn="0" w:lastColumn="0" w:oddVBand="0" w:evenVBand="0" w:oddHBand="1" w:evenHBand="0" w:firstRowFirstColumn="0" w:firstRowLastColumn="0" w:lastRowFirstColumn="0" w:lastRowLastColumn="0"/>
            </w:pPr>
            <w:r>
              <w:rPr>
                <w:sz w:val="19"/>
              </w:rPr>
              <w:t>I</w:t>
            </w:r>
          </w:p>
        </w:tc>
      </w:tr>
      <w:tr w:rsidR="00EC7327" w14:paraId="1433A567" w14:textId="77777777" w:rsidTr="00B07763">
        <w:tc>
          <w:tcPr>
            <w:cnfStyle w:val="001000000000" w:firstRow="0" w:lastRow="0" w:firstColumn="1" w:lastColumn="0" w:oddVBand="0" w:evenVBand="0" w:oddHBand="0" w:evenHBand="0" w:firstRowFirstColumn="0" w:firstRowLastColumn="0" w:lastRowFirstColumn="0" w:lastRowLastColumn="0"/>
            <w:tcW w:w="833" w:type="pct"/>
          </w:tcPr>
          <w:p w14:paraId="75847D8C" w14:textId="77777777" w:rsidR="00EC7327" w:rsidRDefault="00EC7327" w:rsidP="00D339F1">
            <w:r>
              <w:rPr>
                <w:sz w:val="19"/>
              </w:rPr>
              <w:t>Network segmentation design</w:t>
            </w:r>
          </w:p>
        </w:tc>
        <w:tc>
          <w:tcPr>
            <w:tcW w:w="833" w:type="pct"/>
          </w:tcPr>
          <w:p w14:paraId="76D15C31" w14:textId="77777777" w:rsidR="00EC7327" w:rsidRDefault="00EC7327" w:rsidP="00D339F1">
            <w:pPr>
              <w:cnfStyle w:val="000000000000" w:firstRow="0" w:lastRow="0" w:firstColumn="0" w:lastColumn="0" w:oddVBand="0" w:evenVBand="0" w:oddHBand="0" w:evenHBand="0" w:firstRowFirstColumn="0" w:firstRowLastColumn="0" w:lastRowFirstColumn="0" w:lastRowLastColumn="0"/>
            </w:pPr>
            <w:r>
              <w:rPr>
                <w:sz w:val="19"/>
              </w:rPr>
              <w:t>A</w:t>
            </w:r>
          </w:p>
        </w:tc>
        <w:tc>
          <w:tcPr>
            <w:tcW w:w="833" w:type="pct"/>
          </w:tcPr>
          <w:p w14:paraId="58CAB936" w14:textId="77777777" w:rsidR="00EC7327" w:rsidRDefault="00EC7327" w:rsidP="00D339F1">
            <w:pPr>
              <w:cnfStyle w:val="000000000000" w:firstRow="0" w:lastRow="0" w:firstColumn="0" w:lastColumn="0" w:oddVBand="0" w:evenVBand="0" w:oddHBand="0" w:evenHBand="0" w:firstRowFirstColumn="0" w:firstRowLastColumn="0" w:lastRowFirstColumn="0" w:lastRowLastColumn="0"/>
            </w:pPr>
            <w:r>
              <w:rPr>
                <w:sz w:val="19"/>
              </w:rPr>
              <w:t>I</w:t>
            </w:r>
          </w:p>
        </w:tc>
        <w:tc>
          <w:tcPr>
            <w:tcW w:w="833" w:type="pct"/>
          </w:tcPr>
          <w:p w14:paraId="74303EBB" w14:textId="77777777" w:rsidR="00EC7327" w:rsidRDefault="00EC7327" w:rsidP="00D339F1">
            <w:pPr>
              <w:cnfStyle w:val="000000000000" w:firstRow="0" w:lastRow="0" w:firstColumn="0" w:lastColumn="0" w:oddVBand="0" w:evenVBand="0" w:oddHBand="0" w:evenHBand="0" w:firstRowFirstColumn="0" w:firstRowLastColumn="0" w:lastRowFirstColumn="0" w:lastRowLastColumn="0"/>
            </w:pPr>
            <w:r>
              <w:rPr>
                <w:sz w:val="19"/>
              </w:rPr>
              <w:t>R</w:t>
            </w:r>
          </w:p>
        </w:tc>
        <w:tc>
          <w:tcPr>
            <w:tcW w:w="833" w:type="pct"/>
          </w:tcPr>
          <w:p w14:paraId="79E37E45" w14:textId="77777777" w:rsidR="00EC7327" w:rsidRDefault="00EC7327" w:rsidP="00D339F1">
            <w:pPr>
              <w:cnfStyle w:val="000000000000" w:firstRow="0" w:lastRow="0" w:firstColumn="0" w:lastColumn="0" w:oddVBand="0" w:evenVBand="0" w:oddHBand="0" w:evenHBand="0" w:firstRowFirstColumn="0" w:firstRowLastColumn="0" w:lastRowFirstColumn="0" w:lastRowLastColumn="0"/>
            </w:pPr>
            <w:r>
              <w:rPr>
                <w:sz w:val="19"/>
              </w:rPr>
              <w:t>C</w:t>
            </w:r>
          </w:p>
        </w:tc>
        <w:tc>
          <w:tcPr>
            <w:tcW w:w="833" w:type="pct"/>
          </w:tcPr>
          <w:p w14:paraId="27702477" w14:textId="77777777" w:rsidR="00EC7327" w:rsidRDefault="00EC7327" w:rsidP="00D339F1">
            <w:pPr>
              <w:cnfStyle w:val="000000000000" w:firstRow="0" w:lastRow="0" w:firstColumn="0" w:lastColumn="0" w:oddVBand="0" w:evenVBand="0" w:oddHBand="0" w:evenHBand="0" w:firstRowFirstColumn="0" w:firstRowLastColumn="0" w:lastRowFirstColumn="0" w:lastRowLastColumn="0"/>
            </w:pPr>
            <w:r>
              <w:rPr>
                <w:sz w:val="19"/>
              </w:rPr>
              <w:t>I</w:t>
            </w:r>
          </w:p>
        </w:tc>
      </w:tr>
      <w:tr w:rsidR="00EC7327" w14:paraId="4A223E55" w14:textId="77777777" w:rsidTr="00B07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tcPr>
          <w:p w14:paraId="1C5D0E6D" w14:textId="77777777" w:rsidR="00EC7327" w:rsidRDefault="00EC7327" w:rsidP="00D339F1">
            <w:r>
              <w:rPr>
                <w:sz w:val="19"/>
              </w:rPr>
              <w:t>Data classification and retention</w:t>
            </w:r>
          </w:p>
        </w:tc>
        <w:tc>
          <w:tcPr>
            <w:tcW w:w="833" w:type="pct"/>
          </w:tcPr>
          <w:p w14:paraId="38FF334E" w14:textId="77777777" w:rsidR="00EC7327" w:rsidRDefault="00EC7327" w:rsidP="00D339F1">
            <w:pPr>
              <w:cnfStyle w:val="000000100000" w:firstRow="0" w:lastRow="0" w:firstColumn="0" w:lastColumn="0" w:oddVBand="0" w:evenVBand="0" w:oddHBand="1" w:evenHBand="0" w:firstRowFirstColumn="0" w:firstRowLastColumn="0" w:lastRowFirstColumn="0" w:lastRowLastColumn="0"/>
            </w:pPr>
            <w:r>
              <w:rPr>
                <w:sz w:val="19"/>
              </w:rPr>
              <w:t>A</w:t>
            </w:r>
          </w:p>
        </w:tc>
        <w:tc>
          <w:tcPr>
            <w:tcW w:w="833" w:type="pct"/>
          </w:tcPr>
          <w:p w14:paraId="31600AA8" w14:textId="77777777" w:rsidR="00EC7327" w:rsidRDefault="00EC7327" w:rsidP="00D339F1">
            <w:pPr>
              <w:cnfStyle w:val="000000100000" w:firstRow="0" w:lastRow="0" w:firstColumn="0" w:lastColumn="0" w:oddVBand="0" w:evenVBand="0" w:oddHBand="1" w:evenHBand="0" w:firstRowFirstColumn="0" w:firstRowLastColumn="0" w:lastRowFirstColumn="0" w:lastRowLastColumn="0"/>
            </w:pPr>
            <w:r>
              <w:rPr>
                <w:sz w:val="19"/>
              </w:rPr>
              <w:t>I</w:t>
            </w:r>
          </w:p>
        </w:tc>
        <w:tc>
          <w:tcPr>
            <w:tcW w:w="833" w:type="pct"/>
          </w:tcPr>
          <w:p w14:paraId="4C85A845" w14:textId="77777777" w:rsidR="00EC7327" w:rsidRDefault="00EC7327" w:rsidP="00D339F1">
            <w:pPr>
              <w:cnfStyle w:val="000000100000" w:firstRow="0" w:lastRow="0" w:firstColumn="0" w:lastColumn="0" w:oddVBand="0" w:evenVBand="0" w:oddHBand="1" w:evenHBand="0" w:firstRowFirstColumn="0" w:firstRowLastColumn="0" w:lastRowFirstColumn="0" w:lastRowLastColumn="0"/>
            </w:pPr>
            <w:r>
              <w:rPr>
                <w:sz w:val="19"/>
              </w:rPr>
              <w:t>C</w:t>
            </w:r>
          </w:p>
        </w:tc>
        <w:tc>
          <w:tcPr>
            <w:tcW w:w="833" w:type="pct"/>
          </w:tcPr>
          <w:p w14:paraId="3E9545B8" w14:textId="77777777" w:rsidR="00EC7327" w:rsidRDefault="00EC7327" w:rsidP="00D339F1">
            <w:pPr>
              <w:cnfStyle w:val="000000100000" w:firstRow="0" w:lastRow="0" w:firstColumn="0" w:lastColumn="0" w:oddVBand="0" w:evenVBand="0" w:oddHBand="1" w:evenHBand="0" w:firstRowFirstColumn="0" w:firstRowLastColumn="0" w:lastRowFirstColumn="0" w:lastRowLastColumn="0"/>
            </w:pPr>
            <w:r>
              <w:rPr>
                <w:sz w:val="19"/>
              </w:rPr>
              <w:t>R</w:t>
            </w:r>
          </w:p>
        </w:tc>
        <w:tc>
          <w:tcPr>
            <w:tcW w:w="833" w:type="pct"/>
          </w:tcPr>
          <w:p w14:paraId="7FA077D6" w14:textId="77777777" w:rsidR="00EC7327" w:rsidRDefault="00EC7327" w:rsidP="00D339F1">
            <w:pPr>
              <w:cnfStyle w:val="000000100000" w:firstRow="0" w:lastRow="0" w:firstColumn="0" w:lastColumn="0" w:oddVBand="0" w:evenVBand="0" w:oddHBand="1" w:evenHBand="0" w:firstRowFirstColumn="0" w:firstRowLastColumn="0" w:lastRowFirstColumn="0" w:lastRowLastColumn="0"/>
            </w:pPr>
            <w:r>
              <w:rPr>
                <w:sz w:val="19"/>
              </w:rPr>
              <w:t>I</w:t>
            </w:r>
          </w:p>
        </w:tc>
      </w:tr>
      <w:tr w:rsidR="00EC7327" w14:paraId="7AA3BC85" w14:textId="77777777" w:rsidTr="00B07763">
        <w:tc>
          <w:tcPr>
            <w:cnfStyle w:val="001000000000" w:firstRow="0" w:lastRow="0" w:firstColumn="1" w:lastColumn="0" w:oddVBand="0" w:evenVBand="0" w:oddHBand="0" w:evenHBand="0" w:firstRowFirstColumn="0" w:firstRowLastColumn="0" w:lastRowFirstColumn="0" w:lastRowLastColumn="0"/>
            <w:tcW w:w="833" w:type="pct"/>
          </w:tcPr>
          <w:p w14:paraId="1EBE2ACF" w14:textId="77777777" w:rsidR="00EC7327" w:rsidRDefault="00EC7327" w:rsidP="00D339F1">
            <w:r>
              <w:rPr>
                <w:sz w:val="19"/>
              </w:rPr>
              <w:t>Certificate lifecycle management</w:t>
            </w:r>
          </w:p>
        </w:tc>
        <w:tc>
          <w:tcPr>
            <w:tcW w:w="833" w:type="pct"/>
          </w:tcPr>
          <w:p w14:paraId="007CF835" w14:textId="77777777" w:rsidR="00EC7327" w:rsidRDefault="00EC7327" w:rsidP="00D339F1">
            <w:pPr>
              <w:cnfStyle w:val="000000000000" w:firstRow="0" w:lastRow="0" w:firstColumn="0" w:lastColumn="0" w:oddVBand="0" w:evenVBand="0" w:oddHBand="0" w:evenHBand="0" w:firstRowFirstColumn="0" w:firstRowLastColumn="0" w:lastRowFirstColumn="0" w:lastRowLastColumn="0"/>
            </w:pPr>
            <w:r>
              <w:rPr>
                <w:sz w:val="19"/>
              </w:rPr>
              <w:t>A</w:t>
            </w:r>
          </w:p>
        </w:tc>
        <w:tc>
          <w:tcPr>
            <w:tcW w:w="833" w:type="pct"/>
          </w:tcPr>
          <w:p w14:paraId="554AB4C9" w14:textId="77777777" w:rsidR="00EC7327" w:rsidRDefault="00EC7327" w:rsidP="00D339F1">
            <w:pPr>
              <w:cnfStyle w:val="000000000000" w:firstRow="0" w:lastRow="0" w:firstColumn="0" w:lastColumn="0" w:oddVBand="0" w:evenVBand="0" w:oddHBand="0" w:evenHBand="0" w:firstRowFirstColumn="0" w:firstRowLastColumn="0" w:lastRowFirstColumn="0" w:lastRowLastColumn="0"/>
            </w:pPr>
            <w:r>
              <w:rPr>
                <w:sz w:val="19"/>
              </w:rPr>
              <w:t>R</w:t>
            </w:r>
          </w:p>
        </w:tc>
        <w:tc>
          <w:tcPr>
            <w:tcW w:w="833" w:type="pct"/>
          </w:tcPr>
          <w:p w14:paraId="2E067151" w14:textId="77777777" w:rsidR="00EC7327" w:rsidRDefault="00EC7327" w:rsidP="00D339F1">
            <w:pPr>
              <w:cnfStyle w:val="000000000000" w:firstRow="0" w:lastRow="0" w:firstColumn="0" w:lastColumn="0" w:oddVBand="0" w:evenVBand="0" w:oddHBand="0" w:evenHBand="0" w:firstRowFirstColumn="0" w:firstRowLastColumn="0" w:lastRowFirstColumn="0" w:lastRowLastColumn="0"/>
            </w:pPr>
            <w:r>
              <w:rPr>
                <w:sz w:val="19"/>
              </w:rPr>
              <w:t>C</w:t>
            </w:r>
          </w:p>
        </w:tc>
        <w:tc>
          <w:tcPr>
            <w:tcW w:w="833" w:type="pct"/>
          </w:tcPr>
          <w:p w14:paraId="4835FDC0" w14:textId="77777777" w:rsidR="00EC7327" w:rsidRDefault="00EC7327" w:rsidP="00D339F1">
            <w:pPr>
              <w:cnfStyle w:val="000000000000" w:firstRow="0" w:lastRow="0" w:firstColumn="0" w:lastColumn="0" w:oddVBand="0" w:evenVBand="0" w:oddHBand="0" w:evenHBand="0" w:firstRowFirstColumn="0" w:firstRowLastColumn="0" w:lastRowFirstColumn="0" w:lastRowLastColumn="0"/>
            </w:pPr>
            <w:r>
              <w:rPr>
                <w:sz w:val="19"/>
              </w:rPr>
              <w:t>I</w:t>
            </w:r>
          </w:p>
        </w:tc>
        <w:tc>
          <w:tcPr>
            <w:tcW w:w="833" w:type="pct"/>
          </w:tcPr>
          <w:p w14:paraId="5A5499F9" w14:textId="77777777" w:rsidR="00EC7327" w:rsidRDefault="00EC7327" w:rsidP="00D339F1">
            <w:pPr>
              <w:cnfStyle w:val="000000000000" w:firstRow="0" w:lastRow="0" w:firstColumn="0" w:lastColumn="0" w:oddVBand="0" w:evenVBand="0" w:oddHBand="0" w:evenHBand="0" w:firstRowFirstColumn="0" w:firstRowLastColumn="0" w:lastRowFirstColumn="0" w:lastRowLastColumn="0"/>
            </w:pPr>
            <w:r>
              <w:rPr>
                <w:sz w:val="19"/>
              </w:rPr>
              <w:t>I</w:t>
            </w:r>
          </w:p>
        </w:tc>
      </w:tr>
      <w:tr w:rsidR="00EC7327" w14:paraId="392A6EE9" w14:textId="77777777" w:rsidTr="00B07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tcPr>
          <w:p w14:paraId="76843D10" w14:textId="77777777" w:rsidR="00EC7327" w:rsidRDefault="00EC7327" w:rsidP="00D339F1">
            <w:r>
              <w:rPr>
                <w:sz w:val="19"/>
              </w:rPr>
              <w:t>Incident response plan testing</w:t>
            </w:r>
          </w:p>
        </w:tc>
        <w:tc>
          <w:tcPr>
            <w:tcW w:w="833" w:type="pct"/>
          </w:tcPr>
          <w:p w14:paraId="4A278DAA" w14:textId="77777777" w:rsidR="00EC7327" w:rsidRDefault="00EC7327" w:rsidP="00D339F1">
            <w:pPr>
              <w:cnfStyle w:val="000000100000" w:firstRow="0" w:lastRow="0" w:firstColumn="0" w:lastColumn="0" w:oddVBand="0" w:evenVBand="0" w:oddHBand="1" w:evenHBand="0" w:firstRowFirstColumn="0" w:firstRowLastColumn="0" w:lastRowFirstColumn="0" w:lastRowLastColumn="0"/>
            </w:pPr>
            <w:r>
              <w:rPr>
                <w:sz w:val="19"/>
              </w:rPr>
              <w:t>R</w:t>
            </w:r>
          </w:p>
        </w:tc>
        <w:tc>
          <w:tcPr>
            <w:tcW w:w="833" w:type="pct"/>
          </w:tcPr>
          <w:p w14:paraId="6A72A087" w14:textId="77777777" w:rsidR="00EC7327" w:rsidRDefault="00EC7327" w:rsidP="00D339F1">
            <w:pPr>
              <w:cnfStyle w:val="000000100000" w:firstRow="0" w:lastRow="0" w:firstColumn="0" w:lastColumn="0" w:oddVBand="0" w:evenVBand="0" w:oddHBand="1" w:evenHBand="0" w:firstRowFirstColumn="0" w:firstRowLastColumn="0" w:lastRowFirstColumn="0" w:lastRowLastColumn="0"/>
            </w:pPr>
            <w:r>
              <w:rPr>
                <w:sz w:val="19"/>
              </w:rPr>
              <w:t>C</w:t>
            </w:r>
          </w:p>
        </w:tc>
        <w:tc>
          <w:tcPr>
            <w:tcW w:w="833" w:type="pct"/>
          </w:tcPr>
          <w:p w14:paraId="4A8538DA" w14:textId="77777777" w:rsidR="00EC7327" w:rsidRDefault="00EC7327" w:rsidP="00D339F1">
            <w:pPr>
              <w:cnfStyle w:val="000000100000" w:firstRow="0" w:lastRow="0" w:firstColumn="0" w:lastColumn="0" w:oddVBand="0" w:evenVBand="0" w:oddHBand="1" w:evenHBand="0" w:firstRowFirstColumn="0" w:firstRowLastColumn="0" w:lastRowFirstColumn="0" w:lastRowLastColumn="0"/>
            </w:pPr>
            <w:r>
              <w:rPr>
                <w:sz w:val="19"/>
              </w:rPr>
              <w:t>C</w:t>
            </w:r>
          </w:p>
        </w:tc>
        <w:tc>
          <w:tcPr>
            <w:tcW w:w="833" w:type="pct"/>
          </w:tcPr>
          <w:p w14:paraId="73E2ECEB" w14:textId="77777777" w:rsidR="00EC7327" w:rsidRDefault="00EC7327" w:rsidP="00D339F1">
            <w:pPr>
              <w:cnfStyle w:val="000000100000" w:firstRow="0" w:lastRow="0" w:firstColumn="0" w:lastColumn="0" w:oddVBand="0" w:evenVBand="0" w:oddHBand="1" w:evenHBand="0" w:firstRowFirstColumn="0" w:firstRowLastColumn="0" w:lastRowFirstColumn="0" w:lastRowLastColumn="0"/>
            </w:pPr>
            <w:r>
              <w:rPr>
                <w:sz w:val="19"/>
              </w:rPr>
              <w:t>C</w:t>
            </w:r>
          </w:p>
        </w:tc>
        <w:tc>
          <w:tcPr>
            <w:tcW w:w="833" w:type="pct"/>
          </w:tcPr>
          <w:p w14:paraId="63A7D886" w14:textId="77777777" w:rsidR="00EC7327" w:rsidRDefault="00EC7327" w:rsidP="00D339F1">
            <w:pPr>
              <w:cnfStyle w:val="000000100000" w:firstRow="0" w:lastRow="0" w:firstColumn="0" w:lastColumn="0" w:oddVBand="0" w:evenVBand="0" w:oddHBand="1" w:evenHBand="0" w:firstRowFirstColumn="0" w:firstRowLastColumn="0" w:lastRowFirstColumn="0" w:lastRowLastColumn="0"/>
            </w:pPr>
            <w:r>
              <w:rPr>
                <w:sz w:val="19"/>
              </w:rPr>
              <w:t>A</w:t>
            </w:r>
          </w:p>
        </w:tc>
      </w:tr>
      <w:tr w:rsidR="00EC7327" w14:paraId="066948B5" w14:textId="77777777" w:rsidTr="00B07763">
        <w:tc>
          <w:tcPr>
            <w:cnfStyle w:val="001000000000" w:firstRow="0" w:lastRow="0" w:firstColumn="1" w:lastColumn="0" w:oddVBand="0" w:evenVBand="0" w:oddHBand="0" w:evenHBand="0" w:firstRowFirstColumn="0" w:firstRowLastColumn="0" w:lastRowFirstColumn="0" w:lastRowLastColumn="0"/>
            <w:tcW w:w="833" w:type="pct"/>
          </w:tcPr>
          <w:p w14:paraId="2BEDBF81" w14:textId="77777777" w:rsidR="00EC7327" w:rsidRDefault="00EC7327" w:rsidP="00D339F1">
            <w:r>
              <w:rPr>
                <w:sz w:val="19"/>
              </w:rPr>
              <w:t>Quarterly risk register review</w:t>
            </w:r>
          </w:p>
        </w:tc>
        <w:tc>
          <w:tcPr>
            <w:tcW w:w="833" w:type="pct"/>
          </w:tcPr>
          <w:p w14:paraId="5AD8900D" w14:textId="77777777" w:rsidR="00EC7327" w:rsidRDefault="00EC7327" w:rsidP="00D339F1">
            <w:pPr>
              <w:cnfStyle w:val="000000000000" w:firstRow="0" w:lastRow="0" w:firstColumn="0" w:lastColumn="0" w:oddVBand="0" w:evenVBand="0" w:oddHBand="0" w:evenHBand="0" w:firstRowFirstColumn="0" w:firstRowLastColumn="0" w:lastRowFirstColumn="0" w:lastRowLastColumn="0"/>
            </w:pPr>
            <w:r>
              <w:rPr>
                <w:sz w:val="19"/>
              </w:rPr>
              <w:t>R</w:t>
            </w:r>
          </w:p>
        </w:tc>
        <w:tc>
          <w:tcPr>
            <w:tcW w:w="833" w:type="pct"/>
          </w:tcPr>
          <w:p w14:paraId="411B3AE8" w14:textId="77777777" w:rsidR="00EC7327" w:rsidRDefault="00EC7327" w:rsidP="00D339F1">
            <w:pPr>
              <w:cnfStyle w:val="000000000000" w:firstRow="0" w:lastRow="0" w:firstColumn="0" w:lastColumn="0" w:oddVBand="0" w:evenVBand="0" w:oddHBand="0" w:evenHBand="0" w:firstRowFirstColumn="0" w:firstRowLastColumn="0" w:lastRowFirstColumn="0" w:lastRowLastColumn="0"/>
            </w:pPr>
            <w:r>
              <w:rPr>
                <w:sz w:val="19"/>
              </w:rPr>
              <w:t>C</w:t>
            </w:r>
          </w:p>
        </w:tc>
        <w:tc>
          <w:tcPr>
            <w:tcW w:w="833" w:type="pct"/>
          </w:tcPr>
          <w:p w14:paraId="4CAFBD9B" w14:textId="77777777" w:rsidR="00EC7327" w:rsidRDefault="00EC7327" w:rsidP="00D339F1">
            <w:pPr>
              <w:cnfStyle w:val="000000000000" w:firstRow="0" w:lastRow="0" w:firstColumn="0" w:lastColumn="0" w:oddVBand="0" w:evenVBand="0" w:oddHBand="0" w:evenHBand="0" w:firstRowFirstColumn="0" w:firstRowLastColumn="0" w:lastRowFirstColumn="0" w:lastRowLastColumn="0"/>
            </w:pPr>
            <w:r>
              <w:rPr>
                <w:sz w:val="19"/>
              </w:rPr>
              <w:t>C</w:t>
            </w:r>
          </w:p>
        </w:tc>
        <w:tc>
          <w:tcPr>
            <w:tcW w:w="833" w:type="pct"/>
          </w:tcPr>
          <w:p w14:paraId="0D09CFA9" w14:textId="77777777" w:rsidR="00EC7327" w:rsidRDefault="00EC7327" w:rsidP="00D339F1">
            <w:pPr>
              <w:cnfStyle w:val="000000000000" w:firstRow="0" w:lastRow="0" w:firstColumn="0" w:lastColumn="0" w:oddVBand="0" w:evenVBand="0" w:oddHBand="0" w:evenHBand="0" w:firstRowFirstColumn="0" w:firstRowLastColumn="0" w:lastRowFirstColumn="0" w:lastRowLastColumn="0"/>
            </w:pPr>
            <w:r>
              <w:rPr>
                <w:sz w:val="19"/>
              </w:rPr>
              <w:t>C</w:t>
            </w:r>
          </w:p>
        </w:tc>
        <w:tc>
          <w:tcPr>
            <w:tcW w:w="833" w:type="pct"/>
          </w:tcPr>
          <w:p w14:paraId="4C702C88" w14:textId="77777777" w:rsidR="00EC7327" w:rsidRDefault="00EC7327" w:rsidP="00D339F1">
            <w:pPr>
              <w:cnfStyle w:val="000000000000" w:firstRow="0" w:lastRow="0" w:firstColumn="0" w:lastColumn="0" w:oddVBand="0" w:evenVBand="0" w:oddHBand="0" w:evenHBand="0" w:firstRowFirstColumn="0" w:firstRowLastColumn="0" w:lastRowFirstColumn="0" w:lastRowLastColumn="0"/>
            </w:pPr>
            <w:r>
              <w:rPr>
                <w:sz w:val="19"/>
              </w:rPr>
              <w:t>A</w:t>
            </w:r>
          </w:p>
        </w:tc>
      </w:tr>
    </w:tbl>
    <w:p w14:paraId="1016FF6E" w14:textId="63B044EE" w:rsidR="00EC7327" w:rsidRDefault="00B07763" w:rsidP="00B07763">
      <w:pPr>
        <w:jc w:val="center"/>
      </w:pPr>
      <w:r>
        <w:rPr>
          <w:i/>
          <w:color w:val="444444"/>
          <w:sz w:val="20"/>
        </w:rPr>
        <w:t>Table A1: RACI matrix for core security activities.</w:t>
      </w:r>
    </w:p>
    <w:p w14:paraId="5AF2D8E4" w14:textId="2938C71C" w:rsidR="002A73A6" w:rsidRPr="002A73A6" w:rsidRDefault="002A73A6" w:rsidP="002A73A6"/>
    <w:sectPr w:rsidR="002A73A6" w:rsidRPr="002A73A6" w:rsidSect="004863CC">
      <w:headerReference w:type="even" r:id="rId15"/>
      <w:headerReference w:type="default" r:id="rId16"/>
      <w:footerReference w:type="default" r:id="rId17"/>
      <w:headerReference w:type="first" r:id="rId18"/>
      <w:pgSz w:w="11906" w:h="16838" w:code="9"/>
      <w:pgMar w:top="720" w:right="720" w:bottom="720" w:left="720" w:header="0" w:footer="0" w:gutter="0"/>
      <w:pgBorders w:offsetFrom="page">
        <w:top w:val="thinThickSmallGap" w:sz="12" w:space="24" w:color="0A2F41" w:themeColor="accent1" w:themeShade="80"/>
        <w:left w:val="thinThickSmallGap" w:sz="12" w:space="24" w:color="0A2F41" w:themeColor="accent1" w:themeShade="80"/>
        <w:bottom w:val="thickThinSmallGap" w:sz="12" w:space="24" w:color="0A2F41" w:themeColor="accent1" w:themeShade="80"/>
        <w:right w:val="thickThinSmallGap" w:sz="12" w:space="24" w:color="0A2F41" w:themeColor="accent1" w:themeShade="8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27025" w14:textId="77777777" w:rsidR="00C506DD" w:rsidRDefault="00C506DD" w:rsidP="00906A1A">
      <w:pPr>
        <w:spacing w:after="0" w:line="240" w:lineRule="auto"/>
      </w:pPr>
      <w:r>
        <w:separator/>
      </w:r>
    </w:p>
  </w:endnote>
  <w:endnote w:type="continuationSeparator" w:id="0">
    <w:p w14:paraId="5EB4C590" w14:textId="77777777" w:rsidR="00C506DD" w:rsidRDefault="00C506DD"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B35C7" w14:textId="3ED4C8BD"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12F87" w14:textId="77777777" w:rsidR="00C506DD" w:rsidRDefault="00C506DD" w:rsidP="00906A1A">
      <w:pPr>
        <w:spacing w:after="0" w:line="240" w:lineRule="auto"/>
      </w:pPr>
      <w:r>
        <w:separator/>
      </w:r>
    </w:p>
  </w:footnote>
  <w:footnote w:type="continuationSeparator" w:id="0">
    <w:p w14:paraId="68DD9DB6" w14:textId="77777777" w:rsidR="00C506DD" w:rsidRDefault="00C506DD" w:rsidP="00906A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B4DAF" w14:textId="575AB3F4" w:rsidR="00BA592E" w:rsidRDefault="00BA59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C4D38" w14:textId="4DB68CE7" w:rsidR="00BA592E" w:rsidRDefault="00BA59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FEBC4" w14:textId="451BD22C" w:rsidR="00BA592E" w:rsidRDefault="00BA592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6EBB3" w14:textId="464BD96E" w:rsidR="00BA592E" w:rsidRDefault="00BA592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0A52F" w14:textId="66E1354A" w:rsidR="00BA592E" w:rsidRDefault="00BA592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ABFCF" w14:textId="6F485E05" w:rsidR="00BA592E" w:rsidRDefault="00BA59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4C80E0C"/>
    <w:multiLevelType w:val="hybridMultilevel"/>
    <w:tmpl w:val="7D967B9A"/>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61B6CDA"/>
    <w:multiLevelType w:val="hybridMultilevel"/>
    <w:tmpl w:val="A768D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C6579"/>
    <w:multiLevelType w:val="hybridMultilevel"/>
    <w:tmpl w:val="8B0A9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9F6023"/>
    <w:multiLevelType w:val="hybridMultilevel"/>
    <w:tmpl w:val="41548D82"/>
    <w:lvl w:ilvl="0" w:tplc="D38AE35E">
      <w:start w:val="1"/>
      <w:numFmt w:val="bullet"/>
      <w:lvlText w:val="•"/>
      <w:lvlJc w:val="left"/>
      <w:pPr>
        <w:ind w:left="720" w:hanging="360"/>
      </w:pPr>
    </w:lvl>
    <w:lvl w:ilvl="1" w:tplc="516C1280">
      <w:numFmt w:val="decimal"/>
      <w:lvlText w:val=""/>
      <w:lvlJc w:val="left"/>
    </w:lvl>
    <w:lvl w:ilvl="2" w:tplc="3BDA656E">
      <w:numFmt w:val="decimal"/>
      <w:lvlText w:val=""/>
      <w:lvlJc w:val="left"/>
    </w:lvl>
    <w:lvl w:ilvl="3" w:tplc="B90819A4">
      <w:numFmt w:val="decimal"/>
      <w:lvlText w:val=""/>
      <w:lvlJc w:val="left"/>
    </w:lvl>
    <w:lvl w:ilvl="4" w:tplc="F9D8864C">
      <w:numFmt w:val="decimal"/>
      <w:lvlText w:val=""/>
      <w:lvlJc w:val="left"/>
    </w:lvl>
    <w:lvl w:ilvl="5" w:tplc="794AA08A">
      <w:numFmt w:val="decimal"/>
      <w:lvlText w:val=""/>
      <w:lvlJc w:val="left"/>
    </w:lvl>
    <w:lvl w:ilvl="6" w:tplc="56485E8A">
      <w:numFmt w:val="decimal"/>
      <w:lvlText w:val=""/>
      <w:lvlJc w:val="left"/>
    </w:lvl>
    <w:lvl w:ilvl="7" w:tplc="55B46EA8">
      <w:numFmt w:val="decimal"/>
      <w:lvlText w:val=""/>
      <w:lvlJc w:val="left"/>
    </w:lvl>
    <w:lvl w:ilvl="8" w:tplc="89725BA8">
      <w:numFmt w:val="decimal"/>
      <w:lvlText w:val=""/>
      <w:lvlJc w:val="left"/>
    </w:lvl>
  </w:abstractNum>
  <w:abstractNum w:abstractNumId="6" w15:restartNumberingAfterBreak="0">
    <w:nsid w:val="10F37B60"/>
    <w:multiLevelType w:val="hybridMultilevel"/>
    <w:tmpl w:val="5874C698"/>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B7B7D21"/>
    <w:multiLevelType w:val="hybridMultilevel"/>
    <w:tmpl w:val="B6B24AA0"/>
    <w:lvl w:ilvl="0" w:tplc="08090001">
      <w:start w:val="1"/>
      <w:numFmt w:val="bullet"/>
      <w:lvlText w:val=""/>
      <w:lvlJc w:val="left"/>
      <w:pPr>
        <w:ind w:left="782" w:hanging="360"/>
      </w:pPr>
      <w:rPr>
        <w:rFonts w:ascii="Symbol" w:hAnsi="Symbol" w:hint="default"/>
      </w:rPr>
    </w:lvl>
    <w:lvl w:ilvl="1" w:tplc="0409000B">
      <w:start w:val="1"/>
      <w:numFmt w:val="bullet"/>
      <w:lvlText w:val=""/>
      <w:lvlJc w:val="left"/>
      <w:pPr>
        <w:ind w:left="1502" w:hanging="360"/>
      </w:pPr>
      <w:rPr>
        <w:rFonts w:ascii="Wingdings" w:hAnsi="Wingdings"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8" w15:restartNumberingAfterBreak="0">
    <w:nsid w:val="1F9D7F89"/>
    <w:multiLevelType w:val="multilevel"/>
    <w:tmpl w:val="EDB24DAC"/>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20022763"/>
    <w:multiLevelType w:val="hybridMultilevel"/>
    <w:tmpl w:val="0E7AD3A4"/>
    <w:lvl w:ilvl="0" w:tplc="0409000B">
      <w:start w:val="1"/>
      <w:numFmt w:val="bullet"/>
      <w:lvlText w:val=""/>
      <w:lvlJc w:val="left"/>
      <w:pPr>
        <w:ind w:left="1502" w:hanging="360"/>
      </w:pPr>
      <w:rPr>
        <w:rFonts w:ascii="Wingdings" w:hAnsi="Wingdings" w:hint="default"/>
      </w:rPr>
    </w:lvl>
    <w:lvl w:ilvl="1" w:tplc="08090001">
      <w:start w:val="1"/>
      <w:numFmt w:val="bullet"/>
      <w:lvlText w:val=""/>
      <w:lvlJc w:val="left"/>
      <w:pPr>
        <w:ind w:left="2222" w:hanging="360"/>
      </w:pPr>
      <w:rPr>
        <w:rFonts w:ascii="Symbol" w:hAnsi="Symbol" w:hint="default"/>
      </w:rPr>
    </w:lvl>
    <w:lvl w:ilvl="2" w:tplc="08090005" w:tentative="1">
      <w:start w:val="1"/>
      <w:numFmt w:val="bullet"/>
      <w:lvlText w:val=""/>
      <w:lvlJc w:val="left"/>
      <w:pPr>
        <w:ind w:left="2942" w:hanging="360"/>
      </w:pPr>
      <w:rPr>
        <w:rFonts w:ascii="Wingdings" w:hAnsi="Wingdings" w:hint="default"/>
      </w:rPr>
    </w:lvl>
    <w:lvl w:ilvl="3" w:tplc="08090001" w:tentative="1">
      <w:start w:val="1"/>
      <w:numFmt w:val="bullet"/>
      <w:lvlText w:val=""/>
      <w:lvlJc w:val="left"/>
      <w:pPr>
        <w:ind w:left="3662" w:hanging="360"/>
      </w:pPr>
      <w:rPr>
        <w:rFonts w:ascii="Symbol" w:hAnsi="Symbol" w:hint="default"/>
      </w:rPr>
    </w:lvl>
    <w:lvl w:ilvl="4" w:tplc="08090003" w:tentative="1">
      <w:start w:val="1"/>
      <w:numFmt w:val="bullet"/>
      <w:lvlText w:val="o"/>
      <w:lvlJc w:val="left"/>
      <w:pPr>
        <w:ind w:left="4382" w:hanging="360"/>
      </w:pPr>
      <w:rPr>
        <w:rFonts w:ascii="Courier New" w:hAnsi="Courier New" w:cs="Courier New" w:hint="default"/>
      </w:rPr>
    </w:lvl>
    <w:lvl w:ilvl="5" w:tplc="08090005" w:tentative="1">
      <w:start w:val="1"/>
      <w:numFmt w:val="bullet"/>
      <w:lvlText w:val=""/>
      <w:lvlJc w:val="left"/>
      <w:pPr>
        <w:ind w:left="5102" w:hanging="360"/>
      </w:pPr>
      <w:rPr>
        <w:rFonts w:ascii="Wingdings" w:hAnsi="Wingdings" w:hint="default"/>
      </w:rPr>
    </w:lvl>
    <w:lvl w:ilvl="6" w:tplc="08090001" w:tentative="1">
      <w:start w:val="1"/>
      <w:numFmt w:val="bullet"/>
      <w:lvlText w:val=""/>
      <w:lvlJc w:val="left"/>
      <w:pPr>
        <w:ind w:left="5822" w:hanging="360"/>
      </w:pPr>
      <w:rPr>
        <w:rFonts w:ascii="Symbol" w:hAnsi="Symbol" w:hint="default"/>
      </w:rPr>
    </w:lvl>
    <w:lvl w:ilvl="7" w:tplc="08090003" w:tentative="1">
      <w:start w:val="1"/>
      <w:numFmt w:val="bullet"/>
      <w:lvlText w:val="o"/>
      <w:lvlJc w:val="left"/>
      <w:pPr>
        <w:ind w:left="6542" w:hanging="360"/>
      </w:pPr>
      <w:rPr>
        <w:rFonts w:ascii="Courier New" w:hAnsi="Courier New" w:cs="Courier New" w:hint="default"/>
      </w:rPr>
    </w:lvl>
    <w:lvl w:ilvl="8" w:tplc="08090005" w:tentative="1">
      <w:start w:val="1"/>
      <w:numFmt w:val="bullet"/>
      <w:lvlText w:val=""/>
      <w:lvlJc w:val="left"/>
      <w:pPr>
        <w:ind w:left="7262" w:hanging="360"/>
      </w:pPr>
      <w:rPr>
        <w:rFonts w:ascii="Wingdings" w:hAnsi="Wingdings" w:hint="default"/>
      </w:rPr>
    </w:lvl>
  </w:abstractNum>
  <w:abstractNum w:abstractNumId="10" w15:restartNumberingAfterBreak="0">
    <w:nsid w:val="246A3D13"/>
    <w:multiLevelType w:val="hybridMultilevel"/>
    <w:tmpl w:val="8198436E"/>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BC167F"/>
    <w:multiLevelType w:val="hybridMultilevel"/>
    <w:tmpl w:val="60087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EB5E28"/>
    <w:multiLevelType w:val="hybridMultilevel"/>
    <w:tmpl w:val="F266B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4075F4"/>
    <w:multiLevelType w:val="hybridMultilevel"/>
    <w:tmpl w:val="5546E8E4"/>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A67874"/>
    <w:multiLevelType w:val="hybridMultilevel"/>
    <w:tmpl w:val="DDF210BC"/>
    <w:lvl w:ilvl="0" w:tplc="D38AE35E">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F93506"/>
    <w:multiLevelType w:val="hybridMultilevel"/>
    <w:tmpl w:val="A3C0A1EC"/>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7732B9"/>
    <w:multiLevelType w:val="hybridMultilevel"/>
    <w:tmpl w:val="2C60B3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FAA107C"/>
    <w:multiLevelType w:val="multilevel"/>
    <w:tmpl w:val="3834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6C1EB9"/>
    <w:multiLevelType w:val="multilevel"/>
    <w:tmpl w:val="B3041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FF26FC"/>
    <w:multiLevelType w:val="multilevel"/>
    <w:tmpl w:val="FC9CA7D0"/>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rPr>
    </w:lvl>
    <w:lvl w:ilvl="2">
      <w:start w:val="1"/>
      <w:numFmt w:val="decimal"/>
      <w:pStyle w:val="Heading3"/>
      <w:isLgl/>
      <w:lvlText w:val="%1.%2.%3"/>
      <w:lvlJc w:val="left"/>
      <w:pPr>
        <w:ind w:left="1140"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A2F0DA6"/>
    <w:multiLevelType w:val="hybridMultilevel"/>
    <w:tmpl w:val="473061D8"/>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3BC662E"/>
    <w:multiLevelType w:val="hybridMultilevel"/>
    <w:tmpl w:val="5CBC0E8E"/>
    <w:lvl w:ilvl="0" w:tplc="D4AEC27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D04FB6"/>
    <w:multiLevelType w:val="hybridMultilevel"/>
    <w:tmpl w:val="6132218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AF3C0A"/>
    <w:multiLevelType w:val="hybridMultilevel"/>
    <w:tmpl w:val="8EA02914"/>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66E6129"/>
    <w:multiLevelType w:val="hybridMultilevel"/>
    <w:tmpl w:val="9C8086C4"/>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F">
      <w:start w:val="1"/>
      <w:numFmt w:val="decimal"/>
      <w:lvlText w:val="%3."/>
      <w:lvlJc w:val="left"/>
      <w:pPr>
        <w:ind w:left="2880" w:hanging="360"/>
      </w:pPr>
      <w:rPr>
        <w:rFont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B450345"/>
    <w:multiLevelType w:val="hybridMultilevel"/>
    <w:tmpl w:val="9316439A"/>
    <w:lvl w:ilvl="0" w:tplc="D38AE35E">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1A09A5"/>
    <w:multiLevelType w:val="hybridMultilevel"/>
    <w:tmpl w:val="CF40615A"/>
    <w:lvl w:ilvl="0" w:tplc="3746FD8A">
      <w:numFmt w:val="bullet"/>
      <w:lvlText w:val=""/>
      <w:lvlJc w:val="left"/>
      <w:pPr>
        <w:ind w:left="720" w:hanging="360"/>
      </w:pPr>
      <w:rPr>
        <w:rFonts w:ascii="Symbol" w:eastAsiaTheme="minorHAnsi" w:hAnsi="Symbol" w:cstheme="minorBidi" w:hint="default"/>
      </w:rPr>
    </w:lvl>
    <w:lvl w:ilvl="1" w:tplc="04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2D0FDD"/>
    <w:multiLevelType w:val="hybridMultilevel"/>
    <w:tmpl w:val="9BBE6F60"/>
    <w:lvl w:ilvl="0" w:tplc="D38AE35E">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406738"/>
    <w:multiLevelType w:val="hybridMultilevel"/>
    <w:tmpl w:val="2F064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407785"/>
    <w:multiLevelType w:val="multilevel"/>
    <w:tmpl w:val="EBFCB1E6"/>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3196" w:hanging="1440"/>
      </w:pPr>
      <w:rPr>
        <w:rFonts w:hint="default"/>
      </w:rPr>
    </w:lvl>
    <w:lvl w:ilvl="5">
      <w:start w:val="1"/>
      <w:numFmt w:val="decimal"/>
      <w:isLgl/>
      <w:lvlText w:val="%1.%2.%3.%4.%5.%6"/>
      <w:lvlJc w:val="left"/>
      <w:pPr>
        <w:ind w:left="3905" w:hanging="180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963" w:hanging="2160"/>
      </w:pPr>
      <w:rPr>
        <w:rFonts w:hint="default"/>
      </w:rPr>
    </w:lvl>
    <w:lvl w:ilvl="8">
      <w:start w:val="1"/>
      <w:numFmt w:val="decimal"/>
      <w:isLgl/>
      <w:lvlText w:val="%1.%2.%3.%4.%5.%6.%7.%8.%9"/>
      <w:lvlJc w:val="left"/>
      <w:pPr>
        <w:ind w:left="5672" w:hanging="2520"/>
      </w:pPr>
      <w:rPr>
        <w:rFonts w:hint="default"/>
      </w:rPr>
    </w:lvl>
  </w:abstractNum>
  <w:abstractNum w:abstractNumId="30" w15:restartNumberingAfterBreak="0">
    <w:nsid w:val="7EE16264"/>
    <w:multiLevelType w:val="hybridMultilevel"/>
    <w:tmpl w:val="B8AA0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8123732">
    <w:abstractNumId w:val="0"/>
  </w:num>
  <w:num w:numId="2" w16cid:durableId="1458521834">
    <w:abstractNumId w:val="1"/>
  </w:num>
  <w:num w:numId="3" w16cid:durableId="2048992200">
    <w:abstractNumId w:val="19"/>
  </w:num>
  <w:num w:numId="4" w16cid:durableId="1397436760">
    <w:abstractNumId w:val="29"/>
  </w:num>
  <w:num w:numId="5" w16cid:durableId="692919907">
    <w:abstractNumId w:val="16"/>
  </w:num>
  <w:num w:numId="6" w16cid:durableId="1838231978">
    <w:abstractNumId w:val="15"/>
  </w:num>
  <w:num w:numId="7" w16cid:durableId="2048524910">
    <w:abstractNumId w:val="20"/>
  </w:num>
  <w:num w:numId="8" w16cid:durableId="346370112">
    <w:abstractNumId w:val="23"/>
  </w:num>
  <w:num w:numId="9" w16cid:durableId="13656362">
    <w:abstractNumId w:val="2"/>
  </w:num>
  <w:num w:numId="10" w16cid:durableId="950742913">
    <w:abstractNumId w:val="24"/>
  </w:num>
  <w:num w:numId="11" w16cid:durableId="1790394814">
    <w:abstractNumId w:val="6"/>
  </w:num>
  <w:num w:numId="12" w16cid:durableId="1307590905">
    <w:abstractNumId w:val="13"/>
  </w:num>
  <w:num w:numId="13" w16cid:durableId="2066831505">
    <w:abstractNumId w:val="5"/>
  </w:num>
  <w:num w:numId="14" w16cid:durableId="211163129">
    <w:abstractNumId w:val="18"/>
  </w:num>
  <w:num w:numId="15" w16cid:durableId="581767018">
    <w:abstractNumId w:val="30"/>
  </w:num>
  <w:num w:numId="16" w16cid:durableId="208495440">
    <w:abstractNumId w:val="11"/>
  </w:num>
  <w:num w:numId="17" w16cid:durableId="81336487">
    <w:abstractNumId w:val="3"/>
  </w:num>
  <w:num w:numId="18" w16cid:durableId="1045838576">
    <w:abstractNumId w:val="4"/>
  </w:num>
  <w:num w:numId="19" w16cid:durableId="1322077265">
    <w:abstractNumId w:val="28"/>
  </w:num>
  <w:num w:numId="20" w16cid:durableId="1114833821">
    <w:abstractNumId w:val="14"/>
  </w:num>
  <w:num w:numId="21" w16cid:durableId="1057707875">
    <w:abstractNumId w:val="25"/>
  </w:num>
  <w:num w:numId="22" w16cid:durableId="1564482253">
    <w:abstractNumId w:val="27"/>
  </w:num>
  <w:num w:numId="23" w16cid:durableId="2099590581">
    <w:abstractNumId w:val="12"/>
  </w:num>
  <w:num w:numId="24" w16cid:durableId="1293366731">
    <w:abstractNumId w:val="21"/>
  </w:num>
  <w:num w:numId="25" w16cid:durableId="191000828">
    <w:abstractNumId w:val="21"/>
    <w:lvlOverride w:ilvl="0">
      <w:startOverride w:val="1"/>
    </w:lvlOverride>
  </w:num>
  <w:num w:numId="26" w16cid:durableId="635258269">
    <w:abstractNumId w:val="7"/>
  </w:num>
  <w:num w:numId="27" w16cid:durableId="1055197578">
    <w:abstractNumId w:val="9"/>
  </w:num>
  <w:num w:numId="28" w16cid:durableId="1429085087">
    <w:abstractNumId w:val="10"/>
  </w:num>
  <w:num w:numId="29" w16cid:durableId="584337761">
    <w:abstractNumId w:val="22"/>
  </w:num>
  <w:num w:numId="30" w16cid:durableId="952707681">
    <w:abstractNumId w:val="26"/>
  </w:num>
  <w:num w:numId="31" w16cid:durableId="1497762575">
    <w:abstractNumId w:val="17"/>
  </w:num>
  <w:num w:numId="32" w16cid:durableId="751394186">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hideSpellingErrors/>
  <w:hideGrammaticalErrors/>
  <w:proofState w:spelling="clean" w:grammar="clean"/>
  <w:defaultTabStop w:val="720"/>
  <w:characterSpacingControl w:val="doNotCompress"/>
  <w:hdrShapeDefaults>
    <o:shapedefaults v:ext="edit" spidmax="2050">
      <o:colormru v:ext="edit" colors="#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120D"/>
    <w:rsid w:val="000032B9"/>
    <w:rsid w:val="000039A5"/>
    <w:rsid w:val="00003DE5"/>
    <w:rsid w:val="00004FF1"/>
    <w:rsid w:val="00007001"/>
    <w:rsid w:val="000116F2"/>
    <w:rsid w:val="00023422"/>
    <w:rsid w:val="00024B1F"/>
    <w:rsid w:val="0002631F"/>
    <w:rsid w:val="00027EB0"/>
    <w:rsid w:val="00027EE4"/>
    <w:rsid w:val="00031995"/>
    <w:rsid w:val="00031AAF"/>
    <w:rsid w:val="000353D5"/>
    <w:rsid w:val="0003580C"/>
    <w:rsid w:val="00035B4F"/>
    <w:rsid w:val="00036D19"/>
    <w:rsid w:val="00037B45"/>
    <w:rsid w:val="000405AE"/>
    <w:rsid w:val="0004536A"/>
    <w:rsid w:val="000471D4"/>
    <w:rsid w:val="00053B0A"/>
    <w:rsid w:val="00054138"/>
    <w:rsid w:val="0005431A"/>
    <w:rsid w:val="000552F1"/>
    <w:rsid w:val="000560AA"/>
    <w:rsid w:val="0005733A"/>
    <w:rsid w:val="000614F7"/>
    <w:rsid w:val="000736A3"/>
    <w:rsid w:val="000737B1"/>
    <w:rsid w:val="00073E5A"/>
    <w:rsid w:val="00073EA6"/>
    <w:rsid w:val="00074648"/>
    <w:rsid w:val="00074906"/>
    <w:rsid w:val="00074E19"/>
    <w:rsid w:val="0007762F"/>
    <w:rsid w:val="0008197F"/>
    <w:rsid w:val="00082D69"/>
    <w:rsid w:val="00083550"/>
    <w:rsid w:val="000866D5"/>
    <w:rsid w:val="00090C24"/>
    <w:rsid w:val="00090F37"/>
    <w:rsid w:val="00091849"/>
    <w:rsid w:val="00092911"/>
    <w:rsid w:val="00092DEA"/>
    <w:rsid w:val="00097BD8"/>
    <w:rsid w:val="000A0CEB"/>
    <w:rsid w:val="000A246C"/>
    <w:rsid w:val="000A4EAA"/>
    <w:rsid w:val="000B0F84"/>
    <w:rsid w:val="000B2852"/>
    <w:rsid w:val="000B4713"/>
    <w:rsid w:val="000B71FA"/>
    <w:rsid w:val="000C0B4F"/>
    <w:rsid w:val="000C19B9"/>
    <w:rsid w:val="000C4A40"/>
    <w:rsid w:val="000C4AEF"/>
    <w:rsid w:val="000C50F1"/>
    <w:rsid w:val="000D0C77"/>
    <w:rsid w:val="000D2954"/>
    <w:rsid w:val="000D6134"/>
    <w:rsid w:val="000E062E"/>
    <w:rsid w:val="000E21D9"/>
    <w:rsid w:val="000E2EF8"/>
    <w:rsid w:val="000E327C"/>
    <w:rsid w:val="000E4574"/>
    <w:rsid w:val="000F180C"/>
    <w:rsid w:val="000F3E82"/>
    <w:rsid w:val="000F62A4"/>
    <w:rsid w:val="000F752A"/>
    <w:rsid w:val="0010034E"/>
    <w:rsid w:val="00101AFC"/>
    <w:rsid w:val="00101F16"/>
    <w:rsid w:val="00104D5B"/>
    <w:rsid w:val="001068B1"/>
    <w:rsid w:val="001071C2"/>
    <w:rsid w:val="00107FB4"/>
    <w:rsid w:val="00110520"/>
    <w:rsid w:val="00111550"/>
    <w:rsid w:val="00111DE9"/>
    <w:rsid w:val="00113E14"/>
    <w:rsid w:val="00113F8C"/>
    <w:rsid w:val="00120098"/>
    <w:rsid w:val="00125FA4"/>
    <w:rsid w:val="0013101B"/>
    <w:rsid w:val="00132E3C"/>
    <w:rsid w:val="0013603B"/>
    <w:rsid w:val="00136A1A"/>
    <w:rsid w:val="0013733E"/>
    <w:rsid w:val="00140441"/>
    <w:rsid w:val="00142DEE"/>
    <w:rsid w:val="00142EED"/>
    <w:rsid w:val="0014346A"/>
    <w:rsid w:val="00146D62"/>
    <w:rsid w:val="0015342F"/>
    <w:rsid w:val="001572F2"/>
    <w:rsid w:val="00157913"/>
    <w:rsid w:val="00157B96"/>
    <w:rsid w:val="001608B4"/>
    <w:rsid w:val="001608D6"/>
    <w:rsid w:val="00161355"/>
    <w:rsid w:val="0016170D"/>
    <w:rsid w:val="0016592E"/>
    <w:rsid w:val="00167A40"/>
    <w:rsid w:val="001711F4"/>
    <w:rsid w:val="00171CCF"/>
    <w:rsid w:val="00171F82"/>
    <w:rsid w:val="00172C72"/>
    <w:rsid w:val="00176217"/>
    <w:rsid w:val="0017621D"/>
    <w:rsid w:val="00176323"/>
    <w:rsid w:val="001768EC"/>
    <w:rsid w:val="00177FBF"/>
    <w:rsid w:val="00180F12"/>
    <w:rsid w:val="00182F5C"/>
    <w:rsid w:val="00183A76"/>
    <w:rsid w:val="001846FC"/>
    <w:rsid w:val="00185313"/>
    <w:rsid w:val="00185489"/>
    <w:rsid w:val="00185EA5"/>
    <w:rsid w:val="00186119"/>
    <w:rsid w:val="001877DB"/>
    <w:rsid w:val="00191DF7"/>
    <w:rsid w:val="0019516E"/>
    <w:rsid w:val="00195F8B"/>
    <w:rsid w:val="00197392"/>
    <w:rsid w:val="001A7027"/>
    <w:rsid w:val="001A797E"/>
    <w:rsid w:val="001B2C1D"/>
    <w:rsid w:val="001B2D2B"/>
    <w:rsid w:val="001B48C1"/>
    <w:rsid w:val="001B4F17"/>
    <w:rsid w:val="001B57D6"/>
    <w:rsid w:val="001B7F05"/>
    <w:rsid w:val="001C14CE"/>
    <w:rsid w:val="001C1630"/>
    <w:rsid w:val="001C37C8"/>
    <w:rsid w:val="001C4FC5"/>
    <w:rsid w:val="001C50B5"/>
    <w:rsid w:val="001C54A9"/>
    <w:rsid w:val="001D4D7A"/>
    <w:rsid w:val="001E0475"/>
    <w:rsid w:val="001E13A6"/>
    <w:rsid w:val="001E395C"/>
    <w:rsid w:val="001E69D4"/>
    <w:rsid w:val="001F0347"/>
    <w:rsid w:val="001F195F"/>
    <w:rsid w:val="001F3A83"/>
    <w:rsid w:val="001F4322"/>
    <w:rsid w:val="001F4F65"/>
    <w:rsid w:val="002006C2"/>
    <w:rsid w:val="00201CB7"/>
    <w:rsid w:val="00201EA4"/>
    <w:rsid w:val="00202041"/>
    <w:rsid w:val="002035F1"/>
    <w:rsid w:val="00203941"/>
    <w:rsid w:val="00206FF6"/>
    <w:rsid w:val="0021064C"/>
    <w:rsid w:val="00210E00"/>
    <w:rsid w:val="00211514"/>
    <w:rsid w:val="00212D2A"/>
    <w:rsid w:val="002144FA"/>
    <w:rsid w:val="0021579B"/>
    <w:rsid w:val="002226A2"/>
    <w:rsid w:val="00222E89"/>
    <w:rsid w:val="0022407F"/>
    <w:rsid w:val="0022537C"/>
    <w:rsid w:val="00231E5F"/>
    <w:rsid w:val="00233507"/>
    <w:rsid w:val="00235725"/>
    <w:rsid w:val="002427C4"/>
    <w:rsid w:val="00245895"/>
    <w:rsid w:val="00246223"/>
    <w:rsid w:val="00251699"/>
    <w:rsid w:val="002524E1"/>
    <w:rsid w:val="00256BED"/>
    <w:rsid w:val="0025757D"/>
    <w:rsid w:val="002628FA"/>
    <w:rsid w:val="0026323C"/>
    <w:rsid w:val="00266EA6"/>
    <w:rsid w:val="002672A1"/>
    <w:rsid w:val="002706EA"/>
    <w:rsid w:val="002717B1"/>
    <w:rsid w:val="00272A79"/>
    <w:rsid w:val="0027766F"/>
    <w:rsid w:val="00277828"/>
    <w:rsid w:val="00277897"/>
    <w:rsid w:val="00277A2D"/>
    <w:rsid w:val="0028046D"/>
    <w:rsid w:val="00283A5C"/>
    <w:rsid w:val="00285EC7"/>
    <w:rsid w:val="00285FB9"/>
    <w:rsid w:val="00286D7B"/>
    <w:rsid w:val="00290AE9"/>
    <w:rsid w:val="002923D1"/>
    <w:rsid w:val="00292A31"/>
    <w:rsid w:val="00293B40"/>
    <w:rsid w:val="00294A35"/>
    <w:rsid w:val="002952D9"/>
    <w:rsid w:val="002961EC"/>
    <w:rsid w:val="002A0A4D"/>
    <w:rsid w:val="002A0DF4"/>
    <w:rsid w:val="002A182C"/>
    <w:rsid w:val="002A234B"/>
    <w:rsid w:val="002A2903"/>
    <w:rsid w:val="002A31E7"/>
    <w:rsid w:val="002A3DCE"/>
    <w:rsid w:val="002A5221"/>
    <w:rsid w:val="002A7377"/>
    <w:rsid w:val="002A73A6"/>
    <w:rsid w:val="002A755C"/>
    <w:rsid w:val="002B1E30"/>
    <w:rsid w:val="002B345D"/>
    <w:rsid w:val="002B3FEB"/>
    <w:rsid w:val="002B41EB"/>
    <w:rsid w:val="002B4DA7"/>
    <w:rsid w:val="002B5295"/>
    <w:rsid w:val="002B6C9E"/>
    <w:rsid w:val="002B7398"/>
    <w:rsid w:val="002C142F"/>
    <w:rsid w:val="002C156A"/>
    <w:rsid w:val="002C1D26"/>
    <w:rsid w:val="002C2764"/>
    <w:rsid w:val="002C452A"/>
    <w:rsid w:val="002C4C79"/>
    <w:rsid w:val="002C4DF5"/>
    <w:rsid w:val="002C57A4"/>
    <w:rsid w:val="002D1348"/>
    <w:rsid w:val="002D5197"/>
    <w:rsid w:val="002D7011"/>
    <w:rsid w:val="002D7F4F"/>
    <w:rsid w:val="002E000C"/>
    <w:rsid w:val="002E45DA"/>
    <w:rsid w:val="002E5BF3"/>
    <w:rsid w:val="002E5CDD"/>
    <w:rsid w:val="002E67FB"/>
    <w:rsid w:val="002E7B10"/>
    <w:rsid w:val="002F0F4A"/>
    <w:rsid w:val="002F3272"/>
    <w:rsid w:val="002F36BE"/>
    <w:rsid w:val="002F3EB0"/>
    <w:rsid w:val="002F53D0"/>
    <w:rsid w:val="002F6D60"/>
    <w:rsid w:val="002F6DE9"/>
    <w:rsid w:val="002F759B"/>
    <w:rsid w:val="002F7CD2"/>
    <w:rsid w:val="0030092B"/>
    <w:rsid w:val="00301456"/>
    <w:rsid w:val="0030186B"/>
    <w:rsid w:val="00301FEF"/>
    <w:rsid w:val="003032B4"/>
    <w:rsid w:val="00303573"/>
    <w:rsid w:val="00305A3E"/>
    <w:rsid w:val="00306567"/>
    <w:rsid w:val="0030666D"/>
    <w:rsid w:val="00306806"/>
    <w:rsid w:val="0030743F"/>
    <w:rsid w:val="0031190C"/>
    <w:rsid w:val="00311B6D"/>
    <w:rsid w:val="003132E6"/>
    <w:rsid w:val="003142CC"/>
    <w:rsid w:val="003160BC"/>
    <w:rsid w:val="00321B9B"/>
    <w:rsid w:val="00322227"/>
    <w:rsid w:val="00322F0D"/>
    <w:rsid w:val="00323B57"/>
    <w:rsid w:val="00325BBD"/>
    <w:rsid w:val="003323F8"/>
    <w:rsid w:val="00337591"/>
    <w:rsid w:val="00340B27"/>
    <w:rsid w:val="0034109A"/>
    <w:rsid w:val="00341F58"/>
    <w:rsid w:val="00343E79"/>
    <w:rsid w:val="00344128"/>
    <w:rsid w:val="00344353"/>
    <w:rsid w:val="0034526D"/>
    <w:rsid w:val="0034530C"/>
    <w:rsid w:val="00345714"/>
    <w:rsid w:val="00345AB1"/>
    <w:rsid w:val="00350283"/>
    <w:rsid w:val="0035093B"/>
    <w:rsid w:val="00350E68"/>
    <w:rsid w:val="0035550B"/>
    <w:rsid w:val="00360451"/>
    <w:rsid w:val="00361811"/>
    <w:rsid w:val="00363082"/>
    <w:rsid w:val="00364905"/>
    <w:rsid w:val="003652F5"/>
    <w:rsid w:val="00365531"/>
    <w:rsid w:val="003659CC"/>
    <w:rsid w:val="003667F1"/>
    <w:rsid w:val="00367221"/>
    <w:rsid w:val="0037145D"/>
    <w:rsid w:val="00375101"/>
    <w:rsid w:val="003760C7"/>
    <w:rsid w:val="00376798"/>
    <w:rsid w:val="00380056"/>
    <w:rsid w:val="0038041C"/>
    <w:rsid w:val="0038278E"/>
    <w:rsid w:val="003832AA"/>
    <w:rsid w:val="003833FB"/>
    <w:rsid w:val="0038406A"/>
    <w:rsid w:val="003845EC"/>
    <w:rsid w:val="0038524C"/>
    <w:rsid w:val="0039029D"/>
    <w:rsid w:val="003916C4"/>
    <w:rsid w:val="00391D2C"/>
    <w:rsid w:val="0039225A"/>
    <w:rsid w:val="0039363E"/>
    <w:rsid w:val="00393D4F"/>
    <w:rsid w:val="003A0AD5"/>
    <w:rsid w:val="003A613E"/>
    <w:rsid w:val="003A61D1"/>
    <w:rsid w:val="003A78A0"/>
    <w:rsid w:val="003B1D3C"/>
    <w:rsid w:val="003B2C9E"/>
    <w:rsid w:val="003B3352"/>
    <w:rsid w:val="003B4D08"/>
    <w:rsid w:val="003B5F60"/>
    <w:rsid w:val="003C33AA"/>
    <w:rsid w:val="003C3E93"/>
    <w:rsid w:val="003C70B5"/>
    <w:rsid w:val="003D18EC"/>
    <w:rsid w:val="003D2A13"/>
    <w:rsid w:val="003D381E"/>
    <w:rsid w:val="003E0658"/>
    <w:rsid w:val="003E1D4B"/>
    <w:rsid w:val="003E341F"/>
    <w:rsid w:val="003E69C5"/>
    <w:rsid w:val="003E763F"/>
    <w:rsid w:val="003F0ADE"/>
    <w:rsid w:val="003F0BBE"/>
    <w:rsid w:val="003F0FFC"/>
    <w:rsid w:val="003F266E"/>
    <w:rsid w:val="003F2FA5"/>
    <w:rsid w:val="003F5AD6"/>
    <w:rsid w:val="003F7166"/>
    <w:rsid w:val="003F79F8"/>
    <w:rsid w:val="00400333"/>
    <w:rsid w:val="00401124"/>
    <w:rsid w:val="00401752"/>
    <w:rsid w:val="00401917"/>
    <w:rsid w:val="004026D2"/>
    <w:rsid w:val="00403416"/>
    <w:rsid w:val="00404241"/>
    <w:rsid w:val="004105C5"/>
    <w:rsid w:val="00411066"/>
    <w:rsid w:val="00411BEA"/>
    <w:rsid w:val="0041473A"/>
    <w:rsid w:val="004162F1"/>
    <w:rsid w:val="0042177D"/>
    <w:rsid w:val="0042500F"/>
    <w:rsid w:val="004250CF"/>
    <w:rsid w:val="00425600"/>
    <w:rsid w:val="004275B5"/>
    <w:rsid w:val="00427B60"/>
    <w:rsid w:val="004319B7"/>
    <w:rsid w:val="00433E0C"/>
    <w:rsid w:val="00436317"/>
    <w:rsid w:val="00436BF2"/>
    <w:rsid w:val="004409AB"/>
    <w:rsid w:val="004418C8"/>
    <w:rsid w:val="00446458"/>
    <w:rsid w:val="00446BA9"/>
    <w:rsid w:val="00446F55"/>
    <w:rsid w:val="00451829"/>
    <w:rsid w:val="00453443"/>
    <w:rsid w:val="0045365F"/>
    <w:rsid w:val="00453FEE"/>
    <w:rsid w:val="00455418"/>
    <w:rsid w:val="00455FC2"/>
    <w:rsid w:val="004573D4"/>
    <w:rsid w:val="00460166"/>
    <w:rsid w:val="00461E66"/>
    <w:rsid w:val="00462321"/>
    <w:rsid w:val="0046267F"/>
    <w:rsid w:val="00463E3E"/>
    <w:rsid w:val="00463E89"/>
    <w:rsid w:val="00465197"/>
    <w:rsid w:val="00465857"/>
    <w:rsid w:val="00466E61"/>
    <w:rsid w:val="00473287"/>
    <w:rsid w:val="00474D96"/>
    <w:rsid w:val="0047791C"/>
    <w:rsid w:val="00483DEB"/>
    <w:rsid w:val="0048596C"/>
    <w:rsid w:val="00485C48"/>
    <w:rsid w:val="004863CC"/>
    <w:rsid w:val="00487812"/>
    <w:rsid w:val="00487E4A"/>
    <w:rsid w:val="00490ED9"/>
    <w:rsid w:val="00493235"/>
    <w:rsid w:val="00494A68"/>
    <w:rsid w:val="00497898"/>
    <w:rsid w:val="004A3020"/>
    <w:rsid w:val="004A44A6"/>
    <w:rsid w:val="004A4687"/>
    <w:rsid w:val="004B0361"/>
    <w:rsid w:val="004B0438"/>
    <w:rsid w:val="004B08F8"/>
    <w:rsid w:val="004B0C46"/>
    <w:rsid w:val="004B382B"/>
    <w:rsid w:val="004B3B7D"/>
    <w:rsid w:val="004B4118"/>
    <w:rsid w:val="004B59A1"/>
    <w:rsid w:val="004C1C20"/>
    <w:rsid w:val="004C23A6"/>
    <w:rsid w:val="004C3D48"/>
    <w:rsid w:val="004C4064"/>
    <w:rsid w:val="004C5EF1"/>
    <w:rsid w:val="004C6795"/>
    <w:rsid w:val="004D024B"/>
    <w:rsid w:val="004D0DD3"/>
    <w:rsid w:val="004D1BBC"/>
    <w:rsid w:val="004D2185"/>
    <w:rsid w:val="004D3D1D"/>
    <w:rsid w:val="004D67D5"/>
    <w:rsid w:val="004E1405"/>
    <w:rsid w:val="004E22E4"/>
    <w:rsid w:val="004E2674"/>
    <w:rsid w:val="004E27AC"/>
    <w:rsid w:val="004E2AE1"/>
    <w:rsid w:val="004E4909"/>
    <w:rsid w:val="004E5C31"/>
    <w:rsid w:val="004E5DEE"/>
    <w:rsid w:val="004E7A7B"/>
    <w:rsid w:val="004F22D1"/>
    <w:rsid w:val="004F5535"/>
    <w:rsid w:val="004F5E0D"/>
    <w:rsid w:val="004F6835"/>
    <w:rsid w:val="004F683A"/>
    <w:rsid w:val="005002B4"/>
    <w:rsid w:val="0050108D"/>
    <w:rsid w:val="0050330B"/>
    <w:rsid w:val="00503511"/>
    <w:rsid w:val="00504542"/>
    <w:rsid w:val="00504DD7"/>
    <w:rsid w:val="0050560D"/>
    <w:rsid w:val="00506406"/>
    <w:rsid w:val="00511ED8"/>
    <w:rsid w:val="005128BF"/>
    <w:rsid w:val="0051389C"/>
    <w:rsid w:val="00514131"/>
    <w:rsid w:val="0052311D"/>
    <w:rsid w:val="0052372C"/>
    <w:rsid w:val="00524975"/>
    <w:rsid w:val="0052729A"/>
    <w:rsid w:val="00531199"/>
    <w:rsid w:val="005316D8"/>
    <w:rsid w:val="00533308"/>
    <w:rsid w:val="00533EDF"/>
    <w:rsid w:val="00535FFF"/>
    <w:rsid w:val="0054085C"/>
    <w:rsid w:val="00541838"/>
    <w:rsid w:val="005435DF"/>
    <w:rsid w:val="00545607"/>
    <w:rsid w:val="005457F7"/>
    <w:rsid w:val="005462A9"/>
    <w:rsid w:val="00547153"/>
    <w:rsid w:val="0054738F"/>
    <w:rsid w:val="00547D96"/>
    <w:rsid w:val="005513D8"/>
    <w:rsid w:val="005519DC"/>
    <w:rsid w:val="005524B4"/>
    <w:rsid w:val="00555186"/>
    <w:rsid w:val="00555794"/>
    <w:rsid w:val="00556672"/>
    <w:rsid w:val="00556DAA"/>
    <w:rsid w:val="00557071"/>
    <w:rsid w:val="0056281D"/>
    <w:rsid w:val="00570DB1"/>
    <w:rsid w:val="00572C32"/>
    <w:rsid w:val="00572E56"/>
    <w:rsid w:val="00576C24"/>
    <w:rsid w:val="005779CD"/>
    <w:rsid w:val="00580138"/>
    <w:rsid w:val="0058093C"/>
    <w:rsid w:val="00580AA0"/>
    <w:rsid w:val="00582A7C"/>
    <w:rsid w:val="0058354B"/>
    <w:rsid w:val="0058564E"/>
    <w:rsid w:val="00590AC6"/>
    <w:rsid w:val="005914C1"/>
    <w:rsid w:val="00592B02"/>
    <w:rsid w:val="00593BBF"/>
    <w:rsid w:val="005946C1"/>
    <w:rsid w:val="005A1A3D"/>
    <w:rsid w:val="005A27C6"/>
    <w:rsid w:val="005A6007"/>
    <w:rsid w:val="005B3BFA"/>
    <w:rsid w:val="005B5D2E"/>
    <w:rsid w:val="005C0FB7"/>
    <w:rsid w:val="005C1950"/>
    <w:rsid w:val="005C3356"/>
    <w:rsid w:val="005C4388"/>
    <w:rsid w:val="005D2337"/>
    <w:rsid w:val="005D386A"/>
    <w:rsid w:val="005D4851"/>
    <w:rsid w:val="005D4F22"/>
    <w:rsid w:val="005E2266"/>
    <w:rsid w:val="005E248E"/>
    <w:rsid w:val="005E396B"/>
    <w:rsid w:val="005E5185"/>
    <w:rsid w:val="005E6130"/>
    <w:rsid w:val="005E62D4"/>
    <w:rsid w:val="005E7011"/>
    <w:rsid w:val="005F01D0"/>
    <w:rsid w:val="005F18DC"/>
    <w:rsid w:val="005F2CC6"/>
    <w:rsid w:val="005F3F5D"/>
    <w:rsid w:val="005F4529"/>
    <w:rsid w:val="005F5143"/>
    <w:rsid w:val="006011E8"/>
    <w:rsid w:val="006029EC"/>
    <w:rsid w:val="00603087"/>
    <w:rsid w:val="00604646"/>
    <w:rsid w:val="00607CC3"/>
    <w:rsid w:val="00610179"/>
    <w:rsid w:val="006162E1"/>
    <w:rsid w:val="006212BE"/>
    <w:rsid w:val="00621749"/>
    <w:rsid w:val="0062457C"/>
    <w:rsid w:val="00624B85"/>
    <w:rsid w:val="00624C3A"/>
    <w:rsid w:val="00630A45"/>
    <w:rsid w:val="0063120B"/>
    <w:rsid w:val="00631325"/>
    <w:rsid w:val="00632B70"/>
    <w:rsid w:val="00633283"/>
    <w:rsid w:val="00634C04"/>
    <w:rsid w:val="006354AF"/>
    <w:rsid w:val="00636F4C"/>
    <w:rsid w:val="00637065"/>
    <w:rsid w:val="00640194"/>
    <w:rsid w:val="00640EA3"/>
    <w:rsid w:val="00644602"/>
    <w:rsid w:val="006460F6"/>
    <w:rsid w:val="00646EE0"/>
    <w:rsid w:val="00647595"/>
    <w:rsid w:val="00656D32"/>
    <w:rsid w:val="00657020"/>
    <w:rsid w:val="006613AC"/>
    <w:rsid w:val="006614EB"/>
    <w:rsid w:val="006621FA"/>
    <w:rsid w:val="00666D0B"/>
    <w:rsid w:val="006734AA"/>
    <w:rsid w:val="006748A4"/>
    <w:rsid w:val="00675C04"/>
    <w:rsid w:val="00677F5C"/>
    <w:rsid w:val="00680249"/>
    <w:rsid w:val="006802F4"/>
    <w:rsid w:val="00680779"/>
    <w:rsid w:val="006815E1"/>
    <w:rsid w:val="0068161D"/>
    <w:rsid w:val="00681BC8"/>
    <w:rsid w:val="00684B31"/>
    <w:rsid w:val="00685A45"/>
    <w:rsid w:val="00690068"/>
    <w:rsid w:val="00690BFF"/>
    <w:rsid w:val="00691964"/>
    <w:rsid w:val="00692B01"/>
    <w:rsid w:val="006964B8"/>
    <w:rsid w:val="006970F9"/>
    <w:rsid w:val="006976A7"/>
    <w:rsid w:val="006A079A"/>
    <w:rsid w:val="006A0B53"/>
    <w:rsid w:val="006A11E8"/>
    <w:rsid w:val="006A18BE"/>
    <w:rsid w:val="006A55D1"/>
    <w:rsid w:val="006A6193"/>
    <w:rsid w:val="006A786B"/>
    <w:rsid w:val="006B13A2"/>
    <w:rsid w:val="006B33B6"/>
    <w:rsid w:val="006B34CB"/>
    <w:rsid w:val="006B41C3"/>
    <w:rsid w:val="006B44E1"/>
    <w:rsid w:val="006B6BE7"/>
    <w:rsid w:val="006B6F08"/>
    <w:rsid w:val="006B79DA"/>
    <w:rsid w:val="006C2981"/>
    <w:rsid w:val="006C4498"/>
    <w:rsid w:val="006C5CFA"/>
    <w:rsid w:val="006C6412"/>
    <w:rsid w:val="006C7A23"/>
    <w:rsid w:val="006D1241"/>
    <w:rsid w:val="006D178F"/>
    <w:rsid w:val="006D3D86"/>
    <w:rsid w:val="006D3DFA"/>
    <w:rsid w:val="006D77D0"/>
    <w:rsid w:val="006E042A"/>
    <w:rsid w:val="006E0AD3"/>
    <w:rsid w:val="006E236D"/>
    <w:rsid w:val="006E3258"/>
    <w:rsid w:val="006E35CA"/>
    <w:rsid w:val="006E4418"/>
    <w:rsid w:val="006E4EE0"/>
    <w:rsid w:val="006E5EC5"/>
    <w:rsid w:val="006E757D"/>
    <w:rsid w:val="006F3AC9"/>
    <w:rsid w:val="006F413A"/>
    <w:rsid w:val="006F4764"/>
    <w:rsid w:val="006F69D5"/>
    <w:rsid w:val="006F69D8"/>
    <w:rsid w:val="007001F4"/>
    <w:rsid w:val="00704266"/>
    <w:rsid w:val="007054C9"/>
    <w:rsid w:val="00712CFC"/>
    <w:rsid w:val="007139F6"/>
    <w:rsid w:val="00714DF3"/>
    <w:rsid w:val="00717A36"/>
    <w:rsid w:val="007246FB"/>
    <w:rsid w:val="007257F0"/>
    <w:rsid w:val="00725D07"/>
    <w:rsid w:val="00725D88"/>
    <w:rsid w:val="007307C0"/>
    <w:rsid w:val="00732106"/>
    <w:rsid w:val="007327B7"/>
    <w:rsid w:val="00732D57"/>
    <w:rsid w:val="00733558"/>
    <w:rsid w:val="00736F62"/>
    <w:rsid w:val="00741C05"/>
    <w:rsid w:val="00744C4C"/>
    <w:rsid w:val="007454E4"/>
    <w:rsid w:val="00746C8B"/>
    <w:rsid w:val="00747368"/>
    <w:rsid w:val="00750610"/>
    <w:rsid w:val="00750C12"/>
    <w:rsid w:val="00751112"/>
    <w:rsid w:val="00752209"/>
    <w:rsid w:val="00752B58"/>
    <w:rsid w:val="00752E33"/>
    <w:rsid w:val="007606B4"/>
    <w:rsid w:val="007610E4"/>
    <w:rsid w:val="00761B04"/>
    <w:rsid w:val="007622C4"/>
    <w:rsid w:val="00762B1F"/>
    <w:rsid w:val="00763B39"/>
    <w:rsid w:val="00764152"/>
    <w:rsid w:val="007670DD"/>
    <w:rsid w:val="0077095B"/>
    <w:rsid w:val="007740B9"/>
    <w:rsid w:val="007740CC"/>
    <w:rsid w:val="00774AB4"/>
    <w:rsid w:val="0077638B"/>
    <w:rsid w:val="0078046E"/>
    <w:rsid w:val="0078084B"/>
    <w:rsid w:val="00781BA5"/>
    <w:rsid w:val="0078321A"/>
    <w:rsid w:val="00786F5B"/>
    <w:rsid w:val="00790714"/>
    <w:rsid w:val="007911D2"/>
    <w:rsid w:val="00791ABD"/>
    <w:rsid w:val="007927DB"/>
    <w:rsid w:val="00795B44"/>
    <w:rsid w:val="007A0245"/>
    <w:rsid w:val="007A0289"/>
    <w:rsid w:val="007A1197"/>
    <w:rsid w:val="007A3545"/>
    <w:rsid w:val="007B1439"/>
    <w:rsid w:val="007B26D0"/>
    <w:rsid w:val="007B2E56"/>
    <w:rsid w:val="007B32EC"/>
    <w:rsid w:val="007B4046"/>
    <w:rsid w:val="007B4196"/>
    <w:rsid w:val="007B689D"/>
    <w:rsid w:val="007B73B3"/>
    <w:rsid w:val="007B76D2"/>
    <w:rsid w:val="007C058B"/>
    <w:rsid w:val="007C08B6"/>
    <w:rsid w:val="007C35AC"/>
    <w:rsid w:val="007C506A"/>
    <w:rsid w:val="007C567D"/>
    <w:rsid w:val="007C66CF"/>
    <w:rsid w:val="007C7D07"/>
    <w:rsid w:val="007D0127"/>
    <w:rsid w:val="007D19A0"/>
    <w:rsid w:val="007D1A0F"/>
    <w:rsid w:val="007D2ADE"/>
    <w:rsid w:val="007D586F"/>
    <w:rsid w:val="007D7A84"/>
    <w:rsid w:val="007D7AE7"/>
    <w:rsid w:val="007D7D4C"/>
    <w:rsid w:val="007D7F53"/>
    <w:rsid w:val="007E0AEB"/>
    <w:rsid w:val="007E2099"/>
    <w:rsid w:val="007E55B9"/>
    <w:rsid w:val="007E5B92"/>
    <w:rsid w:val="007E6323"/>
    <w:rsid w:val="007F2B8C"/>
    <w:rsid w:val="007F62FB"/>
    <w:rsid w:val="007F6FAC"/>
    <w:rsid w:val="008028EC"/>
    <w:rsid w:val="00803CAE"/>
    <w:rsid w:val="00807FC3"/>
    <w:rsid w:val="00810B5E"/>
    <w:rsid w:val="0081127F"/>
    <w:rsid w:val="00811754"/>
    <w:rsid w:val="00813837"/>
    <w:rsid w:val="00814FF5"/>
    <w:rsid w:val="00815FFA"/>
    <w:rsid w:val="00816730"/>
    <w:rsid w:val="00816B50"/>
    <w:rsid w:val="008207DF"/>
    <w:rsid w:val="0082283E"/>
    <w:rsid w:val="00822D8D"/>
    <w:rsid w:val="008251C8"/>
    <w:rsid w:val="00825D2E"/>
    <w:rsid w:val="008263BC"/>
    <w:rsid w:val="00826AA7"/>
    <w:rsid w:val="008271F7"/>
    <w:rsid w:val="008352AF"/>
    <w:rsid w:val="008363AA"/>
    <w:rsid w:val="008370B9"/>
    <w:rsid w:val="00840886"/>
    <w:rsid w:val="00841E4B"/>
    <w:rsid w:val="00842339"/>
    <w:rsid w:val="008447F8"/>
    <w:rsid w:val="00844BC7"/>
    <w:rsid w:val="00846392"/>
    <w:rsid w:val="00847453"/>
    <w:rsid w:val="00847E80"/>
    <w:rsid w:val="00850173"/>
    <w:rsid w:val="00850303"/>
    <w:rsid w:val="008533E5"/>
    <w:rsid w:val="00853EB9"/>
    <w:rsid w:val="00854975"/>
    <w:rsid w:val="00854A5D"/>
    <w:rsid w:val="00855495"/>
    <w:rsid w:val="00855F7E"/>
    <w:rsid w:val="00857400"/>
    <w:rsid w:val="00857D6C"/>
    <w:rsid w:val="0086208A"/>
    <w:rsid w:val="008644F9"/>
    <w:rsid w:val="0086502A"/>
    <w:rsid w:val="008675B0"/>
    <w:rsid w:val="008706AC"/>
    <w:rsid w:val="00875014"/>
    <w:rsid w:val="008756C8"/>
    <w:rsid w:val="0087581D"/>
    <w:rsid w:val="00875F23"/>
    <w:rsid w:val="008767D2"/>
    <w:rsid w:val="0087794F"/>
    <w:rsid w:val="0088159C"/>
    <w:rsid w:val="00890E23"/>
    <w:rsid w:val="00894028"/>
    <w:rsid w:val="00894759"/>
    <w:rsid w:val="008949DB"/>
    <w:rsid w:val="00896878"/>
    <w:rsid w:val="00897753"/>
    <w:rsid w:val="008A266D"/>
    <w:rsid w:val="008A3AFE"/>
    <w:rsid w:val="008A4378"/>
    <w:rsid w:val="008A4A89"/>
    <w:rsid w:val="008A5C3B"/>
    <w:rsid w:val="008A62E3"/>
    <w:rsid w:val="008B1B6F"/>
    <w:rsid w:val="008B26AE"/>
    <w:rsid w:val="008B3DEC"/>
    <w:rsid w:val="008B5BAC"/>
    <w:rsid w:val="008B5CDC"/>
    <w:rsid w:val="008C1793"/>
    <w:rsid w:val="008C2E90"/>
    <w:rsid w:val="008C72B9"/>
    <w:rsid w:val="008D0ACA"/>
    <w:rsid w:val="008D1A27"/>
    <w:rsid w:val="008D2310"/>
    <w:rsid w:val="008D40E2"/>
    <w:rsid w:val="008D64A1"/>
    <w:rsid w:val="008E059C"/>
    <w:rsid w:val="008E0A9A"/>
    <w:rsid w:val="008E14AA"/>
    <w:rsid w:val="008E2068"/>
    <w:rsid w:val="008E3AAD"/>
    <w:rsid w:val="008E74C2"/>
    <w:rsid w:val="008F0146"/>
    <w:rsid w:val="00901BB2"/>
    <w:rsid w:val="00904655"/>
    <w:rsid w:val="00904B95"/>
    <w:rsid w:val="009055B8"/>
    <w:rsid w:val="00905BB5"/>
    <w:rsid w:val="00905D46"/>
    <w:rsid w:val="00906376"/>
    <w:rsid w:val="00906736"/>
    <w:rsid w:val="00906A1A"/>
    <w:rsid w:val="00907E9F"/>
    <w:rsid w:val="00911881"/>
    <w:rsid w:val="00914212"/>
    <w:rsid w:val="0091542F"/>
    <w:rsid w:val="00915E68"/>
    <w:rsid w:val="009169AA"/>
    <w:rsid w:val="0092045F"/>
    <w:rsid w:val="009209D0"/>
    <w:rsid w:val="009211F8"/>
    <w:rsid w:val="00921D8C"/>
    <w:rsid w:val="009238E4"/>
    <w:rsid w:val="009244F8"/>
    <w:rsid w:val="009247BB"/>
    <w:rsid w:val="00925054"/>
    <w:rsid w:val="00925683"/>
    <w:rsid w:val="00930524"/>
    <w:rsid w:val="00931F43"/>
    <w:rsid w:val="00933D78"/>
    <w:rsid w:val="00934325"/>
    <w:rsid w:val="0093519F"/>
    <w:rsid w:val="00937FF1"/>
    <w:rsid w:val="00942E73"/>
    <w:rsid w:val="0094401D"/>
    <w:rsid w:val="009466CA"/>
    <w:rsid w:val="00950F35"/>
    <w:rsid w:val="0095111B"/>
    <w:rsid w:val="0095129F"/>
    <w:rsid w:val="00951885"/>
    <w:rsid w:val="00951F50"/>
    <w:rsid w:val="00954231"/>
    <w:rsid w:val="00954ABD"/>
    <w:rsid w:val="009550B9"/>
    <w:rsid w:val="0095570E"/>
    <w:rsid w:val="00955A7B"/>
    <w:rsid w:val="00960ED0"/>
    <w:rsid w:val="00962BFF"/>
    <w:rsid w:val="009634A2"/>
    <w:rsid w:val="00963A38"/>
    <w:rsid w:val="00965A0A"/>
    <w:rsid w:val="00970EC9"/>
    <w:rsid w:val="0097119D"/>
    <w:rsid w:val="00971E61"/>
    <w:rsid w:val="00973A82"/>
    <w:rsid w:val="009745E8"/>
    <w:rsid w:val="00975C39"/>
    <w:rsid w:val="00975C95"/>
    <w:rsid w:val="00976AEB"/>
    <w:rsid w:val="00977962"/>
    <w:rsid w:val="00980BD8"/>
    <w:rsid w:val="00981AEC"/>
    <w:rsid w:val="009820AA"/>
    <w:rsid w:val="00982DE2"/>
    <w:rsid w:val="00983E41"/>
    <w:rsid w:val="00984662"/>
    <w:rsid w:val="00990877"/>
    <w:rsid w:val="00990FB7"/>
    <w:rsid w:val="00996EFA"/>
    <w:rsid w:val="00997192"/>
    <w:rsid w:val="009A04FA"/>
    <w:rsid w:val="009A11A5"/>
    <w:rsid w:val="009A309B"/>
    <w:rsid w:val="009A353D"/>
    <w:rsid w:val="009A361D"/>
    <w:rsid w:val="009A4DA6"/>
    <w:rsid w:val="009A5F94"/>
    <w:rsid w:val="009B006E"/>
    <w:rsid w:val="009B00FD"/>
    <w:rsid w:val="009B2EE6"/>
    <w:rsid w:val="009B4165"/>
    <w:rsid w:val="009B5315"/>
    <w:rsid w:val="009B585B"/>
    <w:rsid w:val="009B6EE0"/>
    <w:rsid w:val="009B7AEA"/>
    <w:rsid w:val="009B7D15"/>
    <w:rsid w:val="009C0E4A"/>
    <w:rsid w:val="009C2B23"/>
    <w:rsid w:val="009C4555"/>
    <w:rsid w:val="009C4F96"/>
    <w:rsid w:val="009D0D06"/>
    <w:rsid w:val="009D1102"/>
    <w:rsid w:val="009D1333"/>
    <w:rsid w:val="009D1420"/>
    <w:rsid w:val="009D16B4"/>
    <w:rsid w:val="009D3614"/>
    <w:rsid w:val="009D41C7"/>
    <w:rsid w:val="009D4441"/>
    <w:rsid w:val="009D4549"/>
    <w:rsid w:val="009D546D"/>
    <w:rsid w:val="009D620E"/>
    <w:rsid w:val="009D639C"/>
    <w:rsid w:val="009D7154"/>
    <w:rsid w:val="009D74C4"/>
    <w:rsid w:val="009D7741"/>
    <w:rsid w:val="009E03C5"/>
    <w:rsid w:val="009E0E71"/>
    <w:rsid w:val="009E2011"/>
    <w:rsid w:val="009E2E0D"/>
    <w:rsid w:val="009E3532"/>
    <w:rsid w:val="009E3603"/>
    <w:rsid w:val="009E3CAF"/>
    <w:rsid w:val="009E4A70"/>
    <w:rsid w:val="009E5B2C"/>
    <w:rsid w:val="009F0D8B"/>
    <w:rsid w:val="009F18D3"/>
    <w:rsid w:val="009F19BC"/>
    <w:rsid w:val="009F2CC7"/>
    <w:rsid w:val="009F5D43"/>
    <w:rsid w:val="009F7FF2"/>
    <w:rsid w:val="00A0018A"/>
    <w:rsid w:val="00A00CD2"/>
    <w:rsid w:val="00A012A5"/>
    <w:rsid w:val="00A021DB"/>
    <w:rsid w:val="00A03FCD"/>
    <w:rsid w:val="00A05E67"/>
    <w:rsid w:val="00A07056"/>
    <w:rsid w:val="00A07754"/>
    <w:rsid w:val="00A10ABB"/>
    <w:rsid w:val="00A114B4"/>
    <w:rsid w:val="00A13966"/>
    <w:rsid w:val="00A15F1C"/>
    <w:rsid w:val="00A17F13"/>
    <w:rsid w:val="00A240D0"/>
    <w:rsid w:val="00A24782"/>
    <w:rsid w:val="00A25F32"/>
    <w:rsid w:val="00A270D4"/>
    <w:rsid w:val="00A2753A"/>
    <w:rsid w:val="00A27E14"/>
    <w:rsid w:val="00A31AB7"/>
    <w:rsid w:val="00A31DE5"/>
    <w:rsid w:val="00A31E57"/>
    <w:rsid w:val="00A32AB9"/>
    <w:rsid w:val="00A32E4C"/>
    <w:rsid w:val="00A342A9"/>
    <w:rsid w:val="00A353AA"/>
    <w:rsid w:val="00A402A6"/>
    <w:rsid w:val="00A40E53"/>
    <w:rsid w:val="00A44A4C"/>
    <w:rsid w:val="00A463EB"/>
    <w:rsid w:val="00A47EA9"/>
    <w:rsid w:val="00A50001"/>
    <w:rsid w:val="00A51F28"/>
    <w:rsid w:val="00A5418F"/>
    <w:rsid w:val="00A579BC"/>
    <w:rsid w:val="00A61ECA"/>
    <w:rsid w:val="00A62346"/>
    <w:rsid w:val="00A63958"/>
    <w:rsid w:val="00A63C8C"/>
    <w:rsid w:val="00A660FF"/>
    <w:rsid w:val="00A666E3"/>
    <w:rsid w:val="00A6704D"/>
    <w:rsid w:val="00A704BF"/>
    <w:rsid w:val="00A767F1"/>
    <w:rsid w:val="00A801B9"/>
    <w:rsid w:val="00A81062"/>
    <w:rsid w:val="00A832FF"/>
    <w:rsid w:val="00A84129"/>
    <w:rsid w:val="00A85A74"/>
    <w:rsid w:val="00A8664B"/>
    <w:rsid w:val="00A91730"/>
    <w:rsid w:val="00A9606C"/>
    <w:rsid w:val="00A97C86"/>
    <w:rsid w:val="00AA74AD"/>
    <w:rsid w:val="00AA750F"/>
    <w:rsid w:val="00AB0C7B"/>
    <w:rsid w:val="00AB15F0"/>
    <w:rsid w:val="00AB55C5"/>
    <w:rsid w:val="00AB7E4E"/>
    <w:rsid w:val="00AC2BFE"/>
    <w:rsid w:val="00AC5788"/>
    <w:rsid w:val="00AC6331"/>
    <w:rsid w:val="00AD1AB3"/>
    <w:rsid w:val="00AD2B8A"/>
    <w:rsid w:val="00AD35E9"/>
    <w:rsid w:val="00AD5497"/>
    <w:rsid w:val="00AD5AD1"/>
    <w:rsid w:val="00AD6334"/>
    <w:rsid w:val="00AD6350"/>
    <w:rsid w:val="00AD7DAD"/>
    <w:rsid w:val="00AE0FA7"/>
    <w:rsid w:val="00AE15E5"/>
    <w:rsid w:val="00AE3C05"/>
    <w:rsid w:val="00AE5238"/>
    <w:rsid w:val="00AF19FD"/>
    <w:rsid w:val="00AF349E"/>
    <w:rsid w:val="00AF464C"/>
    <w:rsid w:val="00AF4EB6"/>
    <w:rsid w:val="00B010E5"/>
    <w:rsid w:val="00B0396C"/>
    <w:rsid w:val="00B07763"/>
    <w:rsid w:val="00B1018F"/>
    <w:rsid w:val="00B10B37"/>
    <w:rsid w:val="00B132C0"/>
    <w:rsid w:val="00B1504A"/>
    <w:rsid w:val="00B20DD6"/>
    <w:rsid w:val="00B22161"/>
    <w:rsid w:val="00B239B0"/>
    <w:rsid w:val="00B2601F"/>
    <w:rsid w:val="00B262B8"/>
    <w:rsid w:val="00B27184"/>
    <w:rsid w:val="00B312A1"/>
    <w:rsid w:val="00B31AB3"/>
    <w:rsid w:val="00B322D3"/>
    <w:rsid w:val="00B326AE"/>
    <w:rsid w:val="00B33CCF"/>
    <w:rsid w:val="00B35C95"/>
    <w:rsid w:val="00B418DB"/>
    <w:rsid w:val="00B428FB"/>
    <w:rsid w:val="00B431C8"/>
    <w:rsid w:val="00B4631D"/>
    <w:rsid w:val="00B475AA"/>
    <w:rsid w:val="00B47CB8"/>
    <w:rsid w:val="00B50C88"/>
    <w:rsid w:val="00B51780"/>
    <w:rsid w:val="00B520BF"/>
    <w:rsid w:val="00B5266A"/>
    <w:rsid w:val="00B53A7B"/>
    <w:rsid w:val="00B54F4F"/>
    <w:rsid w:val="00B5514A"/>
    <w:rsid w:val="00B55995"/>
    <w:rsid w:val="00B571E3"/>
    <w:rsid w:val="00B576D2"/>
    <w:rsid w:val="00B60DAB"/>
    <w:rsid w:val="00B628A4"/>
    <w:rsid w:val="00B65253"/>
    <w:rsid w:val="00B65EB9"/>
    <w:rsid w:val="00B6672B"/>
    <w:rsid w:val="00B6747F"/>
    <w:rsid w:val="00B72A25"/>
    <w:rsid w:val="00B737DF"/>
    <w:rsid w:val="00B73B5E"/>
    <w:rsid w:val="00B7443B"/>
    <w:rsid w:val="00B77AF7"/>
    <w:rsid w:val="00B84FAE"/>
    <w:rsid w:val="00B8728E"/>
    <w:rsid w:val="00B903BC"/>
    <w:rsid w:val="00B91230"/>
    <w:rsid w:val="00B92564"/>
    <w:rsid w:val="00B92BD0"/>
    <w:rsid w:val="00BA01FB"/>
    <w:rsid w:val="00BA0E48"/>
    <w:rsid w:val="00BA10D2"/>
    <w:rsid w:val="00BA1594"/>
    <w:rsid w:val="00BA1872"/>
    <w:rsid w:val="00BA35EE"/>
    <w:rsid w:val="00BA592E"/>
    <w:rsid w:val="00BB1032"/>
    <w:rsid w:val="00BB33BB"/>
    <w:rsid w:val="00BB3906"/>
    <w:rsid w:val="00BB3AF2"/>
    <w:rsid w:val="00BB4541"/>
    <w:rsid w:val="00BB50A7"/>
    <w:rsid w:val="00BB75F2"/>
    <w:rsid w:val="00BC37BA"/>
    <w:rsid w:val="00BC4BFF"/>
    <w:rsid w:val="00BC60FF"/>
    <w:rsid w:val="00BC67AA"/>
    <w:rsid w:val="00BC6F7A"/>
    <w:rsid w:val="00BC721E"/>
    <w:rsid w:val="00BC7FBF"/>
    <w:rsid w:val="00BD0862"/>
    <w:rsid w:val="00BD3432"/>
    <w:rsid w:val="00BD3A75"/>
    <w:rsid w:val="00BD402D"/>
    <w:rsid w:val="00BD5CAA"/>
    <w:rsid w:val="00BD76A0"/>
    <w:rsid w:val="00BD7E8B"/>
    <w:rsid w:val="00BE10A8"/>
    <w:rsid w:val="00BE1CF3"/>
    <w:rsid w:val="00BE2B3D"/>
    <w:rsid w:val="00BE3E3D"/>
    <w:rsid w:val="00BE413C"/>
    <w:rsid w:val="00BE43AF"/>
    <w:rsid w:val="00BE45E7"/>
    <w:rsid w:val="00BE5531"/>
    <w:rsid w:val="00BE580E"/>
    <w:rsid w:val="00BE7BD9"/>
    <w:rsid w:val="00BF03D0"/>
    <w:rsid w:val="00BF0A01"/>
    <w:rsid w:val="00BF267A"/>
    <w:rsid w:val="00BF349E"/>
    <w:rsid w:val="00BF3B1F"/>
    <w:rsid w:val="00BF404E"/>
    <w:rsid w:val="00BF440B"/>
    <w:rsid w:val="00BF60A6"/>
    <w:rsid w:val="00BF6943"/>
    <w:rsid w:val="00BF6BB7"/>
    <w:rsid w:val="00BF71E3"/>
    <w:rsid w:val="00BF7F0D"/>
    <w:rsid w:val="00C01287"/>
    <w:rsid w:val="00C06930"/>
    <w:rsid w:val="00C07AFE"/>
    <w:rsid w:val="00C07F67"/>
    <w:rsid w:val="00C123C0"/>
    <w:rsid w:val="00C12B16"/>
    <w:rsid w:val="00C132B9"/>
    <w:rsid w:val="00C14119"/>
    <w:rsid w:val="00C1467A"/>
    <w:rsid w:val="00C17552"/>
    <w:rsid w:val="00C20233"/>
    <w:rsid w:val="00C23053"/>
    <w:rsid w:val="00C235F3"/>
    <w:rsid w:val="00C26423"/>
    <w:rsid w:val="00C27183"/>
    <w:rsid w:val="00C273E3"/>
    <w:rsid w:val="00C31B09"/>
    <w:rsid w:val="00C327A1"/>
    <w:rsid w:val="00C34CCB"/>
    <w:rsid w:val="00C372E4"/>
    <w:rsid w:val="00C40C12"/>
    <w:rsid w:val="00C431F3"/>
    <w:rsid w:val="00C433ED"/>
    <w:rsid w:val="00C45D55"/>
    <w:rsid w:val="00C4622B"/>
    <w:rsid w:val="00C473D5"/>
    <w:rsid w:val="00C478E6"/>
    <w:rsid w:val="00C506DD"/>
    <w:rsid w:val="00C50BB4"/>
    <w:rsid w:val="00C53377"/>
    <w:rsid w:val="00C548C2"/>
    <w:rsid w:val="00C570FB"/>
    <w:rsid w:val="00C57D6B"/>
    <w:rsid w:val="00C619EB"/>
    <w:rsid w:val="00C655B7"/>
    <w:rsid w:val="00C65AFB"/>
    <w:rsid w:val="00C66380"/>
    <w:rsid w:val="00C70277"/>
    <w:rsid w:val="00C70BD5"/>
    <w:rsid w:val="00C71D4D"/>
    <w:rsid w:val="00C71E0F"/>
    <w:rsid w:val="00C74110"/>
    <w:rsid w:val="00C74925"/>
    <w:rsid w:val="00C77120"/>
    <w:rsid w:val="00C8086E"/>
    <w:rsid w:val="00C82881"/>
    <w:rsid w:val="00C82C1E"/>
    <w:rsid w:val="00C83847"/>
    <w:rsid w:val="00C843D2"/>
    <w:rsid w:val="00C845E1"/>
    <w:rsid w:val="00C84B7C"/>
    <w:rsid w:val="00C92E6D"/>
    <w:rsid w:val="00C93BE7"/>
    <w:rsid w:val="00C940B7"/>
    <w:rsid w:val="00C96238"/>
    <w:rsid w:val="00CA1463"/>
    <w:rsid w:val="00CA2BB7"/>
    <w:rsid w:val="00CA3B60"/>
    <w:rsid w:val="00CA3F99"/>
    <w:rsid w:val="00CA4AA5"/>
    <w:rsid w:val="00CB095F"/>
    <w:rsid w:val="00CB142F"/>
    <w:rsid w:val="00CB46B8"/>
    <w:rsid w:val="00CB7E81"/>
    <w:rsid w:val="00CC0E30"/>
    <w:rsid w:val="00CC0FC0"/>
    <w:rsid w:val="00CC304B"/>
    <w:rsid w:val="00CC3922"/>
    <w:rsid w:val="00CC3B03"/>
    <w:rsid w:val="00CC4C68"/>
    <w:rsid w:val="00CC5864"/>
    <w:rsid w:val="00CC5ACB"/>
    <w:rsid w:val="00CC5E64"/>
    <w:rsid w:val="00CD11B4"/>
    <w:rsid w:val="00CD1EB9"/>
    <w:rsid w:val="00CE1B21"/>
    <w:rsid w:val="00CE47D0"/>
    <w:rsid w:val="00CE58D2"/>
    <w:rsid w:val="00CE5D1F"/>
    <w:rsid w:val="00CF352B"/>
    <w:rsid w:val="00CF3FBA"/>
    <w:rsid w:val="00CF4BFD"/>
    <w:rsid w:val="00CF4C2C"/>
    <w:rsid w:val="00CF52CA"/>
    <w:rsid w:val="00CF6A41"/>
    <w:rsid w:val="00CF6D4A"/>
    <w:rsid w:val="00CF7C7D"/>
    <w:rsid w:val="00D00397"/>
    <w:rsid w:val="00D0310B"/>
    <w:rsid w:val="00D042B1"/>
    <w:rsid w:val="00D044D9"/>
    <w:rsid w:val="00D10522"/>
    <w:rsid w:val="00D11BAE"/>
    <w:rsid w:val="00D13CDA"/>
    <w:rsid w:val="00D14F54"/>
    <w:rsid w:val="00D155B1"/>
    <w:rsid w:val="00D21A53"/>
    <w:rsid w:val="00D22F3F"/>
    <w:rsid w:val="00D27ABA"/>
    <w:rsid w:val="00D301B7"/>
    <w:rsid w:val="00D3052C"/>
    <w:rsid w:val="00D316D0"/>
    <w:rsid w:val="00D31709"/>
    <w:rsid w:val="00D32A01"/>
    <w:rsid w:val="00D3318A"/>
    <w:rsid w:val="00D333B1"/>
    <w:rsid w:val="00D345F0"/>
    <w:rsid w:val="00D373A4"/>
    <w:rsid w:val="00D40B41"/>
    <w:rsid w:val="00D415F7"/>
    <w:rsid w:val="00D45D94"/>
    <w:rsid w:val="00D52D5C"/>
    <w:rsid w:val="00D5450A"/>
    <w:rsid w:val="00D551B8"/>
    <w:rsid w:val="00D55B2D"/>
    <w:rsid w:val="00D6070F"/>
    <w:rsid w:val="00D6082B"/>
    <w:rsid w:val="00D60AD5"/>
    <w:rsid w:val="00D6347B"/>
    <w:rsid w:val="00D64F0F"/>
    <w:rsid w:val="00D65EEB"/>
    <w:rsid w:val="00D66427"/>
    <w:rsid w:val="00D6651A"/>
    <w:rsid w:val="00D67691"/>
    <w:rsid w:val="00D67E67"/>
    <w:rsid w:val="00D742F5"/>
    <w:rsid w:val="00D74976"/>
    <w:rsid w:val="00D75D41"/>
    <w:rsid w:val="00D80790"/>
    <w:rsid w:val="00D82567"/>
    <w:rsid w:val="00D83F89"/>
    <w:rsid w:val="00D85A8C"/>
    <w:rsid w:val="00D85DBD"/>
    <w:rsid w:val="00D87313"/>
    <w:rsid w:val="00D879E2"/>
    <w:rsid w:val="00D9080F"/>
    <w:rsid w:val="00D922B0"/>
    <w:rsid w:val="00D9260A"/>
    <w:rsid w:val="00D9262D"/>
    <w:rsid w:val="00D92E0E"/>
    <w:rsid w:val="00D94E36"/>
    <w:rsid w:val="00D96C05"/>
    <w:rsid w:val="00DA11D7"/>
    <w:rsid w:val="00DA13C8"/>
    <w:rsid w:val="00DA196B"/>
    <w:rsid w:val="00DA1FB3"/>
    <w:rsid w:val="00DA1FFB"/>
    <w:rsid w:val="00DA6382"/>
    <w:rsid w:val="00DB12D6"/>
    <w:rsid w:val="00DB271D"/>
    <w:rsid w:val="00DB27B3"/>
    <w:rsid w:val="00DB37EE"/>
    <w:rsid w:val="00DB649F"/>
    <w:rsid w:val="00DB67D0"/>
    <w:rsid w:val="00DB680A"/>
    <w:rsid w:val="00DB7D35"/>
    <w:rsid w:val="00DC00AD"/>
    <w:rsid w:val="00DC0706"/>
    <w:rsid w:val="00DC0797"/>
    <w:rsid w:val="00DC1FD5"/>
    <w:rsid w:val="00DC211C"/>
    <w:rsid w:val="00DC27B7"/>
    <w:rsid w:val="00DC5424"/>
    <w:rsid w:val="00DC632E"/>
    <w:rsid w:val="00DD384E"/>
    <w:rsid w:val="00DD3F94"/>
    <w:rsid w:val="00DD7A02"/>
    <w:rsid w:val="00DD7A05"/>
    <w:rsid w:val="00DE16DB"/>
    <w:rsid w:val="00DE2E43"/>
    <w:rsid w:val="00DE3D93"/>
    <w:rsid w:val="00DE4E76"/>
    <w:rsid w:val="00DE68D4"/>
    <w:rsid w:val="00DF0217"/>
    <w:rsid w:val="00DF2536"/>
    <w:rsid w:val="00DF5504"/>
    <w:rsid w:val="00DF6875"/>
    <w:rsid w:val="00E01533"/>
    <w:rsid w:val="00E01536"/>
    <w:rsid w:val="00E01BE0"/>
    <w:rsid w:val="00E02DF5"/>
    <w:rsid w:val="00E03BEC"/>
    <w:rsid w:val="00E06FF4"/>
    <w:rsid w:val="00E07C7F"/>
    <w:rsid w:val="00E10146"/>
    <w:rsid w:val="00E139D5"/>
    <w:rsid w:val="00E13A8A"/>
    <w:rsid w:val="00E147C0"/>
    <w:rsid w:val="00E153CD"/>
    <w:rsid w:val="00E210E6"/>
    <w:rsid w:val="00E22283"/>
    <w:rsid w:val="00E231B0"/>
    <w:rsid w:val="00E23A4B"/>
    <w:rsid w:val="00E23F58"/>
    <w:rsid w:val="00E25381"/>
    <w:rsid w:val="00E26A46"/>
    <w:rsid w:val="00E31B1B"/>
    <w:rsid w:val="00E31EBA"/>
    <w:rsid w:val="00E32FCE"/>
    <w:rsid w:val="00E33991"/>
    <w:rsid w:val="00E36F36"/>
    <w:rsid w:val="00E37528"/>
    <w:rsid w:val="00E37936"/>
    <w:rsid w:val="00E40761"/>
    <w:rsid w:val="00E421D6"/>
    <w:rsid w:val="00E427EC"/>
    <w:rsid w:val="00E42CF0"/>
    <w:rsid w:val="00E437A8"/>
    <w:rsid w:val="00E43C62"/>
    <w:rsid w:val="00E45802"/>
    <w:rsid w:val="00E50783"/>
    <w:rsid w:val="00E507DC"/>
    <w:rsid w:val="00E52370"/>
    <w:rsid w:val="00E54128"/>
    <w:rsid w:val="00E54886"/>
    <w:rsid w:val="00E54DF1"/>
    <w:rsid w:val="00E5512A"/>
    <w:rsid w:val="00E57196"/>
    <w:rsid w:val="00E577C4"/>
    <w:rsid w:val="00E5795E"/>
    <w:rsid w:val="00E57CF1"/>
    <w:rsid w:val="00E6412C"/>
    <w:rsid w:val="00E6429D"/>
    <w:rsid w:val="00E64A88"/>
    <w:rsid w:val="00E64D4B"/>
    <w:rsid w:val="00E66690"/>
    <w:rsid w:val="00E66E71"/>
    <w:rsid w:val="00E674B4"/>
    <w:rsid w:val="00E677D1"/>
    <w:rsid w:val="00E7182C"/>
    <w:rsid w:val="00E728B0"/>
    <w:rsid w:val="00E75CCC"/>
    <w:rsid w:val="00E80DB2"/>
    <w:rsid w:val="00E8325C"/>
    <w:rsid w:val="00E85A25"/>
    <w:rsid w:val="00E918AE"/>
    <w:rsid w:val="00E9484C"/>
    <w:rsid w:val="00E94AB6"/>
    <w:rsid w:val="00E96016"/>
    <w:rsid w:val="00E975F7"/>
    <w:rsid w:val="00EA24BA"/>
    <w:rsid w:val="00EA5AA8"/>
    <w:rsid w:val="00EA60B7"/>
    <w:rsid w:val="00EA6204"/>
    <w:rsid w:val="00EA64AD"/>
    <w:rsid w:val="00EA73DA"/>
    <w:rsid w:val="00EB0E80"/>
    <w:rsid w:val="00EB1A64"/>
    <w:rsid w:val="00EB1B22"/>
    <w:rsid w:val="00EB25EE"/>
    <w:rsid w:val="00EB50E3"/>
    <w:rsid w:val="00EB7F41"/>
    <w:rsid w:val="00EC036F"/>
    <w:rsid w:val="00EC0852"/>
    <w:rsid w:val="00EC0C7A"/>
    <w:rsid w:val="00EC3E17"/>
    <w:rsid w:val="00EC7327"/>
    <w:rsid w:val="00ED0580"/>
    <w:rsid w:val="00ED37BC"/>
    <w:rsid w:val="00ED419A"/>
    <w:rsid w:val="00ED542F"/>
    <w:rsid w:val="00ED5B9C"/>
    <w:rsid w:val="00ED7C90"/>
    <w:rsid w:val="00EE0D55"/>
    <w:rsid w:val="00EE41F0"/>
    <w:rsid w:val="00EE4894"/>
    <w:rsid w:val="00EF0EA4"/>
    <w:rsid w:val="00EF437B"/>
    <w:rsid w:val="00EF7864"/>
    <w:rsid w:val="00EF7FE7"/>
    <w:rsid w:val="00F00B9E"/>
    <w:rsid w:val="00F0357E"/>
    <w:rsid w:val="00F03B12"/>
    <w:rsid w:val="00F0514F"/>
    <w:rsid w:val="00F05330"/>
    <w:rsid w:val="00F057A5"/>
    <w:rsid w:val="00F07F4E"/>
    <w:rsid w:val="00F10155"/>
    <w:rsid w:val="00F1116A"/>
    <w:rsid w:val="00F114B8"/>
    <w:rsid w:val="00F15F70"/>
    <w:rsid w:val="00F16F0A"/>
    <w:rsid w:val="00F21B0D"/>
    <w:rsid w:val="00F22676"/>
    <w:rsid w:val="00F2530E"/>
    <w:rsid w:val="00F334D4"/>
    <w:rsid w:val="00F33DAB"/>
    <w:rsid w:val="00F350BD"/>
    <w:rsid w:val="00F35A84"/>
    <w:rsid w:val="00F37092"/>
    <w:rsid w:val="00F40EFA"/>
    <w:rsid w:val="00F42562"/>
    <w:rsid w:val="00F42654"/>
    <w:rsid w:val="00F42D43"/>
    <w:rsid w:val="00F45467"/>
    <w:rsid w:val="00F45962"/>
    <w:rsid w:val="00F503D2"/>
    <w:rsid w:val="00F506CB"/>
    <w:rsid w:val="00F62F2B"/>
    <w:rsid w:val="00F66797"/>
    <w:rsid w:val="00F66E35"/>
    <w:rsid w:val="00F67E19"/>
    <w:rsid w:val="00F70371"/>
    <w:rsid w:val="00F71A40"/>
    <w:rsid w:val="00F758BC"/>
    <w:rsid w:val="00F767AC"/>
    <w:rsid w:val="00F76AF1"/>
    <w:rsid w:val="00F82AE7"/>
    <w:rsid w:val="00F8747F"/>
    <w:rsid w:val="00F901D9"/>
    <w:rsid w:val="00F90A64"/>
    <w:rsid w:val="00F91441"/>
    <w:rsid w:val="00F91AAB"/>
    <w:rsid w:val="00F94263"/>
    <w:rsid w:val="00FA1599"/>
    <w:rsid w:val="00FA20EC"/>
    <w:rsid w:val="00FA3FB9"/>
    <w:rsid w:val="00FA6F1C"/>
    <w:rsid w:val="00FA7EFD"/>
    <w:rsid w:val="00FB0F82"/>
    <w:rsid w:val="00FB670B"/>
    <w:rsid w:val="00FB783B"/>
    <w:rsid w:val="00FC1E33"/>
    <w:rsid w:val="00FC5387"/>
    <w:rsid w:val="00FC7193"/>
    <w:rsid w:val="00FC7C3A"/>
    <w:rsid w:val="00FD271B"/>
    <w:rsid w:val="00FD4668"/>
    <w:rsid w:val="00FD64B5"/>
    <w:rsid w:val="00FD6FEE"/>
    <w:rsid w:val="00FD7BA9"/>
    <w:rsid w:val="00FE5671"/>
    <w:rsid w:val="00FE730F"/>
    <w:rsid w:val="00FE7E69"/>
    <w:rsid w:val="00FF2C55"/>
    <w:rsid w:val="00FF3BDE"/>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fc"/>
    </o:shapedefaults>
    <o:shapelayout v:ext="edit">
      <o:idmap v:ext="edit" data="2"/>
    </o:shapelayout>
  </w:shapeDefaults>
  <w:decimalSymbol w:val="."/>
  <w:listSeparator w:val=","/>
  <w14:docId w14:val="16F69BB4"/>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B9E"/>
    <w:pPr>
      <w:spacing w:line="360" w:lineRule="auto"/>
      <w:jc w:val="both"/>
    </w:pPr>
    <w:rPr>
      <w:rFonts w:ascii="Arial" w:hAnsi="Arial"/>
    </w:rPr>
  </w:style>
  <w:style w:type="paragraph" w:styleId="Heading1">
    <w:name w:val="heading 1"/>
    <w:basedOn w:val="Normal"/>
    <w:next w:val="Normal"/>
    <w:link w:val="Heading1Char"/>
    <w:autoRedefine/>
    <w:uiPriority w:val="9"/>
    <w:qFormat/>
    <w:rsid w:val="00D6082B"/>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2A0A4D"/>
    <w:pPr>
      <w:keepNext/>
      <w:keepLines/>
      <w:spacing w:before="160" w:after="80"/>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EA73DA"/>
    <w:pPr>
      <w:keepNext/>
      <w:keepLines/>
      <w:numPr>
        <w:ilvl w:val="2"/>
        <w:numId w:val="3"/>
      </w:numPr>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DA196B"/>
    <w:pPr>
      <w:keepNext/>
      <w:keepLines/>
      <w:spacing w:before="80" w:after="40" w:line="240" w:lineRule="auto"/>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82B"/>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2A0A4D"/>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EA73DA"/>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DA196B"/>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 w:type="table" w:styleId="TableGrid">
    <w:name w:val="Table Grid"/>
    <w:basedOn w:val="TableNormal"/>
    <w:uiPriority w:val="59"/>
    <w:rsid w:val="007473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A32E4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122">
      <w:bodyDiv w:val="1"/>
      <w:marLeft w:val="0"/>
      <w:marRight w:val="0"/>
      <w:marTop w:val="0"/>
      <w:marBottom w:val="0"/>
      <w:divBdr>
        <w:top w:val="none" w:sz="0" w:space="0" w:color="auto"/>
        <w:left w:val="none" w:sz="0" w:space="0" w:color="auto"/>
        <w:bottom w:val="none" w:sz="0" w:space="0" w:color="auto"/>
        <w:right w:val="none" w:sz="0" w:space="0" w:color="auto"/>
      </w:divBdr>
    </w:div>
    <w:div w:id="5989253">
      <w:bodyDiv w:val="1"/>
      <w:marLeft w:val="0"/>
      <w:marRight w:val="0"/>
      <w:marTop w:val="0"/>
      <w:marBottom w:val="0"/>
      <w:divBdr>
        <w:top w:val="none" w:sz="0" w:space="0" w:color="auto"/>
        <w:left w:val="none" w:sz="0" w:space="0" w:color="auto"/>
        <w:bottom w:val="none" w:sz="0" w:space="0" w:color="auto"/>
        <w:right w:val="none" w:sz="0" w:space="0" w:color="auto"/>
      </w:divBdr>
    </w:div>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9918525">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13121893">
      <w:bodyDiv w:val="1"/>
      <w:marLeft w:val="0"/>
      <w:marRight w:val="0"/>
      <w:marTop w:val="0"/>
      <w:marBottom w:val="0"/>
      <w:divBdr>
        <w:top w:val="none" w:sz="0" w:space="0" w:color="auto"/>
        <w:left w:val="none" w:sz="0" w:space="0" w:color="auto"/>
        <w:bottom w:val="none" w:sz="0" w:space="0" w:color="auto"/>
        <w:right w:val="none" w:sz="0" w:space="0" w:color="auto"/>
      </w:divBdr>
    </w:div>
    <w:div w:id="13460462">
      <w:bodyDiv w:val="1"/>
      <w:marLeft w:val="0"/>
      <w:marRight w:val="0"/>
      <w:marTop w:val="0"/>
      <w:marBottom w:val="0"/>
      <w:divBdr>
        <w:top w:val="none" w:sz="0" w:space="0" w:color="auto"/>
        <w:left w:val="none" w:sz="0" w:space="0" w:color="auto"/>
        <w:bottom w:val="none" w:sz="0" w:space="0" w:color="auto"/>
        <w:right w:val="none" w:sz="0" w:space="0" w:color="auto"/>
      </w:divBdr>
    </w:div>
    <w:div w:id="17002447">
      <w:bodyDiv w:val="1"/>
      <w:marLeft w:val="0"/>
      <w:marRight w:val="0"/>
      <w:marTop w:val="0"/>
      <w:marBottom w:val="0"/>
      <w:divBdr>
        <w:top w:val="none" w:sz="0" w:space="0" w:color="auto"/>
        <w:left w:val="none" w:sz="0" w:space="0" w:color="auto"/>
        <w:bottom w:val="none" w:sz="0" w:space="0" w:color="auto"/>
        <w:right w:val="none" w:sz="0" w:space="0" w:color="auto"/>
      </w:divBdr>
    </w:div>
    <w:div w:id="20472758">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24452151">
      <w:bodyDiv w:val="1"/>
      <w:marLeft w:val="0"/>
      <w:marRight w:val="0"/>
      <w:marTop w:val="0"/>
      <w:marBottom w:val="0"/>
      <w:divBdr>
        <w:top w:val="none" w:sz="0" w:space="0" w:color="auto"/>
        <w:left w:val="none" w:sz="0" w:space="0" w:color="auto"/>
        <w:bottom w:val="none" w:sz="0" w:space="0" w:color="auto"/>
        <w:right w:val="none" w:sz="0" w:space="0" w:color="auto"/>
      </w:divBdr>
    </w:div>
    <w:div w:id="31156600">
      <w:bodyDiv w:val="1"/>
      <w:marLeft w:val="0"/>
      <w:marRight w:val="0"/>
      <w:marTop w:val="0"/>
      <w:marBottom w:val="0"/>
      <w:divBdr>
        <w:top w:val="none" w:sz="0" w:space="0" w:color="auto"/>
        <w:left w:val="none" w:sz="0" w:space="0" w:color="auto"/>
        <w:bottom w:val="none" w:sz="0" w:space="0" w:color="auto"/>
        <w:right w:val="none" w:sz="0" w:space="0" w:color="auto"/>
      </w:divBdr>
    </w:div>
    <w:div w:id="31615571">
      <w:bodyDiv w:val="1"/>
      <w:marLeft w:val="0"/>
      <w:marRight w:val="0"/>
      <w:marTop w:val="0"/>
      <w:marBottom w:val="0"/>
      <w:divBdr>
        <w:top w:val="none" w:sz="0" w:space="0" w:color="auto"/>
        <w:left w:val="none" w:sz="0" w:space="0" w:color="auto"/>
        <w:bottom w:val="none" w:sz="0" w:space="0" w:color="auto"/>
        <w:right w:val="none" w:sz="0" w:space="0" w:color="auto"/>
      </w:divBdr>
    </w:div>
    <w:div w:id="40718267">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48964547">
      <w:bodyDiv w:val="1"/>
      <w:marLeft w:val="0"/>
      <w:marRight w:val="0"/>
      <w:marTop w:val="0"/>
      <w:marBottom w:val="0"/>
      <w:divBdr>
        <w:top w:val="none" w:sz="0" w:space="0" w:color="auto"/>
        <w:left w:val="none" w:sz="0" w:space="0" w:color="auto"/>
        <w:bottom w:val="none" w:sz="0" w:space="0" w:color="auto"/>
        <w:right w:val="none" w:sz="0" w:space="0" w:color="auto"/>
      </w:divBdr>
    </w:div>
    <w:div w:id="54595771">
      <w:bodyDiv w:val="1"/>
      <w:marLeft w:val="0"/>
      <w:marRight w:val="0"/>
      <w:marTop w:val="0"/>
      <w:marBottom w:val="0"/>
      <w:divBdr>
        <w:top w:val="none" w:sz="0" w:space="0" w:color="auto"/>
        <w:left w:val="none" w:sz="0" w:space="0" w:color="auto"/>
        <w:bottom w:val="none" w:sz="0" w:space="0" w:color="auto"/>
        <w:right w:val="none" w:sz="0" w:space="0" w:color="auto"/>
      </w:divBdr>
    </w:div>
    <w:div w:id="56982082">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66078084">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78447985">
      <w:bodyDiv w:val="1"/>
      <w:marLeft w:val="0"/>
      <w:marRight w:val="0"/>
      <w:marTop w:val="0"/>
      <w:marBottom w:val="0"/>
      <w:divBdr>
        <w:top w:val="none" w:sz="0" w:space="0" w:color="auto"/>
        <w:left w:val="none" w:sz="0" w:space="0" w:color="auto"/>
        <w:bottom w:val="none" w:sz="0" w:space="0" w:color="auto"/>
        <w:right w:val="none" w:sz="0" w:space="0" w:color="auto"/>
      </w:divBdr>
    </w:div>
    <w:div w:id="78870181">
      <w:bodyDiv w:val="1"/>
      <w:marLeft w:val="0"/>
      <w:marRight w:val="0"/>
      <w:marTop w:val="0"/>
      <w:marBottom w:val="0"/>
      <w:divBdr>
        <w:top w:val="none" w:sz="0" w:space="0" w:color="auto"/>
        <w:left w:val="none" w:sz="0" w:space="0" w:color="auto"/>
        <w:bottom w:val="none" w:sz="0" w:space="0" w:color="auto"/>
        <w:right w:val="none" w:sz="0" w:space="0" w:color="auto"/>
      </w:divBdr>
    </w:div>
    <w:div w:id="79909046">
      <w:bodyDiv w:val="1"/>
      <w:marLeft w:val="0"/>
      <w:marRight w:val="0"/>
      <w:marTop w:val="0"/>
      <w:marBottom w:val="0"/>
      <w:divBdr>
        <w:top w:val="none" w:sz="0" w:space="0" w:color="auto"/>
        <w:left w:val="none" w:sz="0" w:space="0" w:color="auto"/>
        <w:bottom w:val="none" w:sz="0" w:space="0" w:color="auto"/>
        <w:right w:val="none" w:sz="0" w:space="0" w:color="auto"/>
      </w:divBdr>
    </w:div>
    <w:div w:id="81147963">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8854481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01997358">
      <w:bodyDiv w:val="1"/>
      <w:marLeft w:val="0"/>
      <w:marRight w:val="0"/>
      <w:marTop w:val="0"/>
      <w:marBottom w:val="0"/>
      <w:divBdr>
        <w:top w:val="none" w:sz="0" w:space="0" w:color="auto"/>
        <w:left w:val="none" w:sz="0" w:space="0" w:color="auto"/>
        <w:bottom w:val="none" w:sz="0" w:space="0" w:color="auto"/>
        <w:right w:val="none" w:sz="0" w:space="0" w:color="auto"/>
      </w:divBdr>
    </w:div>
    <w:div w:id="105928491">
      <w:bodyDiv w:val="1"/>
      <w:marLeft w:val="0"/>
      <w:marRight w:val="0"/>
      <w:marTop w:val="0"/>
      <w:marBottom w:val="0"/>
      <w:divBdr>
        <w:top w:val="none" w:sz="0" w:space="0" w:color="auto"/>
        <w:left w:val="none" w:sz="0" w:space="0" w:color="auto"/>
        <w:bottom w:val="none" w:sz="0" w:space="0" w:color="auto"/>
        <w:right w:val="none" w:sz="0" w:space="0" w:color="auto"/>
      </w:divBdr>
    </w:div>
    <w:div w:id="110709842">
      <w:bodyDiv w:val="1"/>
      <w:marLeft w:val="0"/>
      <w:marRight w:val="0"/>
      <w:marTop w:val="0"/>
      <w:marBottom w:val="0"/>
      <w:divBdr>
        <w:top w:val="none" w:sz="0" w:space="0" w:color="auto"/>
        <w:left w:val="none" w:sz="0" w:space="0" w:color="auto"/>
        <w:bottom w:val="none" w:sz="0" w:space="0" w:color="auto"/>
        <w:right w:val="none" w:sz="0" w:space="0" w:color="auto"/>
      </w:divBdr>
    </w:div>
    <w:div w:id="114565966">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19809136">
      <w:bodyDiv w:val="1"/>
      <w:marLeft w:val="0"/>
      <w:marRight w:val="0"/>
      <w:marTop w:val="0"/>
      <w:marBottom w:val="0"/>
      <w:divBdr>
        <w:top w:val="none" w:sz="0" w:space="0" w:color="auto"/>
        <w:left w:val="none" w:sz="0" w:space="0" w:color="auto"/>
        <w:bottom w:val="none" w:sz="0" w:space="0" w:color="auto"/>
        <w:right w:val="none" w:sz="0" w:space="0" w:color="auto"/>
      </w:divBdr>
    </w:div>
    <w:div w:id="121000870">
      <w:bodyDiv w:val="1"/>
      <w:marLeft w:val="0"/>
      <w:marRight w:val="0"/>
      <w:marTop w:val="0"/>
      <w:marBottom w:val="0"/>
      <w:divBdr>
        <w:top w:val="none" w:sz="0" w:space="0" w:color="auto"/>
        <w:left w:val="none" w:sz="0" w:space="0" w:color="auto"/>
        <w:bottom w:val="none" w:sz="0" w:space="0" w:color="auto"/>
        <w:right w:val="none" w:sz="0" w:space="0" w:color="auto"/>
      </w:divBdr>
    </w:div>
    <w:div w:id="121503954">
      <w:bodyDiv w:val="1"/>
      <w:marLeft w:val="0"/>
      <w:marRight w:val="0"/>
      <w:marTop w:val="0"/>
      <w:marBottom w:val="0"/>
      <w:divBdr>
        <w:top w:val="none" w:sz="0" w:space="0" w:color="auto"/>
        <w:left w:val="none" w:sz="0" w:space="0" w:color="auto"/>
        <w:bottom w:val="none" w:sz="0" w:space="0" w:color="auto"/>
        <w:right w:val="none" w:sz="0" w:space="0" w:color="auto"/>
      </w:divBdr>
      <w:divsChild>
        <w:div w:id="112945428">
          <w:marLeft w:val="0"/>
          <w:marRight w:val="0"/>
          <w:marTop w:val="0"/>
          <w:marBottom w:val="0"/>
          <w:divBdr>
            <w:top w:val="none" w:sz="0" w:space="0" w:color="auto"/>
            <w:left w:val="none" w:sz="0" w:space="0" w:color="auto"/>
            <w:bottom w:val="none" w:sz="0" w:space="0" w:color="auto"/>
            <w:right w:val="none" w:sz="0" w:space="0" w:color="auto"/>
          </w:divBdr>
        </w:div>
        <w:div w:id="536086814">
          <w:marLeft w:val="0"/>
          <w:marRight w:val="0"/>
          <w:marTop w:val="0"/>
          <w:marBottom w:val="0"/>
          <w:divBdr>
            <w:top w:val="none" w:sz="0" w:space="0" w:color="auto"/>
            <w:left w:val="none" w:sz="0" w:space="0" w:color="auto"/>
            <w:bottom w:val="none" w:sz="0" w:space="0" w:color="auto"/>
            <w:right w:val="none" w:sz="0" w:space="0" w:color="auto"/>
          </w:divBdr>
        </w:div>
      </w:divsChild>
    </w:div>
    <w:div w:id="131098909">
      <w:bodyDiv w:val="1"/>
      <w:marLeft w:val="0"/>
      <w:marRight w:val="0"/>
      <w:marTop w:val="0"/>
      <w:marBottom w:val="0"/>
      <w:divBdr>
        <w:top w:val="none" w:sz="0" w:space="0" w:color="auto"/>
        <w:left w:val="none" w:sz="0" w:space="0" w:color="auto"/>
        <w:bottom w:val="none" w:sz="0" w:space="0" w:color="auto"/>
        <w:right w:val="none" w:sz="0" w:space="0" w:color="auto"/>
      </w:divBdr>
    </w:div>
    <w:div w:id="136994825">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43740267">
      <w:bodyDiv w:val="1"/>
      <w:marLeft w:val="0"/>
      <w:marRight w:val="0"/>
      <w:marTop w:val="0"/>
      <w:marBottom w:val="0"/>
      <w:divBdr>
        <w:top w:val="none" w:sz="0" w:space="0" w:color="auto"/>
        <w:left w:val="none" w:sz="0" w:space="0" w:color="auto"/>
        <w:bottom w:val="none" w:sz="0" w:space="0" w:color="auto"/>
        <w:right w:val="none" w:sz="0" w:space="0" w:color="auto"/>
      </w:divBdr>
    </w:div>
    <w:div w:id="145124206">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55925484">
      <w:bodyDiv w:val="1"/>
      <w:marLeft w:val="0"/>
      <w:marRight w:val="0"/>
      <w:marTop w:val="0"/>
      <w:marBottom w:val="0"/>
      <w:divBdr>
        <w:top w:val="none" w:sz="0" w:space="0" w:color="auto"/>
        <w:left w:val="none" w:sz="0" w:space="0" w:color="auto"/>
        <w:bottom w:val="none" w:sz="0" w:space="0" w:color="auto"/>
        <w:right w:val="none" w:sz="0" w:space="0" w:color="auto"/>
      </w:divBdr>
    </w:div>
    <w:div w:id="157698823">
      <w:bodyDiv w:val="1"/>
      <w:marLeft w:val="0"/>
      <w:marRight w:val="0"/>
      <w:marTop w:val="0"/>
      <w:marBottom w:val="0"/>
      <w:divBdr>
        <w:top w:val="none" w:sz="0" w:space="0" w:color="auto"/>
        <w:left w:val="none" w:sz="0" w:space="0" w:color="auto"/>
        <w:bottom w:val="none" w:sz="0" w:space="0" w:color="auto"/>
        <w:right w:val="none" w:sz="0" w:space="0" w:color="auto"/>
      </w:divBdr>
    </w:div>
    <w:div w:id="165678998">
      <w:bodyDiv w:val="1"/>
      <w:marLeft w:val="0"/>
      <w:marRight w:val="0"/>
      <w:marTop w:val="0"/>
      <w:marBottom w:val="0"/>
      <w:divBdr>
        <w:top w:val="none" w:sz="0" w:space="0" w:color="auto"/>
        <w:left w:val="none" w:sz="0" w:space="0" w:color="auto"/>
        <w:bottom w:val="none" w:sz="0" w:space="0" w:color="auto"/>
        <w:right w:val="none" w:sz="0" w:space="0" w:color="auto"/>
      </w:divBdr>
    </w:div>
    <w:div w:id="168179018">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73494412">
      <w:bodyDiv w:val="1"/>
      <w:marLeft w:val="0"/>
      <w:marRight w:val="0"/>
      <w:marTop w:val="0"/>
      <w:marBottom w:val="0"/>
      <w:divBdr>
        <w:top w:val="none" w:sz="0" w:space="0" w:color="auto"/>
        <w:left w:val="none" w:sz="0" w:space="0" w:color="auto"/>
        <w:bottom w:val="none" w:sz="0" w:space="0" w:color="auto"/>
        <w:right w:val="none" w:sz="0" w:space="0" w:color="auto"/>
      </w:divBdr>
    </w:div>
    <w:div w:id="183443821">
      <w:bodyDiv w:val="1"/>
      <w:marLeft w:val="0"/>
      <w:marRight w:val="0"/>
      <w:marTop w:val="0"/>
      <w:marBottom w:val="0"/>
      <w:divBdr>
        <w:top w:val="none" w:sz="0" w:space="0" w:color="auto"/>
        <w:left w:val="none" w:sz="0" w:space="0" w:color="auto"/>
        <w:bottom w:val="none" w:sz="0" w:space="0" w:color="auto"/>
        <w:right w:val="none" w:sz="0" w:space="0" w:color="auto"/>
      </w:divBdr>
    </w:div>
    <w:div w:id="189417407">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2130782288">
              <w:marLeft w:val="0"/>
              <w:marRight w:val="0"/>
              <w:marTop w:val="0"/>
              <w:marBottom w:val="0"/>
              <w:divBdr>
                <w:top w:val="none" w:sz="0" w:space="0" w:color="auto"/>
                <w:left w:val="none" w:sz="0" w:space="0" w:color="auto"/>
                <w:bottom w:val="none" w:sz="0" w:space="0" w:color="auto"/>
                <w:right w:val="none" w:sz="0" w:space="0" w:color="auto"/>
              </w:divBdr>
            </w:div>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141">
          <w:marLeft w:val="0"/>
          <w:marRight w:val="0"/>
          <w:marTop w:val="0"/>
          <w:marBottom w:val="0"/>
          <w:divBdr>
            <w:top w:val="none" w:sz="0" w:space="0" w:color="auto"/>
            <w:left w:val="none" w:sz="0" w:space="0" w:color="auto"/>
            <w:bottom w:val="none" w:sz="0" w:space="0" w:color="auto"/>
            <w:right w:val="none" w:sz="0" w:space="0" w:color="auto"/>
          </w:divBdr>
          <w:divsChild>
            <w:div w:id="2003314046">
              <w:marLeft w:val="0"/>
              <w:marRight w:val="0"/>
              <w:marTop w:val="0"/>
              <w:marBottom w:val="0"/>
              <w:divBdr>
                <w:top w:val="none" w:sz="0" w:space="0" w:color="auto"/>
                <w:left w:val="none" w:sz="0" w:space="0" w:color="auto"/>
                <w:bottom w:val="none" w:sz="0" w:space="0" w:color="auto"/>
                <w:right w:val="none" w:sz="0" w:space="0" w:color="auto"/>
              </w:divBdr>
            </w:div>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43922">
      <w:bodyDiv w:val="1"/>
      <w:marLeft w:val="0"/>
      <w:marRight w:val="0"/>
      <w:marTop w:val="0"/>
      <w:marBottom w:val="0"/>
      <w:divBdr>
        <w:top w:val="none" w:sz="0" w:space="0" w:color="auto"/>
        <w:left w:val="none" w:sz="0" w:space="0" w:color="auto"/>
        <w:bottom w:val="none" w:sz="0" w:space="0" w:color="auto"/>
        <w:right w:val="none" w:sz="0" w:space="0" w:color="auto"/>
      </w:divBdr>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07231668">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13276495">
      <w:bodyDiv w:val="1"/>
      <w:marLeft w:val="0"/>
      <w:marRight w:val="0"/>
      <w:marTop w:val="0"/>
      <w:marBottom w:val="0"/>
      <w:divBdr>
        <w:top w:val="none" w:sz="0" w:space="0" w:color="auto"/>
        <w:left w:val="none" w:sz="0" w:space="0" w:color="auto"/>
        <w:bottom w:val="none" w:sz="0" w:space="0" w:color="auto"/>
        <w:right w:val="none" w:sz="0" w:space="0" w:color="auto"/>
      </w:divBdr>
    </w:div>
    <w:div w:id="227041049">
      <w:bodyDiv w:val="1"/>
      <w:marLeft w:val="0"/>
      <w:marRight w:val="0"/>
      <w:marTop w:val="0"/>
      <w:marBottom w:val="0"/>
      <w:divBdr>
        <w:top w:val="none" w:sz="0" w:space="0" w:color="auto"/>
        <w:left w:val="none" w:sz="0" w:space="0" w:color="auto"/>
        <w:bottom w:val="none" w:sz="0" w:space="0" w:color="auto"/>
        <w:right w:val="none" w:sz="0" w:space="0" w:color="auto"/>
      </w:divBdr>
    </w:div>
    <w:div w:id="228929021">
      <w:bodyDiv w:val="1"/>
      <w:marLeft w:val="0"/>
      <w:marRight w:val="0"/>
      <w:marTop w:val="0"/>
      <w:marBottom w:val="0"/>
      <w:divBdr>
        <w:top w:val="none" w:sz="0" w:space="0" w:color="auto"/>
        <w:left w:val="none" w:sz="0" w:space="0" w:color="auto"/>
        <w:bottom w:val="none" w:sz="0" w:space="0" w:color="auto"/>
        <w:right w:val="none" w:sz="0" w:space="0" w:color="auto"/>
      </w:divBdr>
    </w:div>
    <w:div w:id="229735795">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47693026">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0557209">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936517593">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0840389">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79336137">
      <w:bodyDiv w:val="1"/>
      <w:marLeft w:val="0"/>
      <w:marRight w:val="0"/>
      <w:marTop w:val="0"/>
      <w:marBottom w:val="0"/>
      <w:divBdr>
        <w:top w:val="none" w:sz="0" w:space="0" w:color="auto"/>
        <w:left w:val="none" w:sz="0" w:space="0" w:color="auto"/>
        <w:bottom w:val="none" w:sz="0" w:space="0" w:color="auto"/>
        <w:right w:val="none" w:sz="0" w:space="0" w:color="auto"/>
      </w:divBdr>
    </w:div>
    <w:div w:id="282812039">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05940912">
      <w:bodyDiv w:val="1"/>
      <w:marLeft w:val="0"/>
      <w:marRight w:val="0"/>
      <w:marTop w:val="0"/>
      <w:marBottom w:val="0"/>
      <w:divBdr>
        <w:top w:val="none" w:sz="0" w:space="0" w:color="auto"/>
        <w:left w:val="none" w:sz="0" w:space="0" w:color="auto"/>
        <w:bottom w:val="none" w:sz="0" w:space="0" w:color="auto"/>
        <w:right w:val="none" w:sz="0" w:space="0" w:color="auto"/>
      </w:divBdr>
    </w:div>
    <w:div w:id="31334209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16963339">
      <w:bodyDiv w:val="1"/>
      <w:marLeft w:val="0"/>
      <w:marRight w:val="0"/>
      <w:marTop w:val="0"/>
      <w:marBottom w:val="0"/>
      <w:divBdr>
        <w:top w:val="none" w:sz="0" w:space="0" w:color="auto"/>
        <w:left w:val="none" w:sz="0" w:space="0" w:color="auto"/>
        <w:bottom w:val="none" w:sz="0" w:space="0" w:color="auto"/>
        <w:right w:val="none" w:sz="0" w:space="0" w:color="auto"/>
      </w:divBdr>
    </w:div>
    <w:div w:id="317265931">
      <w:bodyDiv w:val="1"/>
      <w:marLeft w:val="0"/>
      <w:marRight w:val="0"/>
      <w:marTop w:val="0"/>
      <w:marBottom w:val="0"/>
      <w:divBdr>
        <w:top w:val="none" w:sz="0" w:space="0" w:color="auto"/>
        <w:left w:val="none" w:sz="0" w:space="0" w:color="auto"/>
        <w:bottom w:val="none" w:sz="0" w:space="0" w:color="auto"/>
        <w:right w:val="none" w:sz="0" w:space="0" w:color="auto"/>
      </w:divBdr>
    </w:div>
    <w:div w:id="322240701">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26396465">
      <w:bodyDiv w:val="1"/>
      <w:marLeft w:val="0"/>
      <w:marRight w:val="0"/>
      <w:marTop w:val="0"/>
      <w:marBottom w:val="0"/>
      <w:divBdr>
        <w:top w:val="none" w:sz="0" w:space="0" w:color="auto"/>
        <w:left w:val="none" w:sz="0" w:space="0" w:color="auto"/>
        <w:bottom w:val="none" w:sz="0" w:space="0" w:color="auto"/>
        <w:right w:val="none" w:sz="0" w:space="0" w:color="auto"/>
      </w:divBdr>
    </w:div>
    <w:div w:id="332145487">
      <w:bodyDiv w:val="1"/>
      <w:marLeft w:val="0"/>
      <w:marRight w:val="0"/>
      <w:marTop w:val="0"/>
      <w:marBottom w:val="0"/>
      <w:divBdr>
        <w:top w:val="none" w:sz="0" w:space="0" w:color="auto"/>
        <w:left w:val="none" w:sz="0" w:space="0" w:color="auto"/>
        <w:bottom w:val="none" w:sz="0" w:space="0" w:color="auto"/>
        <w:right w:val="none" w:sz="0" w:space="0" w:color="auto"/>
      </w:divBdr>
    </w:div>
    <w:div w:id="335768925">
      <w:bodyDiv w:val="1"/>
      <w:marLeft w:val="0"/>
      <w:marRight w:val="0"/>
      <w:marTop w:val="0"/>
      <w:marBottom w:val="0"/>
      <w:divBdr>
        <w:top w:val="none" w:sz="0" w:space="0" w:color="auto"/>
        <w:left w:val="none" w:sz="0" w:space="0" w:color="auto"/>
        <w:bottom w:val="none" w:sz="0" w:space="0" w:color="auto"/>
        <w:right w:val="none" w:sz="0" w:space="0" w:color="auto"/>
      </w:divBdr>
    </w:div>
    <w:div w:id="337734620">
      <w:bodyDiv w:val="1"/>
      <w:marLeft w:val="0"/>
      <w:marRight w:val="0"/>
      <w:marTop w:val="0"/>
      <w:marBottom w:val="0"/>
      <w:divBdr>
        <w:top w:val="none" w:sz="0" w:space="0" w:color="auto"/>
        <w:left w:val="none" w:sz="0" w:space="0" w:color="auto"/>
        <w:bottom w:val="none" w:sz="0" w:space="0" w:color="auto"/>
        <w:right w:val="none" w:sz="0" w:space="0" w:color="auto"/>
      </w:divBdr>
    </w:div>
    <w:div w:id="339089856">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1652707508">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8411310">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1443878">
      <w:bodyDiv w:val="1"/>
      <w:marLeft w:val="0"/>
      <w:marRight w:val="0"/>
      <w:marTop w:val="0"/>
      <w:marBottom w:val="0"/>
      <w:divBdr>
        <w:top w:val="none" w:sz="0" w:space="0" w:color="auto"/>
        <w:left w:val="none" w:sz="0" w:space="0" w:color="auto"/>
        <w:bottom w:val="none" w:sz="0" w:space="0" w:color="auto"/>
        <w:right w:val="none" w:sz="0" w:space="0" w:color="auto"/>
      </w:divBdr>
    </w:div>
    <w:div w:id="365184266">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2851655">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78558753">
      <w:bodyDiv w:val="1"/>
      <w:marLeft w:val="0"/>
      <w:marRight w:val="0"/>
      <w:marTop w:val="0"/>
      <w:marBottom w:val="0"/>
      <w:divBdr>
        <w:top w:val="none" w:sz="0" w:space="0" w:color="auto"/>
        <w:left w:val="none" w:sz="0" w:space="0" w:color="auto"/>
        <w:bottom w:val="none" w:sz="0" w:space="0" w:color="auto"/>
        <w:right w:val="none" w:sz="0" w:space="0" w:color="auto"/>
      </w:divBdr>
    </w:div>
    <w:div w:id="380445610">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391078930">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14129404">
      <w:bodyDiv w:val="1"/>
      <w:marLeft w:val="0"/>
      <w:marRight w:val="0"/>
      <w:marTop w:val="0"/>
      <w:marBottom w:val="0"/>
      <w:divBdr>
        <w:top w:val="none" w:sz="0" w:space="0" w:color="auto"/>
        <w:left w:val="none" w:sz="0" w:space="0" w:color="auto"/>
        <w:bottom w:val="none" w:sz="0" w:space="0" w:color="auto"/>
        <w:right w:val="none" w:sz="0" w:space="0" w:color="auto"/>
      </w:divBdr>
    </w:div>
    <w:div w:id="417748462">
      <w:bodyDiv w:val="1"/>
      <w:marLeft w:val="0"/>
      <w:marRight w:val="0"/>
      <w:marTop w:val="0"/>
      <w:marBottom w:val="0"/>
      <w:divBdr>
        <w:top w:val="none" w:sz="0" w:space="0" w:color="auto"/>
        <w:left w:val="none" w:sz="0" w:space="0" w:color="auto"/>
        <w:bottom w:val="none" w:sz="0" w:space="0" w:color="auto"/>
        <w:right w:val="none" w:sz="0" w:space="0" w:color="auto"/>
      </w:divBdr>
    </w:div>
    <w:div w:id="419957507">
      <w:bodyDiv w:val="1"/>
      <w:marLeft w:val="0"/>
      <w:marRight w:val="0"/>
      <w:marTop w:val="0"/>
      <w:marBottom w:val="0"/>
      <w:divBdr>
        <w:top w:val="none" w:sz="0" w:space="0" w:color="auto"/>
        <w:left w:val="none" w:sz="0" w:space="0" w:color="auto"/>
        <w:bottom w:val="none" w:sz="0" w:space="0" w:color="auto"/>
        <w:right w:val="none" w:sz="0" w:space="0" w:color="auto"/>
      </w:divBdr>
    </w:div>
    <w:div w:id="432239223">
      <w:bodyDiv w:val="1"/>
      <w:marLeft w:val="0"/>
      <w:marRight w:val="0"/>
      <w:marTop w:val="0"/>
      <w:marBottom w:val="0"/>
      <w:divBdr>
        <w:top w:val="none" w:sz="0" w:space="0" w:color="auto"/>
        <w:left w:val="none" w:sz="0" w:space="0" w:color="auto"/>
        <w:bottom w:val="none" w:sz="0" w:space="0" w:color="auto"/>
        <w:right w:val="none" w:sz="0" w:space="0" w:color="auto"/>
      </w:divBdr>
    </w:div>
    <w:div w:id="436753325">
      <w:bodyDiv w:val="1"/>
      <w:marLeft w:val="0"/>
      <w:marRight w:val="0"/>
      <w:marTop w:val="0"/>
      <w:marBottom w:val="0"/>
      <w:divBdr>
        <w:top w:val="none" w:sz="0" w:space="0" w:color="auto"/>
        <w:left w:val="none" w:sz="0" w:space="0" w:color="auto"/>
        <w:bottom w:val="none" w:sz="0" w:space="0" w:color="auto"/>
        <w:right w:val="none" w:sz="0" w:space="0" w:color="auto"/>
      </w:divBdr>
    </w:div>
    <w:div w:id="440420457">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43382859">
      <w:bodyDiv w:val="1"/>
      <w:marLeft w:val="0"/>
      <w:marRight w:val="0"/>
      <w:marTop w:val="0"/>
      <w:marBottom w:val="0"/>
      <w:divBdr>
        <w:top w:val="none" w:sz="0" w:space="0" w:color="auto"/>
        <w:left w:val="none" w:sz="0" w:space="0" w:color="auto"/>
        <w:bottom w:val="none" w:sz="0" w:space="0" w:color="auto"/>
        <w:right w:val="none" w:sz="0" w:space="0" w:color="auto"/>
      </w:divBdr>
    </w:div>
    <w:div w:id="446700011">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3012540">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6515718">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69634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481780344">
      <w:bodyDiv w:val="1"/>
      <w:marLeft w:val="0"/>
      <w:marRight w:val="0"/>
      <w:marTop w:val="0"/>
      <w:marBottom w:val="0"/>
      <w:divBdr>
        <w:top w:val="none" w:sz="0" w:space="0" w:color="auto"/>
        <w:left w:val="none" w:sz="0" w:space="0" w:color="auto"/>
        <w:bottom w:val="none" w:sz="0" w:space="0" w:color="auto"/>
        <w:right w:val="none" w:sz="0" w:space="0" w:color="auto"/>
      </w:divBdr>
    </w:div>
    <w:div w:id="484976563">
      <w:bodyDiv w:val="1"/>
      <w:marLeft w:val="0"/>
      <w:marRight w:val="0"/>
      <w:marTop w:val="0"/>
      <w:marBottom w:val="0"/>
      <w:divBdr>
        <w:top w:val="none" w:sz="0" w:space="0" w:color="auto"/>
        <w:left w:val="none" w:sz="0" w:space="0" w:color="auto"/>
        <w:bottom w:val="none" w:sz="0" w:space="0" w:color="auto"/>
        <w:right w:val="none" w:sz="0" w:space="0" w:color="auto"/>
      </w:divBdr>
    </w:div>
    <w:div w:id="488448768">
      <w:bodyDiv w:val="1"/>
      <w:marLeft w:val="0"/>
      <w:marRight w:val="0"/>
      <w:marTop w:val="0"/>
      <w:marBottom w:val="0"/>
      <w:divBdr>
        <w:top w:val="none" w:sz="0" w:space="0" w:color="auto"/>
        <w:left w:val="none" w:sz="0" w:space="0" w:color="auto"/>
        <w:bottom w:val="none" w:sz="0" w:space="0" w:color="auto"/>
        <w:right w:val="none" w:sz="0" w:space="0" w:color="auto"/>
      </w:divBdr>
    </w:div>
    <w:div w:id="491220016">
      <w:bodyDiv w:val="1"/>
      <w:marLeft w:val="0"/>
      <w:marRight w:val="0"/>
      <w:marTop w:val="0"/>
      <w:marBottom w:val="0"/>
      <w:divBdr>
        <w:top w:val="none" w:sz="0" w:space="0" w:color="auto"/>
        <w:left w:val="none" w:sz="0" w:space="0" w:color="auto"/>
        <w:bottom w:val="none" w:sz="0" w:space="0" w:color="auto"/>
        <w:right w:val="none" w:sz="0" w:space="0" w:color="auto"/>
      </w:divBdr>
    </w:div>
    <w:div w:id="499732622">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3206058">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284995">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26480508">
      <w:bodyDiv w:val="1"/>
      <w:marLeft w:val="0"/>
      <w:marRight w:val="0"/>
      <w:marTop w:val="0"/>
      <w:marBottom w:val="0"/>
      <w:divBdr>
        <w:top w:val="none" w:sz="0" w:space="0" w:color="auto"/>
        <w:left w:val="none" w:sz="0" w:space="0" w:color="auto"/>
        <w:bottom w:val="none" w:sz="0" w:space="0" w:color="auto"/>
        <w:right w:val="none" w:sz="0" w:space="0" w:color="auto"/>
      </w:divBdr>
    </w:div>
    <w:div w:id="527837008">
      <w:bodyDiv w:val="1"/>
      <w:marLeft w:val="0"/>
      <w:marRight w:val="0"/>
      <w:marTop w:val="0"/>
      <w:marBottom w:val="0"/>
      <w:divBdr>
        <w:top w:val="none" w:sz="0" w:space="0" w:color="auto"/>
        <w:left w:val="none" w:sz="0" w:space="0" w:color="auto"/>
        <w:bottom w:val="none" w:sz="0" w:space="0" w:color="auto"/>
        <w:right w:val="none" w:sz="0" w:space="0" w:color="auto"/>
      </w:divBdr>
    </w:div>
    <w:div w:id="530186668">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36740667">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1744716">
      <w:bodyDiv w:val="1"/>
      <w:marLeft w:val="0"/>
      <w:marRight w:val="0"/>
      <w:marTop w:val="0"/>
      <w:marBottom w:val="0"/>
      <w:divBdr>
        <w:top w:val="none" w:sz="0" w:space="0" w:color="auto"/>
        <w:left w:val="none" w:sz="0" w:space="0" w:color="auto"/>
        <w:bottom w:val="none" w:sz="0" w:space="0" w:color="auto"/>
        <w:right w:val="none" w:sz="0" w:space="0" w:color="auto"/>
      </w:divBdr>
    </w:div>
    <w:div w:id="543101978">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1166285719">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9651763">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70751">
      <w:bodyDiv w:val="1"/>
      <w:marLeft w:val="0"/>
      <w:marRight w:val="0"/>
      <w:marTop w:val="0"/>
      <w:marBottom w:val="0"/>
      <w:divBdr>
        <w:top w:val="none" w:sz="0" w:space="0" w:color="auto"/>
        <w:left w:val="none" w:sz="0" w:space="0" w:color="auto"/>
        <w:bottom w:val="none" w:sz="0" w:space="0" w:color="auto"/>
        <w:right w:val="none" w:sz="0" w:space="0" w:color="auto"/>
      </w:divBdr>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332496230">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78945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70193333">
      <w:bodyDiv w:val="1"/>
      <w:marLeft w:val="0"/>
      <w:marRight w:val="0"/>
      <w:marTop w:val="0"/>
      <w:marBottom w:val="0"/>
      <w:divBdr>
        <w:top w:val="none" w:sz="0" w:space="0" w:color="auto"/>
        <w:left w:val="none" w:sz="0" w:space="0" w:color="auto"/>
        <w:bottom w:val="none" w:sz="0" w:space="0" w:color="auto"/>
        <w:right w:val="none" w:sz="0" w:space="0" w:color="auto"/>
      </w:divBdr>
    </w:div>
    <w:div w:id="575826526">
      <w:bodyDiv w:val="1"/>
      <w:marLeft w:val="0"/>
      <w:marRight w:val="0"/>
      <w:marTop w:val="0"/>
      <w:marBottom w:val="0"/>
      <w:divBdr>
        <w:top w:val="none" w:sz="0" w:space="0" w:color="auto"/>
        <w:left w:val="none" w:sz="0" w:space="0" w:color="auto"/>
        <w:bottom w:val="none" w:sz="0" w:space="0" w:color="auto"/>
        <w:right w:val="none" w:sz="0" w:space="0" w:color="auto"/>
      </w:divBdr>
    </w:div>
    <w:div w:id="579292861">
      <w:bodyDiv w:val="1"/>
      <w:marLeft w:val="0"/>
      <w:marRight w:val="0"/>
      <w:marTop w:val="0"/>
      <w:marBottom w:val="0"/>
      <w:divBdr>
        <w:top w:val="none" w:sz="0" w:space="0" w:color="auto"/>
        <w:left w:val="none" w:sz="0" w:space="0" w:color="auto"/>
        <w:bottom w:val="none" w:sz="0" w:space="0" w:color="auto"/>
        <w:right w:val="none" w:sz="0" w:space="0" w:color="auto"/>
      </w:divBdr>
    </w:div>
    <w:div w:id="581647094">
      <w:bodyDiv w:val="1"/>
      <w:marLeft w:val="0"/>
      <w:marRight w:val="0"/>
      <w:marTop w:val="0"/>
      <w:marBottom w:val="0"/>
      <w:divBdr>
        <w:top w:val="none" w:sz="0" w:space="0" w:color="auto"/>
        <w:left w:val="none" w:sz="0" w:space="0" w:color="auto"/>
        <w:bottom w:val="none" w:sz="0" w:space="0" w:color="auto"/>
        <w:right w:val="none" w:sz="0" w:space="0" w:color="auto"/>
      </w:divBdr>
    </w:div>
    <w:div w:id="58649920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596400586">
      <w:bodyDiv w:val="1"/>
      <w:marLeft w:val="0"/>
      <w:marRight w:val="0"/>
      <w:marTop w:val="0"/>
      <w:marBottom w:val="0"/>
      <w:divBdr>
        <w:top w:val="none" w:sz="0" w:space="0" w:color="auto"/>
        <w:left w:val="none" w:sz="0" w:space="0" w:color="auto"/>
        <w:bottom w:val="none" w:sz="0" w:space="0" w:color="auto"/>
        <w:right w:val="none" w:sz="0" w:space="0" w:color="auto"/>
      </w:divBdr>
    </w:div>
    <w:div w:id="598565397">
      <w:bodyDiv w:val="1"/>
      <w:marLeft w:val="0"/>
      <w:marRight w:val="0"/>
      <w:marTop w:val="0"/>
      <w:marBottom w:val="0"/>
      <w:divBdr>
        <w:top w:val="none" w:sz="0" w:space="0" w:color="auto"/>
        <w:left w:val="none" w:sz="0" w:space="0" w:color="auto"/>
        <w:bottom w:val="none" w:sz="0" w:space="0" w:color="auto"/>
        <w:right w:val="none" w:sz="0" w:space="0" w:color="auto"/>
      </w:divBdr>
    </w:div>
    <w:div w:id="600530855">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03536711">
      <w:bodyDiv w:val="1"/>
      <w:marLeft w:val="0"/>
      <w:marRight w:val="0"/>
      <w:marTop w:val="0"/>
      <w:marBottom w:val="0"/>
      <w:divBdr>
        <w:top w:val="none" w:sz="0" w:space="0" w:color="auto"/>
        <w:left w:val="none" w:sz="0" w:space="0" w:color="auto"/>
        <w:bottom w:val="none" w:sz="0" w:space="0" w:color="auto"/>
        <w:right w:val="none" w:sz="0" w:space="0" w:color="auto"/>
      </w:divBdr>
    </w:div>
    <w:div w:id="613757445">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23539008">
      <w:bodyDiv w:val="1"/>
      <w:marLeft w:val="0"/>
      <w:marRight w:val="0"/>
      <w:marTop w:val="0"/>
      <w:marBottom w:val="0"/>
      <w:divBdr>
        <w:top w:val="none" w:sz="0" w:space="0" w:color="auto"/>
        <w:left w:val="none" w:sz="0" w:space="0" w:color="auto"/>
        <w:bottom w:val="none" w:sz="0" w:space="0" w:color="auto"/>
        <w:right w:val="none" w:sz="0" w:space="0" w:color="auto"/>
      </w:divBdr>
    </w:div>
    <w:div w:id="626740485">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5309752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215271">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77924892">
      <w:bodyDiv w:val="1"/>
      <w:marLeft w:val="0"/>
      <w:marRight w:val="0"/>
      <w:marTop w:val="0"/>
      <w:marBottom w:val="0"/>
      <w:divBdr>
        <w:top w:val="none" w:sz="0" w:space="0" w:color="auto"/>
        <w:left w:val="none" w:sz="0" w:space="0" w:color="auto"/>
        <w:bottom w:val="none" w:sz="0" w:space="0" w:color="auto"/>
        <w:right w:val="none" w:sz="0" w:space="0" w:color="auto"/>
      </w:divBdr>
    </w:div>
    <w:div w:id="679628281">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02369140">
      <w:bodyDiv w:val="1"/>
      <w:marLeft w:val="0"/>
      <w:marRight w:val="0"/>
      <w:marTop w:val="0"/>
      <w:marBottom w:val="0"/>
      <w:divBdr>
        <w:top w:val="none" w:sz="0" w:space="0" w:color="auto"/>
        <w:left w:val="none" w:sz="0" w:space="0" w:color="auto"/>
        <w:bottom w:val="none" w:sz="0" w:space="0" w:color="auto"/>
        <w:right w:val="none" w:sz="0" w:space="0" w:color="auto"/>
      </w:divBdr>
    </w:div>
    <w:div w:id="706031104">
      <w:bodyDiv w:val="1"/>
      <w:marLeft w:val="0"/>
      <w:marRight w:val="0"/>
      <w:marTop w:val="0"/>
      <w:marBottom w:val="0"/>
      <w:divBdr>
        <w:top w:val="none" w:sz="0" w:space="0" w:color="auto"/>
        <w:left w:val="none" w:sz="0" w:space="0" w:color="auto"/>
        <w:bottom w:val="none" w:sz="0" w:space="0" w:color="auto"/>
        <w:right w:val="none" w:sz="0" w:space="0" w:color="auto"/>
      </w:divBdr>
    </w:div>
    <w:div w:id="706683588">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19018461">
      <w:bodyDiv w:val="1"/>
      <w:marLeft w:val="0"/>
      <w:marRight w:val="0"/>
      <w:marTop w:val="0"/>
      <w:marBottom w:val="0"/>
      <w:divBdr>
        <w:top w:val="none" w:sz="0" w:space="0" w:color="auto"/>
        <w:left w:val="none" w:sz="0" w:space="0" w:color="auto"/>
        <w:bottom w:val="none" w:sz="0" w:space="0" w:color="auto"/>
        <w:right w:val="none" w:sz="0" w:space="0" w:color="auto"/>
      </w:divBdr>
    </w:div>
    <w:div w:id="723216388">
      <w:bodyDiv w:val="1"/>
      <w:marLeft w:val="0"/>
      <w:marRight w:val="0"/>
      <w:marTop w:val="0"/>
      <w:marBottom w:val="0"/>
      <w:divBdr>
        <w:top w:val="none" w:sz="0" w:space="0" w:color="auto"/>
        <w:left w:val="none" w:sz="0" w:space="0" w:color="auto"/>
        <w:bottom w:val="none" w:sz="0" w:space="0" w:color="auto"/>
        <w:right w:val="none" w:sz="0" w:space="0" w:color="auto"/>
      </w:divBdr>
    </w:div>
    <w:div w:id="726491310">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3115910">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768649783">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13726691">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86596">
      <w:bodyDiv w:val="1"/>
      <w:marLeft w:val="0"/>
      <w:marRight w:val="0"/>
      <w:marTop w:val="0"/>
      <w:marBottom w:val="0"/>
      <w:divBdr>
        <w:top w:val="none" w:sz="0" w:space="0" w:color="auto"/>
        <w:left w:val="none" w:sz="0" w:space="0" w:color="auto"/>
        <w:bottom w:val="none" w:sz="0" w:space="0" w:color="auto"/>
        <w:right w:val="none" w:sz="0" w:space="0" w:color="auto"/>
      </w:divBdr>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322351">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57408367">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88285069">
      <w:bodyDiv w:val="1"/>
      <w:marLeft w:val="0"/>
      <w:marRight w:val="0"/>
      <w:marTop w:val="0"/>
      <w:marBottom w:val="0"/>
      <w:divBdr>
        <w:top w:val="none" w:sz="0" w:space="0" w:color="auto"/>
        <w:left w:val="none" w:sz="0" w:space="0" w:color="auto"/>
        <w:bottom w:val="none" w:sz="0" w:space="0" w:color="auto"/>
        <w:right w:val="none" w:sz="0" w:space="0" w:color="auto"/>
      </w:divBdr>
    </w:div>
    <w:div w:id="789319065">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1774099">
      <w:bodyDiv w:val="1"/>
      <w:marLeft w:val="0"/>
      <w:marRight w:val="0"/>
      <w:marTop w:val="0"/>
      <w:marBottom w:val="0"/>
      <w:divBdr>
        <w:top w:val="none" w:sz="0" w:space="0" w:color="auto"/>
        <w:left w:val="none" w:sz="0" w:space="0" w:color="auto"/>
        <w:bottom w:val="none" w:sz="0" w:space="0" w:color="auto"/>
        <w:right w:val="none" w:sz="0" w:space="0" w:color="auto"/>
      </w:divBdr>
    </w:div>
    <w:div w:id="802042947">
      <w:bodyDiv w:val="1"/>
      <w:marLeft w:val="0"/>
      <w:marRight w:val="0"/>
      <w:marTop w:val="0"/>
      <w:marBottom w:val="0"/>
      <w:divBdr>
        <w:top w:val="none" w:sz="0" w:space="0" w:color="auto"/>
        <w:left w:val="none" w:sz="0" w:space="0" w:color="auto"/>
        <w:bottom w:val="none" w:sz="0" w:space="0" w:color="auto"/>
        <w:right w:val="none" w:sz="0" w:space="0" w:color="auto"/>
      </w:divBdr>
    </w:div>
    <w:div w:id="802313384">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07014875">
      <w:bodyDiv w:val="1"/>
      <w:marLeft w:val="0"/>
      <w:marRight w:val="0"/>
      <w:marTop w:val="0"/>
      <w:marBottom w:val="0"/>
      <w:divBdr>
        <w:top w:val="none" w:sz="0" w:space="0" w:color="auto"/>
        <w:left w:val="none" w:sz="0" w:space="0" w:color="auto"/>
        <w:bottom w:val="none" w:sz="0" w:space="0" w:color="auto"/>
        <w:right w:val="none" w:sz="0" w:space="0" w:color="auto"/>
      </w:divBdr>
    </w:div>
    <w:div w:id="807476744">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4107120">
      <w:bodyDiv w:val="1"/>
      <w:marLeft w:val="0"/>
      <w:marRight w:val="0"/>
      <w:marTop w:val="0"/>
      <w:marBottom w:val="0"/>
      <w:divBdr>
        <w:top w:val="none" w:sz="0" w:space="0" w:color="auto"/>
        <w:left w:val="none" w:sz="0" w:space="0" w:color="auto"/>
        <w:bottom w:val="none" w:sz="0" w:space="0" w:color="auto"/>
        <w:right w:val="none" w:sz="0" w:space="0" w:color="auto"/>
      </w:divBdr>
    </w:div>
    <w:div w:id="814755948">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2000500606">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14162178">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191071">
      <w:bodyDiv w:val="1"/>
      <w:marLeft w:val="0"/>
      <w:marRight w:val="0"/>
      <w:marTop w:val="0"/>
      <w:marBottom w:val="0"/>
      <w:divBdr>
        <w:top w:val="none" w:sz="0" w:space="0" w:color="auto"/>
        <w:left w:val="none" w:sz="0" w:space="0" w:color="auto"/>
        <w:bottom w:val="none" w:sz="0" w:space="0" w:color="auto"/>
        <w:right w:val="none" w:sz="0" w:space="0" w:color="auto"/>
      </w:divBdr>
    </w:div>
    <w:div w:id="820970016">
      <w:bodyDiv w:val="1"/>
      <w:marLeft w:val="0"/>
      <w:marRight w:val="0"/>
      <w:marTop w:val="0"/>
      <w:marBottom w:val="0"/>
      <w:divBdr>
        <w:top w:val="none" w:sz="0" w:space="0" w:color="auto"/>
        <w:left w:val="none" w:sz="0" w:space="0" w:color="auto"/>
        <w:bottom w:val="none" w:sz="0" w:space="0" w:color="auto"/>
        <w:right w:val="none" w:sz="0" w:space="0" w:color="auto"/>
      </w:divBdr>
    </w:div>
    <w:div w:id="824082268">
      <w:bodyDiv w:val="1"/>
      <w:marLeft w:val="0"/>
      <w:marRight w:val="0"/>
      <w:marTop w:val="0"/>
      <w:marBottom w:val="0"/>
      <w:divBdr>
        <w:top w:val="none" w:sz="0" w:space="0" w:color="auto"/>
        <w:left w:val="none" w:sz="0" w:space="0" w:color="auto"/>
        <w:bottom w:val="none" w:sz="0" w:space="0" w:color="auto"/>
        <w:right w:val="none" w:sz="0" w:space="0" w:color="auto"/>
      </w:divBdr>
    </w:div>
    <w:div w:id="825824876">
      <w:bodyDiv w:val="1"/>
      <w:marLeft w:val="0"/>
      <w:marRight w:val="0"/>
      <w:marTop w:val="0"/>
      <w:marBottom w:val="0"/>
      <w:divBdr>
        <w:top w:val="none" w:sz="0" w:space="0" w:color="auto"/>
        <w:left w:val="none" w:sz="0" w:space="0" w:color="auto"/>
        <w:bottom w:val="none" w:sz="0" w:space="0" w:color="auto"/>
        <w:right w:val="none" w:sz="0" w:space="0" w:color="auto"/>
      </w:divBdr>
    </w:div>
    <w:div w:id="826441076">
      <w:bodyDiv w:val="1"/>
      <w:marLeft w:val="0"/>
      <w:marRight w:val="0"/>
      <w:marTop w:val="0"/>
      <w:marBottom w:val="0"/>
      <w:divBdr>
        <w:top w:val="none" w:sz="0" w:space="0" w:color="auto"/>
        <w:left w:val="none" w:sz="0" w:space="0" w:color="auto"/>
        <w:bottom w:val="none" w:sz="0" w:space="0" w:color="auto"/>
        <w:right w:val="none" w:sz="0" w:space="0" w:color="auto"/>
      </w:divBdr>
    </w:div>
    <w:div w:id="827091987">
      <w:bodyDiv w:val="1"/>
      <w:marLeft w:val="0"/>
      <w:marRight w:val="0"/>
      <w:marTop w:val="0"/>
      <w:marBottom w:val="0"/>
      <w:divBdr>
        <w:top w:val="none" w:sz="0" w:space="0" w:color="auto"/>
        <w:left w:val="none" w:sz="0" w:space="0" w:color="auto"/>
        <w:bottom w:val="none" w:sz="0" w:space="0" w:color="auto"/>
        <w:right w:val="none" w:sz="0" w:space="0" w:color="auto"/>
      </w:divBdr>
    </w:div>
    <w:div w:id="827282858">
      <w:bodyDiv w:val="1"/>
      <w:marLeft w:val="0"/>
      <w:marRight w:val="0"/>
      <w:marTop w:val="0"/>
      <w:marBottom w:val="0"/>
      <w:divBdr>
        <w:top w:val="none" w:sz="0" w:space="0" w:color="auto"/>
        <w:left w:val="none" w:sz="0" w:space="0" w:color="auto"/>
        <w:bottom w:val="none" w:sz="0" w:space="0" w:color="auto"/>
        <w:right w:val="none" w:sz="0" w:space="0" w:color="auto"/>
      </w:divBdr>
    </w:div>
    <w:div w:id="829446948">
      <w:bodyDiv w:val="1"/>
      <w:marLeft w:val="0"/>
      <w:marRight w:val="0"/>
      <w:marTop w:val="0"/>
      <w:marBottom w:val="0"/>
      <w:divBdr>
        <w:top w:val="none" w:sz="0" w:space="0" w:color="auto"/>
        <w:left w:val="none" w:sz="0" w:space="0" w:color="auto"/>
        <w:bottom w:val="none" w:sz="0" w:space="0" w:color="auto"/>
        <w:right w:val="none" w:sz="0" w:space="0" w:color="auto"/>
      </w:divBdr>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1553241">
      <w:bodyDiv w:val="1"/>
      <w:marLeft w:val="0"/>
      <w:marRight w:val="0"/>
      <w:marTop w:val="0"/>
      <w:marBottom w:val="0"/>
      <w:divBdr>
        <w:top w:val="none" w:sz="0" w:space="0" w:color="auto"/>
        <w:left w:val="none" w:sz="0" w:space="0" w:color="auto"/>
        <w:bottom w:val="none" w:sz="0" w:space="0" w:color="auto"/>
        <w:right w:val="none" w:sz="0" w:space="0" w:color="auto"/>
      </w:divBdr>
    </w:div>
    <w:div w:id="841822571">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48570369">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5846966">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58853200">
      <w:bodyDiv w:val="1"/>
      <w:marLeft w:val="0"/>
      <w:marRight w:val="0"/>
      <w:marTop w:val="0"/>
      <w:marBottom w:val="0"/>
      <w:divBdr>
        <w:top w:val="none" w:sz="0" w:space="0" w:color="auto"/>
        <w:left w:val="none" w:sz="0" w:space="0" w:color="auto"/>
        <w:bottom w:val="none" w:sz="0" w:space="0" w:color="auto"/>
        <w:right w:val="none" w:sz="0" w:space="0" w:color="auto"/>
      </w:divBdr>
    </w:div>
    <w:div w:id="870920668">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84294103">
      <w:bodyDiv w:val="1"/>
      <w:marLeft w:val="0"/>
      <w:marRight w:val="0"/>
      <w:marTop w:val="0"/>
      <w:marBottom w:val="0"/>
      <w:divBdr>
        <w:top w:val="none" w:sz="0" w:space="0" w:color="auto"/>
        <w:left w:val="none" w:sz="0" w:space="0" w:color="auto"/>
        <w:bottom w:val="none" w:sz="0" w:space="0" w:color="auto"/>
        <w:right w:val="none" w:sz="0" w:space="0" w:color="auto"/>
      </w:divBdr>
    </w:div>
    <w:div w:id="890925375">
      <w:bodyDiv w:val="1"/>
      <w:marLeft w:val="0"/>
      <w:marRight w:val="0"/>
      <w:marTop w:val="0"/>
      <w:marBottom w:val="0"/>
      <w:divBdr>
        <w:top w:val="none" w:sz="0" w:space="0" w:color="auto"/>
        <w:left w:val="none" w:sz="0" w:space="0" w:color="auto"/>
        <w:bottom w:val="none" w:sz="0" w:space="0" w:color="auto"/>
        <w:right w:val="none" w:sz="0" w:space="0" w:color="auto"/>
      </w:divBdr>
    </w:div>
    <w:div w:id="897008526">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06110699">
      <w:bodyDiv w:val="1"/>
      <w:marLeft w:val="0"/>
      <w:marRight w:val="0"/>
      <w:marTop w:val="0"/>
      <w:marBottom w:val="0"/>
      <w:divBdr>
        <w:top w:val="none" w:sz="0" w:space="0" w:color="auto"/>
        <w:left w:val="none" w:sz="0" w:space="0" w:color="auto"/>
        <w:bottom w:val="none" w:sz="0" w:space="0" w:color="auto"/>
        <w:right w:val="none" w:sz="0" w:space="0" w:color="auto"/>
      </w:divBdr>
    </w:div>
    <w:div w:id="913663386">
      <w:bodyDiv w:val="1"/>
      <w:marLeft w:val="0"/>
      <w:marRight w:val="0"/>
      <w:marTop w:val="0"/>
      <w:marBottom w:val="0"/>
      <w:divBdr>
        <w:top w:val="none" w:sz="0" w:space="0" w:color="auto"/>
        <w:left w:val="none" w:sz="0" w:space="0" w:color="auto"/>
        <w:bottom w:val="none" w:sz="0" w:space="0" w:color="auto"/>
        <w:right w:val="none" w:sz="0" w:space="0" w:color="auto"/>
      </w:divBdr>
    </w:div>
    <w:div w:id="913664377">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2955168">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03843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623820">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882454">
      <w:bodyDiv w:val="1"/>
      <w:marLeft w:val="0"/>
      <w:marRight w:val="0"/>
      <w:marTop w:val="0"/>
      <w:marBottom w:val="0"/>
      <w:divBdr>
        <w:top w:val="none" w:sz="0" w:space="0" w:color="auto"/>
        <w:left w:val="none" w:sz="0" w:space="0" w:color="auto"/>
        <w:bottom w:val="none" w:sz="0" w:space="0" w:color="auto"/>
        <w:right w:val="none" w:sz="0" w:space="0" w:color="auto"/>
      </w:divBdr>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29240937">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36912079">
      <w:bodyDiv w:val="1"/>
      <w:marLeft w:val="0"/>
      <w:marRight w:val="0"/>
      <w:marTop w:val="0"/>
      <w:marBottom w:val="0"/>
      <w:divBdr>
        <w:top w:val="none" w:sz="0" w:space="0" w:color="auto"/>
        <w:left w:val="none" w:sz="0" w:space="0" w:color="auto"/>
        <w:bottom w:val="none" w:sz="0" w:space="0" w:color="auto"/>
        <w:right w:val="none" w:sz="0" w:space="0" w:color="auto"/>
      </w:divBdr>
    </w:div>
    <w:div w:id="941372956">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6741812">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0361180">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43690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1012912">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86517759">
      <w:bodyDiv w:val="1"/>
      <w:marLeft w:val="0"/>
      <w:marRight w:val="0"/>
      <w:marTop w:val="0"/>
      <w:marBottom w:val="0"/>
      <w:divBdr>
        <w:top w:val="none" w:sz="0" w:space="0" w:color="auto"/>
        <w:left w:val="none" w:sz="0" w:space="0" w:color="auto"/>
        <w:bottom w:val="none" w:sz="0" w:space="0" w:color="auto"/>
        <w:right w:val="none" w:sz="0" w:space="0" w:color="auto"/>
      </w:divBdr>
    </w:div>
    <w:div w:id="986595341">
      <w:bodyDiv w:val="1"/>
      <w:marLeft w:val="0"/>
      <w:marRight w:val="0"/>
      <w:marTop w:val="0"/>
      <w:marBottom w:val="0"/>
      <w:divBdr>
        <w:top w:val="none" w:sz="0" w:space="0" w:color="auto"/>
        <w:left w:val="none" w:sz="0" w:space="0" w:color="auto"/>
        <w:bottom w:val="none" w:sz="0" w:space="0" w:color="auto"/>
        <w:right w:val="none" w:sz="0" w:space="0" w:color="auto"/>
      </w:divBdr>
    </w:div>
    <w:div w:id="987636403">
      <w:bodyDiv w:val="1"/>
      <w:marLeft w:val="0"/>
      <w:marRight w:val="0"/>
      <w:marTop w:val="0"/>
      <w:marBottom w:val="0"/>
      <w:divBdr>
        <w:top w:val="none" w:sz="0" w:space="0" w:color="auto"/>
        <w:left w:val="none" w:sz="0" w:space="0" w:color="auto"/>
        <w:bottom w:val="none" w:sz="0" w:space="0" w:color="auto"/>
        <w:right w:val="none" w:sz="0" w:space="0" w:color="auto"/>
      </w:divBdr>
    </w:div>
    <w:div w:id="987981283">
      <w:bodyDiv w:val="1"/>
      <w:marLeft w:val="0"/>
      <w:marRight w:val="0"/>
      <w:marTop w:val="0"/>
      <w:marBottom w:val="0"/>
      <w:divBdr>
        <w:top w:val="none" w:sz="0" w:space="0" w:color="auto"/>
        <w:left w:val="none" w:sz="0" w:space="0" w:color="auto"/>
        <w:bottom w:val="none" w:sz="0" w:space="0" w:color="auto"/>
        <w:right w:val="none" w:sz="0" w:space="0" w:color="auto"/>
      </w:divBdr>
    </w:div>
    <w:div w:id="988245824">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996880722">
      <w:bodyDiv w:val="1"/>
      <w:marLeft w:val="0"/>
      <w:marRight w:val="0"/>
      <w:marTop w:val="0"/>
      <w:marBottom w:val="0"/>
      <w:divBdr>
        <w:top w:val="none" w:sz="0" w:space="0" w:color="auto"/>
        <w:left w:val="none" w:sz="0" w:space="0" w:color="auto"/>
        <w:bottom w:val="none" w:sz="0" w:space="0" w:color="auto"/>
        <w:right w:val="none" w:sz="0" w:space="0" w:color="auto"/>
      </w:divBdr>
    </w:div>
    <w:div w:id="1002008255">
      <w:bodyDiv w:val="1"/>
      <w:marLeft w:val="0"/>
      <w:marRight w:val="0"/>
      <w:marTop w:val="0"/>
      <w:marBottom w:val="0"/>
      <w:divBdr>
        <w:top w:val="none" w:sz="0" w:space="0" w:color="auto"/>
        <w:left w:val="none" w:sz="0" w:space="0" w:color="auto"/>
        <w:bottom w:val="none" w:sz="0" w:space="0" w:color="auto"/>
        <w:right w:val="none" w:sz="0" w:space="0" w:color="auto"/>
      </w:divBdr>
      <w:divsChild>
        <w:div w:id="1217009641">
          <w:marLeft w:val="0"/>
          <w:marRight w:val="0"/>
          <w:marTop w:val="0"/>
          <w:marBottom w:val="0"/>
          <w:divBdr>
            <w:top w:val="none" w:sz="0" w:space="0" w:color="auto"/>
            <w:left w:val="none" w:sz="0" w:space="0" w:color="auto"/>
            <w:bottom w:val="none" w:sz="0" w:space="0" w:color="auto"/>
            <w:right w:val="none" w:sz="0" w:space="0" w:color="auto"/>
          </w:divBdr>
        </w:div>
      </w:divsChild>
    </w:div>
    <w:div w:id="1004213053">
      <w:bodyDiv w:val="1"/>
      <w:marLeft w:val="0"/>
      <w:marRight w:val="0"/>
      <w:marTop w:val="0"/>
      <w:marBottom w:val="0"/>
      <w:divBdr>
        <w:top w:val="none" w:sz="0" w:space="0" w:color="auto"/>
        <w:left w:val="none" w:sz="0" w:space="0" w:color="auto"/>
        <w:bottom w:val="none" w:sz="0" w:space="0" w:color="auto"/>
        <w:right w:val="none" w:sz="0" w:space="0" w:color="auto"/>
      </w:divBdr>
    </w:div>
    <w:div w:id="1007169741">
      <w:bodyDiv w:val="1"/>
      <w:marLeft w:val="0"/>
      <w:marRight w:val="0"/>
      <w:marTop w:val="0"/>
      <w:marBottom w:val="0"/>
      <w:divBdr>
        <w:top w:val="none" w:sz="0" w:space="0" w:color="auto"/>
        <w:left w:val="none" w:sz="0" w:space="0" w:color="auto"/>
        <w:bottom w:val="none" w:sz="0" w:space="0" w:color="auto"/>
        <w:right w:val="none" w:sz="0" w:space="0" w:color="auto"/>
      </w:divBdr>
    </w:div>
    <w:div w:id="1008826374">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23673139">
      <w:bodyDiv w:val="1"/>
      <w:marLeft w:val="0"/>
      <w:marRight w:val="0"/>
      <w:marTop w:val="0"/>
      <w:marBottom w:val="0"/>
      <w:divBdr>
        <w:top w:val="none" w:sz="0" w:space="0" w:color="auto"/>
        <w:left w:val="none" w:sz="0" w:space="0" w:color="auto"/>
        <w:bottom w:val="none" w:sz="0" w:space="0" w:color="auto"/>
        <w:right w:val="none" w:sz="0" w:space="0" w:color="auto"/>
      </w:divBdr>
    </w:div>
    <w:div w:id="1031875892">
      <w:bodyDiv w:val="1"/>
      <w:marLeft w:val="0"/>
      <w:marRight w:val="0"/>
      <w:marTop w:val="0"/>
      <w:marBottom w:val="0"/>
      <w:divBdr>
        <w:top w:val="none" w:sz="0" w:space="0" w:color="auto"/>
        <w:left w:val="none" w:sz="0" w:space="0" w:color="auto"/>
        <w:bottom w:val="none" w:sz="0" w:space="0" w:color="auto"/>
        <w:right w:val="none" w:sz="0" w:space="0" w:color="auto"/>
      </w:divBdr>
    </w:div>
    <w:div w:id="1033267588">
      <w:bodyDiv w:val="1"/>
      <w:marLeft w:val="0"/>
      <w:marRight w:val="0"/>
      <w:marTop w:val="0"/>
      <w:marBottom w:val="0"/>
      <w:divBdr>
        <w:top w:val="none" w:sz="0" w:space="0" w:color="auto"/>
        <w:left w:val="none" w:sz="0" w:space="0" w:color="auto"/>
        <w:bottom w:val="none" w:sz="0" w:space="0" w:color="auto"/>
        <w:right w:val="none" w:sz="0" w:space="0" w:color="auto"/>
      </w:divBdr>
    </w:div>
    <w:div w:id="1039433581">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49459390">
      <w:bodyDiv w:val="1"/>
      <w:marLeft w:val="0"/>
      <w:marRight w:val="0"/>
      <w:marTop w:val="0"/>
      <w:marBottom w:val="0"/>
      <w:divBdr>
        <w:top w:val="none" w:sz="0" w:space="0" w:color="auto"/>
        <w:left w:val="none" w:sz="0" w:space="0" w:color="auto"/>
        <w:bottom w:val="none" w:sz="0" w:space="0" w:color="auto"/>
        <w:right w:val="none" w:sz="0" w:space="0" w:color="auto"/>
      </w:divBdr>
    </w:div>
    <w:div w:id="1051417042">
      <w:bodyDiv w:val="1"/>
      <w:marLeft w:val="0"/>
      <w:marRight w:val="0"/>
      <w:marTop w:val="0"/>
      <w:marBottom w:val="0"/>
      <w:divBdr>
        <w:top w:val="none" w:sz="0" w:space="0" w:color="auto"/>
        <w:left w:val="none" w:sz="0" w:space="0" w:color="auto"/>
        <w:bottom w:val="none" w:sz="0" w:space="0" w:color="auto"/>
        <w:right w:val="none" w:sz="0" w:space="0" w:color="auto"/>
      </w:divBdr>
    </w:div>
    <w:div w:id="1055617998">
      <w:bodyDiv w:val="1"/>
      <w:marLeft w:val="0"/>
      <w:marRight w:val="0"/>
      <w:marTop w:val="0"/>
      <w:marBottom w:val="0"/>
      <w:divBdr>
        <w:top w:val="none" w:sz="0" w:space="0" w:color="auto"/>
        <w:left w:val="none" w:sz="0" w:space="0" w:color="auto"/>
        <w:bottom w:val="none" w:sz="0" w:space="0" w:color="auto"/>
        <w:right w:val="none" w:sz="0" w:space="0" w:color="auto"/>
      </w:divBdr>
    </w:div>
    <w:div w:id="1057630691">
      <w:bodyDiv w:val="1"/>
      <w:marLeft w:val="0"/>
      <w:marRight w:val="0"/>
      <w:marTop w:val="0"/>
      <w:marBottom w:val="0"/>
      <w:divBdr>
        <w:top w:val="none" w:sz="0" w:space="0" w:color="auto"/>
        <w:left w:val="none" w:sz="0" w:space="0" w:color="auto"/>
        <w:bottom w:val="none" w:sz="0" w:space="0" w:color="auto"/>
        <w:right w:val="none" w:sz="0" w:space="0" w:color="auto"/>
      </w:divBdr>
    </w:div>
    <w:div w:id="1074352431">
      <w:bodyDiv w:val="1"/>
      <w:marLeft w:val="0"/>
      <w:marRight w:val="0"/>
      <w:marTop w:val="0"/>
      <w:marBottom w:val="0"/>
      <w:divBdr>
        <w:top w:val="none" w:sz="0" w:space="0" w:color="auto"/>
        <w:left w:val="none" w:sz="0" w:space="0" w:color="auto"/>
        <w:bottom w:val="none" w:sz="0" w:space="0" w:color="auto"/>
        <w:right w:val="none" w:sz="0" w:space="0" w:color="auto"/>
      </w:divBdr>
    </w:div>
    <w:div w:id="1076441619">
      <w:bodyDiv w:val="1"/>
      <w:marLeft w:val="0"/>
      <w:marRight w:val="0"/>
      <w:marTop w:val="0"/>
      <w:marBottom w:val="0"/>
      <w:divBdr>
        <w:top w:val="none" w:sz="0" w:space="0" w:color="auto"/>
        <w:left w:val="none" w:sz="0" w:space="0" w:color="auto"/>
        <w:bottom w:val="none" w:sz="0" w:space="0" w:color="auto"/>
        <w:right w:val="none" w:sz="0" w:space="0" w:color="auto"/>
      </w:divBdr>
    </w:div>
    <w:div w:id="1079406535">
      <w:bodyDiv w:val="1"/>
      <w:marLeft w:val="0"/>
      <w:marRight w:val="0"/>
      <w:marTop w:val="0"/>
      <w:marBottom w:val="0"/>
      <w:divBdr>
        <w:top w:val="none" w:sz="0" w:space="0" w:color="auto"/>
        <w:left w:val="none" w:sz="0" w:space="0" w:color="auto"/>
        <w:bottom w:val="none" w:sz="0" w:space="0" w:color="auto"/>
        <w:right w:val="none" w:sz="0" w:space="0" w:color="auto"/>
      </w:divBdr>
    </w:div>
    <w:div w:id="1085609600">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228869">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1744982256">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552349">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8915673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097794794">
      <w:bodyDiv w:val="1"/>
      <w:marLeft w:val="0"/>
      <w:marRight w:val="0"/>
      <w:marTop w:val="0"/>
      <w:marBottom w:val="0"/>
      <w:divBdr>
        <w:top w:val="none" w:sz="0" w:space="0" w:color="auto"/>
        <w:left w:val="none" w:sz="0" w:space="0" w:color="auto"/>
        <w:bottom w:val="none" w:sz="0" w:space="0" w:color="auto"/>
        <w:right w:val="none" w:sz="0" w:space="0" w:color="auto"/>
      </w:divBdr>
    </w:div>
    <w:div w:id="1102070760">
      <w:bodyDiv w:val="1"/>
      <w:marLeft w:val="0"/>
      <w:marRight w:val="0"/>
      <w:marTop w:val="0"/>
      <w:marBottom w:val="0"/>
      <w:divBdr>
        <w:top w:val="none" w:sz="0" w:space="0" w:color="auto"/>
        <w:left w:val="none" w:sz="0" w:space="0" w:color="auto"/>
        <w:bottom w:val="none" w:sz="0" w:space="0" w:color="auto"/>
        <w:right w:val="none" w:sz="0" w:space="0" w:color="auto"/>
      </w:divBdr>
    </w:div>
    <w:div w:id="1109398203">
      <w:bodyDiv w:val="1"/>
      <w:marLeft w:val="0"/>
      <w:marRight w:val="0"/>
      <w:marTop w:val="0"/>
      <w:marBottom w:val="0"/>
      <w:divBdr>
        <w:top w:val="none" w:sz="0" w:space="0" w:color="auto"/>
        <w:left w:val="none" w:sz="0" w:space="0" w:color="auto"/>
        <w:bottom w:val="none" w:sz="0" w:space="0" w:color="auto"/>
        <w:right w:val="none" w:sz="0" w:space="0" w:color="auto"/>
      </w:divBdr>
    </w:div>
    <w:div w:id="1110514482">
      <w:bodyDiv w:val="1"/>
      <w:marLeft w:val="0"/>
      <w:marRight w:val="0"/>
      <w:marTop w:val="0"/>
      <w:marBottom w:val="0"/>
      <w:divBdr>
        <w:top w:val="none" w:sz="0" w:space="0" w:color="auto"/>
        <w:left w:val="none" w:sz="0" w:space="0" w:color="auto"/>
        <w:bottom w:val="none" w:sz="0" w:space="0" w:color="auto"/>
        <w:right w:val="none" w:sz="0" w:space="0" w:color="auto"/>
      </w:divBdr>
    </w:div>
    <w:div w:id="1120759513">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385303277">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6755941">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246497">
      <w:bodyDiv w:val="1"/>
      <w:marLeft w:val="0"/>
      <w:marRight w:val="0"/>
      <w:marTop w:val="0"/>
      <w:marBottom w:val="0"/>
      <w:divBdr>
        <w:top w:val="none" w:sz="0" w:space="0" w:color="auto"/>
        <w:left w:val="none" w:sz="0" w:space="0" w:color="auto"/>
        <w:bottom w:val="none" w:sz="0" w:space="0" w:color="auto"/>
        <w:right w:val="none" w:sz="0" w:space="0" w:color="auto"/>
      </w:divBdr>
    </w:div>
    <w:div w:id="1130710337">
      <w:bodyDiv w:val="1"/>
      <w:marLeft w:val="0"/>
      <w:marRight w:val="0"/>
      <w:marTop w:val="0"/>
      <w:marBottom w:val="0"/>
      <w:divBdr>
        <w:top w:val="none" w:sz="0" w:space="0" w:color="auto"/>
        <w:left w:val="none" w:sz="0" w:space="0" w:color="auto"/>
        <w:bottom w:val="none" w:sz="0" w:space="0" w:color="auto"/>
        <w:right w:val="none" w:sz="0" w:space="0" w:color="auto"/>
      </w:divBdr>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3906431">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4369309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57262295">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1010379190">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9727427">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485566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197501228">
      <w:bodyDiv w:val="1"/>
      <w:marLeft w:val="0"/>
      <w:marRight w:val="0"/>
      <w:marTop w:val="0"/>
      <w:marBottom w:val="0"/>
      <w:divBdr>
        <w:top w:val="none" w:sz="0" w:space="0" w:color="auto"/>
        <w:left w:val="none" w:sz="0" w:space="0" w:color="auto"/>
        <w:bottom w:val="none" w:sz="0" w:space="0" w:color="auto"/>
        <w:right w:val="none" w:sz="0" w:space="0" w:color="auto"/>
      </w:divBdr>
    </w:div>
    <w:div w:id="1198591020">
      <w:bodyDiv w:val="1"/>
      <w:marLeft w:val="0"/>
      <w:marRight w:val="0"/>
      <w:marTop w:val="0"/>
      <w:marBottom w:val="0"/>
      <w:divBdr>
        <w:top w:val="none" w:sz="0" w:space="0" w:color="auto"/>
        <w:left w:val="none" w:sz="0" w:space="0" w:color="auto"/>
        <w:bottom w:val="none" w:sz="0" w:space="0" w:color="auto"/>
        <w:right w:val="none" w:sz="0" w:space="0" w:color="auto"/>
      </w:divBdr>
    </w:div>
    <w:div w:id="1201170501">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08637778">
      <w:bodyDiv w:val="1"/>
      <w:marLeft w:val="0"/>
      <w:marRight w:val="0"/>
      <w:marTop w:val="0"/>
      <w:marBottom w:val="0"/>
      <w:divBdr>
        <w:top w:val="none" w:sz="0" w:space="0" w:color="auto"/>
        <w:left w:val="none" w:sz="0" w:space="0" w:color="auto"/>
        <w:bottom w:val="none" w:sz="0" w:space="0" w:color="auto"/>
        <w:right w:val="none" w:sz="0" w:space="0" w:color="auto"/>
      </w:divBdr>
    </w:div>
    <w:div w:id="1210992991">
      <w:bodyDiv w:val="1"/>
      <w:marLeft w:val="0"/>
      <w:marRight w:val="0"/>
      <w:marTop w:val="0"/>
      <w:marBottom w:val="0"/>
      <w:divBdr>
        <w:top w:val="none" w:sz="0" w:space="0" w:color="auto"/>
        <w:left w:val="none" w:sz="0" w:space="0" w:color="auto"/>
        <w:bottom w:val="none" w:sz="0" w:space="0" w:color="auto"/>
        <w:right w:val="none" w:sz="0" w:space="0" w:color="auto"/>
      </w:divBdr>
    </w:div>
    <w:div w:id="1213032929">
      <w:bodyDiv w:val="1"/>
      <w:marLeft w:val="0"/>
      <w:marRight w:val="0"/>
      <w:marTop w:val="0"/>
      <w:marBottom w:val="0"/>
      <w:divBdr>
        <w:top w:val="none" w:sz="0" w:space="0" w:color="auto"/>
        <w:left w:val="none" w:sz="0" w:space="0" w:color="auto"/>
        <w:bottom w:val="none" w:sz="0" w:space="0" w:color="auto"/>
        <w:right w:val="none" w:sz="0" w:space="0" w:color="auto"/>
      </w:divBdr>
    </w:div>
    <w:div w:id="1216237694">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19902745">
      <w:bodyDiv w:val="1"/>
      <w:marLeft w:val="0"/>
      <w:marRight w:val="0"/>
      <w:marTop w:val="0"/>
      <w:marBottom w:val="0"/>
      <w:divBdr>
        <w:top w:val="none" w:sz="0" w:space="0" w:color="auto"/>
        <w:left w:val="none" w:sz="0" w:space="0" w:color="auto"/>
        <w:bottom w:val="none" w:sz="0" w:space="0" w:color="auto"/>
        <w:right w:val="none" w:sz="0" w:space="0" w:color="auto"/>
      </w:divBdr>
    </w:div>
    <w:div w:id="1222987427">
      <w:bodyDiv w:val="1"/>
      <w:marLeft w:val="0"/>
      <w:marRight w:val="0"/>
      <w:marTop w:val="0"/>
      <w:marBottom w:val="0"/>
      <w:divBdr>
        <w:top w:val="none" w:sz="0" w:space="0" w:color="auto"/>
        <w:left w:val="none" w:sz="0" w:space="0" w:color="auto"/>
        <w:bottom w:val="none" w:sz="0" w:space="0" w:color="auto"/>
        <w:right w:val="none" w:sz="0" w:space="0" w:color="auto"/>
      </w:divBdr>
    </w:div>
    <w:div w:id="1240024432">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53902385">
      <w:bodyDiv w:val="1"/>
      <w:marLeft w:val="0"/>
      <w:marRight w:val="0"/>
      <w:marTop w:val="0"/>
      <w:marBottom w:val="0"/>
      <w:divBdr>
        <w:top w:val="none" w:sz="0" w:space="0" w:color="auto"/>
        <w:left w:val="none" w:sz="0" w:space="0" w:color="auto"/>
        <w:bottom w:val="none" w:sz="0" w:space="0" w:color="auto"/>
        <w:right w:val="none" w:sz="0" w:space="0" w:color="auto"/>
      </w:divBdr>
    </w:div>
    <w:div w:id="1254239628">
      <w:bodyDiv w:val="1"/>
      <w:marLeft w:val="0"/>
      <w:marRight w:val="0"/>
      <w:marTop w:val="0"/>
      <w:marBottom w:val="0"/>
      <w:divBdr>
        <w:top w:val="none" w:sz="0" w:space="0" w:color="auto"/>
        <w:left w:val="none" w:sz="0" w:space="0" w:color="auto"/>
        <w:bottom w:val="none" w:sz="0" w:space="0" w:color="auto"/>
        <w:right w:val="none" w:sz="0" w:space="0" w:color="auto"/>
      </w:divBdr>
    </w:div>
    <w:div w:id="1256790009">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4899994">
      <w:bodyDiv w:val="1"/>
      <w:marLeft w:val="0"/>
      <w:marRight w:val="0"/>
      <w:marTop w:val="0"/>
      <w:marBottom w:val="0"/>
      <w:divBdr>
        <w:top w:val="none" w:sz="0" w:space="0" w:color="auto"/>
        <w:left w:val="none" w:sz="0" w:space="0" w:color="auto"/>
        <w:bottom w:val="none" w:sz="0" w:space="0" w:color="auto"/>
        <w:right w:val="none" w:sz="0" w:space="0" w:color="auto"/>
      </w:divBdr>
    </w:div>
    <w:div w:id="1276714375">
      <w:bodyDiv w:val="1"/>
      <w:marLeft w:val="0"/>
      <w:marRight w:val="0"/>
      <w:marTop w:val="0"/>
      <w:marBottom w:val="0"/>
      <w:divBdr>
        <w:top w:val="none" w:sz="0" w:space="0" w:color="auto"/>
        <w:left w:val="none" w:sz="0" w:space="0" w:color="auto"/>
        <w:bottom w:val="none" w:sz="0" w:space="0" w:color="auto"/>
        <w:right w:val="none" w:sz="0" w:space="0" w:color="auto"/>
      </w:divBdr>
    </w:div>
    <w:div w:id="1277449870">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63025">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292323062">
      <w:bodyDiv w:val="1"/>
      <w:marLeft w:val="0"/>
      <w:marRight w:val="0"/>
      <w:marTop w:val="0"/>
      <w:marBottom w:val="0"/>
      <w:divBdr>
        <w:top w:val="none" w:sz="0" w:space="0" w:color="auto"/>
        <w:left w:val="none" w:sz="0" w:space="0" w:color="auto"/>
        <w:bottom w:val="none" w:sz="0" w:space="0" w:color="auto"/>
        <w:right w:val="none" w:sz="0" w:space="0" w:color="auto"/>
      </w:divBdr>
    </w:div>
    <w:div w:id="129768790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06859358">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2002786">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39042933">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1406995667">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6297497">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66255303">
      <w:bodyDiv w:val="1"/>
      <w:marLeft w:val="0"/>
      <w:marRight w:val="0"/>
      <w:marTop w:val="0"/>
      <w:marBottom w:val="0"/>
      <w:divBdr>
        <w:top w:val="none" w:sz="0" w:space="0" w:color="auto"/>
        <w:left w:val="none" w:sz="0" w:space="0" w:color="auto"/>
        <w:bottom w:val="none" w:sz="0" w:space="0" w:color="auto"/>
        <w:right w:val="none" w:sz="0" w:space="0" w:color="auto"/>
      </w:divBdr>
    </w:div>
    <w:div w:id="1372464287">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81829816">
      <w:bodyDiv w:val="1"/>
      <w:marLeft w:val="0"/>
      <w:marRight w:val="0"/>
      <w:marTop w:val="0"/>
      <w:marBottom w:val="0"/>
      <w:divBdr>
        <w:top w:val="none" w:sz="0" w:space="0" w:color="auto"/>
        <w:left w:val="none" w:sz="0" w:space="0" w:color="auto"/>
        <w:bottom w:val="none" w:sz="0" w:space="0" w:color="auto"/>
        <w:right w:val="none" w:sz="0" w:space="0" w:color="auto"/>
      </w:divBdr>
    </w:div>
    <w:div w:id="1391148988">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15009183">
      <w:bodyDiv w:val="1"/>
      <w:marLeft w:val="0"/>
      <w:marRight w:val="0"/>
      <w:marTop w:val="0"/>
      <w:marBottom w:val="0"/>
      <w:divBdr>
        <w:top w:val="none" w:sz="0" w:space="0" w:color="auto"/>
        <w:left w:val="none" w:sz="0" w:space="0" w:color="auto"/>
        <w:bottom w:val="none" w:sz="0" w:space="0" w:color="auto"/>
        <w:right w:val="none" w:sz="0" w:space="0" w:color="auto"/>
      </w:divBdr>
    </w:div>
    <w:div w:id="1420558508">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30738474">
      <w:bodyDiv w:val="1"/>
      <w:marLeft w:val="0"/>
      <w:marRight w:val="0"/>
      <w:marTop w:val="0"/>
      <w:marBottom w:val="0"/>
      <w:divBdr>
        <w:top w:val="none" w:sz="0" w:space="0" w:color="auto"/>
        <w:left w:val="none" w:sz="0" w:space="0" w:color="auto"/>
        <w:bottom w:val="none" w:sz="0" w:space="0" w:color="auto"/>
        <w:right w:val="none" w:sz="0" w:space="0" w:color="auto"/>
      </w:divBdr>
    </w:div>
    <w:div w:id="1441486724">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4011583">
      <w:bodyDiv w:val="1"/>
      <w:marLeft w:val="0"/>
      <w:marRight w:val="0"/>
      <w:marTop w:val="0"/>
      <w:marBottom w:val="0"/>
      <w:divBdr>
        <w:top w:val="none" w:sz="0" w:space="0" w:color="auto"/>
        <w:left w:val="none" w:sz="0" w:space="0" w:color="auto"/>
        <w:bottom w:val="none" w:sz="0" w:space="0" w:color="auto"/>
        <w:right w:val="none" w:sz="0" w:space="0" w:color="auto"/>
      </w:divBdr>
    </w:div>
    <w:div w:id="1454905291">
      <w:bodyDiv w:val="1"/>
      <w:marLeft w:val="0"/>
      <w:marRight w:val="0"/>
      <w:marTop w:val="0"/>
      <w:marBottom w:val="0"/>
      <w:divBdr>
        <w:top w:val="none" w:sz="0" w:space="0" w:color="auto"/>
        <w:left w:val="none" w:sz="0" w:space="0" w:color="auto"/>
        <w:bottom w:val="none" w:sz="0" w:space="0" w:color="auto"/>
        <w:right w:val="none" w:sz="0" w:space="0" w:color="auto"/>
      </w:divBdr>
    </w:div>
    <w:div w:id="1454905895">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477069564">
      <w:bodyDiv w:val="1"/>
      <w:marLeft w:val="0"/>
      <w:marRight w:val="0"/>
      <w:marTop w:val="0"/>
      <w:marBottom w:val="0"/>
      <w:divBdr>
        <w:top w:val="none" w:sz="0" w:space="0" w:color="auto"/>
        <w:left w:val="none" w:sz="0" w:space="0" w:color="auto"/>
        <w:bottom w:val="none" w:sz="0" w:space="0" w:color="auto"/>
        <w:right w:val="none" w:sz="0" w:space="0" w:color="auto"/>
      </w:divBdr>
    </w:div>
    <w:div w:id="1485774481">
      <w:bodyDiv w:val="1"/>
      <w:marLeft w:val="0"/>
      <w:marRight w:val="0"/>
      <w:marTop w:val="0"/>
      <w:marBottom w:val="0"/>
      <w:divBdr>
        <w:top w:val="none" w:sz="0" w:space="0" w:color="auto"/>
        <w:left w:val="none" w:sz="0" w:space="0" w:color="auto"/>
        <w:bottom w:val="none" w:sz="0" w:space="0" w:color="auto"/>
        <w:right w:val="none" w:sz="0" w:space="0" w:color="auto"/>
      </w:divBdr>
    </w:div>
    <w:div w:id="1489780879">
      <w:bodyDiv w:val="1"/>
      <w:marLeft w:val="0"/>
      <w:marRight w:val="0"/>
      <w:marTop w:val="0"/>
      <w:marBottom w:val="0"/>
      <w:divBdr>
        <w:top w:val="none" w:sz="0" w:space="0" w:color="auto"/>
        <w:left w:val="none" w:sz="0" w:space="0" w:color="auto"/>
        <w:bottom w:val="none" w:sz="0" w:space="0" w:color="auto"/>
        <w:right w:val="none" w:sz="0" w:space="0" w:color="auto"/>
      </w:divBdr>
    </w:div>
    <w:div w:id="1501964637">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19930305">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3938147">
      <w:bodyDiv w:val="1"/>
      <w:marLeft w:val="0"/>
      <w:marRight w:val="0"/>
      <w:marTop w:val="0"/>
      <w:marBottom w:val="0"/>
      <w:divBdr>
        <w:top w:val="none" w:sz="0" w:space="0" w:color="auto"/>
        <w:left w:val="none" w:sz="0" w:space="0" w:color="auto"/>
        <w:bottom w:val="none" w:sz="0" w:space="0" w:color="auto"/>
        <w:right w:val="none" w:sz="0" w:space="0" w:color="auto"/>
      </w:divBdr>
    </w:div>
    <w:div w:id="1524828807">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29561651">
      <w:bodyDiv w:val="1"/>
      <w:marLeft w:val="0"/>
      <w:marRight w:val="0"/>
      <w:marTop w:val="0"/>
      <w:marBottom w:val="0"/>
      <w:divBdr>
        <w:top w:val="none" w:sz="0" w:space="0" w:color="auto"/>
        <w:left w:val="none" w:sz="0" w:space="0" w:color="auto"/>
        <w:bottom w:val="none" w:sz="0" w:space="0" w:color="auto"/>
        <w:right w:val="none" w:sz="0" w:space="0" w:color="auto"/>
      </w:divBdr>
    </w:div>
    <w:div w:id="1539901496">
      <w:bodyDiv w:val="1"/>
      <w:marLeft w:val="0"/>
      <w:marRight w:val="0"/>
      <w:marTop w:val="0"/>
      <w:marBottom w:val="0"/>
      <w:divBdr>
        <w:top w:val="none" w:sz="0" w:space="0" w:color="auto"/>
        <w:left w:val="none" w:sz="0" w:space="0" w:color="auto"/>
        <w:bottom w:val="none" w:sz="0" w:space="0" w:color="auto"/>
        <w:right w:val="none" w:sz="0" w:space="0" w:color="auto"/>
      </w:divBdr>
    </w:div>
    <w:div w:id="1541162768">
      <w:bodyDiv w:val="1"/>
      <w:marLeft w:val="0"/>
      <w:marRight w:val="0"/>
      <w:marTop w:val="0"/>
      <w:marBottom w:val="0"/>
      <w:divBdr>
        <w:top w:val="none" w:sz="0" w:space="0" w:color="auto"/>
        <w:left w:val="none" w:sz="0" w:space="0" w:color="auto"/>
        <w:bottom w:val="none" w:sz="0" w:space="0" w:color="auto"/>
        <w:right w:val="none" w:sz="0" w:space="0" w:color="auto"/>
      </w:divBdr>
    </w:div>
    <w:div w:id="1544632744">
      <w:bodyDiv w:val="1"/>
      <w:marLeft w:val="0"/>
      <w:marRight w:val="0"/>
      <w:marTop w:val="0"/>
      <w:marBottom w:val="0"/>
      <w:divBdr>
        <w:top w:val="none" w:sz="0" w:space="0" w:color="auto"/>
        <w:left w:val="none" w:sz="0" w:space="0" w:color="auto"/>
        <w:bottom w:val="none" w:sz="0" w:space="0" w:color="auto"/>
        <w:right w:val="none" w:sz="0" w:space="0" w:color="auto"/>
      </w:divBdr>
    </w:div>
    <w:div w:id="1547373351">
      <w:bodyDiv w:val="1"/>
      <w:marLeft w:val="0"/>
      <w:marRight w:val="0"/>
      <w:marTop w:val="0"/>
      <w:marBottom w:val="0"/>
      <w:divBdr>
        <w:top w:val="none" w:sz="0" w:space="0" w:color="auto"/>
        <w:left w:val="none" w:sz="0" w:space="0" w:color="auto"/>
        <w:bottom w:val="none" w:sz="0" w:space="0" w:color="auto"/>
        <w:right w:val="none" w:sz="0" w:space="0" w:color="auto"/>
      </w:divBdr>
    </w:div>
    <w:div w:id="154914753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151729">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56694087">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080614">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4465182">
      <w:bodyDiv w:val="1"/>
      <w:marLeft w:val="0"/>
      <w:marRight w:val="0"/>
      <w:marTop w:val="0"/>
      <w:marBottom w:val="0"/>
      <w:divBdr>
        <w:top w:val="none" w:sz="0" w:space="0" w:color="auto"/>
        <w:left w:val="none" w:sz="0" w:space="0" w:color="auto"/>
        <w:bottom w:val="none" w:sz="0" w:space="0" w:color="auto"/>
        <w:right w:val="none" w:sz="0" w:space="0" w:color="auto"/>
      </w:divBdr>
    </w:div>
    <w:div w:id="1575159445">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19042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589926667">
      <w:bodyDiv w:val="1"/>
      <w:marLeft w:val="0"/>
      <w:marRight w:val="0"/>
      <w:marTop w:val="0"/>
      <w:marBottom w:val="0"/>
      <w:divBdr>
        <w:top w:val="none" w:sz="0" w:space="0" w:color="auto"/>
        <w:left w:val="none" w:sz="0" w:space="0" w:color="auto"/>
        <w:bottom w:val="none" w:sz="0" w:space="0" w:color="auto"/>
        <w:right w:val="none" w:sz="0" w:space="0" w:color="auto"/>
      </w:divBdr>
    </w:div>
    <w:div w:id="1590507490">
      <w:bodyDiv w:val="1"/>
      <w:marLeft w:val="0"/>
      <w:marRight w:val="0"/>
      <w:marTop w:val="0"/>
      <w:marBottom w:val="0"/>
      <w:divBdr>
        <w:top w:val="none" w:sz="0" w:space="0" w:color="auto"/>
        <w:left w:val="none" w:sz="0" w:space="0" w:color="auto"/>
        <w:bottom w:val="none" w:sz="0" w:space="0" w:color="auto"/>
        <w:right w:val="none" w:sz="0" w:space="0" w:color="auto"/>
      </w:divBdr>
    </w:div>
    <w:div w:id="1595432746">
      <w:bodyDiv w:val="1"/>
      <w:marLeft w:val="0"/>
      <w:marRight w:val="0"/>
      <w:marTop w:val="0"/>
      <w:marBottom w:val="0"/>
      <w:divBdr>
        <w:top w:val="none" w:sz="0" w:space="0" w:color="auto"/>
        <w:left w:val="none" w:sz="0" w:space="0" w:color="auto"/>
        <w:bottom w:val="none" w:sz="0" w:space="0" w:color="auto"/>
        <w:right w:val="none" w:sz="0" w:space="0" w:color="auto"/>
      </w:divBdr>
    </w:div>
    <w:div w:id="1596094248">
      <w:bodyDiv w:val="1"/>
      <w:marLeft w:val="0"/>
      <w:marRight w:val="0"/>
      <w:marTop w:val="0"/>
      <w:marBottom w:val="0"/>
      <w:divBdr>
        <w:top w:val="none" w:sz="0" w:space="0" w:color="auto"/>
        <w:left w:val="none" w:sz="0" w:space="0" w:color="auto"/>
        <w:bottom w:val="none" w:sz="0" w:space="0" w:color="auto"/>
        <w:right w:val="none" w:sz="0" w:space="0" w:color="auto"/>
      </w:divBdr>
    </w:div>
    <w:div w:id="1602646769">
      <w:bodyDiv w:val="1"/>
      <w:marLeft w:val="0"/>
      <w:marRight w:val="0"/>
      <w:marTop w:val="0"/>
      <w:marBottom w:val="0"/>
      <w:divBdr>
        <w:top w:val="none" w:sz="0" w:space="0" w:color="auto"/>
        <w:left w:val="none" w:sz="0" w:space="0" w:color="auto"/>
        <w:bottom w:val="none" w:sz="0" w:space="0" w:color="auto"/>
        <w:right w:val="none" w:sz="0" w:space="0" w:color="auto"/>
      </w:divBdr>
    </w:div>
    <w:div w:id="1604454696">
      <w:bodyDiv w:val="1"/>
      <w:marLeft w:val="0"/>
      <w:marRight w:val="0"/>
      <w:marTop w:val="0"/>
      <w:marBottom w:val="0"/>
      <w:divBdr>
        <w:top w:val="none" w:sz="0" w:space="0" w:color="auto"/>
        <w:left w:val="none" w:sz="0" w:space="0" w:color="auto"/>
        <w:bottom w:val="none" w:sz="0" w:space="0" w:color="auto"/>
        <w:right w:val="none" w:sz="0" w:space="0" w:color="auto"/>
      </w:divBdr>
    </w:div>
    <w:div w:id="1605264090">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919487818">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17047334">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678187">
      <w:bodyDiv w:val="1"/>
      <w:marLeft w:val="0"/>
      <w:marRight w:val="0"/>
      <w:marTop w:val="0"/>
      <w:marBottom w:val="0"/>
      <w:divBdr>
        <w:top w:val="none" w:sz="0" w:space="0" w:color="auto"/>
        <w:left w:val="none" w:sz="0" w:space="0" w:color="auto"/>
        <w:bottom w:val="none" w:sz="0" w:space="0" w:color="auto"/>
        <w:right w:val="none" w:sz="0" w:space="0" w:color="auto"/>
      </w:divBdr>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436946412">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11538339">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776336">
      <w:bodyDiv w:val="1"/>
      <w:marLeft w:val="0"/>
      <w:marRight w:val="0"/>
      <w:marTop w:val="0"/>
      <w:marBottom w:val="0"/>
      <w:divBdr>
        <w:top w:val="none" w:sz="0" w:space="0" w:color="auto"/>
        <w:left w:val="none" w:sz="0" w:space="0" w:color="auto"/>
        <w:bottom w:val="none" w:sz="0" w:space="0" w:color="auto"/>
        <w:right w:val="none" w:sz="0" w:space="0" w:color="auto"/>
      </w:divBdr>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35255178">
      <w:bodyDiv w:val="1"/>
      <w:marLeft w:val="0"/>
      <w:marRight w:val="0"/>
      <w:marTop w:val="0"/>
      <w:marBottom w:val="0"/>
      <w:divBdr>
        <w:top w:val="none" w:sz="0" w:space="0" w:color="auto"/>
        <w:left w:val="none" w:sz="0" w:space="0" w:color="auto"/>
        <w:bottom w:val="none" w:sz="0" w:space="0" w:color="auto"/>
        <w:right w:val="none" w:sz="0" w:space="0" w:color="auto"/>
      </w:divBdr>
    </w:div>
    <w:div w:id="1648590076">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51131809">
      <w:bodyDiv w:val="1"/>
      <w:marLeft w:val="0"/>
      <w:marRight w:val="0"/>
      <w:marTop w:val="0"/>
      <w:marBottom w:val="0"/>
      <w:divBdr>
        <w:top w:val="none" w:sz="0" w:space="0" w:color="auto"/>
        <w:left w:val="none" w:sz="0" w:space="0" w:color="auto"/>
        <w:bottom w:val="none" w:sz="0" w:space="0" w:color="auto"/>
        <w:right w:val="none" w:sz="0" w:space="0" w:color="auto"/>
      </w:divBdr>
    </w:div>
    <w:div w:id="1653021921">
      <w:bodyDiv w:val="1"/>
      <w:marLeft w:val="0"/>
      <w:marRight w:val="0"/>
      <w:marTop w:val="0"/>
      <w:marBottom w:val="0"/>
      <w:divBdr>
        <w:top w:val="none" w:sz="0" w:space="0" w:color="auto"/>
        <w:left w:val="none" w:sz="0" w:space="0" w:color="auto"/>
        <w:bottom w:val="none" w:sz="0" w:space="0" w:color="auto"/>
        <w:right w:val="none" w:sz="0" w:space="0" w:color="auto"/>
      </w:divBdr>
    </w:div>
    <w:div w:id="1655059889">
      <w:bodyDiv w:val="1"/>
      <w:marLeft w:val="0"/>
      <w:marRight w:val="0"/>
      <w:marTop w:val="0"/>
      <w:marBottom w:val="0"/>
      <w:divBdr>
        <w:top w:val="none" w:sz="0" w:space="0" w:color="auto"/>
        <w:left w:val="none" w:sz="0" w:space="0" w:color="auto"/>
        <w:bottom w:val="none" w:sz="0" w:space="0" w:color="auto"/>
        <w:right w:val="none" w:sz="0" w:space="0" w:color="auto"/>
      </w:divBdr>
    </w:div>
    <w:div w:id="1659067087">
      <w:bodyDiv w:val="1"/>
      <w:marLeft w:val="0"/>
      <w:marRight w:val="0"/>
      <w:marTop w:val="0"/>
      <w:marBottom w:val="0"/>
      <w:divBdr>
        <w:top w:val="none" w:sz="0" w:space="0" w:color="auto"/>
        <w:left w:val="none" w:sz="0" w:space="0" w:color="auto"/>
        <w:bottom w:val="none" w:sz="0" w:space="0" w:color="auto"/>
        <w:right w:val="none" w:sz="0" w:space="0" w:color="auto"/>
      </w:divBdr>
    </w:div>
    <w:div w:id="1659649267">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75643455">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0445023">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705178095">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28625">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02973469">
      <w:bodyDiv w:val="1"/>
      <w:marLeft w:val="0"/>
      <w:marRight w:val="0"/>
      <w:marTop w:val="0"/>
      <w:marBottom w:val="0"/>
      <w:divBdr>
        <w:top w:val="none" w:sz="0" w:space="0" w:color="auto"/>
        <w:left w:val="none" w:sz="0" w:space="0" w:color="auto"/>
        <w:bottom w:val="none" w:sz="0" w:space="0" w:color="auto"/>
        <w:right w:val="none" w:sz="0" w:space="0" w:color="auto"/>
      </w:divBdr>
    </w:div>
    <w:div w:id="1708917630">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13919026">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2561291">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26369703">
      <w:bodyDiv w:val="1"/>
      <w:marLeft w:val="0"/>
      <w:marRight w:val="0"/>
      <w:marTop w:val="0"/>
      <w:marBottom w:val="0"/>
      <w:divBdr>
        <w:top w:val="none" w:sz="0" w:space="0" w:color="auto"/>
        <w:left w:val="none" w:sz="0" w:space="0" w:color="auto"/>
        <w:bottom w:val="none" w:sz="0" w:space="0" w:color="auto"/>
        <w:right w:val="none" w:sz="0" w:space="0" w:color="auto"/>
      </w:divBdr>
    </w:div>
    <w:div w:id="17276025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38211494">
      <w:bodyDiv w:val="1"/>
      <w:marLeft w:val="0"/>
      <w:marRight w:val="0"/>
      <w:marTop w:val="0"/>
      <w:marBottom w:val="0"/>
      <w:divBdr>
        <w:top w:val="none" w:sz="0" w:space="0" w:color="auto"/>
        <w:left w:val="none" w:sz="0" w:space="0" w:color="auto"/>
        <w:bottom w:val="none" w:sz="0" w:space="0" w:color="auto"/>
        <w:right w:val="none" w:sz="0" w:space="0" w:color="auto"/>
      </w:divBdr>
    </w:div>
    <w:div w:id="1738212139">
      <w:bodyDiv w:val="1"/>
      <w:marLeft w:val="0"/>
      <w:marRight w:val="0"/>
      <w:marTop w:val="0"/>
      <w:marBottom w:val="0"/>
      <w:divBdr>
        <w:top w:val="none" w:sz="0" w:space="0" w:color="auto"/>
        <w:left w:val="none" w:sz="0" w:space="0" w:color="auto"/>
        <w:bottom w:val="none" w:sz="0" w:space="0" w:color="auto"/>
        <w:right w:val="none" w:sz="0" w:space="0" w:color="auto"/>
      </w:divBdr>
    </w:div>
    <w:div w:id="1744063912">
      <w:bodyDiv w:val="1"/>
      <w:marLeft w:val="0"/>
      <w:marRight w:val="0"/>
      <w:marTop w:val="0"/>
      <w:marBottom w:val="0"/>
      <w:divBdr>
        <w:top w:val="none" w:sz="0" w:space="0" w:color="auto"/>
        <w:left w:val="none" w:sz="0" w:space="0" w:color="auto"/>
        <w:bottom w:val="none" w:sz="0" w:space="0" w:color="auto"/>
        <w:right w:val="none" w:sz="0" w:space="0" w:color="auto"/>
      </w:divBdr>
    </w:div>
    <w:div w:id="1744140965">
      <w:bodyDiv w:val="1"/>
      <w:marLeft w:val="0"/>
      <w:marRight w:val="0"/>
      <w:marTop w:val="0"/>
      <w:marBottom w:val="0"/>
      <w:divBdr>
        <w:top w:val="none" w:sz="0" w:space="0" w:color="auto"/>
        <w:left w:val="none" w:sz="0" w:space="0" w:color="auto"/>
        <w:bottom w:val="none" w:sz="0" w:space="0" w:color="auto"/>
        <w:right w:val="none" w:sz="0" w:space="0" w:color="auto"/>
      </w:divBdr>
    </w:div>
    <w:div w:id="1749031575">
      <w:bodyDiv w:val="1"/>
      <w:marLeft w:val="0"/>
      <w:marRight w:val="0"/>
      <w:marTop w:val="0"/>
      <w:marBottom w:val="0"/>
      <w:divBdr>
        <w:top w:val="none" w:sz="0" w:space="0" w:color="auto"/>
        <w:left w:val="none" w:sz="0" w:space="0" w:color="auto"/>
        <w:bottom w:val="none" w:sz="0" w:space="0" w:color="auto"/>
        <w:right w:val="none" w:sz="0" w:space="0" w:color="auto"/>
      </w:divBdr>
    </w:div>
    <w:div w:id="1756247329">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58747317">
      <w:bodyDiv w:val="1"/>
      <w:marLeft w:val="0"/>
      <w:marRight w:val="0"/>
      <w:marTop w:val="0"/>
      <w:marBottom w:val="0"/>
      <w:divBdr>
        <w:top w:val="none" w:sz="0" w:space="0" w:color="auto"/>
        <w:left w:val="none" w:sz="0" w:space="0" w:color="auto"/>
        <w:bottom w:val="none" w:sz="0" w:space="0" w:color="auto"/>
        <w:right w:val="none" w:sz="0" w:space="0" w:color="auto"/>
      </w:divBdr>
    </w:div>
    <w:div w:id="1761875538">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66611524">
      <w:bodyDiv w:val="1"/>
      <w:marLeft w:val="0"/>
      <w:marRight w:val="0"/>
      <w:marTop w:val="0"/>
      <w:marBottom w:val="0"/>
      <w:divBdr>
        <w:top w:val="none" w:sz="0" w:space="0" w:color="auto"/>
        <w:left w:val="none" w:sz="0" w:space="0" w:color="auto"/>
        <w:bottom w:val="none" w:sz="0" w:space="0" w:color="auto"/>
        <w:right w:val="none" w:sz="0" w:space="0" w:color="auto"/>
      </w:divBdr>
    </w:div>
    <w:div w:id="1767847063">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782533489">
      <w:bodyDiv w:val="1"/>
      <w:marLeft w:val="0"/>
      <w:marRight w:val="0"/>
      <w:marTop w:val="0"/>
      <w:marBottom w:val="0"/>
      <w:divBdr>
        <w:top w:val="none" w:sz="0" w:space="0" w:color="auto"/>
        <w:left w:val="none" w:sz="0" w:space="0" w:color="auto"/>
        <w:bottom w:val="none" w:sz="0" w:space="0" w:color="auto"/>
        <w:right w:val="none" w:sz="0" w:space="0" w:color="auto"/>
      </w:divBdr>
    </w:div>
    <w:div w:id="1797403273">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25656171">
      <w:bodyDiv w:val="1"/>
      <w:marLeft w:val="0"/>
      <w:marRight w:val="0"/>
      <w:marTop w:val="0"/>
      <w:marBottom w:val="0"/>
      <w:divBdr>
        <w:top w:val="none" w:sz="0" w:space="0" w:color="auto"/>
        <w:left w:val="none" w:sz="0" w:space="0" w:color="auto"/>
        <w:bottom w:val="none" w:sz="0" w:space="0" w:color="auto"/>
        <w:right w:val="none" w:sz="0" w:space="0" w:color="auto"/>
      </w:divBdr>
    </w:div>
    <w:div w:id="1825702229">
      <w:bodyDiv w:val="1"/>
      <w:marLeft w:val="0"/>
      <w:marRight w:val="0"/>
      <w:marTop w:val="0"/>
      <w:marBottom w:val="0"/>
      <w:divBdr>
        <w:top w:val="none" w:sz="0" w:space="0" w:color="auto"/>
        <w:left w:val="none" w:sz="0" w:space="0" w:color="auto"/>
        <w:bottom w:val="none" w:sz="0" w:space="0" w:color="auto"/>
        <w:right w:val="none" w:sz="0" w:space="0" w:color="auto"/>
      </w:divBdr>
    </w:div>
    <w:div w:id="1842086580">
      <w:bodyDiv w:val="1"/>
      <w:marLeft w:val="0"/>
      <w:marRight w:val="0"/>
      <w:marTop w:val="0"/>
      <w:marBottom w:val="0"/>
      <w:divBdr>
        <w:top w:val="none" w:sz="0" w:space="0" w:color="auto"/>
        <w:left w:val="none" w:sz="0" w:space="0" w:color="auto"/>
        <w:bottom w:val="none" w:sz="0" w:space="0" w:color="auto"/>
        <w:right w:val="none" w:sz="0" w:space="0" w:color="auto"/>
      </w:divBdr>
    </w:div>
    <w:div w:id="184801586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58736512">
      <w:bodyDiv w:val="1"/>
      <w:marLeft w:val="0"/>
      <w:marRight w:val="0"/>
      <w:marTop w:val="0"/>
      <w:marBottom w:val="0"/>
      <w:divBdr>
        <w:top w:val="none" w:sz="0" w:space="0" w:color="auto"/>
        <w:left w:val="none" w:sz="0" w:space="0" w:color="auto"/>
        <w:bottom w:val="none" w:sz="0" w:space="0" w:color="auto"/>
        <w:right w:val="none" w:sz="0" w:space="0" w:color="auto"/>
      </w:divBdr>
    </w:div>
    <w:div w:id="1862939509">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64857619">
      <w:bodyDiv w:val="1"/>
      <w:marLeft w:val="0"/>
      <w:marRight w:val="0"/>
      <w:marTop w:val="0"/>
      <w:marBottom w:val="0"/>
      <w:divBdr>
        <w:top w:val="none" w:sz="0" w:space="0" w:color="auto"/>
        <w:left w:val="none" w:sz="0" w:space="0" w:color="auto"/>
        <w:bottom w:val="none" w:sz="0" w:space="0" w:color="auto"/>
        <w:right w:val="none" w:sz="0" w:space="0" w:color="auto"/>
      </w:divBdr>
    </w:div>
    <w:div w:id="1870333323">
      <w:bodyDiv w:val="1"/>
      <w:marLeft w:val="0"/>
      <w:marRight w:val="0"/>
      <w:marTop w:val="0"/>
      <w:marBottom w:val="0"/>
      <w:divBdr>
        <w:top w:val="none" w:sz="0" w:space="0" w:color="auto"/>
        <w:left w:val="none" w:sz="0" w:space="0" w:color="auto"/>
        <w:bottom w:val="none" w:sz="0" w:space="0" w:color="auto"/>
        <w:right w:val="none" w:sz="0" w:space="0" w:color="auto"/>
      </w:divBdr>
    </w:div>
    <w:div w:id="1870533070">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4368347">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14702338">
      <w:bodyDiv w:val="1"/>
      <w:marLeft w:val="0"/>
      <w:marRight w:val="0"/>
      <w:marTop w:val="0"/>
      <w:marBottom w:val="0"/>
      <w:divBdr>
        <w:top w:val="none" w:sz="0" w:space="0" w:color="auto"/>
        <w:left w:val="none" w:sz="0" w:space="0" w:color="auto"/>
        <w:bottom w:val="none" w:sz="0" w:space="0" w:color="auto"/>
        <w:right w:val="none" w:sz="0" w:space="0" w:color="auto"/>
      </w:divBdr>
    </w:div>
    <w:div w:id="1921794943">
      <w:bodyDiv w:val="1"/>
      <w:marLeft w:val="0"/>
      <w:marRight w:val="0"/>
      <w:marTop w:val="0"/>
      <w:marBottom w:val="0"/>
      <w:divBdr>
        <w:top w:val="none" w:sz="0" w:space="0" w:color="auto"/>
        <w:left w:val="none" w:sz="0" w:space="0" w:color="auto"/>
        <w:bottom w:val="none" w:sz="0" w:space="0" w:color="auto"/>
        <w:right w:val="none" w:sz="0" w:space="0" w:color="auto"/>
      </w:divBdr>
    </w:div>
    <w:div w:id="1924029713">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533606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18055401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410975">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4896515">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1612014409">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5637270">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57443124">
      <w:bodyDiv w:val="1"/>
      <w:marLeft w:val="0"/>
      <w:marRight w:val="0"/>
      <w:marTop w:val="0"/>
      <w:marBottom w:val="0"/>
      <w:divBdr>
        <w:top w:val="none" w:sz="0" w:space="0" w:color="auto"/>
        <w:left w:val="none" w:sz="0" w:space="0" w:color="auto"/>
        <w:bottom w:val="none" w:sz="0" w:space="0" w:color="auto"/>
        <w:right w:val="none" w:sz="0" w:space="0" w:color="auto"/>
      </w:divBdr>
    </w:div>
    <w:div w:id="1960723291">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65771738">
      <w:bodyDiv w:val="1"/>
      <w:marLeft w:val="0"/>
      <w:marRight w:val="0"/>
      <w:marTop w:val="0"/>
      <w:marBottom w:val="0"/>
      <w:divBdr>
        <w:top w:val="none" w:sz="0" w:space="0" w:color="auto"/>
        <w:left w:val="none" w:sz="0" w:space="0" w:color="auto"/>
        <w:bottom w:val="none" w:sz="0" w:space="0" w:color="auto"/>
        <w:right w:val="none" w:sz="0" w:space="0" w:color="auto"/>
      </w:divBdr>
    </w:div>
    <w:div w:id="19703614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1858155">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0400235">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1998606207">
      <w:bodyDiv w:val="1"/>
      <w:marLeft w:val="0"/>
      <w:marRight w:val="0"/>
      <w:marTop w:val="0"/>
      <w:marBottom w:val="0"/>
      <w:divBdr>
        <w:top w:val="none" w:sz="0" w:space="0" w:color="auto"/>
        <w:left w:val="none" w:sz="0" w:space="0" w:color="auto"/>
        <w:bottom w:val="none" w:sz="0" w:space="0" w:color="auto"/>
        <w:right w:val="none" w:sz="0" w:space="0" w:color="auto"/>
      </w:divBdr>
    </w:div>
    <w:div w:id="2002732713">
      <w:bodyDiv w:val="1"/>
      <w:marLeft w:val="0"/>
      <w:marRight w:val="0"/>
      <w:marTop w:val="0"/>
      <w:marBottom w:val="0"/>
      <w:divBdr>
        <w:top w:val="none" w:sz="0" w:space="0" w:color="auto"/>
        <w:left w:val="none" w:sz="0" w:space="0" w:color="auto"/>
        <w:bottom w:val="none" w:sz="0" w:space="0" w:color="auto"/>
        <w:right w:val="none" w:sz="0" w:space="0" w:color="auto"/>
      </w:divBdr>
    </w:div>
    <w:div w:id="2008364431">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161392282">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33890">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3898035">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28484888">
      <w:bodyDiv w:val="1"/>
      <w:marLeft w:val="0"/>
      <w:marRight w:val="0"/>
      <w:marTop w:val="0"/>
      <w:marBottom w:val="0"/>
      <w:divBdr>
        <w:top w:val="none" w:sz="0" w:space="0" w:color="auto"/>
        <w:left w:val="none" w:sz="0" w:space="0" w:color="auto"/>
        <w:bottom w:val="none" w:sz="0" w:space="0" w:color="auto"/>
        <w:right w:val="none" w:sz="0" w:space="0" w:color="auto"/>
      </w:divBdr>
    </w:div>
    <w:div w:id="2030594932">
      <w:bodyDiv w:val="1"/>
      <w:marLeft w:val="0"/>
      <w:marRight w:val="0"/>
      <w:marTop w:val="0"/>
      <w:marBottom w:val="0"/>
      <w:divBdr>
        <w:top w:val="none" w:sz="0" w:space="0" w:color="auto"/>
        <w:left w:val="none" w:sz="0" w:space="0" w:color="auto"/>
        <w:bottom w:val="none" w:sz="0" w:space="0" w:color="auto"/>
        <w:right w:val="none" w:sz="0" w:space="0" w:color="auto"/>
      </w:divBdr>
    </w:div>
    <w:div w:id="2033189494">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33996945">
      <w:bodyDiv w:val="1"/>
      <w:marLeft w:val="0"/>
      <w:marRight w:val="0"/>
      <w:marTop w:val="0"/>
      <w:marBottom w:val="0"/>
      <w:divBdr>
        <w:top w:val="none" w:sz="0" w:space="0" w:color="auto"/>
        <w:left w:val="none" w:sz="0" w:space="0" w:color="auto"/>
        <w:bottom w:val="none" w:sz="0" w:space="0" w:color="auto"/>
        <w:right w:val="none" w:sz="0" w:space="0" w:color="auto"/>
      </w:divBdr>
    </w:div>
    <w:div w:id="2042590186">
      <w:bodyDiv w:val="1"/>
      <w:marLeft w:val="0"/>
      <w:marRight w:val="0"/>
      <w:marTop w:val="0"/>
      <w:marBottom w:val="0"/>
      <w:divBdr>
        <w:top w:val="none" w:sz="0" w:space="0" w:color="auto"/>
        <w:left w:val="none" w:sz="0" w:space="0" w:color="auto"/>
        <w:bottom w:val="none" w:sz="0" w:space="0" w:color="auto"/>
        <w:right w:val="none" w:sz="0" w:space="0" w:color="auto"/>
      </w:divBdr>
    </w:div>
    <w:div w:id="204370574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7410303">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53459253">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0834856">
      <w:bodyDiv w:val="1"/>
      <w:marLeft w:val="0"/>
      <w:marRight w:val="0"/>
      <w:marTop w:val="0"/>
      <w:marBottom w:val="0"/>
      <w:divBdr>
        <w:top w:val="none" w:sz="0" w:space="0" w:color="auto"/>
        <w:left w:val="none" w:sz="0" w:space="0" w:color="auto"/>
        <w:bottom w:val="none" w:sz="0" w:space="0" w:color="auto"/>
        <w:right w:val="none" w:sz="0" w:space="0" w:color="auto"/>
      </w:divBdr>
    </w:div>
    <w:div w:id="2071881341">
      <w:bodyDiv w:val="1"/>
      <w:marLeft w:val="0"/>
      <w:marRight w:val="0"/>
      <w:marTop w:val="0"/>
      <w:marBottom w:val="0"/>
      <w:divBdr>
        <w:top w:val="none" w:sz="0" w:space="0" w:color="auto"/>
        <w:left w:val="none" w:sz="0" w:space="0" w:color="auto"/>
        <w:bottom w:val="none" w:sz="0" w:space="0" w:color="auto"/>
        <w:right w:val="none" w:sz="0" w:space="0" w:color="auto"/>
      </w:divBdr>
    </w:div>
    <w:div w:id="2073195364">
      <w:bodyDiv w:val="1"/>
      <w:marLeft w:val="0"/>
      <w:marRight w:val="0"/>
      <w:marTop w:val="0"/>
      <w:marBottom w:val="0"/>
      <w:divBdr>
        <w:top w:val="none" w:sz="0" w:space="0" w:color="auto"/>
        <w:left w:val="none" w:sz="0" w:space="0" w:color="auto"/>
        <w:bottom w:val="none" w:sz="0" w:space="0" w:color="auto"/>
        <w:right w:val="none" w:sz="0" w:space="0" w:color="auto"/>
      </w:divBdr>
    </w:div>
    <w:div w:id="2077164220">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4431357">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530233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13820787">
      <w:bodyDiv w:val="1"/>
      <w:marLeft w:val="0"/>
      <w:marRight w:val="0"/>
      <w:marTop w:val="0"/>
      <w:marBottom w:val="0"/>
      <w:divBdr>
        <w:top w:val="none" w:sz="0" w:space="0" w:color="auto"/>
        <w:left w:val="none" w:sz="0" w:space="0" w:color="auto"/>
        <w:bottom w:val="none" w:sz="0" w:space="0" w:color="auto"/>
        <w:right w:val="none" w:sz="0" w:space="0" w:color="auto"/>
      </w:divBdr>
    </w:div>
    <w:div w:id="2117676739">
      <w:bodyDiv w:val="1"/>
      <w:marLeft w:val="0"/>
      <w:marRight w:val="0"/>
      <w:marTop w:val="0"/>
      <w:marBottom w:val="0"/>
      <w:divBdr>
        <w:top w:val="none" w:sz="0" w:space="0" w:color="auto"/>
        <w:left w:val="none" w:sz="0" w:space="0" w:color="auto"/>
        <w:bottom w:val="none" w:sz="0" w:space="0" w:color="auto"/>
        <w:right w:val="none" w:sz="0" w:space="0" w:color="auto"/>
      </w:divBdr>
    </w:div>
    <w:div w:id="2130395811">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 w:id="214592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683"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citations" value="{&quot;132918142&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32918142,&quot;citationText&quot;:&quot;&lt;span style=\&quot;font-family:Arial;font-size:14.666666666666666px;color:#000000\&quot;&gt;[2]&lt;/span&gt;&quot;},&quot;666208951&quot;:{&quot;referencesIds&quot;:[&quot;doc:67e054b6ae56bf5f382e2476&quot;],&quot;referencesOptions&quot;:{&quot;doc:67e054b6ae56bf5f382e2476&quot;:{&quot;author&quot;:true,&quot;year&quot;:true,&quot;formatAuthorYear&quot;:false,&quot;pageReplace&quot;:&quot;&quot;,&quot;prefix&quot;:&quot;&quot;,&quot;suffix&quot;:&quot;&quot;}},&quot;hasBrokenReferences&quot;:false,&quot;hasManualEdits&quot;:false,&quot;isEmpty&quot;:false,&quot;citationType&quot;:&quot;inline&quot;,&quot;id&quot;:666208951,&quot;citationText&quot;:&quot;&lt;span style=\&quot;font-family:Arial;font-size:14.666666666666666px;color:#000000\&quot;&gt;[1]&lt;/span&gt;&quot;},&quot;702678175&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702678175,&quot;citationText&quot;:&quot;&lt;span style=\&quot;font-family:Arial;font-size:14.666666666666666px;color:#000000\&quot;&gt;[3]&lt;/span&gt;&quot;},&quot;1899012758&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1899012758,&quot;citationText&quot;:&quot;&lt;span style=\&quot;font-family:Arial;font-size:14.666666666666666px;color:#000000\&quot;&gt;[3]&lt;/span&gt;&quot;},&quot;-115832387&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15832387,&quot;citationText&quot;:&quot;&lt;span style=\&quot;font-family:Arial;font-size:14.666666666666666px;color:#000000\&quot;&gt;[2]&lt;/span&gt;&quot;},&quot;-675033610&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675033610,&quot;citationText&quot;:&quot;&lt;span style=\&quot;font-family:Arial;font-size:14.666666666666666px;color:#000000\&quot;&gt;[3]&lt;/span&gt;&quot;},&quot;-982848337&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982848337,&quot;citationText&quot;:&quot;&lt;span style=\&quot;font-family:Arial;font-size:14.666666666666666px;color:#000000\&quot;&gt;[3]&lt;/span&gt;&quot;}}"/>
    <we:property name="currentFolder" value="{&quot;id&quot;:&quot;project:67ce2520e421ce65bbe68d9b&quot;,&quot;userId&quot;:&quot;user:67c5a37820f36a603bb7b6b8&quot;,&quot;projectId&quot;:&quot;ap:67c5a37820f36a603bb7b6b9&quot;,&quot;name&quot;:&quot;LDE T3&quot;,&quot;created&quot;:1741563168806,&quot;lastModified&quot;:1741563168806,&quot;position&quot;:3,&quot;isShared&quot;:false,&quot;isExampleCollection&quot;:false,&quot;isMyPublicationsCollection&quot;:false,&quot;notInFolder&quot;:fals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FF89774E-99F2-4865-AFB8-40C4AE2588E8}">
  <we:reference id="wa200000368" version="1.0.0.0" store="en-US" storeType="OMEX"/>
  <we:alternateReferences>
    <we:reference id="wa200000368" version="1.0.0.0" store="en-US" storeType="OMEX"/>
  </we:alternateReferences>
  <we:properties>
    <we:property name="documentId" value="&quot;8c29169287954056&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Tanenbaum2021</b:Tag>
    <b:SourceType>Book</b:SourceType>
    <b:Guid>{00000004-0000-0000-0000-000000000004}</b:Guid>
    <b:Title>Computer Networks</b:Title>
    <b:Year>2021</b:Year>
    <b:Publisher>Pearson Education</b:Publisher>
    <b:Edition>6th</b:Edition>
    <b:Author>
      <b:Author>
        <b:NameList>
          <b:Person>
            <b:Last>Tanenbaum</b:Last>
            <b:First>A. S.</b:First>
          </b:Person>
          <b:Person>
            <b:Last>Wetherall</b:Last>
            <b:First>D. J.</b:First>
          </b:Person>
        </b:NameList>
      </b:Author>
    </b:Author>
    <b:RefOrder>4</b:RefOrder>
  </b:Source>
  <b:Source>
    <b:Tag>Stallings2021</b:Tag>
    <b:SourceType>Book</b:SourceType>
    <b:Guid>{00000009-0000-0000-0000-000000000009}</b:Guid>
    <b:Title>Network Security Essentials: Applications and Standards</b:Title>
    <b:Year>2021</b:Year>
    <b:Publisher>Pearson</b:Publisher>
    <b:Edition>7th</b:Edition>
    <b:Author>
      <b:Author>
        <b:NameList>
          <b:Person>
            <b:Last>Stallings</b:Last>
            <b:First>W.</b:First>
          </b:Person>
        </b:NameList>
      </b:Author>
    </b:Author>
    <b:RefOrder>9</b:RefOrder>
  </b:Source>
  <b:Source>
    <b:Tag>Odom2020</b:Tag>
    <b:SourceType>Book</b:SourceType>
    <b:Guid>{00000007-0000-0000-0000-000000000007}</b:Guid>
    <b:Title>CCNA 200-301 Official Cert Guide, Volume 1</b:Title>
    <b:Year>2020</b:Year>
    <b:Publisher>Cisco Press</b:Publisher>
    <b:Author>
      <b:Author>
        <b:NameList>
          <b:Person>
            <b:Last>Odom</b:Last>
            <b:First>W.</b:First>
          </b:Person>
        </b:NameList>
      </b:Author>
    </b:Author>
    <b:RefOrder>7</b:RefOrder>
  </b:Source>
  <b:Source>
    <b:Tag>Lammle2023</b:Tag>
    <b:SourceType>Book</b:SourceType>
    <b:Guid>{00000006-0000-0000-0000-000000000006}</b:Guid>
    <b:Title>CompTIA Network+ Study Guide: Exam N10-008</b:Title>
    <b:Year>2023</b:Year>
    <b:Publisher>Sybex</b:Publisher>
    <b:Edition>5th</b:Edition>
    <b:Author>
      <b:Author>
        <b:NameList>
          <b:Person>
            <b:Last>Lammle</b:Last>
            <b:First>T.</b:First>
          </b:Person>
        </b:NameList>
      </b:Author>
    </b:Author>
    <b:RefOrder>6</b:RefOrder>
  </b:Source>
  <b:Source>
    <b:Tag>Kurose2022</b:Tag>
    <b:SourceType>Book</b:SourceType>
    <b:Guid>{00000005-0000-0000-0000-000000000005}</b:Guid>
    <b:Title>Computer Networking: A Top-Down Approach</b:Title>
    <b:Year>2022</b:Year>
    <b:Publisher>Pearson</b:Publisher>
    <b:Edition>8th</b:Edition>
    <b:Author>
      <b:Author>
        <b:NameList>
          <b:Person>
            <b:Last>Kurose</b:Last>
            <b:First>J. F.</b:First>
          </b:Person>
          <b:Person>
            <b:Last>Ross</b:Last>
            <b:First>K. W.</b:First>
          </b:Person>
        </b:NameList>
      </b:Author>
    </b:Author>
    <b:RefOrder>5</b:RefOrder>
  </b:Source>
  <b:Source>
    <b:Tag>Huitema2021</b:Tag>
    <b:SourceType>Book</b:SourceType>
    <b:Guid>{00000013-0000-0000-0000-000000000013}</b:Guid>
    <b:Title>Routing in the Internet</b:Title>
    <b:Year>2021</b:Year>
    <b:Publisher>Prentice Hall</b:Publisher>
    <b:Edition>3rd</b:Edition>
    <b:Author>
      <b:Author>
        <b:NameList>
          <b:Person>
            <b:Last>Huitema</b:Last>
            <b:First>C.</b:First>
          </b:Person>
        </b:NameList>
      </b:Author>
    </b:Author>
    <b:RefOrder>13</b:RefOrder>
  </b:Source>
  <b:Source>
    <b:Tag>Ferguson2022</b:Tag>
    <b:SourceType>JournalArticle</b:SourceType>
    <b:Guid>{00000008-0000-0000-0000-000000000008}</b:Guid>
    <b:Title>What is a VPN?</b:Title>
    <b:Year>2022</b:Year>
    <b:JournalName>Internet Protocol Journal</b:JournalName>
    <b:Volume>25</b:Volume>
    <b:Issue>1</b:Issue>
    <b:Pages>2-15</b:Pages>
    <b:Author>
      <b:Author>
        <b:NameList>
          <b:Person>
            <b:Last>Ferguson</b:Last>
            <b:First>P.</b:First>
          </b:Person>
          <b:Person>
            <b:Last>Huston</b:Last>
            <b:First>G.</b:First>
          </b:Person>
        </b:NameList>
      </b:Author>
    </b:Author>
    <b:RefOrder>8</b:RefOrder>
  </b:Source>
  <b:Source>
    <b:Tag>FayyadKazan2013</b:Tag>
    <b:SourceType>JournalArticle</b:SourceType>
    <b:Guid>{00000002-0000-0000-0000-000000000002}</b:Guid>
    <b:Title>Benchmarking the performance of Microsoft Hyper-V server, VMware ESXi and Xen hypervisors</b:Title>
    <b:Year>2013</b:Year>
    <b:JournalName>Journal of Emerging Trends in Computing and Information Sciences</b:JournalName>
    <b:Volume>4</b:Volume>
    <b:Issue>12</b:Issue>
    <b:Pages>922-933</b:Pages>
    <b:Author>
      <b:Author>
        <b:NameList>
          <b:Person>
            <b:Last>Fayyad-Kazan</b:Last>
            <b:First>H.</b:First>
          </b:Person>
          <b:Person>
            <b:Last>Perneel</b:Last>
            <b:First>L.</b:First>
          </b:Person>
          <b:Person>
            <b:Last>Timmerman</b:Last>
            <b:First>M.</b:First>
          </b:Person>
        </b:NameList>
      </b:Author>
    </b:Author>
    <b:RefOrder>2</b:RefOrder>
  </b:Source>
  <b:Source>
    <b:Tag>Droms1997</b:Tag>
    <b:SourceType>Report</b:SourceType>
    <b:Guid>{00000010-0000-0000-0000-000000000010}</b:Guid>
    <b:Title>Dynamic Host Configuration Protocol</b:Title>
    <b:Year>1997</b:Year>
    <b:Publisher>Internet Engineering Task Force</b:Publisher>
    <b:StandardNumber>RFC 2131</b:StandardNumber>
    <b:Author>
      <b:Author>
        <b:NameList>
          <b:Person>
            <b:Last>Droms</b:Last>
            <b:First>R.</b:First>
          </b:Person>
        </b:NameList>
      </b:Author>
    </b:Author>
    <b:RefOrder>10</b:RefOrder>
  </b:Source>
  <b:Source>
    <b:Tag>Desmond2023</b:Tag>
    <b:SourceType>Book</b:SourceType>
    <b:Guid>{00000011-0000-0000-0000-000000000011}</b:Guid>
    <b:Title>Active Directory: Designing, Deploying, and Running Active Directory</b:Title>
    <b:Year>2023</b:Year>
    <b:Publisher>O'Reilly Media</b:Publisher>
    <b:Edition>6th</b:Edition>
    <b:Author>
      <b:Author>
        <b:NameList>
          <b:Person>
            <b:Last>Desmond</b:Last>
            <b:First>B.</b:First>
          </b:Person>
          <b:Person>
            <b:Last>Richards</b:Last>
            <b:First>J.</b:First>
          </b:Person>
          <b:Person>
            <b:Last>Allen</b:Last>
            <b:First>R.</b:First>
          </b:Person>
          <b:Person>
            <b:Last>Lowe-Norris</b:Last>
            <b:First>A. G.</b:First>
          </b:Person>
        </b:NameList>
      </b:Author>
    </b:Author>
    <b:RefOrder>11</b:RefOrder>
  </b:Source>
  <b:Source>
    <b:Tag>Deering2017</b:Tag>
    <b:SourceType>Report</b:SourceType>
    <b:Guid>{00000003-0000-0000-0000-000000000003}</b:Guid>
    <b:Title>Internet Protocol, Version 6 (IPv6) Specification</b:Title>
    <b:Year>2017</b:Year>
    <b:Publisher>Internet Engineering Task Force</b:Publisher>
    <b:StandardNumber>RFC 8200</b:StandardNumber>
    <b:Author>
      <b:Author>
        <b:NameList>
          <b:Person>
            <b:Last>Deering</b:Last>
            <b:First>S.</b:First>
          </b:Person>
          <b:Person>
            <b:Last>Hinden</b:Last>
            <b:First>R.</b:First>
          </b:Person>
        </b:NameList>
      </b:Author>
    </b:Author>
    <b:RefOrder>3</b:RefOrder>
  </b:Source>
  <b:Source>
    <b:Tag>Coltun2008</b:Tag>
    <b:SourceType>Report</b:SourceType>
    <b:Guid>{00000014-0000-0000-0000-000000000014}</b:Guid>
    <b:Title>OSPF for IPv6</b:Title>
    <b:Year>2008</b:Year>
    <b:Publisher>Internet Engineering Task Force</b:Publisher>
    <b:StandardNumber>RFC 5340</b:StandardNumber>
    <b:Author>
      <b:Author>
        <b:NameList>
          <b:Person>
            <b:Last>Coltun</b:Last>
            <b:First>R.</b:First>
          </b:Person>
          <b:Person>
            <b:Last>Ferguson</b:Last>
            <b:First>D.</b:First>
          </b:Person>
          <b:Person>
            <b:Last>Moy</b:Last>
            <b:First>J.</b:First>
          </b:Person>
          <b:Person>
            <b:Last>Lindem</b:Last>
            <b:First>A.</b:First>
          </b:Person>
        </b:NameList>
      </b:Author>
    </b:Author>
    <b:RefOrder>14</b:RefOrder>
  </b:Source>
  <b:Source>
    <b:Tag>Bahri2025</b:Tag>
    <b:SourceType>JournalArticle</b:SourceType>
    <b:Guid>{00000001-0000-0000-0000-000000000001}</b:Guid>
    <b:Title>The Role and Impact of Hypervisor Technology in Modern IT Infrastructure</b:Title>
    <b:Year>2025</b:Year>
    <b:Author>
      <b:Author>
        <b:NameList>
          <b:Person>
            <b:Last>Bahri</b:Last>
            <b:First>A. R. D.</b:First>
          </b:Person>
          <b:Person>
            <b:Last>Shadman</b:Last>
            <b:First>B.</b:First>
          </b:Person>
          <b:Person>
            <b:Last>Mukhtiyar</b:Last>
            <b:First>F.</b:First>
          </b:Person>
          <b:Person>
            <b:Last>Soon</b:Last>
            <b:First>L. L.</b:First>
          </b:Person>
          <b:Person>
            <b:Last>Xinyi</b:Last>
            <b:First>X.</b:First>
          </b:Person>
          <b:Person>
            <b:Last>Amin</b:Last>
            <b:First>N. U.</b:First>
          </b:Person>
        </b:NameList>
      </b:Author>
    </b:Author>
    <b:RefOrder>1</b:RefOrder>
  </b:Source>
  <b:Source>
    <b:Tag>Cisco2023</b:Tag>
    <b:SourceType>DocumentFromInternetSite</b:SourceType>
    <b:Guid>{00000015-0000-0000-0000-000000000015}</b:Guid>
    <b:Title>IP Routing: Protocol-Independent Configuration Guide</b:Title>
    <b:Year>2023</b:Year>
    <b:InternetSiteTitle>Cisco IOS XE Documentation</b:InternetSiteTitle>
    <b:Author>
      <b:Author>
        <b:Corporate>Cisco Systems</b:Corporate>
      </b:Author>
    </b:Author>
    <b:RefOrder>15</b:RefOrder>
  </b:Source>
  <b:Source>
    <b:Tag>Microsoft2024</b:Tag>
    <b:SourceType>DocumentFromInternetSite</b:SourceType>
    <b:Guid>{00000012-0000-0000-0000-000000000012}</b:Guid>
    <b:Title>Active Directory Certificate Services Overview</b:Title>
    <b:Year>2024</b:Year>
    <b:InternetSiteTitle>Microsoft Learn Documentation</b:InternetSiteTitle>
    <b:Author>
      <b:Author>
        <b:Corporate>Microsoft</b:Corporate>
      </b:Author>
    </b:Author>
    <b:RefOrder>12</b:RefOrder>
  </b:Source>
</b:Sources>
</file>

<file path=customXml/itemProps1.xml><?xml version="1.0" encoding="utf-8"?>
<ds:datastoreItem xmlns:ds="http://schemas.openxmlformats.org/officeDocument/2006/customXml" ds:itemID="{BCADEC51-62C0-46E3-A943-C82224B6B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6081</Words>
  <Characters>34662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Ataur</dc:creator>
  <cp:keywords/>
  <dc:description/>
  <cp:lastModifiedBy>Ataur</cp:lastModifiedBy>
  <cp:revision>2</cp:revision>
  <cp:lastPrinted>2025-08-21T23:45:00Z</cp:lastPrinted>
  <dcterms:created xsi:type="dcterms:W3CDTF">2026-08-12T11:58:00Z</dcterms:created>
  <dcterms:modified xsi:type="dcterms:W3CDTF">2026-08-12T11:58:00Z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