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0A8BE" w14:textId="77777777" w:rsidR="002B3903" w:rsidRDefault="002B3903" w:rsidP="002B3903">
      <w:pPr>
        <w:jc w:val="center"/>
        <w:rPr>
          <w:sz w:val="36"/>
        </w:rPr>
      </w:pPr>
    </w:p>
    <w:p w14:paraId="2D067B3C" w14:textId="77777777" w:rsidR="002B3903" w:rsidRDefault="002B3903" w:rsidP="002B3903">
      <w:pPr>
        <w:jc w:val="center"/>
        <w:rPr>
          <w:sz w:val="36"/>
        </w:rPr>
      </w:pPr>
    </w:p>
    <w:p w14:paraId="6CB26A29" w14:textId="77777777" w:rsidR="002B3903" w:rsidRDefault="002B3903" w:rsidP="002B3903">
      <w:pPr>
        <w:jc w:val="center"/>
        <w:rPr>
          <w:sz w:val="36"/>
        </w:rPr>
      </w:pPr>
    </w:p>
    <w:p w14:paraId="139F9E09" w14:textId="77777777" w:rsidR="002B3903" w:rsidRDefault="002B3903" w:rsidP="002B3903">
      <w:pPr>
        <w:jc w:val="center"/>
        <w:rPr>
          <w:sz w:val="36"/>
        </w:rPr>
      </w:pPr>
    </w:p>
    <w:p w14:paraId="6D7E6B66" w14:textId="77777777" w:rsidR="002B3903" w:rsidRDefault="002B3903" w:rsidP="002B3903">
      <w:pPr>
        <w:jc w:val="center"/>
        <w:rPr>
          <w:sz w:val="36"/>
        </w:rPr>
      </w:pPr>
    </w:p>
    <w:p w14:paraId="25EB27BC" w14:textId="77777777" w:rsidR="002B3903" w:rsidRDefault="002B3903" w:rsidP="002B3903">
      <w:pPr>
        <w:jc w:val="center"/>
        <w:rPr>
          <w:sz w:val="36"/>
        </w:rPr>
      </w:pPr>
    </w:p>
    <w:p w14:paraId="49601E8E" w14:textId="77777777" w:rsidR="002B3903" w:rsidRDefault="002B3903" w:rsidP="002B3903">
      <w:pPr>
        <w:jc w:val="center"/>
        <w:rPr>
          <w:sz w:val="36"/>
        </w:rPr>
      </w:pPr>
      <w:r w:rsidRPr="002B3903">
        <w:rPr>
          <w:sz w:val="36"/>
        </w:rPr>
        <w:t>Psychological Classifications and Provisions</w:t>
      </w:r>
    </w:p>
    <w:p w14:paraId="0780FD77" w14:textId="77777777" w:rsidR="002B3903" w:rsidRPr="002B3903" w:rsidRDefault="002B3903" w:rsidP="002B3903">
      <w:pPr>
        <w:jc w:val="center"/>
      </w:pPr>
      <w:r w:rsidRPr="002B3903">
        <w:t>Component 2</w:t>
      </w:r>
      <w:r>
        <w:t xml:space="preserve">: </w:t>
      </w:r>
      <w:r w:rsidRPr="002B3903">
        <w:t>Eating Disorders</w:t>
      </w:r>
    </w:p>
    <w:p w14:paraId="7A886377" w14:textId="11289282" w:rsidR="002B3903" w:rsidRDefault="002B3903" w:rsidP="002B3903">
      <w:pPr>
        <w:ind w:left="720" w:hanging="720"/>
        <w:jc w:val="center"/>
      </w:pPr>
      <w:r>
        <w:t>Student ID:</w:t>
      </w:r>
      <w:r w:rsidR="007D08AE">
        <w:t xml:space="preserve"> 2313167</w:t>
      </w:r>
    </w:p>
    <w:p w14:paraId="12E81ACC" w14:textId="46862326" w:rsidR="00A83ABF" w:rsidRDefault="00A83ABF" w:rsidP="002B3903">
      <w:pPr>
        <w:ind w:left="720" w:hanging="720"/>
        <w:jc w:val="center"/>
      </w:pPr>
      <w:r>
        <w:t xml:space="preserve">Nazmeen </w:t>
      </w:r>
      <w:proofErr w:type="spellStart"/>
      <w:r>
        <w:t>Kauser</w:t>
      </w:r>
      <w:proofErr w:type="spellEnd"/>
      <w:r>
        <w:t xml:space="preserve"> </w:t>
      </w:r>
    </w:p>
    <w:p w14:paraId="5D5CD6FF" w14:textId="39D3EC93" w:rsidR="002B3903" w:rsidRDefault="002B3903" w:rsidP="00A83ABF">
      <w:pPr>
        <w:ind w:left="720" w:hanging="720"/>
      </w:pPr>
    </w:p>
    <w:p w14:paraId="4DB0DDC3" w14:textId="77777777" w:rsidR="002B3903" w:rsidRDefault="002B3903">
      <w:pPr>
        <w:ind w:left="720" w:hanging="720"/>
      </w:pPr>
    </w:p>
    <w:p w14:paraId="1538559D" w14:textId="77777777" w:rsidR="002B3903" w:rsidRDefault="002B3903" w:rsidP="002B3903">
      <w:pPr>
        <w:ind w:left="720" w:hanging="720"/>
      </w:pPr>
    </w:p>
    <w:p w14:paraId="2D391E5C" w14:textId="77777777" w:rsidR="002B3903" w:rsidRDefault="002B3903">
      <w:pPr>
        <w:ind w:left="720" w:hanging="720"/>
      </w:pPr>
      <w:r>
        <w:br w:type="page"/>
      </w:r>
    </w:p>
    <w:sdt>
      <w:sdtPr>
        <w:rPr>
          <w:b/>
        </w:rPr>
        <w:id w:val="525981307"/>
        <w:docPartObj>
          <w:docPartGallery w:val="Table of Contents"/>
          <w:docPartUnique/>
        </w:docPartObj>
      </w:sdtPr>
      <w:sdtEndPr>
        <w:rPr>
          <w:bCs/>
          <w:noProof/>
        </w:rPr>
      </w:sdtEndPr>
      <w:sdtContent>
        <w:p w14:paraId="034E7D5A" w14:textId="77777777" w:rsidR="00CB05E9" w:rsidRPr="00CB05E9" w:rsidRDefault="00CB05E9" w:rsidP="00CB05E9">
          <w:pPr>
            <w:jc w:val="center"/>
            <w:rPr>
              <w:b/>
            </w:rPr>
          </w:pPr>
          <w:r w:rsidRPr="00CB05E9">
            <w:rPr>
              <w:b/>
            </w:rPr>
            <w:t>Table of Contents</w:t>
          </w:r>
        </w:p>
        <w:p w14:paraId="752B9592" w14:textId="77777777" w:rsidR="0073579C" w:rsidRDefault="00CB05E9">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09785347" w:history="1">
            <w:r w:rsidR="0073579C" w:rsidRPr="00B027E7">
              <w:rPr>
                <w:rStyle w:val="Hyperlink"/>
                <w:noProof/>
              </w:rPr>
              <w:t>Introduction</w:t>
            </w:r>
            <w:r w:rsidR="0073579C">
              <w:rPr>
                <w:noProof/>
                <w:webHidden/>
              </w:rPr>
              <w:tab/>
            </w:r>
            <w:r w:rsidR="0073579C">
              <w:rPr>
                <w:noProof/>
                <w:webHidden/>
              </w:rPr>
              <w:fldChar w:fldCharType="begin"/>
            </w:r>
            <w:r w:rsidR="0073579C">
              <w:rPr>
                <w:noProof/>
                <w:webHidden/>
              </w:rPr>
              <w:instrText xml:space="preserve"> PAGEREF _Toc209785347 \h </w:instrText>
            </w:r>
            <w:r w:rsidR="0073579C">
              <w:rPr>
                <w:noProof/>
                <w:webHidden/>
              </w:rPr>
            </w:r>
            <w:r w:rsidR="0073579C">
              <w:rPr>
                <w:noProof/>
                <w:webHidden/>
              </w:rPr>
              <w:fldChar w:fldCharType="separate"/>
            </w:r>
            <w:r w:rsidR="0073579C">
              <w:rPr>
                <w:noProof/>
                <w:webHidden/>
              </w:rPr>
              <w:t>3</w:t>
            </w:r>
            <w:r w:rsidR="0073579C">
              <w:rPr>
                <w:noProof/>
                <w:webHidden/>
              </w:rPr>
              <w:fldChar w:fldCharType="end"/>
            </w:r>
          </w:hyperlink>
        </w:p>
        <w:p w14:paraId="241604DE"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48" w:history="1">
            <w:r w:rsidRPr="00B027E7">
              <w:rPr>
                <w:rStyle w:val="Hyperlink"/>
                <w:noProof/>
              </w:rPr>
              <w:t>Classification &amp; Diagnosis</w:t>
            </w:r>
            <w:r>
              <w:rPr>
                <w:noProof/>
                <w:webHidden/>
              </w:rPr>
              <w:tab/>
            </w:r>
            <w:r>
              <w:rPr>
                <w:noProof/>
                <w:webHidden/>
              </w:rPr>
              <w:fldChar w:fldCharType="begin"/>
            </w:r>
            <w:r>
              <w:rPr>
                <w:noProof/>
                <w:webHidden/>
              </w:rPr>
              <w:instrText xml:space="preserve"> PAGEREF _Toc209785348 \h </w:instrText>
            </w:r>
            <w:r>
              <w:rPr>
                <w:noProof/>
                <w:webHidden/>
              </w:rPr>
            </w:r>
            <w:r>
              <w:rPr>
                <w:noProof/>
                <w:webHidden/>
              </w:rPr>
              <w:fldChar w:fldCharType="separate"/>
            </w:r>
            <w:r>
              <w:rPr>
                <w:noProof/>
                <w:webHidden/>
              </w:rPr>
              <w:t>3</w:t>
            </w:r>
            <w:r>
              <w:rPr>
                <w:noProof/>
                <w:webHidden/>
              </w:rPr>
              <w:fldChar w:fldCharType="end"/>
            </w:r>
          </w:hyperlink>
        </w:p>
        <w:p w14:paraId="7BC58898" w14:textId="77777777" w:rsidR="0073579C" w:rsidRDefault="0073579C">
          <w:pPr>
            <w:pStyle w:val="TOC2"/>
            <w:tabs>
              <w:tab w:val="right" w:leader="dot" w:pos="9350"/>
            </w:tabs>
            <w:rPr>
              <w:rFonts w:asciiTheme="minorHAnsi" w:eastAsiaTheme="minorEastAsia" w:hAnsiTheme="minorHAnsi" w:cstheme="minorBidi"/>
              <w:noProof/>
              <w:sz w:val="22"/>
            </w:rPr>
          </w:pPr>
          <w:hyperlink w:anchor="_Toc209785349" w:history="1">
            <w:r w:rsidRPr="00B027E7">
              <w:rPr>
                <w:rStyle w:val="Hyperlink"/>
                <w:noProof/>
              </w:rPr>
              <w:t>ICD-11 Classification of Eating Disorders</w:t>
            </w:r>
            <w:r>
              <w:rPr>
                <w:noProof/>
                <w:webHidden/>
              </w:rPr>
              <w:tab/>
            </w:r>
            <w:r>
              <w:rPr>
                <w:noProof/>
                <w:webHidden/>
              </w:rPr>
              <w:fldChar w:fldCharType="begin"/>
            </w:r>
            <w:r>
              <w:rPr>
                <w:noProof/>
                <w:webHidden/>
              </w:rPr>
              <w:instrText xml:space="preserve"> PAGEREF _Toc209785349 \h </w:instrText>
            </w:r>
            <w:r>
              <w:rPr>
                <w:noProof/>
                <w:webHidden/>
              </w:rPr>
            </w:r>
            <w:r>
              <w:rPr>
                <w:noProof/>
                <w:webHidden/>
              </w:rPr>
              <w:fldChar w:fldCharType="separate"/>
            </w:r>
            <w:r>
              <w:rPr>
                <w:noProof/>
                <w:webHidden/>
              </w:rPr>
              <w:t>3</w:t>
            </w:r>
            <w:r>
              <w:rPr>
                <w:noProof/>
                <w:webHidden/>
              </w:rPr>
              <w:fldChar w:fldCharType="end"/>
            </w:r>
          </w:hyperlink>
        </w:p>
        <w:p w14:paraId="64162827" w14:textId="77777777" w:rsidR="0073579C" w:rsidRDefault="0073579C">
          <w:pPr>
            <w:pStyle w:val="TOC2"/>
            <w:tabs>
              <w:tab w:val="right" w:leader="dot" w:pos="9350"/>
            </w:tabs>
            <w:rPr>
              <w:rFonts w:asciiTheme="minorHAnsi" w:eastAsiaTheme="minorEastAsia" w:hAnsiTheme="minorHAnsi" w:cstheme="minorBidi"/>
              <w:noProof/>
              <w:sz w:val="22"/>
            </w:rPr>
          </w:pPr>
          <w:hyperlink w:anchor="_Toc209785350" w:history="1">
            <w:r w:rsidRPr="00B027E7">
              <w:rPr>
                <w:rStyle w:val="Hyperlink"/>
                <w:noProof/>
              </w:rPr>
              <w:t>Diagnostic Criteria &amp; Processes</w:t>
            </w:r>
            <w:r>
              <w:rPr>
                <w:noProof/>
                <w:webHidden/>
              </w:rPr>
              <w:tab/>
            </w:r>
            <w:r>
              <w:rPr>
                <w:noProof/>
                <w:webHidden/>
              </w:rPr>
              <w:fldChar w:fldCharType="begin"/>
            </w:r>
            <w:r>
              <w:rPr>
                <w:noProof/>
                <w:webHidden/>
              </w:rPr>
              <w:instrText xml:space="preserve"> PAGEREF _Toc209785350 \h </w:instrText>
            </w:r>
            <w:r>
              <w:rPr>
                <w:noProof/>
                <w:webHidden/>
              </w:rPr>
            </w:r>
            <w:r>
              <w:rPr>
                <w:noProof/>
                <w:webHidden/>
              </w:rPr>
              <w:fldChar w:fldCharType="separate"/>
            </w:r>
            <w:r>
              <w:rPr>
                <w:noProof/>
                <w:webHidden/>
              </w:rPr>
              <w:t>4</w:t>
            </w:r>
            <w:r>
              <w:rPr>
                <w:noProof/>
                <w:webHidden/>
              </w:rPr>
              <w:fldChar w:fldCharType="end"/>
            </w:r>
          </w:hyperlink>
        </w:p>
        <w:p w14:paraId="410F4073"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51" w:history="1">
            <w:r w:rsidRPr="00B027E7">
              <w:rPr>
                <w:rStyle w:val="Hyperlink"/>
                <w:noProof/>
              </w:rPr>
              <w:t>Treatment &amp; Rehabilitation</w:t>
            </w:r>
            <w:r>
              <w:rPr>
                <w:noProof/>
                <w:webHidden/>
              </w:rPr>
              <w:tab/>
            </w:r>
            <w:r>
              <w:rPr>
                <w:noProof/>
                <w:webHidden/>
              </w:rPr>
              <w:fldChar w:fldCharType="begin"/>
            </w:r>
            <w:r>
              <w:rPr>
                <w:noProof/>
                <w:webHidden/>
              </w:rPr>
              <w:instrText xml:space="preserve"> PAGEREF _Toc209785351 \h </w:instrText>
            </w:r>
            <w:r>
              <w:rPr>
                <w:noProof/>
                <w:webHidden/>
              </w:rPr>
            </w:r>
            <w:r>
              <w:rPr>
                <w:noProof/>
                <w:webHidden/>
              </w:rPr>
              <w:fldChar w:fldCharType="separate"/>
            </w:r>
            <w:r>
              <w:rPr>
                <w:noProof/>
                <w:webHidden/>
              </w:rPr>
              <w:t>5</w:t>
            </w:r>
            <w:r>
              <w:rPr>
                <w:noProof/>
                <w:webHidden/>
              </w:rPr>
              <w:fldChar w:fldCharType="end"/>
            </w:r>
          </w:hyperlink>
        </w:p>
        <w:p w14:paraId="01286548" w14:textId="77777777" w:rsidR="0073579C" w:rsidRDefault="0073579C">
          <w:pPr>
            <w:pStyle w:val="TOC2"/>
            <w:tabs>
              <w:tab w:val="right" w:leader="dot" w:pos="9350"/>
            </w:tabs>
            <w:rPr>
              <w:rFonts w:asciiTheme="minorHAnsi" w:eastAsiaTheme="minorEastAsia" w:hAnsiTheme="minorHAnsi" w:cstheme="minorBidi"/>
              <w:noProof/>
              <w:sz w:val="22"/>
            </w:rPr>
          </w:pPr>
          <w:hyperlink w:anchor="_Toc209785352" w:history="1">
            <w:r w:rsidRPr="00B027E7">
              <w:rPr>
                <w:rStyle w:val="Hyperlink"/>
                <w:noProof/>
              </w:rPr>
              <w:t>Standard Treatment Approaches</w:t>
            </w:r>
            <w:r>
              <w:rPr>
                <w:noProof/>
                <w:webHidden/>
              </w:rPr>
              <w:tab/>
            </w:r>
            <w:r>
              <w:rPr>
                <w:noProof/>
                <w:webHidden/>
              </w:rPr>
              <w:fldChar w:fldCharType="begin"/>
            </w:r>
            <w:r>
              <w:rPr>
                <w:noProof/>
                <w:webHidden/>
              </w:rPr>
              <w:instrText xml:space="preserve"> PAGEREF _Toc209785352 \h </w:instrText>
            </w:r>
            <w:r>
              <w:rPr>
                <w:noProof/>
                <w:webHidden/>
              </w:rPr>
            </w:r>
            <w:r>
              <w:rPr>
                <w:noProof/>
                <w:webHidden/>
              </w:rPr>
              <w:fldChar w:fldCharType="separate"/>
            </w:r>
            <w:r>
              <w:rPr>
                <w:noProof/>
                <w:webHidden/>
              </w:rPr>
              <w:t>5</w:t>
            </w:r>
            <w:r>
              <w:rPr>
                <w:noProof/>
                <w:webHidden/>
              </w:rPr>
              <w:fldChar w:fldCharType="end"/>
            </w:r>
          </w:hyperlink>
        </w:p>
        <w:p w14:paraId="05C2250C" w14:textId="77777777" w:rsidR="0073579C" w:rsidRDefault="0073579C">
          <w:pPr>
            <w:pStyle w:val="TOC2"/>
            <w:tabs>
              <w:tab w:val="right" w:leader="dot" w:pos="9350"/>
            </w:tabs>
            <w:rPr>
              <w:rFonts w:asciiTheme="minorHAnsi" w:eastAsiaTheme="minorEastAsia" w:hAnsiTheme="minorHAnsi" w:cstheme="minorBidi"/>
              <w:noProof/>
              <w:sz w:val="22"/>
            </w:rPr>
          </w:pPr>
          <w:hyperlink w:anchor="_Toc209785353" w:history="1">
            <w:r w:rsidRPr="00B027E7">
              <w:rPr>
                <w:rStyle w:val="Hyperlink"/>
                <w:noProof/>
              </w:rPr>
              <w:t>Rehabilitation &amp; Recovery Support</w:t>
            </w:r>
            <w:r>
              <w:rPr>
                <w:noProof/>
                <w:webHidden/>
              </w:rPr>
              <w:tab/>
            </w:r>
            <w:r>
              <w:rPr>
                <w:noProof/>
                <w:webHidden/>
              </w:rPr>
              <w:fldChar w:fldCharType="begin"/>
            </w:r>
            <w:r>
              <w:rPr>
                <w:noProof/>
                <w:webHidden/>
              </w:rPr>
              <w:instrText xml:space="preserve"> PAGEREF _Toc209785353 \h </w:instrText>
            </w:r>
            <w:r>
              <w:rPr>
                <w:noProof/>
                <w:webHidden/>
              </w:rPr>
            </w:r>
            <w:r>
              <w:rPr>
                <w:noProof/>
                <w:webHidden/>
              </w:rPr>
              <w:fldChar w:fldCharType="separate"/>
            </w:r>
            <w:r>
              <w:rPr>
                <w:noProof/>
                <w:webHidden/>
              </w:rPr>
              <w:t>6</w:t>
            </w:r>
            <w:r>
              <w:rPr>
                <w:noProof/>
                <w:webHidden/>
              </w:rPr>
              <w:fldChar w:fldCharType="end"/>
            </w:r>
          </w:hyperlink>
        </w:p>
        <w:p w14:paraId="0413DF15" w14:textId="77777777" w:rsidR="0073579C" w:rsidRDefault="0073579C">
          <w:pPr>
            <w:pStyle w:val="TOC2"/>
            <w:tabs>
              <w:tab w:val="right" w:leader="dot" w:pos="9350"/>
            </w:tabs>
            <w:rPr>
              <w:rFonts w:asciiTheme="minorHAnsi" w:eastAsiaTheme="minorEastAsia" w:hAnsiTheme="minorHAnsi" w:cstheme="minorBidi"/>
              <w:noProof/>
              <w:sz w:val="22"/>
            </w:rPr>
          </w:pPr>
          <w:hyperlink w:anchor="_Toc209785354" w:history="1">
            <w:r w:rsidRPr="00B027E7">
              <w:rPr>
                <w:rStyle w:val="Hyperlink"/>
                <w:noProof/>
              </w:rPr>
              <w:t>Efficacy, Evidence &amp; Limitations</w:t>
            </w:r>
            <w:r>
              <w:rPr>
                <w:noProof/>
                <w:webHidden/>
              </w:rPr>
              <w:tab/>
            </w:r>
            <w:r>
              <w:rPr>
                <w:noProof/>
                <w:webHidden/>
              </w:rPr>
              <w:fldChar w:fldCharType="begin"/>
            </w:r>
            <w:r>
              <w:rPr>
                <w:noProof/>
                <w:webHidden/>
              </w:rPr>
              <w:instrText xml:space="preserve"> PAGEREF _Toc209785354 \h </w:instrText>
            </w:r>
            <w:r>
              <w:rPr>
                <w:noProof/>
                <w:webHidden/>
              </w:rPr>
            </w:r>
            <w:r>
              <w:rPr>
                <w:noProof/>
                <w:webHidden/>
              </w:rPr>
              <w:fldChar w:fldCharType="separate"/>
            </w:r>
            <w:r>
              <w:rPr>
                <w:noProof/>
                <w:webHidden/>
              </w:rPr>
              <w:t>7</w:t>
            </w:r>
            <w:r>
              <w:rPr>
                <w:noProof/>
                <w:webHidden/>
              </w:rPr>
              <w:fldChar w:fldCharType="end"/>
            </w:r>
          </w:hyperlink>
        </w:p>
        <w:p w14:paraId="0961DD92"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55" w:history="1">
            <w:r w:rsidRPr="00B027E7">
              <w:rPr>
                <w:rStyle w:val="Hyperlink"/>
                <w:noProof/>
              </w:rPr>
              <w:t>Current Debates &amp; Emerging Issues</w:t>
            </w:r>
            <w:r>
              <w:rPr>
                <w:noProof/>
                <w:webHidden/>
              </w:rPr>
              <w:tab/>
            </w:r>
            <w:r>
              <w:rPr>
                <w:noProof/>
                <w:webHidden/>
              </w:rPr>
              <w:fldChar w:fldCharType="begin"/>
            </w:r>
            <w:r>
              <w:rPr>
                <w:noProof/>
                <w:webHidden/>
              </w:rPr>
              <w:instrText xml:space="preserve"> PAGEREF _Toc209785355 \h </w:instrText>
            </w:r>
            <w:r>
              <w:rPr>
                <w:noProof/>
                <w:webHidden/>
              </w:rPr>
            </w:r>
            <w:r>
              <w:rPr>
                <w:noProof/>
                <w:webHidden/>
              </w:rPr>
              <w:fldChar w:fldCharType="separate"/>
            </w:r>
            <w:r>
              <w:rPr>
                <w:noProof/>
                <w:webHidden/>
              </w:rPr>
              <w:t>7</w:t>
            </w:r>
            <w:r>
              <w:rPr>
                <w:noProof/>
                <w:webHidden/>
              </w:rPr>
              <w:fldChar w:fldCharType="end"/>
            </w:r>
          </w:hyperlink>
        </w:p>
        <w:p w14:paraId="0A7DD6F6"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56" w:history="1">
            <w:r w:rsidRPr="00B027E7">
              <w:rPr>
                <w:rStyle w:val="Hyperlink"/>
                <w:noProof/>
              </w:rPr>
              <w:t>Recommendations</w:t>
            </w:r>
            <w:r>
              <w:rPr>
                <w:noProof/>
                <w:webHidden/>
              </w:rPr>
              <w:tab/>
            </w:r>
            <w:r>
              <w:rPr>
                <w:noProof/>
                <w:webHidden/>
              </w:rPr>
              <w:fldChar w:fldCharType="begin"/>
            </w:r>
            <w:r>
              <w:rPr>
                <w:noProof/>
                <w:webHidden/>
              </w:rPr>
              <w:instrText xml:space="preserve"> PAGEREF _Toc209785356 \h </w:instrText>
            </w:r>
            <w:r>
              <w:rPr>
                <w:noProof/>
                <w:webHidden/>
              </w:rPr>
            </w:r>
            <w:r>
              <w:rPr>
                <w:noProof/>
                <w:webHidden/>
              </w:rPr>
              <w:fldChar w:fldCharType="separate"/>
            </w:r>
            <w:r>
              <w:rPr>
                <w:noProof/>
                <w:webHidden/>
              </w:rPr>
              <w:t>9</w:t>
            </w:r>
            <w:r>
              <w:rPr>
                <w:noProof/>
                <w:webHidden/>
              </w:rPr>
              <w:fldChar w:fldCharType="end"/>
            </w:r>
          </w:hyperlink>
        </w:p>
        <w:p w14:paraId="18AC5DF2"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57" w:history="1">
            <w:r w:rsidRPr="00B027E7">
              <w:rPr>
                <w:rStyle w:val="Hyperlink"/>
                <w:noProof/>
              </w:rPr>
              <w:t>Conclusion</w:t>
            </w:r>
            <w:r>
              <w:rPr>
                <w:noProof/>
                <w:webHidden/>
              </w:rPr>
              <w:tab/>
            </w:r>
            <w:r>
              <w:rPr>
                <w:noProof/>
                <w:webHidden/>
              </w:rPr>
              <w:fldChar w:fldCharType="begin"/>
            </w:r>
            <w:r>
              <w:rPr>
                <w:noProof/>
                <w:webHidden/>
              </w:rPr>
              <w:instrText xml:space="preserve"> PAGEREF _Toc209785357 \h </w:instrText>
            </w:r>
            <w:r>
              <w:rPr>
                <w:noProof/>
                <w:webHidden/>
              </w:rPr>
            </w:r>
            <w:r>
              <w:rPr>
                <w:noProof/>
                <w:webHidden/>
              </w:rPr>
              <w:fldChar w:fldCharType="separate"/>
            </w:r>
            <w:r>
              <w:rPr>
                <w:noProof/>
                <w:webHidden/>
              </w:rPr>
              <w:t>10</w:t>
            </w:r>
            <w:r>
              <w:rPr>
                <w:noProof/>
                <w:webHidden/>
              </w:rPr>
              <w:fldChar w:fldCharType="end"/>
            </w:r>
          </w:hyperlink>
        </w:p>
        <w:p w14:paraId="279CBC15" w14:textId="77777777" w:rsidR="0073579C" w:rsidRDefault="0073579C">
          <w:pPr>
            <w:pStyle w:val="TOC1"/>
            <w:tabs>
              <w:tab w:val="right" w:leader="dot" w:pos="9350"/>
            </w:tabs>
            <w:rPr>
              <w:rFonts w:asciiTheme="minorHAnsi" w:eastAsiaTheme="minorEastAsia" w:hAnsiTheme="minorHAnsi" w:cstheme="minorBidi"/>
              <w:noProof/>
              <w:sz w:val="22"/>
            </w:rPr>
          </w:pPr>
          <w:hyperlink w:anchor="_Toc209785358" w:history="1">
            <w:r w:rsidRPr="00B027E7">
              <w:rPr>
                <w:rStyle w:val="Hyperlink"/>
                <w:noProof/>
              </w:rPr>
              <w:t>References</w:t>
            </w:r>
            <w:r w:rsidRPr="00B027E7">
              <w:rPr>
                <w:rStyle w:val="Hyperlink"/>
                <w:rFonts w:ascii="Times New Roman" w:eastAsia="Times New Roman" w:hAnsi="Times New Roman" w:cs="Times New Roman"/>
                <w:noProof/>
              </w:rPr>
              <w:t>‌</w:t>
            </w:r>
            <w:r>
              <w:rPr>
                <w:noProof/>
                <w:webHidden/>
              </w:rPr>
              <w:tab/>
            </w:r>
            <w:r>
              <w:rPr>
                <w:noProof/>
                <w:webHidden/>
              </w:rPr>
              <w:fldChar w:fldCharType="begin"/>
            </w:r>
            <w:r>
              <w:rPr>
                <w:noProof/>
                <w:webHidden/>
              </w:rPr>
              <w:instrText xml:space="preserve"> PAGEREF _Toc209785358 \h </w:instrText>
            </w:r>
            <w:r>
              <w:rPr>
                <w:noProof/>
                <w:webHidden/>
              </w:rPr>
            </w:r>
            <w:r>
              <w:rPr>
                <w:noProof/>
                <w:webHidden/>
              </w:rPr>
              <w:fldChar w:fldCharType="separate"/>
            </w:r>
            <w:r>
              <w:rPr>
                <w:noProof/>
                <w:webHidden/>
              </w:rPr>
              <w:t>11</w:t>
            </w:r>
            <w:r>
              <w:rPr>
                <w:noProof/>
                <w:webHidden/>
              </w:rPr>
              <w:fldChar w:fldCharType="end"/>
            </w:r>
          </w:hyperlink>
        </w:p>
        <w:p w14:paraId="42E84570" w14:textId="77777777" w:rsidR="00CB05E9" w:rsidRDefault="00CB05E9">
          <w:r>
            <w:rPr>
              <w:b/>
              <w:bCs/>
              <w:noProof/>
            </w:rPr>
            <w:fldChar w:fldCharType="end"/>
          </w:r>
        </w:p>
      </w:sdtContent>
    </w:sdt>
    <w:p w14:paraId="63BCA6AD" w14:textId="77777777" w:rsidR="00CB05E9" w:rsidRDefault="00CB05E9">
      <w:pPr>
        <w:ind w:left="720" w:hanging="720"/>
        <w:rPr>
          <w:b/>
        </w:rPr>
      </w:pPr>
      <w:r>
        <w:br w:type="page"/>
      </w:r>
    </w:p>
    <w:p w14:paraId="575319EE" w14:textId="77777777" w:rsidR="002B3903" w:rsidRDefault="002B3903" w:rsidP="00CB05E9">
      <w:pPr>
        <w:pStyle w:val="Heading1"/>
      </w:pPr>
      <w:bookmarkStart w:id="0" w:name="_Toc209785347"/>
      <w:r w:rsidRPr="002B3903">
        <w:t>Introduction</w:t>
      </w:r>
      <w:bookmarkEnd w:id="0"/>
    </w:p>
    <w:p w14:paraId="2A16AC8F" w14:textId="77777777" w:rsidR="001F33A8" w:rsidRDefault="001F33A8" w:rsidP="001F33A8">
      <w:r>
        <w:t xml:space="preserve">Eating disorders (EDs) are multifaceted mental and </w:t>
      </w:r>
      <w:proofErr w:type="spellStart"/>
      <w:r>
        <w:t>behavioural</w:t>
      </w:r>
      <w:proofErr w:type="spellEnd"/>
      <w:r>
        <w:t xml:space="preserve"> disorders </w:t>
      </w:r>
      <w:proofErr w:type="spellStart"/>
      <w:r w:rsidR="000E7450">
        <w:t>characterised</w:t>
      </w:r>
      <w:proofErr w:type="spellEnd"/>
      <w:r>
        <w:t xml:space="preserve"> by chronic disruptions in the patterns of eating, worry about body image, and impaired physical or psychological functioning. Under the International Classification of Diseases, 11th Revision (ICD-11), anorexia nervosa, bulimia nervosa, binge-eating disorder, and related specified conditions are found under EDs (WHO, 2024). Epidemiological studies in the world show a constant increase in the prevalence and burden, with disability-adjusted life years (DALYs) of these disorders growing steadily in different populations (</w:t>
      </w:r>
      <w:proofErr w:type="spellStart"/>
      <w:r>
        <w:t>Santomauro</w:t>
      </w:r>
      <w:proofErr w:type="spellEnd"/>
      <w:r>
        <w:t xml:space="preserve"> et al., 2021). The trend has attracted interest in the weakness of the existing diagnostic models, the sufficiency of service delivery, and the necessity of culturally sensitive treatments in mental health services.</w:t>
      </w:r>
    </w:p>
    <w:p w14:paraId="42E6AF68" w14:textId="77777777" w:rsidR="00BD4127" w:rsidRPr="008F7BF7" w:rsidRDefault="001F33A8" w:rsidP="00BD4127">
      <w:r>
        <w:t xml:space="preserve">During the COVID-19 pandemic, the effect of eating disorders has only become even more </w:t>
      </w:r>
      <w:r w:rsidR="009059FF">
        <w:t>intense</w:t>
      </w:r>
      <w:r>
        <w:t xml:space="preserve">, which was </w:t>
      </w:r>
      <w:proofErr w:type="spellStart"/>
      <w:r w:rsidR="000E7450">
        <w:t>characterised</w:t>
      </w:r>
      <w:proofErr w:type="spellEnd"/>
      <w:r>
        <w:t xml:space="preserve"> by a significant increase in the impact, severity, and treatment requests, especially in adolescents and young adults (</w:t>
      </w:r>
      <w:proofErr w:type="spellStart"/>
      <w:r>
        <w:t>Taquet</w:t>
      </w:r>
      <w:proofErr w:type="spellEnd"/>
      <w:r>
        <w:t xml:space="preserve"> et al., 2021). In spite of the existing evidence-based interventions like improved </w:t>
      </w:r>
      <w:proofErr w:type="spellStart"/>
      <w:r>
        <w:t>cognitive-behavioural</w:t>
      </w:r>
      <w:proofErr w:type="spellEnd"/>
      <w:r>
        <w:t xml:space="preserve"> therapy (CBT-E) and family-based therapy, there are still gaps in treatment because of the lack of access, high rates of relapse, and variability in the quality of care (Monteleone et al., 2022). </w:t>
      </w:r>
      <w:r w:rsidR="00BD4127">
        <w:t xml:space="preserve"> </w:t>
      </w:r>
      <w:r w:rsidR="00BD4127" w:rsidRPr="00BD4127">
        <w:rPr>
          <w:highlight w:val="yellow"/>
        </w:rPr>
        <w:t>The other influential classification system is the Diagnostic and Statistical Manual of Mental Disorders, Fifth Edition (DSM-5), which, together with ICD-11</w:t>
      </w:r>
      <w:r w:rsidR="00BD4127">
        <w:rPr>
          <w:highlight w:val="yellow"/>
        </w:rPr>
        <w:t>,</w:t>
      </w:r>
      <w:r w:rsidR="00BD4127" w:rsidRPr="00BD4127">
        <w:rPr>
          <w:highlight w:val="yellow"/>
        </w:rPr>
        <w:t xml:space="preserve"> offers diagnostic criteria </w:t>
      </w:r>
      <w:r w:rsidR="000E7450">
        <w:rPr>
          <w:highlight w:val="yellow"/>
        </w:rPr>
        <w:t>for</w:t>
      </w:r>
      <w:r w:rsidR="00BD4127" w:rsidRPr="00BD4127">
        <w:rPr>
          <w:highlight w:val="yellow"/>
        </w:rPr>
        <w:t xml:space="preserve"> eating disorders. Although the current paper is going to concentrate on ICD-11, DSM-5 is still popular in clinical and research practices.</w:t>
      </w:r>
    </w:p>
    <w:p w14:paraId="26E4113C" w14:textId="77777777" w:rsidR="002B3903" w:rsidRPr="002B3903" w:rsidRDefault="002B3903" w:rsidP="00CB05E9">
      <w:pPr>
        <w:pStyle w:val="Heading1"/>
      </w:pPr>
      <w:bookmarkStart w:id="1" w:name="_Toc209785348"/>
      <w:r w:rsidRPr="002B3903">
        <w:t>Classification &amp; Diagnosis</w:t>
      </w:r>
      <w:bookmarkEnd w:id="1"/>
    </w:p>
    <w:p w14:paraId="1675E638" w14:textId="77777777" w:rsidR="002B3903" w:rsidRDefault="002B3903" w:rsidP="002B3903">
      <w:pPr>
        <w:pStyle w:val="Heading2"/>
      </w:pPr>
      <w:bookmarkStart w:id="2" w:name="_Toc209785349"/>
      <w:r w:rsidRPr="002B3903">
        <w:t>ICD-11 Classification of Eating Disorders</w:t>
      </w:r>
      <w:bookmarkEnd w:id="2"/>
    </w:p>
    <w:p w14:paraId="440DA765" w14:textId="77777777" w:rsidR="001F33A8" w:rsidRDefault="001F33A8" w:rsidP="001F33A8">
      <w:r>
        <w:t xml:space="preserve">In Chapter 6 (Mental, </w:t>
      </w:r>
      <w:proofErr w:type="spellStart"/>
      <w:r>
        <w:t>Behavioural</w:t>
      </w:r>
      <w:proofErr w:type="spellEnd"/>
      <w:r>
        <w:t xml:space="preserve"> or </w:t>
      </w:r>
      <w:proofErr w:type="spellStart"/>
      <w:r>
        <w:t>Neurodevelopmental</w:t>
      </w:r>
      <w:proofErr w:type="spellEnd"/>
      <w:r>
        <w:t xml:space="preserve"> Disorders), Chapter 6 of ICD-11 places feeding and eating disorders, with separate entries and codes of anorexia nervosa, bulimia nervosa, binge-eating disorder (BED), avoidant/restrictive food intake disorder (ARFID), and other/unspecified feeding or eating disorder (</w:t>
      </w:r>
      <w:proofErr w:type="spellStart"/>
      <w:r>
        <w:t>Claudino</w:t>
      </w:r>
      <w:proofErr w:type="spellEnd"/>
      <w:r>
        <w:t xml:space="preserve"> et al., 2019). This is a </w:t>
      </w:r>
      <w:proofErr w:type="spellStart"/>
      <w:r w:rsidR="000E7450">
        <w:t>reorganised</w:t>
      </w:r>
      <w:proofErr w:type="spellEnd"/>
      <w:r>
        <w:t xml:space="preserve"> structure combining explicitly feeding issues (frequently in </w:t>
      </w:r>
      <w:proofErr w:type="spellStart"/>
      <w:r>
        <w:t>paediatric</w:t>
      </w:r>
      <w:proofErr w:type="spellEnd"/>
      <w:r>
        <w:t xml:space="preserve">) and eating disorders throughout life, in the hope </w:t>
      </w:r>
      <w:r w:rsidR="00056942">
        <w:t>of enhancing</w:t>
      </w:r>
      <w:r>
        <w:t xml:space="preserve"> clinical clarity and international comparability. The resource presented by WHO is the codices and short definitions official listing (WHO, 2024).</w:t>
      </w:r>
    </w:p>
    <w:p w14:paraId="5ADB983E" w14:textId="77777777" w:rsidR="001F33A8" w:rsidRDefault="001F33A8" w:rsidP="001F33A8">
      <w:r>
        <w:t xml:space="preserve">The explicit nature of ICD-11 to incorporate both BED and ARFID (as opposed to classifying them as residual ones) is a symptom of modern epidemiological and clinical data that the syndromes have courses and treatment requirements of their own. Field </w:t>
      </w:r>
      <w:r w:rsidR="00056942">
        <w:t>work</w:t>
      </w:r>
      <w:r>
        <w:t xml:space="preserve"> and comparative studies have revealed that ICD-11 </w:t>
      </w:r>
      <w:proofErr w:type="spellStart"/>
      <w:r w:rsidR="000E7450">
        <w:t>minimises</w:t>
      </w:r>
      <w:proofErr w:type="spellEnd"/>
      <w:r>
        <w:t xml:space="preserve"> the use of other specified/ unspecified labels in comparison to ICD-10 and conforms more to clinical presentations that are observed in practice. To take one example, ARFID, marked avoidance or restriction, but without any weight/shape issues</w:t>
      </w:r>
      <w:r w:rsidR="00056942">
        <w:t>,</w:t>
      </w:r>
      <w:r>
        <w:t xml:space="preserve"> is currently coded and described in a manner that appreciates nutritional and psychosocial impairment as essential features (</w:t>
      </w:r>
      <w:proofErr w:type="spellStart"/>
      <w:r>
        <w:t>Quadflieg</w:t>
      </w:r>
      <w:proofErr w:type="spellEnd"/>
      <w:r>
        <w:t xml:space="preserve"> et al., 2023).</w:t>
      </w:r>
    </w:p>
    <w:p w14:paraId="356C7876" w14:textId="77777777" w:rsidR="001F33A8" w:rsidRDefault="001F33A8" w:rsidP="001F33A8">
      <w:r>
        <w:t xml:space="preserve">Theoretically, these conditions are defined in ICD-11 as </w:t>
      </w:r>
      <w:r w:rsidR="000E7450">
        <w:t>those</w:t>
      </w:r>
      <w:r>
        <w:t xml:space="preserve"> </w:t>
      </w:r>
      <w:proofErr w:type="spellStart"/>
      <w:r w:rsidR="000E7450">
        <w:t>characterised</w:t>
      </w:r>
      <w:proofErr w:type="spellEnd"/>
      <w:r>
        <w:t xml:space="preserve"> by enduring disruptions in feeding or eating </w:t>
      </w:r>
      <w:proofErr w:type="spellStart"/>
      <w:r>
        <w:t>behaviour</w:t>
      </w:r>
      <w:proofErr w:type="spellEnd"/>
      <w:r>
        <w:t xml:space="preserve"> and associated cognitive, emotional, or physiological consequences. The diagnostic advice gives emphasis on observable </w:t>
      </w:r>
      <w:proofErr w:type="spellStart"/>
      <w:r>
        <w:t>behaviour</w:t>
      </w:r>
      <w:proofErr w:type="spellEnd"/>
      <w:r>
        <w:t xml:space="preserve"> and disabling functional impairment and </w:t>
      </w:r>
      <w:proofErr w:type="spellStart"/>
      <w:r w:rsidR="000E7450">
        <w:t>minimises</w:t>
      </w:r>
      <w:proofErr w:type="spellEnd"/>
      <w:r>
        <w:t xml:space="preserve"> narrow loyalty to numeric cut-offs of weight. This strategy facilitates the classification and facilitates its application to other ages and cultures (</w:t>
      </w:r>
      <w:proofErr w:type="spellStart"/>
      <w:r>
        <w:t>Claudino</w:t>
      </w:r>
      <w:proofErr w:type="spellEnd"/>
      <w:r>
        <w:t xml:space="preserve"> et al., 2019). It nevertheless varies in certain points with DSM-5</w:t>
      </w:r>
      <w:r w:rsidR="00056942">
        <w:t>,</w:t>
      </w:r>
      <w:r>
        <w:t xml:space="preserve"> as the treatment given to subjective binge episodes and some frequency limits can affect prevalence rates and service access (</w:t>
      </w:r>
      <w:proofErr w:type="spellStart"/>
      <w:r>
        <w:t>Keski-Rahkonen</w:t>
      </w:r>
      <w:proofErr w:type="spellEnd"/>
      <w:r>
        <w:t>, 2021).</w:t>
      </w:r>
    </w:p>
    <w:p w14:paraId="1D561CF6" w14:textId="77777777" w:rsidR="002B3903" w:rsidRDefault="002B3903" w:rsidP="007C0FB1">
      <w:pPr>
        <w:pStyle w:val="Heading2"/>
        <w:tabs>
          <w:tab w:val="left" w:pos="4075"/>
        </w:tabs>
      </w:pPr>
      <w:bookmarkStart w:id="3" w:name="_Toc209785350"/>
      <w:r w:rsidRPr="002B3903">
        <w:t>Diagnostic Criteria &amp; Processes</w:t>
      </w:r>
      <w:bookmarkEnd w:id="3"/>
      <w:r w:rsidR="007C0FB1">
        <w:tab/>
      </w:r>
    </w:p>
    <w:p w14:paraId="0BA1D7E5" w14:textId="77777777" w:rsidR="000712F9" w:rsidRPr="00455991" w:rsidRDefault="007C0FB1" w:rsidP="00455991">
      <w:r w:rsidRPr="00187AA2">
        <w:t>ICD-11 specifies core diagnostic features for each disorder</w:t>
      </w:r>
      <w:r w:rsidR="00187AA2" w:rsidRPr="00187AA2">
        <w:t xml:space="preserve">. For instance, </w:t>
      </w:r>
      <w:r w:rsidRPr="00187AA2">
        <w:t xml:space="preserve">anorexia nervosa requires persistent energy restriction leading to low body weight (or failure to make expected gains in children) plus weight/shape-related cognitions or </w:t>
      </w:r>
      <w:proofErr w:type="spellStart"/>
      <w:r w:rsidR="000E7450">
        <w:t>behaviours</w:t>
      </w:r>
      <w:proofErr w:type="spellEnd"/>
      <w:r w:rsidRPr="00187AA2">
        <w:t xml:space="preserve"> to avoid weight gain</w:t>
      </w:r>
      <w:r w:rsidR="00187AA2" w:rsidRPr="00187AA2">
        <w:t>. In addition,</w:t>
      </w:r>
      <w:r w:rsidRPr="00187AA2">
        <w:t xml:space="preserve"> bulimia nervosa and BED are defined by recurrent binge episodes with differences in compensatory </w:t>
      </w:r>
      <w:proofErr w:type="spellStart"/>
      <w:r w:rsidRPr="00187AA2">
        <w:t>behaviours</w:t>
      </w:r>
      <w:proofErr w:type="spellEnd"/>
      <w:r w:rsidR="000712F9">
        <w:t xml:space="preserve"> </w:t>
      </w:r>
      <w:r w:rsidR="000712F9">
        <w:rPr>
          <w:color w:val="000000"/>
          <w:shd w:val="clear" w:color="auto" w:fill="FFFFFF"/>
        </w:rPr>
        <w:t xml:space="preserve">(Jain and </w:t>
      </w:r>
      <w:proofErr w:type="spellStart"/>
      <w:r w:rsidR="000712F9">
        <w:rPr>
          <w:color w:val="000000"/>
          <w:shd w:val="clear" w:color="auto" w:fill="FFFFFF"/>
        </w:rPr>
        <w:t>Musa</w:t>
      </w:r>
      <w:proofErr w:type="spellEnd"/>
      <w:r w:rsidR="000712F9">
        <w:rPr>
          <w:color w:val="000000"/>
          <w:shd w:val="clear" w:color="auto" w:fill="FFFFFF"/>
        </w:rPr>
        <w:t xml:space="preserve"> </w:t>
      </w:r>
      <w:proofErr w:type="spellStart"/>
      <w:r w:rsidR="000712F9">
        <w:rPr>
          <w:color w:val="000000"/>
          <w:shd w:val="clear" w:color="auto" w:fill="FFFFFF"/>
        </w:rPr>
        <w:t>Yilanli</w:t>
      </w:r>
      <w:proofErr w:type="spellEnd"/>
      <w:r w:rsidR="000712F9">
        <w:rPr>
          <w:color w:val="000000"/>
          <w:shd w:val="clear" w:color="auto" w:fill="FFFFFF"/>
        </w:rPr>
        <w:t>, 2023)</w:t>
      </w:r>
      <w:r w:rsidR="00187AA2" w:rsidRPr="00187AA2">
        <w:t>. Furthermore,</w:t>
      </w:r>
      <w:r w:rsidRPr="00187AA2">
        <w:t xml:space="preserve"> ARFID involves avoidance/restriction that causes weight loss, nutritional deficiency, dependence on supplements</w:t>
      </w:r>
      <w:r w:rsidR="00187AA2">
        <w:t>,</w:t>
      </w:r>
      <w:r w:rsidRPr="00187AA2">
        <w:t xml:space="preserve"> or psychosocial impairment without body-image concerns. ICD-11 intentionally provides flexible duration/frequency guidance to support clinical </w:t>
      </w:r>
      <w:r w:rsidR="002C6368">
        <w:t>judgment</w:t>
      </w:r>
      <w:r w:rsidRPr="00187AA2">
        <w:t xml:space="preserve"> rather than rigid numeric cut-offs</w:t>
      </w:r>
      <w:r w:rsidR="00171B20">
        <w:t xml:space="preserve"> </w:t>
      </w:r>
      <w:r w:rsidR="00171B20">
        <w:rPr>
          <w:color w:val="000000"/>
          <w:shd w:val="clear" w:color="auto" w:fill="FFFFFF"/>
        </w:rPr>
        <w:t>(Reed et al., 2019)</w:t>
      </w:r>
      <w:r w:rsidRPr="00187AA2">
        <w:t>.</w:t>
      </w:r>
    </w:p>
    <w:p w14:paraId="5AE42D74" w14:textId="77777777" w:rsidR="007C0FB1" w:rsidRPr="00820AED" w:rsidRDefault="007C0FB1" w:rsidP="007C0FB1">
      <w:r w:rsidRPr="00820AED">
        <w:t>Clinical assessment combines structured interviews, validated self-report instruments</w:t>
      </w:r>
      <w:r w:rsidR="00171B20">
        <w:t>,</w:t>
      </w:r>
      <w:r w:rsidRPr="00820AED">
        <w:t xml:space="preserve"> and medical evaluation. Widely used tools include the Eating Disorder Examination interview and its questionnaire (EDE/EDE-Q), transdiagnostic screening measures (SCOFF in primary care, though its limits are noted), and newer ICD-aligned instruments evaluated in field work. Medical workup (vitals, electrolytes, ECG, bone health) and routine screening for psychiatric comorbidity (depression, anxiety, ADHD) are essential because comorbidity shapes presentation and treatment planning</w:t>
      </w:r>
      <w:r w:rsidR="00171B20">
        <w:t xml:space="preserve"> </w:t>
      </w:r>
      <w:r w:rsidR="00171B20">
        <w:rPr>
          <w:color w:val="000000"/>
          <w:shd w:val="clear" w:color="auto" w:fill="FFFFFF"/>
        </w:rPr>
        <w:t>(Levinson et al., 2023)</w:t>
      </w:r>
      <w:r w:rsidRPr="00820AED">
        <w:t xml:space="preserve">. </w:t>
      </w:r>
      <w:r w:rsidR="00171B20">
        <w:t>A recent</w:t>
      </w:r>
      <w:r w:rsidRPr="00820AED">
        <w:t xml:space="preserve"> review</w:t>
      </w:r>
      <w:r w:rsidR="00171B20">
        <w:t xml:space="preserve"> by </w:t>
      </w:r>
      <w:r w:rsidR="00171B20">
        <w:rPr>
          <w:color w:val="000000"/>
          <w:shd w:val="clear" w:color="auto" w:fill="FFFFFF"/>
        </w:rPr>
        <w:t>Bryant et al. (2022)</w:t>
      </w:r>
      <w:r w:rsidRPr="00820AED">
        <w:t xml:space="preserve"> </w:t>
      </w:r>
      <w:proofErr w:type="spellStart"/>
      <w:r w:rsidR="00171B20">
        <w:t>emphasises</w:t>
      </w:r>
      <w:proofErr w:type="spellEnd"/>
      <w:r w:rsidRPr="00820AED">
        <w:t xml:space="preserve"> the need for improved primary-care screening pathways and validated, ICD-consistent assessment batteries. </w:t>
      </w:r>
    </w:p>
    <w:p w14:paraId="7EB09CFE" w14:textId="77777777" w:rsidR="00171B20" w:rsidRPr="002B3903" w:rsidRDefault="007C0FB1" w:rsidP="007C0FB1">
      <w:r w:rsidRPr="00820AED">
        <w:t xml:space="preserve">Strengths of ICD-11 include greater clinical utility, reduced unspecified diagnoses, and closer </w:t>
      </w:r>
      <w:proofErr w:type="spellStart"/>
      <w:r w:rsidRPr="00820AED">
        <w:t>harmonisation</w:t>
      </w:r>
      <w:proofErr w:type="spellEnd"/>
      <w:r w:rsidRPr="00820AED">
        <w:t xml:space="preserve"> with contemporary research. Nevertheless, limitations persist: heterogeneous and subthreshold presentations (e.g., atypical anorexia), high comorbidity, and measurement variance (self-report vs clinician interview) reduce diagnostic reliability. Cross-cultural research warns that criteria depending on explicit weight-gain fear or shape concerns may under-detect presentations in settings where somatic complaints or different explanatory models predominate</w:t>
      </w:r>
      <w:r w:rsidR="00171B20">
        <w:t xml:space="preserve"> </w:t>
      </w:r>
      <w:r w:rsidR="00171B20">
        <w:rPr>
          <w:color w:val="000000"/>
          <w:shd w:val="clear" w:color="auto" w:fill="FFFFFF"/>
        </w:rPr>
        <w:t>(</w:t>
      </w:r>
      <w:proofErr w:type="spellStart"/>
      <w:r w:rsidR="00171B20">
        <w:rPr>
          <w:color w:val="000000"/>
          <w:shd w:val="clear" w:color="auto" w:fill="FFFFFF"/>
        </w:rPr>
        <w:t>Brytek</w:t>
      </w:r>
      <w:r w:rsidR="00171B20">
        <w:rPr>
          <w:rFonts w:ascii="Cambria Math" w:hAnsi="Cambria Math" w:cs="Cambria Math"/>
          <w:color w:val="000000"/>
          <w:shd w:val="clear" w:color="auto" w:fill="FFFFFF"/>
        </w:rPr>
        <w:t>‐</w:t>
      </w:r>
      <w:r w:rsidR="00171B20">
        <w:rPr>
          <w:color w:val="000000"/>
          <w:shd w:val="clear" w:color="auto" w:fill="FFFFFF"/>
        </w:rPr>
        <w:t>Matera</w:t>
      </w:r>
      <w:proofErr w:type="spellEnd"/>
      <w:r w:rsidR="00171B20">
        <w:rPr>
          <w:color w:val="000000"/>
          <w:shd w:val="clear" w:color="auto" w:fill="FFFFFF"/>
        </w:rPr>
        <w:t xml:space="preserve">, </w:t>
      </w:r>
      <w:proofErr w:type="spellStart"/>
      <w:r w:rsidR="00171B20">
        <w:rPr>
          <w:color w:val="000000"/>
          <w:shd w:val="clear" w:color="auto" w:fill="FFFFFF"/>
        </w:rPr>
        <w:t>Touyz</w:t>
      </w:r>
      <w:proofErr w:type="spellEnd"/>
      <w:r w:rsidR="00171B20">
        <w:rPr>
          <w:color w:val="000000"/>
          <w:shd w:val="clear" w:color="auto" w:fill="FFFFFF"/>
        </w:rPr>
        <w:t>, and Hay, 2024)</w:t>
      </w:r>
      <w:r w:rsidR="00171B20">
        <w:t xml:space="preserve">. </w:t>
      </w:r>
      <w:r w:rsidRPr="00820AED">
        <w:t xml:space="preserve"> </w:t>
      </w:r>
    </w:p>
    <w:p w14:paraId="5883C504" w14:textId="77777777" w:rsidR="002B3903" w:rsidRPr="002B3903" w:rsidRDefault="002B3903" w:rsidP="00CB05E9">
      <w:pPr>
        <w:pStyle w:val="Heading1"/>
      </w:pPr>
      <w:bookmarkStart w:id="4" w:name="_Toc209785351"/>
      <w:r w:rsidRPr="002B3903">
        <w:t>Treatment &amp; Rehabilitation</w:t>
      </w:r>
      <w:bookmarkEnd w:id="4"/>
    </w:p>
    <w:p w14:paraId="522A1753" w14:textId="77777777" w:rsidR="002B3903" w:rsidRDefault="002B3903" w:rsidP="002B3903">
      <w:pPr>
        <w:pStyle w:val="Heading2"/>
      </w:pPr>
      <w:bookmarkStart w:id="5" w:name="_Toc209785352"/>
      <w:r w:rsidRPr="002B3903">
        <w:t>Standard Treatment Approaches</w:t>
      </w:r>
      <w:bookmarkEnd w:id="5"/>
    </w:p>
    <w:p w14:paraId="33CDA212" w14:textId="77777777" w:rsidR="001F4731" w:rsidRPr="008B051F" w:rsidRDefault="001F4731" w:rsidP="001F4731">
      <w:r w:rsidRPr="008B051F">
        <w:t xml:space="preserve">The management of eating disorders typically integrates biological, psychological, and nutritional interventions. Pharmacological options are mainly adjunctive rather than curative. Antidepressants such as fluoxetine have shown some benefit in bulimia nervosa, while </w:t>
      </w:r>
      <w:proofErr w:type="spellStart"/>
      <w:r w:rsidRPr="008B051F">
        <w:t>lisdexamfetamine</w:t>
      </w:r>
      <w:proofErr w:type="spellEnd"/>
      <w:r w:rsidRPr="008B051F">
        <w:t xml:space="preserve"> is approved in some countries for binge-eating disorder</w:t>
      </w:r>
      <w:r w:rsidR="00171B20">
        <w:t>. H</w:t>
      </w:r>
      <w:r w:rsidRPr="008B051F">
        <w:t xml:space="preserve">owever, efficacy remains modest and limited to specific presentations </w:t>
      </w:r>
      <w:r w:rsidR="00171B20">
        <w:rPr>
          <w:color w:val="000000"/>
          <w:shd w:val="clear" w:color="auto" w:fill="FFFFFF"/>
        </w:rPr>
        <w:t>(</w:t>
      </w:r>
      <w:proofErr w:type="spellStart"/>
      <w:r w:rsidR="00171B20">
        <w:rPr>
          <w:color w:val="000000"/>
          <w:shd w:val="clear" w:color="auto" w:fill="FFFFFF"/>
        </w:rPr>
        <w:t>Costandache</w:t>
      </w:r>
      <w:proofErr w:type="spellEnd"/>
      <w:r w:rsidR="00171B20">
        <w:rPr>
          <w:color w:val="000000"/>
          <w:shd w:val="clear" w:color="auto" w:fill="FFFFFF"/>
        </w:rPr>
        <w:t xml:space="preserve"> et al., 2023)</w:t>
      </w:r>
      <w:r w:rsidRPr="008B051F">
        <w:t>. No medication has consistently demonstrated effectiveness for anorexia nervosa, highlighting the need for new approaches. Nutritional rehabilitation and medical monitoring are critical across all disorders, addressing acute complications such as electrolyte imbalances, cardiovascular instability, and malnutrition, while also supporting weight restoration and metabolic stability (Treasure et al., 2020).</w:t>
      </w:r>
    </w:p>
    <w:p w14:paraId="72CF5AFC" w14:textId="77777777" w:rsidR="00171B20" w:rsidRPr="002B3903" w:rsidRDefault="001F4731" w:rsidP="001F4731">
      <w:r w:rsidRPr="008B051F">
        <w:t xml:space="preserve">Psychological therapies are the cornerstone of treatment. Enhanced cognitive </w:t>
      </w:r>
      <w:proofErr w:type="spellStart"/>
      <w:r w:rsidRPr="008B051F">
        <w:t>behavioural</w:t>
      </w:r>
      <w:proofErr w:type="spellEnd"/>
      <w:r w:rsidRPr="008B051F">
        <w:t xml:space="preserve"> therapy (CBT-E) has strong empirical support across different eating disorder diagnoses, targeting maladaptive thoughts and </w:t>
      </w:r>
      <w:proofErr w:type="spellStart"/>
      <w:r w:rsidRPr="008B051F">
        <w:t>behaviours</w:t>
      </w:r>
      <w:proofErr w:type="spellEnd"/>
      <w:r w:rsidRPr="008B051F">
        <w:t xml:space="preserve"> linked to food, weight, and shape </w:t>
      </w:r>
      <w:r w:rsidR="00171B20">
        <w:rPr>
          <w:color w:val="000000"/>
          <w:shd w:val="clear" w:color="auto" w:fill="FFFFFF"/>
        </w:rPr>
        <w:t>(Waller and Beard, 2024)</w:t>
      </w:r>
      <w:r w:rsidRPr="008B051F">
        <w:t xml:space="preserve">. Family-based therapy (FBT) is considered the gold standard for adolescents with anorexia nervosa, </w:t>
      </w:r>
      <w:proofErr w:type="spellStart"/>
      <w:r w:rsidRPr="008B051F">
        <w:t>emphasising</w:t>
      </w:r>
      <w:proofErr w:type="spellEnd"/>
      <w:r w:rsidRPr="008B051F">
        <w:t xml:space="preserve"> parental involvement in refeeding and relapse prevention </w:t>
      </w:r>
      <w:r w:rsidR="00E86BD2">
        <w:rPr>
          <w:color w:val="000000"/>
          <w:shd w:val="clear" w:color="auto" w:fill="FFFFFF"/>
        </w:rPr>
        <w:t>(Grange et al., 2021)</w:t>
      </w:r>
      <w:r w:rsidRPr="008B051F">
        <w:t>. Other approaches</w:t>
      </w:r>
      <w:r w:rsidR="00171B20">
        <w:t>,</w:t>
      </w:r>
      <w:r w:rsidRPr="008B051F">
        <w:t xml:space="preserve"> such as interpersonal psychotherapy, acceptance and commitment therapy, and guided self-help interventions</w:t>
      </w:r>
      <w:r w:rsidR="00171B20">
        <w:t>,</w:t>
      </w:r>
      <w:r w:rsidRPr="008B051F">
        <w:t xml:space="preserve"> are increasingly studied, especially for bulimia nervosa and binge-eating disorder. Emerging adjunctive strategies include online or app-based CBT, transcranial magnetic stimulation, and virtual reality–based body image interventions, though these remain largely experimental (</w:t>
      </w:r>
      <w:r w:rsidR="00171B20">
        <w:rPr>
          <w:color w:val="000000"/>
        </w:rPr>
        <w:t>‌</w:t>
      </w:r>
      <w:proofErr w:type="spellStart"/>
      <w:r w:rsidR="00171B20">
        <w:rPr>
          <w:shd w:val="clear" w:color="auto" w:fill="FFFFFF"/>
        </w:rPr>
        <w:t>Torous</w:t>
      </w:r>
      <w:proofErr w:type="spellEnd"/>
      <w:r w:rsidR="00171B20">
        <w:rPr>
          <w:shd w:val="clear" w:color="auto" w:fill="FFFFFF"/>
        </w:rPr>
        <w:t xml:space="preserve"> et al., 2021</w:t>
      </w:r>
      <w:r w:rsidRPr="008B051F">
        <w:t>).</w:t>
      </w:r>
    </w:p>
    <w:p w14:paraId="17E27C92" w14:textId="77777777" w:rsidR="002B3903" w:rsidRPr="002B3903" w:rsidRDefault="002B3903" w:rsidP="00CB05E9">
      <w:pPr>
        <w:pStyle w:val="Heading2"/>
      </w:pPr>
      <w:bookmarkStart w:id="6" w:name="_Toc209785353"/>
      <w:r w:rsidRPr="002B3903">
        <w:t>Rehabilitation &amp; Recovery Support</w:t>
      </w:r>
      <w:bookmarkEnd w:id="6"/>
    </w:p>
    <w:p w14:paraId="66D1ACA7" w14:textId="77777777" w:rsidR="001F4731" w:rsidRPr="008B051F" w:rsidRDefault="001F4731" w:rsidP="001F4731">
      <w:r w:rsidRPr="008B051F">
        <w:t xml:space="preserve">Rehabilitation in eating disorders extends beyond symptom remission, focusing on relapse prevention, psychosocial functioning, and long-term </w:t>
      </w:r>
      <w:r w:rsidR="00C806DC">
        <w:t>well-being</w:t>
      </w:r>
      <w:r w:rsidRPr="008B051F">
        <w:t xml:space="preserve">. Structured aftercare </w:t>
      </w:r>
      <w:proofErr w:type="spellStart"/>
      <w:r w:rsidRPr="008B051F">
        <w:t>programmes</w:t>
      </w:r>
      <w:proofErr w:type="spellEnd"/>
      <w:r w:rsidRPr="008B051F">
        <w:t xml:space="preserve"> support patients in sustaining recovery by providing nutritional counselling, coping skills, and monitoring for early relapse signs (Khalsa et al., 2021). Peer-led support and community groups are increasingly </w:t>
      </w:r>
      <w:proofErr w:type="spellStart"/>
      <w:r w:rsidRPr="008B051F">
        <w:t>recognised</w:t>
      </w:r>
      <w:proofErr w:type="spellEnd"/>
      <w:r w:rsidRPr="008B051F">
        <w:t xml:space="preserve"> for reducing isolation and offering lived-experience perspectives, which can strengthen resilience and motivation. Residential and day treatment </w:t>
      </w:r>
      <w:proofErr w:type="spellStart"/>
      <w:r w:rsidRPr="008B051F">
        <w:t>programmes</w:t>
      </w:r>
      <w:proofErr w:type="spellEnd"/>
      <w:r w:rsidRPr="008B051F">
        <w:t xml:space="preserve"> provide intensive, multidisciplinary rehabilitation, particularly valuable for individuals with severe or treatment-resistant illness </w:t>
      </w:r>
      <w:r w:rsidR="00C806DC">
        <w:rPr>
          <w:color w:val="000000"/>
          <w:shd w:val="clear" w:color="auto" w:fill="FFFFFF"/>
        </w:rPr>
        <w:t>(Giel et al., 2021)</w:t>
      </w:r>
      <w:r w:rsidRPr="008B051F">
        <w:t>.</w:t>
      </w:r>
    </w:p>
    <w:p w14:paraId="14D964AD" w14:textId="77777777" w:rsidR="002B3903" w:rsidRPr="002B3903" w:rsidRDefault="001F4731" w:rsidP="001F4731">
      <w:r w:rsidRPr="008B051F">
        <w:t xml:space="preserve">Social, educational, and occupational reintegration is a vital but often </w:t>
      </w:r>
      <w:proofErr w:type="spellStart"/>
      <w:r w:rsidRPr="008B051F">
        <w:t>underemphasised</w:t>
      </w:r>
      <w:proofErr w:type="spellEnd"/>
      <w:r w:rsidRPr="008B051F">
        <w:t xml:space="preserve"> component of recovery. Effective rehabilitation addresses body image adaptation, interpersonal skills, and return to academic or professional settings. These broader supports are particularly important given the high comorbidity with mood, anxiety, and personality disorders, which can impair functioning even when eating symptoms improve (Stein</w:t>
      </w:r>
      <w:r w:rsidR="001C47EC">
        <w:t xml:space="preserve"> et al</w:t>
      </w:r>
      <w:r w:rsidRPr="008B051F">
        <w:t>, 202</w:t>
      </w:r>
      <w:r w:rsidR="001C47EC">
        <w:t>0</w:t>
      </w:r>
      <w:r w:rsidRPr="008B051F">
        <w:t>). Barriers remain significant: stigma often delays help-seeking, access to specialist services is uneven geographically, and low-resource settings may lack multidisciplinary teams. Additionally, systemic underfunding of eating disorder services results in long waiting times and premature discharge, undermining rehabilitation outcomes. Addressing these challenges requires integrated models of care that bridge medical, psychological, and social domains.</w:t>
      </w:r>
    </w:p>
    <w:p w14:paraId="72F80ACD" w14:textId="77777777" w:rsidR="002B3903" w:rsidRDefault="002B3903" w:rsidP="00CB05E9">
      <w:pPr>
        <w:pStyle w:val="Heading2"/>
      </w:pPr>
      <w:bookmarkStart w:id="7" w:name="_Toc209785354"/>
      <w:r w:rsidRPr="002B3903">
        <w:t xml:space="preserve">Efficacy, Evidence &amp; </w:t>
      </w:r>
      <w:r w:rsidR="00542CD5">
        <w:t>Limitations</w:t>
      </w:r>
      <w:bookmarkEnd w:id="7"/>
    </w:p>
    <w:p w14:paraId="30C33F07" w14:textId="77777777" w:rsidR="00171B20" w:rsidRPr="008B051F" w:rsidRDefault="001F4731" w:rsidP="001F4731">
      <w:r w:rsidRPr="008B051F">
        <w:t>Systematic reviews and meta-analyses highlight CBT-E and FBT as the most effective psychotherapeutic interventions, with moderate to large effect sizes for symptom reduction in bulimia nervosa and binge-eating disorder, and weight restoration in adolescent anorexia nervosa (</w:t>
      </w:r>
      <w:proofErr w:type="spellStart"/>
      <w:r w:rsidRPr="008B051F">
        <w:t>Linardon</w:t>
      </w:r>
      <w:proofErr w:type="spellEnd"/>
      <w:r w:rsidRPr="008B051F">
        <w:t xml:space="preserve"> et al., 202</w:t>
      </w:r>
      <w:r w:rsidR="00455991">
        <w:t>1</w:t>
      </w:r>
      <w:r w:rsidRPr="008B051F">
        <w:t xml:space="preserve">). Pharmacological agents such as selective serotonin reuptake inhibitors show limited efficacy, generally improving mood and binge frequency rather than directly resolving core eating pathology </w:t>
      </w:r>
      <w:r w:rsidR="00171B20">
        <w:rPr>
          <w:color w:val="000000"/>
          <w:shd w:val="clear" w:color="auto" w:fill="FFFFFF"/>
        </w:rPr>
        <w:t>(</w:t>
      </w:r>
      <w:proofErr w:type="spellStart"/>
      <w:r w:rsidR="00171B20">
        <w:rPr>
          <w:color w:val="000000"/>
          <w:shd w:val="clear" w:color="auto" w:fill="FFFFFF"/>
        </w:rPr>
        <w:t>Rodan</w:t>
      </w:r>
      <w:proofErr w:type="spellEnd"/>
      <w:r w:rsidR="00171B20">
        <w:rPr>
          <w:color w:val="000000"/>
          <w:shd w:val="clear" w:color="auto" w:fill="FFFFFF"/>
        </w:rPr>
        <w:t xml:space="preserve"> et al., 2023)</w:t>
      </w:r>
      <w:r w:rsidRPr="008B051F">
        <w:t>. Nutritional rehabilitation and medical monitoring remain indispensable but are most effective when integrated into multidisciplinary treatment.</w:t>
      </w:r>
      <w:r w:rsidR="00171B20">
        <w:rPr>
          <w:color w:val="000000"/>
        </w:rPr>
        <w:t>‌</w:t>
      </w:r>
    </w:p>
    <w:p w14:paraId="4D55C03E" w14:textId="77777777" w:rsidR="00C806DC" w:rsidRPr="002B3903" w:rsidRDefault="001F4731" w:rsidP="001F4731">
      <w:r w:rsidRPr="008B051F">
        <w:t xml:space="preserve">Despite progress, evidence is constrained by methodological challenges. Many </w:t>
      </w:r>
      <w:proofErr w:type="spellStart"/>
      <w:r w:rsidRPr="008B051F">
        <w:t>randomised</w:t>
      </w:r>
      <w:proofErr w:type="spellEnd"/>
      <w:r w:rsidRPr="008B051F">
        <w:t xml:space="preserve"> controlled trials are based on small samples, short follow-ups, and high dropout rates, particularly among patients with anorexia nervosa </w:t>
      </w:r>
      <w:r w:rsidR="00C806DC">
        <w:rPr>
          <w:color w:val="000000"/>
          <w:shd w:val="clear" w:color="auto" w:fill="FFFFFF"/>
        </w:rPr>
        <w:t>(Ryan et al., 2024)</w:t>
      </w:r>
      <w:r w:rsidRPr="008B051F">
        <w:t>. Long-term outcome data remain scarce, and relapse rates are high, especially in anorexia nervosa</w:t>
      </w:r>
      <w:r>
        <w:t>,</w:t>
      </w:r>
      <w:r w:rsidRPr="008B051F">
        <w:t xml:space="preserve"> where fewer than half achieve full recovery. Evidence gaps persist for atypical or subthreshold presentations, males, ethnic minorities, and individuals in low-income countries—groups that remain underrepresented in research. </w:t>
      </w:r>
      <w:r w:rsidR="00542CD5" w:rsidRPr="008B051F">
        <w:t>New</w:t>
      </w:r>
      <w:r w:rsidRPr="008B051F">
        <w:t xml:space="preserve"> interventions such as digital therapies and neuromodulation are promising but require rigorous evaluation in larger, diverse cohorts</w:t>
      </w:r>
      <w:r w:rsidR="00542CD5">
        <w:t xml:space="preserve"> </w:t>
      </w:r>
      <w:r w:rsidR="00542CD5">
        <w:rPr>
          <w:color w:val="000000"/>
          <w:shd w:val="clear" w:color="auto" w:fill="FFFFFF"/>
        </w:rPr>
        <w:t>(Wu et al., 2024)</w:t>
      </w:r>
      <w:r w:rsidRPr="008B051F">
        <w:t xml:space="preserve">. </w:t>
      </w:r>
    </w:p>
    <w:p w14:paraId="6DBCD60C" w14:textId="77777777" w:rsidR="002B3903" w:rsidRDefault="002B3903" w:rsidP="00CB05E9">
      <w:pPr>
        <w:pStyle w:val="Heading1"/>
      </w:pPr>
      <w:bookmarkStart w:id="8" w:name="_Toc209785355"/>
      <w:r w:rsidRPr="002B3903">
        <w:t>Current Debates &amp; Emerging Issues</w:t>
      </w:r>
      <w:bookmarkEnd w:id="8"/>
    </w:p>
    <w:p w14:paraId="006C8E2A" w14:textId="77777777" w:rsidR="001F4731" w:rsidRPr="008B051F" w:rsidRDefault="001F4731" w:rsidP="001F4731">
      <w:r w:rsidRPr="008B051F">
        <w:t xml:space="preserve">One of the most prominent debates concerns whether ICD-11 risks </w:t>
      </w:r>
      <w:proofErr w:type="spellStart"/>
      <w:r w:rsidRPr="008B051F">
        <w:t>pathologising</w:t>
      </w:r>
      <w:proofErr w:type="spellEnd"/>
      <w:r w:rsidRPr="008B051F">
        <w:t xml:space="preserve"> normal variations in eating </w:t>
      </w:r>
      <w:proofErr w:type="spellStart"/>
      <w:r w:rsidRPr="008B051F">
        <w:t>behaviour</w:t>
      </w:r>
      <w:proofErr w:type="spellEnd"/>
      <w:r w:rsidRPr="008B051F">
        <w:t>. Critics</w:t>
      </w:r>
      <w:r w:rsidR="00542CD5">
        <w:t xml:space="preserve"> </w:t>
      </w:r>
      <w:r w:rsidR="00542CD5">
        <w:rPr>
          <w:color w:val="000000"/>
          <w:shd w:val="clear" w:color="auto" w:fill="FFFFFF"/>
        </w:rPr>
        <w:t xml:space="preserve">by </w:t>
      </w:r>
      <w:proofErr w:type="spellStart"/>
      <w:r w:rsidR="00542CD5">
        <w:rPr>
          <w:color w:val="000000"/>
          <w:shd w:val="clear" w:color="auto" w:fill="FFFFFF"/>
        </w:rPr>
        <w:t>Claudino</w:t>
      </w:r>
      <w:proofErr w:type="spellEnd"/>
      <w:r w:rsidR="00542CD5">
        <w:rPr>
          <w:color w:val="000000"/>
          <w:shd w:val="clear" w:color="auto" w:fill="FFFFFF"/>
        </w:rPr>
        <w:t xml:space="preserve"> et al. (2019)</w:t>
      </w:r>
      <w:r w:rsidRPr="008B051F">
        <w:t xml:space="preserve"> argue</w:t>
      </w:r>
      <w:r w:rsidR="00542CD5">
        <w:t>d</w:t>
      </w:r>
      <w:r w:rsidRPr="008B051F">
        <w:t xml:space="preserve"> that broadening diagnostic thresholds, particularly for binge-eating disorder, may inflate prevalence estimates and </w:t>
      </w:r>
      <w:proofErr w:type="spellStart"/>
      <w:r w:rsidRPr="008B051F">
        <w:t>medicalise</w:t>
      </w:r>
      <w:proofErr w:type="spellEnd"/>
      <w:r w:rsidRPr="008B051F">
        <w:t xml:space="preserve"> subclinical </w:t>
      </w:r>
      <w:proofErr w:type="spellStart"/>
      <w:r w:rsidRPr="008B051F">
        <w:t>behaviours</w:t>
      </w:r>
      <w:proofErr w:type="spellEnd"/>
      <w:r w:rsidRPr="008B051F">
        <w:t xml:space="preserve">. Proponents counter that inclusion of conditions such as ARFID corrects long-standing under-recognition and improves access to care (Zipfel &amp; Schmidt, 2022). </w:t>
      </w:r>
      <w:r w:rsidR="00C806DC">
        <w:t>A</w:t>
      </w:r>
      <w:r w:rsidRPr="008B051F">
        <w:t xml:space="preserve"> stud</w:t>
      </w:r>
      <w:r w:rsidR="00C806DC">
        <w:t xml:space="preserve">y by </w:t>
      </w:r>
      <w:r w:rsidR="00C806DC">
        <w:rPr>
          <w:color w:val="000000"/>
          <w:shd w:val="clear" w:color="auto" w:fill="FFFFFF"/>
        </w:rPr>
        <w:t>Stein et al. (2020)</w:t>
      </w:r>
      <w:r w:rsidRPr="008B051F">
        <w:t xml:space="preserve"> </w:t>
      </w:r>
      <w:r w:rsidR="00542CD5">
        <w:t>showed</w:t>
      </w:r>
      <w:r w:rsidRPr="008B051F">
        <w:t xml:space="preserve"> that ICD-11 captures fewer “other specified” cases than ICD-10 but also introduces challenges around subjective binge episodes, which may blur the line between clinical and non-clinical eating difficulties. Balancing inclusivity with diagnostic precision remains a pressing issue.</w:t>
      </w:r>
    </w:p>
    <w:p w14:paraId="5F9681DA" w14:textId="77777777" w:rsidR="00056942" w:rsidRDefault="00056942" w:rsidP="00056942">
      <w:r>
        <w:t xml:space="preserve">Emerging literature reflects a high degree of overlap between eating disorders and neurodevelopmental conditions, some of which are autism spectrum disorder (ASD) and attention-deficit/hyperactivity disorder (ADHD). Brede et al. (2020) state that one-third of patients with anorexia nervosa have autistic characteristics that can determine the rigidity, sensory sensitivities, and resistance to treatment. This may bring up the question of whether the existing diagnostic systems are sufficiently representative of neurodivergent presentations or </w:t>
      </w:r>
      <w:r w:rsidR="000E7450">
        <w:t xml:space="preserve">whether </w:t>
      </w:r>
      <w:r>
        <w:t xml:space="preserve">new categories or specifiers are required. Likewise, </w:t>
      </w:r>
      <w:proofErr w:type="spellStart"/>
      <w:r>
        <w:t>Cobbaert</w:t>
      </w:r>
      <w:proofErr w:type="spellEnd"/>
      <w:r>
        <w:t xml:space="preserve"> and Rose (2023) state that the framing of these conditions is limited to pathology</w:t>
      </w:r>
      <w:r w:rsidR="009059FF">
        <w:t>,</w:t>
      </w:r>
      <w:r>
        <w:t xml:space="preserve"> and the lived experience of people who identify with neurodivergent identities is, therefore, required to be more </w:t>
      </w:r>
      <w:proofErr w:type="spellStart"/>
      <w:r>
        <w:t>person-centred</w:t>
      </w:r>
      <w:proofErr w:type="spellEnd"/>
      <w:r>
        <w:t xml:space="preserve"> and flexible. </w:t>
      </w:r>
    </w:p>
    <w:p w14:paraId="2C006290" w14:textId="77777777" w:rsidR="001F4731" w:rsidRPr="008B051F" w:rsidRDefault="00056942" w:rsidP="001F4731">
      <w:r>
        <w:t>Traditionally, the notion of eating disorders has been stereotyped as something that concerns the young and Western female populations, and the epidemiological data on the prevalence of EDs worldwide demonstrate increased rates in diverse cultures, among people of different age groups, and males and nonbinary individuals (</w:t>
      </w:r>
      <w:proofErr w:type="spellStart"/>
      <w:r>
        <w:t>Galmiche</w:t>
      </w:r>
      <w:proofErr w:type="spellEnd"/>
      <w:r>
        <w:t xml:space="preserve"> et al., 2018). This heterogeneity questions the genericity of diagnostic standards that place weight and shape issues in diagnostic focus because</w:t>
      </w:r>
      <w:r w:rsidR="009059FF">
        <w:t>,</w:t>
      </w:r>
      <w:r>
        <w:t xml:space="preserve"> in certain cultures, somatic concerns may be the sign of eating pathology, instead of direct body image anxiety. </w:t>
      </w:r>
      <w:r w:rsidR="001F4731" w:rsidRPr="008B051F">
        <w:t xml:space="preserve">Moreover, stigma and gender norms contribute to underdiagnosis in men, while access disparities persist for ethnic minorities and those in low-resource contexts </w:t>
      </w:r>
      <w:r w:rsidR="001F33A8">
        <w:rPr>
          <w:color w:val="000000"/>
          <w:shd w:val="clear" w:color="auto" w:fill="FFFFFF"/>
        </w:rPr>
        <w:t>(</w:t>
      </w:r>
      <w:proofErr w:type="spellStart"/>
      <w:r w:rsidR="001F33A8">
        <w:rPr>
          <w:color w:val="000000"/>
          <w:shd w:val="clear" w:color="auto" w:fill="FFFFFF"/>
        </w:rPr>
        <w:t>Ahad</w:t>
      </w:r>
      <w:proofErr w:type="spellEnd"/>
      <w:r w:rsidR="001F33A8">
        <w:rPr>
          <w:color w:val="000000"/>
          <w:shd w:val="clear" w:color="auto" w:fill="FFFFFF"/>
        </w:rPr>
        <w:t>, Sanchez-Gonzalez</w:t>
      </w:r>
      <w:r w:rsidR="009059FF">
        <w:rPr>
          <w:color w:val="000000"/>
          <w:shd w:val="clear" w:color="auto" w:fill="FFFFFF"/>
        </w:rPr>
        <w:t>,</w:t>
      </w:r>
      <w:r w:rsidR="001F33A8">
        <w:rPr>
          <w:color w:val="000000"/>
          <w:shd w:val="clear" w:color="auto" w:fill="FFFFFF"/>
        </w:rPr>
        <w:t xml:space="preserve"> and </w:t>
      </w:r>
      <w:proofErr w:type="spellStart"/>
      <w:r w:rsidR="001F33A8">
        <w:rPr>
          <w:color w:val="000000"/>
          <w:shd w:val="clear" w:color="auto" w:fill="FFFFFF"/>
        </w:rPr>
        <w:t>Junquera</w:t>
      </w:r>
      <w:proofErr w:type="spellEnd"/>
      <w:r w:rsidR="001F33A8">
        <w:rPr>
          <w:color w:val="000000"/>
          <w:shd w:val="clear" w:color="auto" w:fill="FFFFFF"/>
        </w:rPr>
        <w:t>, 2023)</w:t>
      </w:r>
      <w:r w:rsidR="001F4731" w:rsidRPr="008B051F">
        <w:t xml:space="preserve">. ICD-11’s effort to </w:t>
      </w:r>
      <w:proofErr w:type="spellStart"/>
      <w:r w:rsidR="001F4731" w:rsidRPr="008B051F">
        <w:t>emphasise</w:t>
      </w:r>
      <w:proofErr w:type="spellEnd"/>
      <w:r w:rsidR="001F4731" w:rsidRPr="008B051F">
        <w:t xml:space="preserve"> functional impairment over weight thresholds is a partial solution, but cultural adaptation and inclusive research remain underdeveloped.</w:t>
      </w:r>
    </w:p>
    <w:p w14:paraId="25D1EF81" w14:textId="77777777" w:rsidR="00455991" w:rsidRPr="001F4731" w:rsidRDefault="001F4731" w:rsidP="001F4731">
      <w:r w:rsidRPr="008B051F">
        <w:t>These debates have significant implications for policy and practice. Rising incidence during and after the COVID-19 pandemic has overwhelmed health systems, exposing underfunded and unevenly distributed services (</w:t>
      </w:r>
      <w:proofErr w:type="spellStart"/>
      <w:r w:rsidRPr="008B051F">
        <w:t>Taquet</w:t>
      </w:r>
      <w:proofErr w:type="spellEnd"/>
      <w:r w:rsidRPr="008B051F">
        <w:t xml:space="preserve"> et al., 2021). Policy discussions increasingly focus on early intervention, digital therapies, and integration of eating disorder services into general mental health systems. However, unresolved controversies about classification and neurodivergence risk </w:t>
      </w:r>
      <w:r w:rsidR="00455991">
        <w:t xml:space="preserve">are </w:t>
      </w:r>
      <w:r w:rsidRPr="008B051F">
        <w:t xml:space="preserve">slowing progress in guideline development and funding priorities. </w:t>
      </w:r>
    </w:p>
    <w:p w14:paraId="01DDDC64" w14:textId="77777777" w:rsidR="002B3903" w:rsidRDefault="002B3903" w:rsidP="00CB05E9">
      <w:pPr>
        <w:pStyle w:val="Heading1"/>
      </w:pPr>
      <w:bookmarkStart w:id="9" w:name="_Toc209785356"/>
      <w:r w:rsidRPr="002B3903">
        <w:t>Recommendations</w:t>
      </w:r>
      <w:bookmarkEnd w:id="9"/>
      <w:r w:rsidRPr="002B3903">
        <w:t xml:space="preserve"> </w:t>
      </w:r>
    </w:p>
    <w:p w14:paraId="375CA878" w14:textId="77777777" w:rsidR="001A43A8" w:rsidRPr="005D30EE" w:rsidRDefault="001A43A8" w:rsidP="001A43A8">
      <w:r w:rsidRPr="005D30EE">
        <w:t xml:space="preserve">To improve diagnostic accuracy, ICD-11 criteria should continue evolving toward more dimensional and culturally adaptable models. While the inclusion of binge-eating disorder and ARFID is a significant advance, clearer guidance on subjective binge episodes and atypical anorexia presentations is needed to prevent diagnostic inflation and under-detection in </w:t>
      </w:r>
      <w:proofErr w:type="spellStart"/>
      <w:r w:rsidRPr="005D30EE">
        <w:t>marginalised</w:t>
      </w:r>
      <w:proofErr w:type="spellEnd"/>
      <w:r w:rsidRPr="005D30EE">
        <w:t xml:space="preserve"> groups </w:t>
      </w:r>
      <w:r w:rsidR="00542CD5">
        <w:rPr>
          <w:color w:val="000000"/>
          <w:shd w:val="clear" w:color="auto" w:fill="FFFFFF"/>
        </w:rPr>
        <w:t xml:space="preserve">(Ramirez and </w:t>
      </w:r>
      <w:proofErr w:type="spellStart"/>
      <w:r w:rsidR="00542CD5">
        <w:rPr>
          <w:color w:val="000000"/>
          <w:shd w:val="clear" w:color="auto" w:fill="FFFFFF"/>
        </w:rPr>
        <w:t>Sasidhar</w:t>
      </w:r>
      <w:proofErr w:type="spellEnd"/>
      <w:r w:rsidR="00542CD5">
        <w:rPr>
          <w:color w:val="000000"/>
          <w:shd w:val="clear" w:color="auto" w:fill="FFFFFF"/>
        </w:rPr>
        <w:t xml:space="preserve"> </w:t>
      </w:r>
      <w:proofErr w:type="spellStart"/>
      <w:r w:rsidR="00542CD5">
        <w:rPr>
          <w:color w:val="000000"/>
          <w:shd w:val="clear" w:color="auto" w:fill="FFFFFF"/>
        </w:rPr>
        <w:t>Gunturu</w:t>
      </w:r>
      <w:proofErr w:type="spellEnd"/>
      <w:r w:rsidR="00542CD5">
        <w:rPr>
          <w:color w:val="000000"/>
          <w:shd w:val="clear" w:color="auto" w:fill="FFFFFF"/>
        </w:rPr>
        <w:t>, 2024)</w:t>
      </w:r>
      <w:r w:rsidRPr="005D30EE">
        <w:t>. Incorporating specifiers for neurodevelopmental traits, such as rigidity and sensory sensitivity associated with autism, could enhance clinical utility and ensure that neurodivergent individuals receive appropriate support (</w:t>
      </w:r>
      <w:proofErr w:type="spellStart"/>
      <w:r w:rsidR="00542CD5">
        <w:rPr>
          <w:color w:val="000000"/>
          <w:shd w:val="clear" w:color="auto" w:fill="FFFFFF"/>
        </w:rPr>
        <w:t>Cobbaert</w:t>
      </w:r>
      <w:proofErr w:type="spellEnd"/>
      <w:r w:rsidR="00542CD5">
        <w:rPr>
          <w:color w:val="000000"/>
          <w:shd w:val="clear" w:color="auto" w:fill="FFFFFF"/>
        </w:rPr>
        <w:t xml:space="preserve"> and Rose, 2023</w:t>
      </w:r>
      <w:r w:rsidRPr="005D30EE">
        <w:t>). Expanding culturally sensitive assessment tools would also help reduce bias and improve detection in non-Western populations.</w:t>
      </w:r>
    </w:p>
    <w:p w14:paraId="78B7C9A7" w14:textId="77777777" w:rsidR="00542CD5" w:rsidRPr="005D30EE" w:rsidRDefault="001A43A8" w:rsidP="00455991">
      <w:r w:rsidRPr="005D30EE">
        <w:t xml:space="preserve">Improving access to evidence-based treatments should be a policy priority. CBT-E and family-based therapy remain the most effective interventions, </w:t>
      </w:r>
      <w:r w:rsidR="00455991">
        <w:t>but</w:t>
      </w:r>
      <w:r w:rsidRPr="005D30EE">
        <w:t xml:space="preserve"> service provision is inconsistent and often limited to high-income countries (</w:t>
      </w:r>
      <w:proofErr w:type="spellStart"/>
      <w:r w:rsidRPr="005D30EE">
        <w:t>Linardon</w:t>
      </w:r>
      <w:proofErr w:type="spellEnd"/>
      <w:r w:rsidRPr="005D30EE">
        <w:t xml:space="preserve"> et al., 202</w:t>
      </w:r>
      <w:r w:rsidR="00455991">
        <w:t>1</w:t>
      </w:r>
      <w:r w:rsidRPr="005D30EE">
        <w:t xml:space="preserve">). Scaling up digital interventions, guided self-help, and telehealth platforms could bridge treatment gaps, especially in low-resource settings. Integrating nutritional rehabilitation with long-term psychosocial support is essential for sustainable recovery, while day and residential </w:t>
      </w:r>
      <w:proofErr w:type="spellStart"/>
      <w:r w:rsidRPr="005D30EE">
        <w:t>programmes</w:t>
      </w:r>
      <w:proofErr w:type="spellEnd"/>
      <w:r w:rsidRPr="005D30EE">
        <w:t xml:space="preserve"> should be expanded to address severe or treatment-resistant cases</w:t>
      </w:r>
      <w:r w:rsidR="00455991">
        <w:t xml:space="preserve"> (</w:t>
      </w:r>
      <w:r w:rsidR="00455991">
        <w:rPr>
          <w:shd w:val="clear" w:color="auto" w:fill="FFFFFF"/>
        </w:rPr>
        <w:t>Viljoen et al., 2024)</w:t>
      </w:r>
      <w:r w:rsidRPr="005D30EE">
        <w:t>. Collaborative care models that link general practitioners, dietitians, and mental health specialists may improve continuity and reduce relapse rates.</w:t>
      </w:r>
    </w:p>
    <w:p w14:paraId="3DBFF624" w14:textId="77777777" w:rsidR="008F4991" w:rsidRPr="009B3F4F" w:rsidRDefault="00455991" w:rsidP="008F4991">
      <w:r>
        <w:t xml:space="preserve">As suggested by </w:t>
      </w:r>
      <w:r>
        <w:rPr>
          <w:shd w:val="clear" w:color="auto" w:fill="FFFFFF"/>
        </w:rPr>
        <w:t xml:space="preserve">Mills et al. (2023), </w:t>
      </w:r>
      <w:r>
        <w:t>f</w:t>
      </w:r>
      <w:r w:rsidR="001A43A8" w:rsidRPr="005D30EE">
        <w:t>rom a policy perspective, early intervention initiatives in schools and primary care can facilitate earlier detection and treatment. Increased funding for specialist services is vital to reduce long waiting times, which exacerbate illness severity</w:t>
      </w:r>
      <w:r w:rsidR="001A43A8" w:rsidRPr="009B3F4F">
        <w:t xml:space="preserve">. </w:t>
      </w:r>
      <w:r w:rsidR="009B3F4F" w:rsidRPr="009B3F4F">
        <w:t xml:space="preserve"> </w:t>
      </w:r>
      <w:r w:rsidR="008F4991" w:rsidRPr="008F4991">
        <w:rPr>
          <w:highlight w:val="yellow"/>
        </w:rPr>
        <w:t>It should also be noted that laws on mental health, including the Mental Health Act (e.g., UK, 1983; amended 2007), form the basis of the rights of people with eating disorders, specifically in terms of forced treatment and protection. These acts collaborate with diagnostic tools, such as DSM-5 and ICD-11</w:t>
      </w:r>
      <w:r w:rsidR="000E7450">
        <w:rPr>
          <w:highlight w:val="yellow"/>
        </w:rPr>
        <w:t>,</w:t>
      </w:r>
      <w:r w:rsidR="008F4991" w:rsidRPr="008F4991">
        <w:rPr>
          <w:highlight w:val="yellow"/>
        </w:rPr>
        <w:t xml:space="preserve"> to make sure that </w:t>
      </w:r>
      <w:r w:rsidR="000E7450">
        <w:rPr>
          <w:highlight w:val="yellow"/>
        </w:rPr>
        <w:t xml:space="preserve">the </w:t>
      </w:r>
      <w:r w:rsidR="008F4991" w:rsidRPr="008F4991">
        <w:rPr>
          <w:highlight w:val="yellow"/>
        </w:rPr>
        <w:t>care provided is ethical and legally justified.</w:t>
      </w:r>
    </w:p>
    <w:p w14:paraId="0852A144" w14:textId="77777777" w:rsidR="00056942" w:rsidRDefault="00056942" w:rsidP="00056942">
      <w:pPr>
        <w:pStyle w:val="Heading1"/>
      </w:pPr>
      <w:bookmarkStart w:id="10" w:name="_Toc209785357"/>
      <w:r>
        <w:t>Conclusion</w:t>
      </w:r>
      <w:bookmarkEnd w:id="10"/>
    </w:p>
    <w:p w14:paraId="65016D8A" w14:textId="77777777" w:rsidR="00DD5CEB" w:rsidRPr="00303CA8" w:rsidRDefault="00303CA8" w:rsidP="00303CA8">
      <w:r w:rsidRPr="00303CA8">
        <w:t xml:space="preserve">Eating disorders are multifactorial and complicated disorders </w:t>
      </w:r>
      <w:r>
        <w:t>that</w:t>
      </w:r>
      <w:r w:rsidRPr="00303CA8">
        <w:t xml:space="preserve"> are delicate in classification, diagnosis, treatment</w:t>
      </w:r>
      <w:r>
        <w:t>,</w:t>
      </w:r>
      <w:r w:rsidRPr="00303CA8">
        <w:t xml:space="preserve"> and rehabilitation. ICD-11 has also made an additional step by providing more categories, including binge-eating disorder and ARFID, </w:t>
      </w:r>
      <w:proofErr w:type="spellStart"/>
      <w:r w:rsidR="000E7450">
        <w:t>minimising</w:t>
      </w:r>
      <w:proofErr w:type="spellEnd"/>
      <w:r w:rsidRPr="00303CA8">
        <w:t xml:space="preserve"> the residual diagnoses, simplifying the criteria</w:t>
      </w:r>
      <w:r>
        <w:t>,</w:t>
      </w:r>
      <w:r w:rsidRPr="00303CA8">
        <w:t xml:space="preserve"> and making them more clinically relevant. Nevertheless, there is always the controversy surrounding the boundaries of diagnoses, their applicability to a particular culture, and neurodiversity</w:t>
      </w:r>
      <w:r>
        <w:t>,</w:t>
      </w:r>
      <w:r w:rsidRPr="00303CA8">
        <w:t xml:space="preserve"> </w:t>
      </w:r>
      <w:r>
        <w:t>which</w:t>
      </w:r>
      <w:r w:rsidRPr="00303CA8">
        <w:t xml:space="preserve"> refers to the necessity of bettering and being more inclusive. They are treated with evidence-based psychological therapies, nutritional rehabilitation, and community assistance, but there is no equal distribution of long-term outcomes and access. Long-term solutions to these problems are supposed to be agreed and culturally sensitive, improved service delivery and research. Finally, the recovery can be improved by introducing better classification and care pathways that can diminish the burden of eating disorders all over the world.</w:t>
      </w:r>
    </w:p>
    <w:p w14:paraId="02D43E0C" w14:textId="77777777" w:rsidR="00303CA8" w:rsidRDefault="00303CA8">
      <w:pPr>
        <w:ind w:left="720" w:hanging="720"/>
        <w:rPr>
          <w:b/>
        </w:rPr>
      </w:pPr>
      <w:bookmarkStart w:id="11" w:name="_Toc209785358"/>
      <w:r>
        <w:br w:type="page"/>
      </w:r>
    </w:p>
    <w:p w14:paraId="235D0FF4" w14:textId="77777777" w:rsidR="00455991" w:rsidRDefault="002B3903" w:rsidP="005304BB">
      <w:pPr>
        <w:pStyle w:val="Heading1"/>
        <w:rPr>
          <w:rFonts w:ascii="Times New Roman" w:eastAsia="Times New Roman" w:hAnsi="Times New Roman" w:cs="Times New Roman"/>
          <w:color w:val="000000"/>
          <w:szCs w:val="24"/>
        </w:rPr>
      </w:pPr>
      <w:r w:rsidRPr="00CB05E9">
        <w:t>References</w:t>
      </w:r>
      <w:r w:rsidR="00455991" w:rsidRPr="00E86BD2">
        <w:rPr>
          <w:rFonts w:ascii="Times New Roman" w:eastAsia="Times New Roman" w:hAnsi="Times New Roman" w:cs="Times New Roman"/>
          <w:color w:val="000000"/>
          <w:szCs w:val="24"/>
        </w:rPr>
        <w:t>‌</w:t>
      </w:r>
      <w:bookmarkEnd w:id="11"/>
    </w:p>
    <w:p w14:paraId="4439C2F5" w14:textId="77777777" w:rsidR="001F33A8" w:rsidRPr="001F33A8" w:rsidRDefault="001F33A8" w:rsidP="001F33A8">
      <w:pPr>
        <w:pStyle w:val="NoSpacing"/>
        <w:rPr>
          <w:rFonts w:ascii="Times New Roman" w:hAnsi="Times New Roman" w:cs="Times New Roman"/>
        </w:rPr>
      </w:pPr>
      <w:proofErr w:type="spellStart"/>
      <w:r>
        <w:t>Ahad</w:t>
      </w:r>
      <w:proofErr w:type="spellEnd"/>
      <w:r>
        <w:t>, A.A., Sanchez-Gonzalez, M.</w:t>
      </w:r>
      <w:r w:rsidR="009059FF">
        <w:t>,</w:t>
      </w:r>
      <w:r>
        <w:t xml:space="preserve"> and </w:t>
      </w:r>
      <w:proofErr w:type="spellStart"/>
      <w:r>
        <w:t>Junquera</w:t>
      </w:r>
      <w:proofErr w:type="spellEnd"/>
      <w:r>
        <w:t xml:space="preserve">, P. (2023). Understanding and Addressing Mental Health </w:t>
      </w:r>
      <w:r w:rsidRPr="001F33A8">
        <w:t>Stigma</w:t>
      </w:r>
      <w:r>
        <w:t xml:space="preserve"> Across Cultures for Improving Psychiatric Care: A Narrative Review. </w:t>
      </w:r>
      <w:proofErr w:type="spellStart"/>
      <w:r>
        <w:rPr>
          <w:i/>
          <w:iCs/>
        </w:rPr>
        <w:t>Cureus</w:t>
      </w:r>
      <w:proofErr w:type="spellEnd"/>
      <w:r>
        <w:t xml:space="preserve">. [online] </w:t>
      </w:r>
      <w:hyperlink r:id="rId7" w:history="1">
        <w:r w:rsidRPr="006028DD">
          <w:rPr>
            <w:rStyle w:val="Hyperlink"/>
          </w:rPr>
          <w:t>https://doi.org/10.7759/cureus.39549</w:t>
        </w:r>
      </w:hyperlink>
      <w:r>
        <w:t xml:space="preserve">. </w:t>
      </w:r>
    </w:p>
    <w:p w14:paraId="76F90E23" w14:textId="77777777" w:rsidR="00455991" w:rsidRDefault="00455991" w:rsidP="00455991">
      <w:pPr>
        <w:pStyle w:val="NoSpacing"/>
        <w:rPr>
          <w:rFonts w:ascii="Times New Roman" w:hAnsi="Times New Roman" w:cs="Times New Roman"/>
          <w:color w:val="000000"/>
        </w:rPr>
      </w:pPr>
      <w:r w:rsidRPr="00E86BD2">
        <w:rPr>
          <w:rFonts w:ascii="Times New Roman" w:eastAsia="Times New Roman" w:hAnsi="Times New Roman" w:cs="Times New Roman"/>
          <w:color w:val="000000"/>
          <w:szCs w:val="24"/>
        </w:rPr>
        <w:t>‌</w:t>
      </w:r>
      <w:r>
        <w:rPr>
          <w:color w:val="000000"/>
        </w:rPr>
        <w:t xml:space="preserve">Brede, J., Babb, C., Jones, C., Elliott, M., </w:t>
      </w:r>
      <w:proofErr w:type="spellStart"/>
      <w:r>
        <w:rPr>
          <w:color w:val="000000"/>
        </w:rPr>
        <w:t>Zanker</w:t>
      </w:r>
      <w:proofErr w:type="spellEnd"/>
      <w:r>
        <w:rPr>
          <w:color w:val="000000"/>
        </w:rPr>
        <w:t xml:space="preserve">, C., </w:t>
      </w:r>
      <w:proofErr w:type="spellStart"/>
      <w:r>
        <w:rPr>
          <w:color w:val="000000"/>
        </w:rPr>
        <w:t>Tchanturia</w:t>
      </w:r>
      <w:proofErr w:type="spellEnd"/>
      <w:r>
        <w:rPr>
          <w:color w:val="000000"/>
        </w:rPr>
        <w:t xml:space="preserve">, K., </w:t>
      </w:r>
      <w:proofErr w:type="spellStart"/>
      <w:r>
        <w:rPr>
          <w:color w:val="000000"/>
        </w:rPr>
        <w:t>Serpell</w:t>
      </w:r>
      <w:proofErr w:type="spellEnd"/>
      <w:r>
        <w:rPr>
          <w:color w:val="000000"/>
        </w:rPr>
        <w:t>, L., Fox, J.</w:t>
      </w:r>
      <w:r w:rsidR="009059FF">
        <w:rPr>
          <w:color w:val="000000"/>
        </w:rPr>
        <w:t>,</w:t>
      </w:r>
      <w:r>
        <w:rPr>
          <w:color w:val="000000"/>
        </w:rPr>
        <w:t xml:space="preserve"> and Mandy, W. (2020). ‘For Me, the Anorexia is Just a Symptom, and the Cause is the Autism’: Investigating Restrictive Eating Disorders in Autistic Women. </w:t>
      </w:r>
      <w:r>
        <w:rPr>
          <w:i/>
          <w:iCs/>
          <w:color w:val="000000"/>
        </w:rPr>
        <w:t>Journal of Autism and Developmental Disorders</w:t>
      </w:r>
      <w:r>
        <w:rPr>
          <w:color w:val="000000"/>
        </w:rPr>
        <w:t xml:space="preserve">, [online] 50(12), pp.4280–4296. </w:t>
      </w:r>
      <w:hyperlink r:id="rId8" w:history="1">
        <w:r w:rsidRPr="006028DD">
          <w:rPr>
            <w:rStyle w:val="Hyperlink"/>
          </w:rPr>
          <w:t>https://doi.org/10.1007/s10803-020-04479-3</w:t>
        </w:r>
      </w:hyperlink>
      <w:r>
        <w:rPr>
          <w:color w:val="000000"/>
        </w:rPr>
        <w:t xml:space="preserve">. </w:t>
      </w:r>
    </w:p>
    <w:p w14:paraId="4BA04C73" w14:textId="77777777" w:rsidR="00455991" w:rsidRDefault="00455991" w:rsidP="00455991">
      <w:pPr>
        <w:pStyle w:val="NoSpacing"/>
        <w:rPr>
          <w:rFonts w:ascii="Times New Roman" w:hAnsi="Times New Roman" w:cs="Times New Roman"/>
          <w:color w:val="000000"/>
        </w:rPr>
      </w:pPr>
      <w:r>
        <w:rPr>
          <w:color w:val="000000"/>
        </w:rPr>
        <w:t xml:space="preserve">‌Bryant, E., Spielman, K., Le, A., Marks, P., </w:t>
      </w:r>
      <w:proofErr w:type="spellStart"/>
      <w:r>
        <w:rPr>
          <w:color w:val="000000"/>
        </w:rPr>
        <w:t>Aouad</w:t>
      </w:r>
      <w:proofErr w:type="spellEnd"/>
      <w:r>
        <w:rPr>
          <w:color w:val="000000"/>
        </w:rPr>
        <w:t xml:space="preserve">, P., Barakat, S., </w:t>
      </w:r>
      <w:proofErr w:type="spellStart"/>
      <w:r>
        <w:rPr>
          <w:color w:val="000000"/>
        </w:rPr>
        <w:t>Boakes</w:t>
      </w:r>
      <w:proofErr w:type="spellEnd"/>
      <w:r>
        <w:rPr>
          <w:color w:val="000000"/>
        </w:rPr>
        <w:t xml:space="preserve">, R., Brennan, L., Bryant, E., Byrne, S., Caldwell, B., Calvert, S., Carroll, B., Castle, D., </w:t>
      </w:r>
      <w:proofErr w:type="spellStart"/>
      <w:r>
        <w:rPr>
          <w:color w:val="000000"/>
        </w:rPr>
        <w:t>Caterson</w:t>
      </w:r>
      <w:proofErr w:type="spellEnd"/>
      <w:r>
        <w:rPr>
          <w:color w:val="000000"/>
        </w:rPr>
        <w:t xml:space="preserve">, I., </w:t>
      </w:r>
      <w:proofErr w:type="spellStart"/>
      <w:r>
        <w:rPr>
          <w:color w:val="000000"/>
        </w:rPr>
        <w:t>Chelius</w:t>
      </w:r>
      <w:proofErr w:type="spellEnd"/>
      <w:r>
        <w:rPr>
          <w:color w:val="000000"/>
        </w:rPr>
        <w:t xml:space="preserve">, B., </w:t>
      </w:r>
      <w:proofErr w:type="spellStart"/>
      <w:r>
        <w:rPr>
          <w:color w:val="000000"/>
        </w:rPr>
        <w:t>Chiem</w:t>
      </w:r>
      <w:proofErr w:type="spellEnd"/>
      <w:r>
        <w:rPr>
          <w:color w:val="000000"/>
        </w:rPr>
        <w:t>, L., Clarke, S., Conti, J. and Crouch, L. (2022). Screening, assessment</w:t>
      </w:r>
      <w:r w:rsidR="009059FF">
        <w:rPr>
          <w:color w:val="000000"/>
        </w:rPr>
        <w:t>,</w:t>
      </w:r>
      <w:r>
        <w:rPr>
          <w:color w:val="000000"/>
        </w:rPr>
        <w:t xml:space="preserve"> and diagnosis in the eating disorders: findings from a rapid review. </w:t>
      </w:r>
      <w:r>
        <w:rPr>
          <w:i/>
          <w:iCs/>
          <w:color w:val="000000"/>
        </w:rPr>
        <w:t>Journal of Eating Disorders</w:t>
      </w:r>
      <w:r>
        <w:rPr>
          <w:color w:val="000000"/>
        </w:rPr>
        <w:t xml:space="preserve">, [online] 10(1). </w:t>
      </w:r>
      <w:hyperlink r:id="rId9" w:history="1">
        <w:r w:rsidRPr="006028DD">
          <w:rPr>
            <w:rStyle w:val="Hyperlink"/>
          </w:rPr>
          <w:t>https://doi.org/10.1186/s40337-022-00597-8</w:t>
        </w:r>
      </w:hyperlink>
      <w:r>
        <w:rPr>
          <w:color w:val="000000"/>
        </w:rPr>
        <w:t xml:space="preserve">. </w:t>
      </w:r>
    </w:p>
    <w:p w14:paraId="5FA1BBA8" w14:textId="77777777" w:rsidR="00455991" w:rsidRDefault="00455991" w:rsidP="00455991">
      <w:pPr>
        <w:pStyle w:val="NoSpacing"/>
        <w:rPr>
          <w:rFonts w:ascii="Times New Roman" w:hAnsi="Times New Roman" w:cs="Times New Roman"/>
          <w:color w:val="000000"/>
        </w:rPr>
      </w:pPr>
      <w:proofErr w:type="spellStart"/>
      <w:r>
        <w:rPr>
          <w:color w:val="000000"/>
        </w:rPr>
        <w:t>Brytek</w:t>
      </w:r>
      <w:r>
        <w:rPr>
          <w:rFonts w:ascii="Cambria Math" w:hAnsi="Cambria Math" w:cs="Cambria Math"/>
          <w:color w:val="000000"/>
        </w:rPr>
        <w:t>‐</w:t>
      </w:r>
      <w:r>
        <w:rPr>
          <w:color w:val="000000"/>
        </w:rPr>
        <w:t>Matera</w:t>
      </w:r>
      <w:proofErr w:type="spellEnd"/>
      <w:r>
        <w:rPr>
          <w:color w:val="000000"/>
        </w:rPr>
        <w:t xml:space="preserve">, A., </w:t>
      </w:r>
      <w:proofErr w:type="spellStart"/>
      <w:r>
        <w:rPr>
          <w:color w:val="000000"/>
        </w:rPr>
        <w:t>Touyz</w:t>
      </w:r>
      <w:proofErr w:type="spellEnd"/>
      <w:r>
        <w:rPr>
          <w:color w:val="000000"/>
        </w:rPr>
        <w:t>, S.</w:t>
      </w:r>
      <w:r w:rsidR="003837C4">
        <w:rPr>
          <w:color w:val="000000"/>
        </w:rPr>
        <w:t>,</w:t>
      </w:r>
      <w:r>
        <w:rPr>
          <w:color w:val="000000"/>
        </w:rPr>
        <w:t xml:space="preserve"> and Hay, P. (2024). Comparative utility of the DSM</w:t>
      </w:r>
      <w:r>
        <w:rPr>
          <w:rFonts w:ascii="Cambria Math" w:hAnsi="Cambria Math" w:cs="Cambria Math"/>
          <w:color w:val="000000"/>
        </w:rPr>
        <w:t>‐</w:t>
      </w:r>
      <w:r>
        <w:rPr>
          <w:color w:val="000000"/>
        </w:rPr>
        <w:t>5 and ICD</w:t>
      </w:r>
      <w:r>
        <w:rPr>
          <w:rFonts w:ascii="Cambria Math" w:hAnsi="Cambria Math" w:cs="Cambria Math"/>
          <w:color w:val="000000"/>
        </w:rPr>
        <w:t>‐</w:t>
      </w:r>
      <w:r>
        <w:rPr>
          <w:color w:val="000000"/>
        </w:rPr>
        <w:t>11 diagnostic classifications of eating disorders of recurrent binge eating in an Australian community</w:t>
      </w:r>
      <w:r>
        <w:rPr>
          <w:rFonts w:ascii="Cambria Math" w:hAnsi="Cambria Math" w:cs="Cambria Math"/>
          <w:color w:val="000000"/>
        </w:rPr>
        <w:t>‐</w:t>
      </w:r>
      <w:r>
        <w:rPr>
          <w:color w:val="000000"/>
        </w:rPr>
        <w:t>based sample. </w:t>
      </w:r>
      <w:r>
        <w:rPr>
          <w:i/>
          <w:iCs/>
          <w:color w:val="000000"/>
        </w:rPr>
        <w:t>European Eating Disorders Review</w:t>
      </w:r>
      <w:r>
        <w:rPr>
          <w:color w:val="000000"/>
        </w:rPr>
        <w:t xml:space="preserve">, [online] 32(3), pp.524–531. </w:t>
      </w:r>
      <w:hyperlink r:id="rId10" w:history="1">
        <w:r w:rsidRPr="006028DD">
          <w:rPr>
            <w:rStyle w:val="Hyperlink"/>
          </w:rPr>
          <w:t>https://doi.org/10.1002/erv.3068</w:t>
        </w:r>
      </w:hyperlink>
      <w:r>
        <w:rPr>
          <w:color w:val="000000"/>
        </w:rPr>
        <w:t xml:space="preserve">. </w:t>
      </w:r>
    </w:p>
    <w:p w14:paraId="5AA8FABD" w14:textId="77777777" w:rsidR="00455991" w:rsidRDefault="00455991" w:rsidP="00455991">
      <w:pPr>
        <w:pStyle w:val="NoSpacing"/>
        <w:rPr>
          <w:rFonts w:ascii="Times New Roman" w:hAnsi="Times New Roman" w:cs="Times New Roman"/>
          <w:color w:val="000000"/>
        </w:rPr>
      </w:pPr>
      <w:proofErr w:type="spellStart"/>
      <w:r>
        <w:rPr>
          <w:color w:val="000000"/>
        </w:rPr>
        <w:t>Claudino</w:t>
      </w:r>
      <w:proofErr w:type="spellEnd"/>
      <w:r>
        <w:rPr>
          <w:color w:val="000000"/>
        </w:rPr>
        <w:t xml:space="preserve">, A.M., Pike, K.M., Hay, P., Keeley, J.W., Evans, S.C., Rebello, T.J., Bryant-Waugh, R., Dai, Y., Zhao, M., Matsumoto, C., </w:t>
      </w:r>
      <w:proofErr w:type="spellStart"/>
      <w:r>
        <w:rPr>
          <w:color w:val="000000"/>
        </w:rPr>
        <w:t>Herscovici</w:t>
      </w:r>
      <w:proofErr w:type="spellEnd"/>
      <w:r>
        <w:rPr>
          <w:color w:val="000000"/>
        </w:rPr>
        <w:t xml:space="preserve">, C.R., </w:t>
      </w:r>
      <w:proofErr w:type="spellStart"/>
      <w:r>
        <w:rPr>
          <w:color w:val="000000"/>
        </w:rPr>
        <w:t>Mellor-Marsá</w:t>
      </w:r>
      <w:proofErr w:type="spellEnd"/>
      <w:r>
        <w:rPr>
          <w:color w:val="000000"/>
        </w:rPr>
        <w:t xml:space="preserve">, B., Anne-Claire </w:t>
      </w:r>
      <w:proofErr w:type="spellStart"/>
      <w:r>
        <w:rPr>
          <w:color w:val="000000"/>
        </w:rPr>
        <w:t>Stona</w:t>
      </w:r>
      <w:proofErr w:type="spellEnd"/>
      <w:r>
        <w:rPr>
          <w:color w:val="000000"/>
        </w:rPr>
        <w:t xml:space="preserve">, Kogan, C.S., Andrews, H.F., Monteleone, P., </w:t>
      </w:r>
      <w:proofErr w:type="spellStart"/>
      <w:r>
        <w:rPr>
          <w:color w:val="000000"/>
        </w:rPr>
        <w:t>Pilon</w:t>
      </w:r>
      <w:proofErr w:type="spellEnd"/>
      <w:r>
        <w:rPr>
          <w:color w:val="000000"/>
        </w:rPr>
        <w:t xml:space="preserve">, D.J., </w:t>
      </w:r>
      <w:proofErr w:type="spellStart"/>
      <w:r>
        <w:rPr>
          <w:color w:val="000000"/>
        </w:rPr>
        <w:t>Thiels</w:t>
      </w:r>
      <w:proofErr w:type="spellEnd"/>
      <w:r>
        <w:rPr>
          <w:color w:val="000000"/>
        </w:rPr>
        <w:t>, C., Sharan, P.</w:t>
      </w:r>
      <w:r w:rsidR="009059FF">
        <w:rPr>
          <w:color w:val="000000"/>
        </w:rPr>
        <w:t>,</w:t>
      </w:r>
      <w:r>
        <w:rPr>
          <w:color w:val="000000"/>
        </w:rPr>
        <w:t xml:space="preserve"> and Samir </w:t>
      </w:r>
      <w:proofErr w:type="spellStart"/>
      <w:r>
        <w:rPr>
          <w:color w:val="000000"/>
        </w:rPr>
        <w:t>Al-Adawi</w:t>
      </w:r>
      <w:proofErr w:type="spellEnd"/>
      <w:r>
        <w:rPr>
          <w:color w:val="000000"/>
        </w:rPr>
        <w:t xml:space="preserve"> (2019). The classification of feeding and eating disorders in the ICD-11: results of a field study comparing proposed ICD-11 guidelines with existing ICD-10 guidelines. </w:t>
      </w:r>
      <w:r>
        <w:rPr>
          <w:i/>
          <w:iCs/>
          <w:color w:val="000000"/>
        </w:rPr>
        <w:t>BMC Medicine</w:t>
      </w:r>
      <w:r>
        <w:rPr>
          <w:color w:val="000000"/>
        </w:rPr>
        <w:t xml:space="preserve">, [online] 17(1). </w:t>
      </w:r>
      <w:hyperlink r:id="rId11" w:history="1">
        <w:r w:rsidRPr="006028DD">
          <w:rPr>
            <w:rStyle w:val="Hyperlink"/>
          </w:rPr>
          <w:t>https://doi.org/10.1186/s12916-019-1327-4</w:t>
        </w:r>
      </w:hyperlink>
      <w:r>
        <w:rPr>
          <w:color w:val="000000"/>
        </w:rPr>
        <w:t xml:space="preserve">. </w:t>
      </w:r>
    </w:p>
    <w:p w14:paraId="1FA81548" w14:textId="77777777"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Cobbaert</w:t>
      </w:r>
      <w:proofErr w:type="spellEnd"/>
      <w:r>
        <w:rPr>
          <w:color w:val="000000"/>
        </w:rPr>
        <w:t>, L. and Rose, A. (2023). </w:t>
      </w:r>
      <w:r>
        <w:rPr>
          <w:i/>
          <w:iCs/>
          <w:color w:val="000000"/>
        </w:rPr>
        <w:t>Eating Disorders and Neurodivergence: A Stepped Care Approach</w:t>
      </w:r>
      <w:r>
        <w:rPr>
          <w:color w:val="000000"/>
        </w:rPr>
        <w:t xml:space="preserve">. [online] ResearchGate. Available at: </w:t>
      </w:r>
      <w:hyperlink r:id="rId12" w:history="1">
        <w:r w:rsidRPr="006028DD">
          <w:rPr>
            <w:rStyle w:val="Hyperlink"/>
          </w:rPr>
          <w:t>https://www.researchgate.net/publication/369334237_Eating_Disorders_and_Neurodivergence_A_Stepped_Care_Approach</w:t>
        </w:r>
      </w:hyperlink>
      <w:r>
        <w:rPr>
          <w:color w:val="000000"/>
        </w:rPr>
        <w:t xml:space="preserve"> </w:t>
      </w:r>
    </w:p>
    <w:p w14:paraId="0E451EDC" w14:textId="77777777"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Costandache</w:t>
      </w:r>
      <w:proofErr w:type="spellEnd"/>
      <w:r>
        <w:rPr>
          <w:color w:val="000000"/>
        </w:rPr>
        <w:t xml:space="preserve">, G.I., </w:t>
      </w:r>
      <w:proofErr w:type="spellStart"/>
      <w:r>
        <w:rPr>
          <w:color w:val="000000"/>
        </w:rPr>
        <w:t>Munteanu</w:t>
      </w:r>
      <w:proofErr w:type="spellEnd"/>
      <w:r>
        <w:rPr>
          <w:color w:val="000000"/>
        </w:rPr>
        <w:t xml:space="preserve">, O., </w:t>
      </w:r>
      <w:proofErr w:type="spellStart"/>
      <w:r>
        <w:rPr>
          <w:color w:val="000000"/>
        </w:rPr>
        <w:t>Salaru</w:t>
      </w:r>
      <w:proofErr w:type="spellEnd"/>
      <w:r>
        <w:rPr>
          <w:color w:val="000000"/>
        </w:rPr>
        <w:t xml:space="preserve">, A., </w:t>
      </w:r>
      <w:proofErr w:type="spellStart"/>
      <w:r>
        <w:rPr>
          <w:color w:val="000000"/>
        </w:rPr>
        <w:t>Oroian</w:t>
      </w:r>
      <w:proofErr w:type="spellEnd"/>
      <w:r>
        <w:rPr>
          <w:color w:val="000000"/>
        </w:rPr>
        <w:t xml:space="preserve">, B. and Mihai </w:t>
      </w:r>
      <w:proofErr w:type="spellStart"/>
      <w:r>
        <w:rPr>
          <w:color w:val="000000"/>
        </w:rPr>
        <w:t>Cozmin</w:t>
      </w:r>
      <w:proofErr w:type="spellEnd"/>
      <w:r>
        <w:rPr>
          <w:color w:val="000000"/>
        </w:rPr>
        <w:t xml:space="preserve"> (2023). An overview of the treatment of eating disorders in adults and adolescents: pharmacology and psychotherapy. </w:t>
      </w:r>
      <w:proofErr w:type="spellStart"/>
      <w:r>
        <w:rPr>
          <w:i/>
          <w:iCs/>
          <w:color w:val="000000"/>
        </w:rPr>
        <w:t>Postępy</w:t>
      </w:r>
      <w:proofErr w:type="spellEnd"/>
      <w:r>
        <w:rPr>
          <w:i/>
          <w:iCs/>
          <w:color w:val="000000"/>
        </w:rPr>
        <w:t xml:space="preserve"> </w:t>
      </w:r>
      <w:proofErr w:type="spellStart"/>
      <w:r>
        <w:rPr>
          <w:i/>
          <w:iCs/>
          <w:color w:val="000000"/>
        </w:rPr>
        <w:t>Psychiatrii</w:t>
      </w:r>
      <w:proofErr w:type="spellEnd"/>
      <w:r>
        <w:rPr>
          <w:i/>
          <w:iCs/>
          <w:color w:val="000000"/>
        </w:rPr>
        <w:t xml:space="preserve"> i </w:t>
      </w:r>
      <w:proofErr w:type="spellStart"/>
      <w:r>
        <w:rPr>
          <w:i/>
          <w:iCs/>
          <w:color w:val="000000"/>
        </w:rPr>
        <w:t>Neurologii</w:t>
      </w:r>
      <w:proofErr w:type="spellEnd"/>
      <w:r>
        <w:rPr>
          <w:color w:val="000000"/>
        </w:rPr>
        <w:t xml:space="preserve">, [online] 32(1), pp.40–48. </w:t>
      </w:r>
      <w:hyperlink r:id="rId13" w:history="1">
        <w:r w:rsidRPr="006028DD">
          <w:rPr>
            <w:rStyle w:val="Hyperlink"/>
          </w:rPr>
          <w:t>https://doi.org/10.5114/ppn.2023.127237</w:t>
        </w:r>
      </w:hyperlink>
      <w:r>
        <w:rPr>
          <w:color w:val="000000"/>
        </w:rPr>
        <w:t xml:space="preserve">. </w:t>
      </w:r>
    </w:p>
    <w:p w14:paraId="0CBD9E24" w14:textId="77777777" w:rsidR="00455991" w:rsidRPr="00C806DC" w:rsidRDefault="00455991" w:rsidP="00455991">
      <w:pPr>
        <w:pStyle w:val="NoSpacing"/>
      </w:pPr>
      <w:proofErr w:type="spellStart"/>
      <w:r w:rsidRPr="00C806DC">
        <w:t>Galmiche</w:t>
      </w:r>
      <w:proofErr w:type="spellEnd"/>
      <w:r w:rsidRPr="00C806DC">
        <w:t xml:space="preserve">, M., </w:t>
      </w:r>
      <w:proofErr w:type="spellStart"/>
      <w:r w:rsidRPr="00C806DC">
        <w:t>Déchelotte</w:t>
      </w:r>
      <w:proofErr w:type="spellEnd"/>
      <w:r w:rsidRPr="00C806DC">
        <w:t xml:space="preserve">, P., Lambert, G. and </w:t>
      </w:r>
      <w:proofErr w:type="spellStart"/>
      <w:r w:rsidRPr="00C806DC">
        <w:t>Tavolacci</w:t>
      </w:r>
      <w:proofErr w:type="spellEnd"/>
      <w:r w:rsidRPr="00C806DC">
        <w:t>, M.P. (2018). Prevalence of eating disorders over the 2000–2018 period: a systematic literature review. </w:t>
      </w:r>
      <w:r w:rsidRPr="00C806DC">
        <w:rPr>
          <w:i/>
          <w:iCs/>
        </w:rPr>
        <w:t>American Journal of Clinical Nutrition</w:t>
      </w:r>
      <w:r w:rsidRPr="00C806DC">
        <w:t xml:space="preserve">, [online] 109(5), pp.1402–1413. </w:t>
      </w:r>
      <w:hyperlink r:id="rId14" w:history="1">
        <w:r w:rsidRPr="006028DD">
          <w:rPr>
            <w:rStyle w:val="Hyperlink"/>
          </w:rPr>
          <w:t>https://doi.org/10.1093/ajcn/nqy342</w:t>
        </w:r>
      </w:hyperlink>
      <w:r w:rsidRPr="00C806DC">
        <w:t>.</w:t>
      </w:r>
      <w:r>
        <w:t xml:space="preserve"> </w:t>
      </w:r>
    </w:p>
    <w:p w14:paraId="616871BD" w14:textId="77777777" w:rsidR="00455991" w:rsidRDefault="00455991" w:rsidP="00455991">
      <w:pPr>
        <w:pStyle w:val="NoSpacing"/>
        <w:rPr>
          <w:rFonts w:ascii="Times New Roman" w:hAnsi="Times New Roman" w:cs="Times New Roman"/>
          <w:color w:val="000000"/>
        </w:rPr>
      </w:pPr>
      <w:r w:rsidRPr="00C806DC">
        <w:rPr>
          <w:rFonts w:ascii="Times New Roman" w:eastAsia="Times New Roman" w:hAnsi="Times New Roman" w:cs="Times New Roman"/>
          <w:color w:val="000000"/>
          <w:szCs w:val="24"/>
        </w:rPr>
        <w:t>‌</w:t>
      </w:r>
      <w:r>
        <w:rPr>
          <w:color w:val="000000"/>
        </w:rPr>
        <w:t xml:space="preserve">Giel, K.E., Behrens, S.C., </w:t>
      </w:r>
      <w:proofErr w:type="spellStart"/>
      <w:r>
        <w:rPr>
          <w:color w:val="000000"/>
        </w:rPr>
        <w:t>Schag</w:t>
      </w:r>
      <w:proofErr w:type="spellEnd"/>
      <w:r>
        <w:rPr>
          <w:color w:val="000000"/>
        </w:rPr>
        <w:t xml:space="preserve">, K., </w:t>
      </w:r>
      <w:proofErr w:type="spellStart"/>
      <w:r>
        <w:rPr>
          <w:color w:val="000000"/>
        </w:rPr>
        <w:t>Martus</w:t>
      </w:r>
      <w:proofErr w:type="spellEnd"/>
      <w:r>
        <w:rPr>
          <w:color w:val="000000"/>
        </w:rPr>
        <w:t xml:space="preserve">, P., </w:t>
      </w:r>
      <w:proofErr w:type="spellStart"/>
      <w:r>
        <w:rPr>
          <w:color w:val="000000"/>
        </w:rPr>
        <w:t>Herpertz</w:t>
      </w:r>
      <w:proofErr w:type="spellEnd"/>
      <w:r>
        <w:rPr>
          <w:color w:val="000000"/>
        </w:rPr>
        <w:t xml:space="preserve">, S., Hofmann, T., Skoda, E.-M., Ulrich </w:t>
      </w:r>
      <w:proofErr w:type="spellStart"/>
      <w:r>
        <w:rPr>
          <w:color w:val="000000"/>
        </w:rPr>
        <w:t>Voderholzer</w:t>
      </w:r>
      <w:proofErr w:type="spellEnd"/>
      <w:r>
        <w:rPr>
          <w:color w:val="000000"/>
        </w:rPr>
        <w:t xml:space="preserve">, Jörn von </w:t>
      </w:r>
      <w:proofErr w:type="spellStart"/>
      <w:r>
        <w:rPr>
          <w:color w:val="000000"/>
        </w:rPr>
        <w:t>Wietersheim</w:t>
      </w:r>
      <w:proofErr w:type="spellEnd"/>
      <w:r>
        <w:rPr>
          <w:color w:val="000000"/>
        </w:rPr>
        <w:t xml:space="preserve">, Wild, B., </w:t>
      </w:r>
      <w:proofErr w:type="spellStart"/>
      <w:r>
        <w:rPr>
          <w:color w:val="000000"/>
        </w:rPr>
        <w:t>Zeeck</w:t>
      </w:r>
      <w:proofErr w:type="spellEnd"/>
      <w:r>
        <w:rPr>
          <w:color w:val="000000"/>
        </w:rPr>
        <w:t xml:space="preserve">, A., Schmidt, U., Zipfel, S. </w:t>
      </w:r>
      <w:r w:rsidR="009059FF">
        <w:rPr>
          <w:color w:val="000000"/>
        </w:rPr>
        <w:t>und</w:t>
      </w:r>
      <w:r>
        <w:rPr>
          <w:color w:val="000000"/>
        </w:rPr>
        <w:t xml:space="preserve"> Florian </w:t>
      </w:r>
      <w:proofErr w:type="spellStart"/>
      <w:r>
        <w:rPr>
          <w:color w:val="000000"/>
        </w:rPr>
        <w:t>Junne</w:t>
      </w:r>
      <w:proofErr w:type="spellEnd"/>
      <w:r>
        <w:rPr>
          <w:color w:val="000000"/>
        </w:rPr>
        <w:t xml:space="preserve"> (2021). Efficacy of post-inpatient aftercare treatments for anorexia nervosa: a systematic review of </w:t>
      </w:r>
      <w:proofErr w:type="spellStart"/>
      <w:r w:rsidR="000E7450">
        <w:rPr>
          <w:color w:val="000000"/>
        </w:rPr>
        <w:t>randomised</w:t>
      </w:r>
      <w:proofErr w:type="spellEnd"/>
      <w:r>
        <w:rPr>
          <w:color w:val="000000"/>
        </w:rPr>
        <w:t xml:space="preserve"> controlled trials. </w:t>
      </w:r>
      <w:r>
        <w:rPr>
          <w:i/>
          <w:iCs/>
          <w:color w:val="000000"/>
        </w:rPr>
        <w:t>Journal of Eating Disorders</w:t>
      </w:r>
      <w:r>
        <w:rPr>
          <w:color w:val="000000"/>
        </w:rPr>
        <w:t xml:space="preserve">, [online] 9(1). </w:t>
      </w:r>
      <w:hyperlink r:id="rId15" w:history="1">
        <w:r w:rsidRPr="006028DD">
          <w:rPr>
            <w:rStyle w:val="Hyperlink"/>
          </w:rPr>
          <w:t>https://doi.org/10.1186/s40337-021-00487-5</w:t>
        </w:r>
      </w:hyperlink>
      <w:r>
        <w:rPr>
          <w:color w:val="000000"/>
        </w:rPr>
        <w:t xml:space="preserve">. </w:t>
      </w:r>
    </w:p>
    <w:p w14:paraId="7EE0555E" w14:textId="77777777" w:rsidR="00455991" w:rsidRPr="00E86BD2" w:rsidRDefault="00455991" w:rsidP="00455991">
      <w:pPr>
        <w:pStyle w:val="NoSpacing"/>
      </w:pPr>
      <w:r w:rsidRPr="00E86BD2">
        <w:t xml:space="preserve">Grange, D.L., </w:t>
      </w:r>
      <w:proofErr w:type="spellStart"/>
      <w:r w:rsidRPr="00E86BD2">
        <w:t>Pradel</w:t>
      </w:r>
      <w:proofErr w:type="spellEnd"/>
      <w:r w:rsidRPr="00E86BD2">
        <w:t xml:space="preserve">, M., Pogos, D., Yeo, M., Hughes, E.K., </w:t>
      </w:r>
      <w:proofErr w:type="spellStart"/>
      <w:r w:rsidRPr="00E86BD2">
        <w:t>Tompson</w:t>
      </w:r>
      <w:proofErr w:type="spellEnd"/>
      <w:r w:rsidRPr="00E86BD2">
        <w:t>, A., Court, A., Crosby, R.D.</w:t>
      </w:r>
      <w:r w:rsidR="009059FF">
        <w:t>,</w:t>
      </w:r>
      <w:r w:rsidRPr="00E86BD2">
        <w:t xml:space="preserve"> and Sawyer, S.M. (2021). Family</w:t>
      </w:r>
      <w:r w:rsidRPr="00E86BD2">
        <w:rPr>
          <w:rFonts w:ascii="Cambria Math" w:hAnsi="Cambria Math" w:cs="Cambria Math"/>
        </w:rPr>
        <w:t>‐</w:t>
      </w:r>
      <w:r w:rsidRPr="00E86BD2">
        <w:t>based treatment for adolescent anorexia nervosa: Outcomes of a stepped</w:t>
      </w:r>
      <w:r w:rsidRPr="00E86BD2">
        <w:rPr>
          <w:rFonts w:ascii="Cambria Math" w:hAnsi="Cambria Math" w:cs="Cambria Math"/>
        </w:rPr>
        <w:t>‐</w:t>
      </w:r>
      <w:r w:rsidRPr="00E86BD2">
        <w:t>care model. </w:t>
      </w:r>
      <w:r w:rsidRPr="00E86BD2">
        <w:rPr>
          <w:i/>
          <w:iCs/>
        </w:rPr>
        <w:t>International Journal of Eating Disorders</w:t>
      </w:r>
      <w:r w:rsidRPr="00E86BD2">
        <w:t xml:space="preserve">, [online] 54(11), pp.1989–1997. </w:t>
      </w:r>
      <w:hyperlink r:id="rId16" w:history="1">
        <w:r w:rsidRPr="006028DD">
          <w:rPr>
            <w:rStyle w:val="Hyperlink"/>
          </w:rPr>
          <w:t>https://doi.org/10.1002/eat.23629</w:t>
        </w:r>
      </w:hyperlink>
      <w:r w:rsidRPr="00E86BD2">
        <w:t>.</w:t>
      </w:r>
      <w:r>
        <w:t xml:space="preserve"> </w:t>
      </w:r>
    </w:p>
    <w:p w14:paraId="7F38050F" w14:textId="77777777" w:rsidR="00455991" w:rsidRDefault="00455991" w:rsidP="00455991">
      <w:pPr>
        <w:pStyle w:val="NoSpacing"/>
        <w:rPr>
          <w:rFonts w:ascii="Times New Roman" w:hAnsi="Times New Roman" w:cs="Times New Roman"/>
          <w:color w:val="000000"/>
        </w:rPr>
      </w:pPr>
      <w:proofErr w:type="spellStart"/>
      <w:r>
        <w:rPr>
          <w:color w:val="000000"/>
        </w:rPr>
        <w:t>Grilo</w:t>
      </w:r>
      <w:proofErr w:type="spellEnd"/>
      <w:r>
        <w:rPr>
          <w:color w:val="000000"/>
        </w:rPr>
        <w:t xml:space="preserve">, C.M. and </w:t>
      </w:r>
      <w:proofErr w:type="spellStart"/>
      <w:r>
        <w:rPr>
          <w:color w:val="000000"/>
        </w:rPr>
        <w:t>Juarascio</w:t>
      </w:r>
      <w:proofErr w:type="spellEnd"/>
      <w:r>
        <w:rPr>
          <w:color w:val="000000"/>
        </w:rPr>
        <w:t>, A. (2023). Binge-Eating Disorder Interventions: Review, Current Status, and Implications. </w:t>
      </w:r>
      <w:r>
        <w:rPr>
          <w:i/>
          <w:iCs/>
          <w:color w:val="000000"/>
        </w:rPr>
        <w:t>Current Obesity Reports</w:t>
      </w:r>
      <w:r>
        <w:rPr>
          <w:color w:val="000000"/>
        </w:rPr>
        <w:t xml:space="preserve">, [online] 12(3), pp.406–416. </w:t>
      </w:r>
      <w:hyperlink r:id="rId17" w:history="1">
        <w:r w:rsidRPr="006028DD">
          <w:rPr>
            <w:rStyle w:val="Hyperlink"/>
          </w:rPr>
          <w:t>https://doi.org/10.1007/s13679-023-00517-0</w:t>
        </w:r>
      </w:hyperlink>
      <w:r>
        <w:rPr>
          <w:color w:val="000000"/>
        </w:rPr>
        <w:t xml:space="preserve">. </w:t>
      </w:r>
    </w:p>
    <w:p w14:paraId="232711B4" w14:textId="77777777" w:rsidR="00455991" w:rsidRDefault="00455991" w:rsidP="00455991">
      <w:pPr>
        <w:pStyle w:val="NoSpacing"/>
      </w:pPr>
      <w:r>
        <w:rPr>
          <w:color w:val="000000"/>
        </w:rPr>
        <w:t>‌</w:t>
      </w:r>
      <w:r>
        <w:t xml:space="preserve">Jain, A. and </w:t>
      </w:r>
      <w:proofErr w:type="spellStart"/>
      <w:r>
        <w:t>Musa</w:t>
      </w:r>
      <w:proofErr w:type="spellEnd"/>
      <w:r>
        <w:t xml:space="preserve"> </w:t>
      </w:r>
      <w:proofErr w:type="spellStart"/>
      <w:r>
        <w:t>Yilanli</w:t>
      </w:r>
      <w:proofErr w:type="spellEnd"/>
      <w:r>
        <w:t xml:space="preserve"> (2023). </w:t>
      </w:r>
      <w:r>
        <w:rPr>
          <w:i/>
          <w:iCs/>
        </w:rPr>
        <w:t>Bulimia Nervosa</w:t>
      </w:r>
      <w:r>
        <w:t xml:space="preserve">. [online] Nih.gov. Available at: </w:t>
      </w:r>
      <w:hyperlink r:id="rId18" w:history="1">
        <w:r w:rsidRPr="006028DD">
          <w:rPr>
            <w:rStyle w:val="Hyperlink"/>
          </w:rPr>
          <w:t>https://www.ncbi.nlm.nih.gov/books/NBK562178/</w:t>
        </w:r>
      </w:hyperlink>
      <w:r>
        <w:t xml:space="preserve"> </w:t>
      </w:r>
    </w:p>
    <w:p w14:paraId="2CDEE69B" w14:textId="77777777"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Keski-Rahkonen</w:t>
      </w:r>
      <w:proofErr w:type="spellEnd"/>
      <w:r>
        <w:rPr>
          <w:color w:val="000000"/>
        </w:rPr>
        <w:t>, A. (2021). Epidemiology of binge eating disorder. </w:t>
      </w:r>
      <w:r>
        <w:rPr>
          <w:i/>
          <w:iCs/>
          <w:color w:val="000000"/>
        </w:rPr>
        <w:t>Current Opinion in Psychiatry</w:t>
      </w:r>
      <w:r>
        <w:rPr>
          <w:color w:val="000000"/>
        </w:rPr>
        <w:t xml:space="preserve">, [online] 34(6). </w:t>
      </w:r>
      <w:hyperlink r:id="rId19" w:history="1">
        <w:r w:rsidRPr="006028DD">
          <w:rPr>
            <w:rStyle w:val="Hyperlink"/>
          </w:rPr>
          <w:t>https://doi.org/10.1097/yco.0000000000000750</w:t>
        </w:r>
      </w:hyperlink>
      <w:r>
        <w:rPr>
          <w:color w:val="000000"/>
        </w:rPr>
        <w:t xml:space="preserve">. </w:t>
      </w:r>
    </w:p>
    <w:p w14:paraId="7E419555" w14:textId="77777777" w:rsidR="00455991" w:rsidRDefault="00455991" w:rsidP="00455991">
      <w:pPr>
        <w:pStyle w:val="NoSpacing"/>
        <w:rPr>
          <w:rFonts w:ascii="Times New Roman" w:hAnsi="Times New Roman" w:cs="Times New Roman"/>
          <w:color w:val="000000"/>
        </w:rPr>
      </w:pPr>
      <w:r>
        <w:rPr>
          <w:color w:val="000000"/>
        </w:rPr>
        <w:t xml:space="preserve">‌Khalsa, S.S., </w:t>
      </w:r>
      <w:proofErr w:type="spellStart"/>
      <w:r>
        <w:rPr>
          <w:color w:val="000000"/>
        </w:rPr>
        <w:t>Portnoff</w:t>
      </w:r>
      <w:proofErr w:type="spellEnd"/>
      <w:r>
        <w:rPr>
          <w:color w:val="000000"/>
        </w:rPr>
        <w:t xml:space="preserve">, L.C., </w:t>
      </w:r>
      <w:proofErr w:type="spellStart"/>
      <w:r>
        <w:rPr>
          <w:color w:val="000000"/>
        </w:rPr>
        <w:t>Danyale</w:t>
      </w:r>
      <w:proofErr w:type="spellEnd"/>
      <w:r>
        <w:rPr>
          <w:color w:val="000000"/>
        </w:rPr>
        <w:t xml:space="preserve"> McCurdy-McKinnon</w:t>
      </w:r>
      <w:r w:rsidR="009059FF">
        <w:rPr>
          <w:color w:val="000000"/>
        </w:rPr>
        <w:t>,</w:t>
      </w:r>
      <w:r>
        <w:rPr>
          <w:color w:val="000000"/>
        </w:rPr>
        <w:t xml:space="preserve"> and </w:t>
      </w:r>
      <w:proofErr w:type="spellStart"/>
      <w:r>
        <w:rPr>
          <w:color w:val="000000"/>
        </w:rPr>
        <w:t>Feusner</w:t>
      </w:r>
      <w:proofErr w:type="spellEnd"/>
      <w:r>
        <w:rPr>
          <w:color w:val="000000"/>
        </w:rPr>
        <w:t>, J.D. (2017). What happens after treatment? A systematic review of relapse, remission, and recovery in anorexia nervosa. </w:t>
      </w:r>
      <w:r>
        <w:rPr>
          <w:i/>
          <w:iCs/>
          <w:color w:val="000000"/>
        </w:rPr>
        <w:t>Journal of Eating Disorders</w:t>
      </w:r>
      <w:r>
        <w:rPr>
          <w:color w:val="000000"/>
        </w:rPr>
        <w:t xml:space="preserve">, [online] 5(1). </w:t>
      </w:r>
      <w:hyperlink r:id="rId20" w:history="1">
        <w:r w:rsidRPr="006028DD">
          <w:rPr>
            <w:rStyle w:val="Hyperlink"/>
          </w:rPr>
          <w:t>https://doi.org/10.1186/s40337-017-0145-3</w:t>
        </w:r>
      </w:hyperlink>
      <w:r>
        <w:rPr>
          <w:color w:val="000000"/>
        </w:rPr>
        <w:t xml:space="preserve">. </w:t>
      </w:r>
    </w:p>
    <w:p w14:paraId="350AD398" w14:textId="77777777" w:rsidR="00455991" w:rsidRDefault="00455991" w:rsidP="00455991">
      <w:pPr>
        <w:pStyle w:val="NoSpacing"/>
        <w:rPr>
          <w:rFonts w:ascii="Times New Roman" w:hAnsi="Times New Roman" w:cs="Times New Roman"/>
          <w:color w:val="000000"/>
        </w:rPr>
      </w:pPr>
      <w:r>
        <w:rPr>
          <w:color w:val="000000"/>
        </w:rPr>
        <w:t xml:space="preserve">Levinson, C.A., Osborn, K., Hooper, M., </w:t>
      </w:r>
      <w:proofErr w:type="spellStart"/>
      <w:r>
        <w:rPr>
          <w:color w:val="000000"/>
        </w:rPr>
        <w:t>Vanzhula</w:t>
      </w:r>
      <w:proofErr w:type="spellEnd"/>
      <w:r>
        <w:rPr>
          <w:color w:val="000000"/>
        </w:rPr>
        <w:t>, I.</w:t>
      </w:r>
      <w:r w:rsidR="009059FF">
        <w:rPr>
          <w:color w:val="000000"/>
        </w:rPr>
        <w:t>,</w:t>
      </w:r>
      <w:r>
        <w:rPr>
          <w:color w:val="000000"/>
        </w:rPr>
        <w:t xml:space="preserve"> and </w:t>
      </w:r>
      <w:proofErr w:type="spellStart"/>
      <w:r>
        <w:rPr>
          <w:color w:val="000000"/>
        </w:rPr>
        <w:t>Ralph-Nearman</w:t>
      </w:r>
      <w:proofErr w:type="spellEnd"/>
      <w:r>
        <w:rPr>
          <w:color w:val="000000"/>
        </w:rPr>
        <w:t>, C. (2023). Evidence-Based Assessments for Transdiagnostic Eating Disorder Symptoms: Guidelines for Current Use and Future Directions. </w:t>
      </w:r>
      <w:r>
        <w:rPr>
          <w:i/>
          <w:iCs/>
          <w:color w:val="000000"/>
        </w:rPr>
        <w:t>Assessment</w:t>
      </w:r>
      <w:r>
        <w:rPr>
          <w:color w:val="000000"/>
        </w:rPr>
        <w:t xml:space="preserve">, [online] 31(1), pp.145–167. </w:t>
      </w:r>
      <w:hyperlink r:id="rId21" w:history="1">
        <w:r w:rsidRPr="006028DD">
          <w:rPr>
            <w:rStyle w:val="Hyperlink"/>
          </w:rPr>
          <w:t>https://doi.org/10.1177/10731911231201150</w:t>
        </w:r>
      </w:hyperlink>
      <w:r>
        <w:rPr>
          <w:color w:val="000000"/>
        </w:rPr>
        <w:t xml:space="preserve">. </w:t>
      </w:r>
    </w:p>
    <w:p w14:paraId="7B642F7A" w14:textId="77777777" w:rsidR="00455991" w:rsidRPr="00E86BD2" w:rsidRDefault="00455991" w:rsidP="00455991">
      <w:pPr>
        <w:pStyle w:val="NoSpacing"/>
      </w:pPr>
      <w:proofErr w:type="spellStart"/>
      <w:r w:rsidRPr="00E86BD2">
        <w:t>Linardon</w:t>
      </w:r>
      <w:proofErr w:type="spellEnd"/>
      <w:r w:rsidRPr="00E86BD2">
        <w:t xml:space="preserve">, J., Messer, M., Rodgers, R.F. and </w:t>
      </w:r>
      <w:proofErr w:type="spellStart"/>
      <w:r w:rsidRPr="00E86BD2">
        <w:t>Fuller</w:t>
      </w:r>
      <w:r w:rsidRPr="00E86BD2">
        <w:rPr>
          <w:rFonts w:ascii="Cambria Math" w:hAnsi="Cambria Math" w:cs="Cambria Math"/>
        </w:rPr>
        <w:t>‐</w:t>
      </w:r>
      <w:r w:rsidRPr="00E86BD2">
        <w:t>Tyszkiewicz</w:t>
      </w:r>
      <w:proofErr w:type="spellEnd"/>
      <w:r w:rsidRPr="00E86BD2">
        <w:t>, M. (2021). A systematic scoping review of research on COVID</w:t>
      </w:r>
      <w:r w:rsidRPr="00E86BD2">
        <w:rPr>
          <w:rFonts w:ascii="Cambria Math" w:hAnsi="Cambria Math" w:cs="Cambria Math"/>
        </w:rPr>
        <w:t>‐</w:t>
      </w:r>
      <w:r w:rsidRPr="00E86BD2">
        <w:t>19 impacts on eating disorders: A critical appraisal of the evidence and recommendations for the field. </w:t>
      </w:r>
      <w:r w:rsidRPr="00E86BD2">
        <w:rPr>
          <w:i/>
          <w:iCs/>
        </w:rPr>
        <w:t>International Journal of Eating Disorders</w:t>
      </w:r>
      <w:r w:rsidRPr="00E86BD2">
        <w:t xml:space="preserve">, [online] 55(1), pp.3–38. </w:t>
      </w:r>
      <w:hyperlink r:id="rId22" w:history="1">
        <w:r w:rsidRPr="006028DD">
          <w:rPr>
            <w:rStyle w:val="Hyperlink"/>
          </w:rPr>
          <w:t>https://doi.org/10.1002/eat.23640</w:t>
        </w:r>
      </w:hyperlink>
      <w:r w:rsidRPr="00E86BD2">
        <w:t>.</w:t>
      </w:r>
      <w:r>
        <w:t xml:space="preserve"> </w:t>
      </w:r>
    </w:p>
    <w:p w14:paraId="4D7E638A" w14:textId="77777777" w:rsidR="00455991" w:rsidRPr="005D30EE" w:rsidRDefault="00455991" w:rsidP="00455991">
      <w:pPr>
        <w:pStyle w:val="NoSpacing"/>
      </w:pPr>
      <w:r>
        <w:rPr>
          <w:shd w:val="clear" w:color="auto" w:fill="FFFFFF"/>
        </w:rPr>
        <w:t>Mills, R., Hyam, L. and Schmidt, U., 2023. A narrative review of early intervention for eating disorders: barriers and facilitators. </w:t>
      </w:r>
      <w:r>
        <w:rPr>
          <w:i/>
          <w:iCs/>
          <w:shd w:val="clear" w:color="auto" w:fill="FFFFFF"/>
        </w:rPr>
        <w:t>Adolescent Health, Medicine and Therapeutics</w:t>
      </w:r>
      <w:r>
        <w:rPr>
          <w:shd w:val="clear" w:color="auto" w:fill="FFFFFF"/>
        </w:rPr>
        <w:t xml:space="preserve">, pp.217-235. </w:t>
      </w:r>
    </w:p>
    <w:p w14:paraId="04BD8785" w14:textId="77777777" w:rsidR="00455991" w:rsidRDefault="00455991" w:rsidP="00455991">
      <w:pPr>
        <w:pStyle w:val="NoSpacing"/>
      </w:pPr>
      <w:r w:rsidRPr="00E86BD2">
        <w:rPr>
          <w:rFonts w:ascii="Times New Roman" w:eastAsia="Times New Roman" w:hAnsi="Times New Roman" w:cs="Times New Roman"/>
          <w:szCs w:val="24"/>
        </w:rPr>
        <w:t>‌</w:t>
      </w:r>
      <w:r w:rsidRPr="00E86BD2">
        <w:t xml:space="preserve">Monteleone, A.M., Pellegrino, F., </w:t>
      </w:r>
      <w:proofErr w:type="spellStart"/>
      <w:r w:rsidRPr="00E86BD2">
        <w:t>Croatto</w:t>
      </w:r>
      <w:proofErr w:type="spellEnd"/>
      <w:r w:rsidRPr="00E86BD2">
        <w:t xml:space="preserve">, G., </w:t>
      </w:r>
      <w:proofErr w:type="spellStart"/>
      <w:r w:rsidRPr="00E86BD2">
        <w:t>Carfagno</w:t>
      </w:r>
      <w:proofErr w:type="spellEnd"/>
      <w:r w:rsidRPr="00E86BD2">
        <w:t xml:space="preserve">, M., Hilbert, A., Treasure, J., Wade, T., </w:t>
      </w:r>
      <w:proofErr w:type="spellStart"/>
      <w:r w:rsidRPr="00E86BD2">
        <w:t>Bulik</w:t>
      </w:r>
      <w:proofErr w:type="spellEnd"/>
      <w:r w:rsidRPr="00E86BD2">
        <w:t xml:space="preserve">, C.M., </w:t>
      </w:r>
      <w:proofErr w:type="spellStart"/>
      <w:r w:rsidRPr="00E86BD2">
        <w:t>Zipfel</w:t>
      </w:r>
      <w:proofErr w:type="spellEnd"/>
      <w:r w:rsidRPr="00E86BD2">
        <w:t xml:space="preserve">, S., Hay, P., Schmidt, U., Castellini, G., </w:t>
      </w:r>
      <w:proofErr w:type="spellStart"/>
      <w:r w:rsidRPr="00E86BD2">
        <w:t>Favaro</w:t>
      </w:r>
      <w:proofErr w:type="spellEnd"/>
      <w:r w:rsidRPr="00E86BD2">
        <w:t xml:space="preserve">, A., Fernandez-Aranda, F., Shin, J.I., Ulrich </w:t>
      </w:r>
      <w:proofErr w:type="spellStart"/>
      <w:r w:rsidRPr="00E86BD2">
        <w:t>Voderholzer</w:t>
      </w:r>
      <w:proofErr w:type="spellEnd"/>
      <w:r w:rsidRPr="00E86BD2">
        <w:t xml:space="preserve">, </w:t>
      </w:r>
      <w:proofErr w:type="spellStart"/>
      <w:r w:rsidRPr="00E86BD2">
        <w:t>Ricca</w:t>
      </w:r>
      <w:proofErr w:type="spellEnd"/>
      <w:r w:rsidRPr="00E86BD2">
        <w:t xml:space="preserve">, V., Moretti, D., </w:t>
      </w:r>
      <w:proofErr w:type="spellStart"/>
      <w:r w:rsidRPr="00E86BD2">
        <w:t>Busatta</w:t>
      </w:r>
      <w:proofErr w:type="spellEnd"/>
      <w:r w:rsidRPr="00E86BD2">
        <w:t>, D.</w:t>
      </w:r>
      <w:r>
        <w:t>,</w:t>
      </w:r>
      <w:r w:rsidRPr="00E86BD2">
        <w:t xml:space="preserve"> and </w:t>
      </w:r>
      <w:proofErr w:type="spellStart"/>
      <w:r w:rsidRPr="00E86BD2">
        <w:t>Abbate-Daga</w:t>
      </w:r>
      <w:proofErr w:type="spellEnd"/>
      <w:r w:rsidRPr="00E86BD2">
        <w:t>, G. (2022). Treatment of eating disorders: A systematic meta-review of meta-analyses and network meta-analyses. </w:t>
      </w:r>
      <w:r w:rsidRPr="00E86BD2">
        <w:rPr>
          <w:i/>
          <w:iCs/>
        </w:rPr>
        <w:t>Neuroscience &amp; Biobehavioral Reviews</w:t>
      </w:r>
      <w:r w:rsidRPr="00E86BD2">
        <w:t xml:space="preserve">, [online] 142, pp.104857–104857. </w:t>
      </w:r>
      <w:hyperlink r:id="rId23" w:history="1">
        <w:r w:rsidRPr="006028DD">
          <w:rPr>
            <w:rStyle w:val="Hyperlink"/>
          </w:rPr>
          <w:t>https://doi.org/10.1016/j.neubiorev.2022.104857</w:t>
        </w:r>
      </w:hyperlink>
      <w:r w:rsidRPr="00E86BD2">
        <w:t>.</w:t>
      </w:r>
      <w:r>
        <w:t xml:space="preserve"> </w:t>
      </w:r>
    </w:p>
    <w:p w14:paraId="76049962" w14:textId="77777777" w:rsidR="00DE08A3" w:rsidRPr="00DE08A3" w:rsidRDefault="00DE08A3" w:rsidP="00DE08A3">
      <w:pPr>
        <w:pStyle w:val="BodyText"/>
        <w:rPr>
          <w:highlight w:val="yellow"/>
          <w:lang w:val="en-GB" w:eastAsia="en-GB"/>
        </w:rPr>
      </w:pPr>
      <w:r w:rsidRPr="00394BAA">
        <w:rPr>
          <w:highlight w:val="yellow"/>
          <w:lang w:val="en-GB" w:eastAsia="en-GB"/>
        </w:rPr>
        <w:t xml:space="preserve">Mental Health Act (1983). </w:t>
      </w:r>
      <w:r w:rsidRPr="00394BAA">
        <w:rPr>
          <w:i/>
          <w:iCs/>
          <w:highlight w:val="yellow"/>
          <w:lang w:val="en-GB" w:eastAsia="en-GB"/>
        </w:rPr>
        <w:t>Mental Health Act 1983</w:t>
      </w:r>
      <w:r w:rsidRPr="00394BAA">
        <w:rPr>
          <w:highlight w:val="yellow"/>
          <w:lang w:val="en-GB" w:eastAsia="en-GB"/>
        </w:rPr>
        <w:t xml:space="preserve">. Available at: </w:t>
      </w:r>
      <w:hyperlink r:id="rId24" w:history="1">
        <w:r w:rsidRPr="00394BAA">
          <w:rPr>
            <w:rStyle w:val="Hyperlink"/>
            <w:rFonts w:eastAsia="Times New Roman"/>
            <w:highlight w:val="yellow"/>
            <w:lang w:val="en-GB" w:eastAsia="en-GB"/>
          </w:rPr>
          <w:t>https://www.legislation.gov.uk/ukpga/1983/20/contents</w:t>
        </w:r>
      </w:hyperlink>
      <w:r w:rsidRPr="00394BAA">
        <w:rPr>
          <w:highlight w:val="yellow"/>
          <w:lang w:val="en-GB" w:eastAsia="en-GB"/>
        </w:rPr>
        <w:t>.</w:t>
      </w:r>
    </w:p>
    <w:p w14:paraId="297D3AEA" w14:textId="77777777" w:rsidR="00455991" w:rsidRPr="002C6368" w:rsidRDefault="00455991" w:rsidP="00455991">
      <w:pPr>
        <w:pStyle w:val="NoSpacing"/>
        <w:rPr>
          <w:color w:val="000000"/>
        </w:rPr>
      </w:pPr>
      <w:r>
        <w:rPr>
          <w:color w:val="000000"/>
        </w:rPr>
        <w:t>‌</w:t>
      </w:r>
      <w:proofErr w:type="spellStart"/>
      <w:r>
        <w:rPr>
          <w:color w:val="000000"/>
        </w:rPr>
        <w:t>Quadflieg</w:t>
      </w:r>
      <w:proofErr w:type="spellEnd"/>
      <w:r>
        <w:rPr>
          <w:color w:val="000000"/>
        </w:rPr>
        <w:t xml:space="preserve">, N., Ulrich </w:t>
      </w:r>
      <w:proofErr w:type="spellStart"/>
      <w:r>
        <w:rPr>
          <w:color w:val="000000"/>
        </w:rPr>
        <w:t>Voderholzer</w:t>
      </w:r>
      <w:proofErr w:type="spellEnd"/>
      <w:r>
        <w:rPr>
          <w:color w:val="000000"/>
        </w:rPr>
        <w:t xml:space="preserve">, </w:t>
      </w:r>
      <w:proofErr w:type="spellStart"/>
      <w:r>
        <w:rPr>
          <w:color w:val="000000"/>
        </w:rPr>
        <w:t>Meule</w:t>
      </w:r>
      <w:proofErr w:type="spellEnd"/>
      <w:r>
        <w:rPr>
          <w:color w:val="000000"/>
        </w:rPr>
        <w:t xml:space="preserve">, A. and </w:t>
      </w:r>
      <w:proofErr w:type="spellStart"/>
      <w:r>
        <w:rPr>
          <w:color w:val="000000"/>
        </w:rPr>
        <w:t>Fichter</w:t>
      </w:r>
      <w:proofErr w:type="spellEnd"/>
      <w:r>
        <w:rPr>
          <w:color w:val="000000"/>
        </w:rPr>
        <w:t>, M.M. (2023). Comparing ICD</w:t>
      </w:r>
      <w:r>
        <w:rPr>
          <w:rFonts w:ascii="Cambria Math" w:hAnsi="Cambria Math" w:cs="Cambria Math"/>
          <w:color w:val="000000"/>
        </w:rPr>
        <w:t>‐</w:t>
      </w:r>
      <w:r>
        <w:rPr>
          <w:color w:val="000000"/>
        </w:rPr>
        <w:t>11 and DSM</w:t>
      </w:r>
      <w:r>
        <w:rPr>
          <w:rFonts w:ascii="Cambria Math" w:hAnsi="Cambria Math" w:cs="Cambria Math"/>
          <w:color w:val="000000"/>
        </w:rPr>
        <w:t>‐</w:t>
      </w:r>
      <w:r>
        <w:rPr>
          <w:color w:val="000000"/>
        </w:rPr>
        <w:t>5 eating disorder diagnoses with the Munich eating and feeding disorder questionnaire (ED</w:t>
      </w:r>
      <w:r>
        <w:rPr>
          <w:rFonts w:ascii="Cambria Math" w:hAnsi="Cambria Math" w:cs="Cambria Math"/>
          <w:color w:val="000000"/>
        </w:rPr>
        <w:t>‐</w:t>
      </w:r>
      <w:r>
        <w:rPr>
          <w:color w:val="000000"/>
        </w:rPr>
        <w:t>Quest). </w:t>
      </w:r>
      <w:r>
        <w:rPr>
          <w:i/>
          <w:iCs/>
          <w:color w:val="000000"/>
        </w:rPr>
        <w:t>International Journal of Eating Disorders</w:t>
      </w:r>
      <w:r>
        <w:rPr>
          <w:color w:val="000000"/>
        </w:rPr>
        <w:t xml:space="preserve">, [online] 56(9), pp.1826–1831. </w:t>
      </w:r>
      <w:hyperlink r:id="rId25" w:history="1">
        <w:r w:rsidRPr="006028DD">
          <w:rPr>
            <w:rStyle w:val="Hyperlink"/>
          </w:rPr>
          <w:t>https://doi.org/10.1002/eat.24010</w:t>
        </w:r>
      </w:hyperlink>
      <w:r>
        <w:rPr>
          <w:color w:val="000000"/>
        </w:rPr>
        <w:t xml:space="preserve">. </w:t>
      </w:r>
    </w:p>
    <w:p w14:paraId="4449F5A7" w14:textId="77777777" w:rsidR="00455991" w:rsidRDefault="00455991" w:rsidP="00455991">
      <w:pPr>
        <w:pStyle w:val="NoSpacing"/>
        <w:rPr>
          <w:color w:val="000000"/>
        </w:rPr>
      </w:pPr>
      <w:r>
        <w:rPr>
          <w:color w:val="000000"/>
        </w:rPr>
        <w:t xml:space="preserve">Ramirez, Z. and </w:t>
      </w:r>
      <w:proofErr w:type="spellStart"/>
      <w:r>
        <w:rPr>
          <w:color w:val="000000"/>
        </w:rPr>
        <w:t>Sasidhar</w:t>
      </w:r>
      <w:proofErr w:type="spellEnd"/>
      <w:r>
        <w:rPr>
          <w:color w:val="000000"/>
        </w:rPr>
        <w:t xml:space="preserve"> </w:t>
      </w:r>
      <w:proofErr w:type="spellStart"/>
      <w:r>
        <w:rPr>
          <w:color w:val="000000"/>
        </w:rPr>
        <w:t>Gunturu</w:t>
      </w:r>
      <w:proofErr w:type="spellEnd"/>
      <w:r>
        <w:rPr>
          <w:color w:val="000000"/>
        </w:rPr>
        <w:t xml:space="preserve"> (2024). </w:t>
      </w:r>
      <w:r>
        <w:rPr>
          <w:i/>
          <w:iCs/>
          <w:color w:val="000000"/>
        </w:rPr>
        <w:t>Avoidant Restrictive Food Intake Disorder</w:t>
      </w:r>
      <w:r>
        <w:rPr>
          <w:color w:val="000000"/>
        </w:rPr>
        <w:t xml:space="preserve">. [online] Nih.gov. Available at: </w:t>
      </w:r>
      <w:hyperlink r:id="rId26" w:history="1">
        <w:r w:rsidRPr="006028DD">
          <w:rPr>
            <w:rStyle w:val="Hyperlink"/>
          </w:rPr>
          <w:t>https://www.ncbi.nlm.nih.gov/books/NBK603710/</w:t>
        </w:r>
      </w:hyperlink>
      <w:r>
        <w:rPr>
          <w:color w:val="000000"/>
        </w:rPr>
        <w:t xml:space="preserve"> </w:t>
      </w:r>
    </w:p>
    <w:p w14:paraId="6461EEEB" w14:textId="77777777" w:rsidR="00455991" w:rsidRDefault="00455991" w:rsidP="00455991">
      <w:pPr>
        <w:pStyle w:val="NoSpacing"/>
        <w:rPr>
          <w:rFonts w:ascii="Times New Roman" w:hAnsi="Times New Roman" w:cs="Times New Roman"/>
          <w:color w:val="000000"/>
        </w:rPr>
      </w:pPr>
      <w:r>
        <w:rPr>
          <w:color w:val="000000"/>
        </w:rPr>
        <w:t xml:space="preserve">Reed, G.M., First, M.B., Kogan, C.S., Hyman, S.E., </w:t>
      </w:r>
      <w:proofErr w:type="spellStart"/>
      <w:r>
        <w:rPr>
          <w:color w:val="000000"/>
        </w:rPr>
        <w:t>Gureje</w:t>
      </w:r>
      <w:proofErr w:type="spellEnd"/>
      <w:r>
        <w:rPr>
          <w:color w:val="000000"/>
        </w:rPr>
        <w:t xml:space="preserve">, O., </w:t>
      </w:r>
      <w:proofErr w:type="spellStart"/>
      <w:r>
        <w:rPr>
          <w:color w:val="000000"/>
        </w:rPr>
        <w:t>Gaebel</w:t>
      </w:r>
      <w:proofErr w:type="spellEnd"/>
      <w:r>
        <w:rPr>
          <w:color w:val="000000"/>
        </w:rPr>
        <w:t xml:space="preserve">, W., Maj, M., Stein, D.J., </w:t>
      </w:r>
      <w:proofErr w:type="spellStart"/>
      <w:r>
        <w:rPr>
          <w:color w:val="000000"/>
        </w:rPr>
        <w:t>Maercker</w:t>
      </w:r>
      <w:proofErr w:type="spellEnd"/>
      <w:r>
        <w:rPr>
          <w:color w:val="000000"/>
        </w:rPr>
        <w:t xml:space="preserve">, A., </w:t>
      </w:r>
      <w:proofErr w:type="spellStart"/>
      <w:r>
        <w:rPr>
          <w:color w:val="000000"/>
        </w:rPr>
        <w:t>Tyrer</w:t>
      </w:r>
      <w:proofErr w:type="spellEnd"/>
      <w:r>
        <w:rPr>
          <w:color w:val="000000"/>
        </w:rPr>
        <w:t xml:space="preserve">, P., </w:t>
      </w:r>
      <w:proofErr w:type="spellStart"/>
      <w:r>
        <w:rPr>
          <w:color w:val="000000"/>
        </w:rPr>
        <w:t>Claudino</w:t>
      </w:r>
      <w:proofErr w:type="spellEnd"/>
      <w:r>
        <w:rPr>
          <w:color w:val="000000"/>
        </w:rPr>
        <w:t xml:space="preserve">, A., </w:t>
      </w:r>
      <w:proofErr w:type="spellStart"/>
      <w:r>
        <w:rPr>
          <w:color w:val="000000"/>
        </w:rPr>
        <w:t>Garralda</w:t>
      </w:r>
      <w:proofErr w:type="spellEnd"/>
      <w:r>
        <w:rPr>
          <w:color w:val="000000"/>
        </w:rPr>
        <w:t xml:space="preserve">, E., </w:t>
      </w:r>
      <w:proofErr w:type="spellStart"/>
      <w:r>
        <w:rPr>
          <w:color w:val="000000"/>
        </w:rPr>
        <w:t>Salvador</w:t>
      </w:r>
      <w:r>
        <w:rPr>
          <w:rFonts w:ascii="Cambria Math" w:hAnsi="Cambria Math" w:cs="Cambria Math"/>
          <w:color w:val="000000"/>
        </w:rPr>
        <w:t>‐</w:t>
      </w:r>
      <w:r>
        <w:rPr>
          <w:color w:val="000000"/>
        </w:rPr>
        <w:t>Carulla</w:t>
      </w:r>
      <w:proofErr w:type="spellEnd"/>
      <w:r>
        <w:rPr>
          <w:color w:val="000000"/>
        </w:rPr>
        <w:t xml:space="preserve">, L., Ray, R., Saunders, J.B., </w:t>
      </w:r>
      <w:proofErr w:type="spellStart"/>
      <w:r>
        <w:rPr>
          <w:color w:val="000000"/>
        </w:rPr>
        <w:t>Dua</w:t>
      </w:r>
      <w:proofErr w:type="spellEnd"/>
      <w:r>
        <w:rPr>
          <w:color w:val="000000"/>
        </w:rPr>
        <w:t xml:space="preserve">, T., </w:t>
      </w:r>
      <w:proofErr w:type="spellStart"/>
      <w:r>
        <w:rPr>
          <w:color w:val="000000"/>
        </w:rPr>
        <w:t>Poznyak</w:t>
      </w:r>
      <w:proofErr w:type="spellEnd"/>
      <w:r>
        <w:rPr>
          <w:color w:val="000000"/>
        </w:rPr>
        <w:t>, V., Medina</w:t>
      </w:r>
      <w:r>
        <w:rPr>
          <w:rFonts w:ascii="Cambria Math" w:hAnsi="Cambria Math" w:cs="Cambria Math"/>
          <w:color w:val="000000"/>
        </w:rPr>
        <w:t>‐</w:t>
      </w:r>
      <w:r>
        <w:rPr>
          <w:color w:val="000000"/>
        </w:rPr>
        <w:t>Mora, M.E., Pike, K.M.</w:t>
      </w:r>
      <w:r w:rsidR="009059FF">
        <w:rPr>
          <w:color w:val="000000"/>
        </w:rPr>
        <w:t>,</w:t>
      </w:r>
      <w:r>
        <w:rPr>
          <w:color w:val="000000"/>
        </w:rPr>
        <w:t xml:space="preserve"> and </w:t>
      </w:r>
      <w:proofErr w:type="spellStart"/>
      <w:r>
        <w:rPr>
          <w:color w:val="000000"/>
        </w:rPr>
        <w:t>Ayuso</w:t>
      </w:r>
      <w:r>
        <w:rPr>
          <w:rFonts w:ascii="Cambria Math" w:hAnsi="Cambria Math" w:cs="Cambria Math"/>
          <w:color w:val="000000"/>
        </w:rPr>
        <w:t>‐</w:t>
      </w:r>
      <w:r>
        <w:rPr>
          <w:color w:val="000000"/>
        </w:rPr>
        <w:t>Mateos</w:t>
      </w:r>
      <w:proofErr w:type="spellEnd"/>
      <w:r>
        <w:rPr>
          <w:color w:val="000000"/>
        </w:rPr>
        <w:t>, J.L. (2019). Innovations and changes in the ICD</w:t>
      </w:r>
      <w:r>
        <w:rPr>
          <w:rFonts w:ascii="Cambria Math" w:hAnsi="Cambria Math" w:cs="Cambria Math"/>
          <w:color w:val="000000"/>
        </w:rPr>
        <w:t>‐</w:t>
      </w:r>
      <w:r>
        <w:rPr>
          <w:color w:val="000000"/>
        </w:rPr>
        <w:t xml:space="preserve">11 classification of mental, </w:t>
      </w:r>
      <w:proofErr w:type="spellStart"/>
      <w:r>
        <w:rPr>
          <w:color w:val="000000"/>
        </w:rPr>
        <w:t>behavioural</w:t>
      </w:r>
      <w:proofErr w:type="spellEnd"/>
      <w:r w:rsidR="009059FF">
        <w:rPr>
          <w:color w:val="000000"/>
        </w:rPr>
        <w:t>,</w:t>
      </w:r>
      <w:r>
        <w:rPr>
          <w:color w:val="000000"/>
        </w:rPr>
        <w:t xml:space="preserve"> and </w:t>
      </w:r>
      <w:proofErr w:type="spellStart"/>
      <w:r>
        <w:rPr>
          <w:color w:val="000000"/>
        </w:rPr>
        <w:t>neurodevelopmental</w:t>
      </w:r>
      <w:proofErr w:type="spellEnd"/>
      <w:r>
        <w:rPr>
          <w:color w:val="000000"/>
        </w:rPr>
        <w:t xml:space="preserve"> disorders. </w:t>
      </w:r>
      <w:r>
        <w:rPr>
          <w:i/>
          <w:iCs/>
          <w:color w:val="000000"/>
        </w:rPr>
        <w:t>World Psychiatry</w:t>
      </w:r>
      <w:r>
        <w:rPr>
          <w:color w:val="000000"/>
        </w:rPr>
        <w:t xml:space="preserve">, [online] 18(1), pp.3–19. </w:t>
      </w:r>
      <w:hyperlink r:id="rId27" w:history="1">
        <w:r w:rsidRPr="006028DD">
          <w:rPr>
            <w:rStyle w:val="Hyperlink"/>
          </w:rPr>
          <w:t>https://doi.org/10.1002/wps.20611</w:t>
        </w:r>
      </w:hyperlink>
      <w:r>
        <w:rPr>
          <w:color w:val="000000"/>
        </w:rPr>
        <w:t xml:space="preserve">. </w:t>
      </w:r>
    </w:p>
    <w:p w14:paraId="1C1792C0" w14:textId="77777777" w:rsidR="00455991" w:rsidRDefault="00455991" w:rsidP="00455991">
      <w:pPr>
        <w:pStyle w:val="NoSpacing"/>
        <w:rPr>
          <w:rFonts w:ascii="Times New Roman" w:hAnsi="Times New Roman" w:cs="Times New Roman"/>
          <w:color w:val="000000"/>
        </w:rPr>
      </w:pPr>
      <w:proofErr w:type="spellStart"/>
      <w:r>
        <w:rPr>
          <w:color w:val="000000"/>
        </w:rPr>
        <w:t>Rodan</w:t>
      </w:r>
      <w:proofErr w:type="spellEnd"/>
      <w:r>
        <w:rPr>
          <w:color w:val="000000"/>
        </w:rPr>
        <w:t xml:space="preserve">, S.-C., Bryant, E., Le, A., Maloney, D., </w:t>
      </w:r>
      <w:proofErr w:type="spellStart"/>
      <w:r>
        <w:rPr>
          <w:color w:val="000000"/>
        </w:rPr>
        <w:t>Touyz</w:t>
      </w:r>
      <w:proofErr w:type="spellEnd"/>
      <w:r>
        <w:rPr>
          <w:color w:val="000000"/>
        </w:rPr>
        <w:t xml:space="preserve">, S., McGregor, I.S., Maguire, S., </w:t>
      </w:r>
      <w:proofErr w:type="spellStart"/>
      <w:r>
        <w:rPr>
          <w:color w:val="000000"/>
        </w:rPr>
        <w:t>Aouad</w:t>
      </w:r>
      <w:proofErr w:type="spellEnd"/>
      <w:r>
        <w:rPr>
          <w:color w:val="000000"/>
        </w:rPr>
        <w:t xml:space="preserve">, P., Barakat, S., </w:t>
      </w:r>
      <w:proofErr w:type="spellStart"/>
      <w:r>
        <w:rPr>
          <w:color w:val="000000"/>
        </w:rPr>
        <w:t>Boakes</w:t>
      </w:r>
      <w:proofErr w:type="spellEnd"/>
      <w:r>
        <w:rPr>
          <w:color w:val="000000"/>
        </w:rPr>
        <w:t xml:space="preserve">, R., Brennan, L., Bryant, E., Byrne, S., Caldwell, B., Calvert, S., Carroll, B., Castle, D., </w:t>
      </w:r>
      <w:proofErr w:type="spellStart"/>
      <w:r>
        <w:rPr>
          <w:color w:val="000000"/>
        </w:rPr>
        <w:t>Caterson</w:t>
      </w:r>
      <w:proofErr w:type="spellEnd"/>
      <w:r>
        <w:rPr>
          <w:color w:val="000000"/>
        </w:rPr>
        <w:t xml:space="preserve">, I., </w:t>
      </w:r>
      <w:proofErr w:type="spellStart"/>
      <w:r>
        <w:rPr>
          <w:color w:val="000000"/>
        </w:rPr>
        <w:t>Chelius</w:t>
      </w:r>
      <w:proofErr w:type="spellEnd"/>
      <w:r>
        <w:rPr>
          <w:color w:val="000000"/>
        </w:rPr>
        <w:t xml:space="preserve">, B. and </w:t>
      </w:r>
      <w:proofErr w:type="spellStart"/>
      <w:r>
        <w:rPr>
          <w:color w:val="000000"/>
        </w:rPr>
        <w:t>Chiem</w:t>
      </w:r>
      <w:proofErr w:type="spellEnd"/>
      <w:r>
        <w:rPr>
          <w:color w:val="000000"/>
        </w:rPr>
        <w:t>, L. (2023). Pharmacotherapy, alternative and adjunctive therapies for eating disorders: findings from a rapid review. </w:t>
      </w:r>
      <w:r>
        <w:rPr>
          <w:i/>
          <w:iCs/>
          <w:color w:val="000000"/>
        </w:rPr>
        <w:t>Journal of Eating Disorders</w:t>
      </w:r>
      <w:r>
        <w:rPr>
          <w:color w:val="000000"/>
        </w:rPr>
        <w:t xml:space="preserve">, [online] 11(1). </w:t>
      </w:r>
      <w:hyperlink r:id="rId28" w:history="1">
        <w:r w:rsidRPr="006028DD">
          <w:rPr>
            <w:rStyle w:val="Hyperlink"/>
          </w:rPr>
          <w:t>https://doi.org/10.1186/s40337-023-00833-9</w:t>
        </w:r>
      </w:hyperlink>
      <w:r>
        <w:rPr>
          <w:color w:val="000000"/>
        </w:rPr>
        <w:t xml:space="preserve">. </w:t>
      </w:r>
    </w:p>
    <w:p w14:paraId="4F65A05F" w14:textId="77777777" w:rsidR="00455991" w:rsidRDefault="00455991" w:rsidP="00455991">
      <w:pPr>
        <w:pStyle w:val="NoSpacing"/>
        <w:rPr>
          <w:color w:val="000000"/>
        </w:rPr>
      </w:pPr>
      <w:r>
        <w:rPr>
          <w:color w:val="000000"/>
        </w:rPr>
        <w:t xml:space="preserve">Ryan, E.G., Gao, C.X., Grantham, K.L., </w:t>
      </w:r>
      <w:proofErr w:type="spellStart"/>
      <w:r>
        <w:rPr>
          <w:color w:val="000000"/>
        </w:rPr>
        <w:t>Thi</w:t>
      </w:r>
      <w:proofErr w:type="spellEnd"/>
      <w:r>
        <w:rPr>
          <w:color w:val="000000"/>
        </w:rPr>
        <w:t xml:space="preserve">, L., </w:t>
      </w:r>
      <w:proofErr w:type="spellStart"/>
      <w:r>
        <w:rPr>
          <w:color w:val="000000"/>
        </w:rPr>
        <w:t>Anaïs</w:t>
      </w:r>
      <w:proofErr w:type="spellEnd"/>
      <w:r>
        <w:rPr>
          <w:color w:val="000000"/>
        </w:rPr>
        <w:t xml:space="preserve"> Charles</w:t>
      </w:r>
      <w:r>
        <w:rPr>
          <w:rFonts w:ascii="Cambria Math" w:hAnsi="Cambria Math" w:cs="Cambria Math"/>
          <w:color w:val="000000"/>
        </w:rPr>
        <w:t>‐</w:t>
      </w:r>
      <w:r>
        <w:rPr>
          <w:color w:val="000000"/>
        </w:rPr>
        <w:t xml:space="preserve">Nelson, Bowden, R., </w:t>
      </w:r>
      <w:proofErr w:type="spellStart"/>
      <w:r>
        <w:rPr>
          <w:color w:val="000000"/>
        </w:rPr>
        <w:t>Herschtal</w:t>
      </w:r>
      <w:proofErr w:type="spellEnd"/>
      <w:r>
        <w:rPr>
          <w:color w:val="000000"/>
        </w:rPr>
        <w:t xml:space="preserve">, A., Lee, K.J., Forbes, A.B., </w:t>
      </w:r>
      <w:proofErr w:type="spellStart"/>
      <w:r>
        <w:rPr>
          <w:color w:val="000000"/>
        </w:rPr>
        <w:t>Heritier</w:t>
      </w:r>
      <w:proofErr w:type="spellEnd"/>
      <w:r>
        <w:rPr>
          <w:color w:val="000000"/>
        </w:rPr>
        <w:t xml:space="preserve">, S., </w:t>
      </w:r>
      <w:proofErr w:type="spellStart"/>
      <w:r>
        <w:rPr>
          <w:color w:val="000000"/>
        </w:rPr>
        <w:t>Phillipou</w:t>
      </w:r>
      <w:proofErr w:type="spellEnd"/>
      <w:r>
        <w:rPr>
          <w:color w:val="000000"/>
        </w:rPr>
        <w:t>, A.</w:t>
      </w:r>
      <w:r w:rsidR="009059FF">
        <w:rPr>
          <w:color w:val="000000"/>
        </w:rPr>
        <w:t>,</w:t>
      </w:r>
      <w:r>
        <w:rPr>
          <w:color w:val="000000"/>
        </w:rPr>
        <w:t xml:space="preserve"> and Wolfe, R. (2024). Advancing </w:t>
      </w:r>
      <w:proofErr w:type="spellStart"/>
      <w:r w:rsidR="000E7450">
        <w:rPr>
          <w:color w:val="000000"/>
        </w:rPr>
        <w:t>randomised</w:t>
      </w:r>
      <w:proofErr w:type="spellEnd"/>
      <w:r>
        <w:rPr>
          <w:color w:val="000000"/>
        </w:rPr>
        <w:t xml:space="preserve"> controlled trial methodologies: The place of innovative trial design in eating disorders research. </w:t>
      </w:r>
      <w:r>
        <w:rPr>
          <w:i/>
          <w:iCs/>
          <w:color w:val="000000"/>
        </w:rPr>
        <w:t>International Journal of Eating Disorders</w:t>
      </w:r>
      <w:r>
        <w:rPr>
          <w:color w:val="000000"/>
        </w:rPr>
        <w:t xml:space="preserve">, [online] 57(6), pp.1337–1349. </w:t>
      </w:r>
      <w:hyperlink r:id="rId29" w:history="1">
        <w:r w:rsidRPr="006028DD">
          <w:rPr>
            <w:rStyle w:val="Hyperlink"/>
          </w:rPr>
          <w:t>https://doi.org/10.1002/eat.24187</w:t>
        </w:r>
      </w:hyperlink>
      <w:r>
        <w:rPr>
          <w:color w:val="000000"/>
        </w:rPr>
        <w:t xml:space="preserve">. </w:t>
      </w:r>
    </w:p>
    <w:p w14:paraId="08C64770" w14:textId="77777777" w:rsidR="00455991" w:rsidRPr="00E86BD2" w:rsidRDefault="00455991" w:rsidP="00455991">
      <w:pPr>
        <w:pStyle w:val="NoSpacing"/>
      </w:pPr>
      <w:proofErr w:type="spellStart"/>
      <w:r w:rsidRPr="00E86BD2">
        <w:t>Santomauro</w:t>
      </w:r>
      <w:proofErr w:type="spellEnd"/>
      <w:r w:rsidRPr="00E86BD2">
        <w:t xml:space="preserve">, D. F., </w:t>
      </w:r>
      <w:proofErr w:type="spellStart"/>
      <w:r w:rsidRPr="00E86BD2">
        <w:t>Melen</w:t>
      </w:r>
      <w:proofErr w:type="spellEnd"/>
      <w:r w:rsidRPr="00E86BD2">
        <w:t xml:space="preserve">, S., </w:t>
      </w:r>
      <w:proofErr w:type="spellStart"/>
      <w:r w:rsidRPr="00E86BD2">
        <w:t>Mitchison</w:t>
      </w:r>
      <w:proofErr w:type="spellEnd"/>
      <w:r w:rsidRPr="00E86BD2">
        <w:t xml:space="preserve">, D., Vos, T., Whiteford, H., </w:t>
      </w:r>
      <w:r>
        <w:t>and</w:t>
      </w:r>
      <w:r w:rsidRPr="00E86BD2">
        <w:t xml:space="preserve"> Ferrari, A. J. (2021). The hidden burden of eating disorders: an extension of estimates from the Global Burden of Disease Study 2019. </w:t>
      </w:r>
      <w:r w:rsidRPr="00E86BD2">
        <w:rPr>
          <w:i/>
          <w:iCs/>
        </w:rPr>
        <w:t>The Lancet Psychiatry</w:t>
      </w:r>
      <w:r w:rsidRPr="00E86BD2">
        <w:t>, </w:t>
      </w:r>
      <w:r w:rsidRPr="00E86BD2">
        <w:rPr>
          <w:i/>
          <w:iCs/>
        </w:rPr>
        <w:t>8</w:t>
      </w:r>
      <w:r w:rsidRPr="00E86BD2">
        <w:t xml:space="preserve">(4), 320–328. </w:t>
      </w:r>
      <w:hyperlink r:id="rId30" w:history="1">
        <w:r w:rsidRPr="00E86BD2">
          <w:rPr>
            <w:rStyle w:val="Hyperlink"/>
          </w:rPr>
          <w:t>https://doi.org/10.1016/s2215-0366(21)00040-7</w:t>
        </w:r>
      </w:hyperlink>
      <w:r>
        <w:t xml:space="preserve"> </w:t>
      </w:r>
    </w:p>
    <w:p w14:paraId="39AF4EE2" w14:textId="77777777" w:rsidR="00455991" w:rsidRDefault="00455991" w:rsidP="00455991">
      <w:pPr>
        <w:pStyle w:val="NoSpacing"/>
        <w:rPr>
          <w:rFonts w:ascii="Times New Roman" w:hAnsi="Times New Roman" w:cs="Times New Roman"/>
        </w:rPr>
      </w:pPr>
      <w:r w:rsidRPr="00E86BD2">
        <w:rPr>
          <w:rFonts w:ascii="Times New Roman" w:eastAsia="Times New Roman" w:hAnsi="Times New Roman" w:cs="Times New Roman"/>
          <w:szCs w:val="24"/>
        </w:rPr>
        <w:t>‌</w:t>
      </w:r>
      <w:r>
        <w:t xml:space="preserve">Stein, D.J., </w:t>
      </w:r>
      <w:proofErr w:type="spellStart"/>
      <w:r>
        <w:t>Szatmari</w:t>
      </w:r>
      <w:proofErr w:type="spellEnd"/>
      <w:r>
        <w:t xml:space="preserve">, P., </w:t>
      </w:r>
      <w:proofErr w:type="spellStart"/>
      <w:r>
        <w:t>Gaebel</w:t>
      </w:r>
      <w:proofErr w:type="spellEnd"/>
      <w:r>
        <w:t xml:space="preserve">, W., Berk, M., Vieta, E., Maj, M., de Vries, Y.A., </w:t>
      </w:r>
      <w:proofErr w:type="spellStart"/>
      <w:r>
        <w:t>Roest</w:t>
      </w:r>
      <w:proofErr w:type="spellEnd"/>
      <w:r>
        <w:t xml:space="preserve">, A.M., de </w:t>
      </w:r>
      <w:proofErr w:type="spellStart"/>
      <w:r>
        <w:t>Jonge</w:t>
      </w:r>
      <w:proofErr w:type="spellEnd"/>
      <w:r>
        <w:t xml:space="preserve">, P., </w:t>
      </w:r>
      <w:proofErr w:type="spellStart"/>
      <w:r>
        <w:t>Maercker</w:t>
      </w:r>
      <w:proofErr w:type="spellEnd"/>
      <w:r>
        <w:t xml:space="preserve">, A., Brewin, C.R., Pike, K.M., </w:t>
      </w:r>
      <w:proofErr w:type="spellStart"/>
      <w:r>
        <w:t>Grilo</w:t>
      </w:r>
      <w:proofErr w:type="spellEnd"/>
      <w:r>
        <w:t xml:space="preserve">, C.M., </w:t>
      </w:r>
      <w:proofErr w:type="spellStart"/>
      <w:r>
        <w:t>Fineberg</w:t>
      </w:r>
      <w:proofErr w:type="spellEnd"/>
      <w:r>
        <w:t xml:space="preserve">, N.A., </w:t>
      </w:r>
      <w:proofErr w:type="spellStart"/>
      <w:r>
        <w:t>Briken</w:t>
      </w:r>
      <w:proofErr w:type="spellEnd"/>
      <w:r>
        <w:t xml:space="preserve">, P., </w:t>
      </w:r>
      <w:proofErr w:type="spellStart"/>
      <w:r>
        <w:t>Cohen-Kettenis</w:t>
      </w:r>
      <w:proofErr w:type="spellEnd"/>
      <w:r>
        <w:t xml:space="preserve">, P.T. and Reed, G.M. (2020). Mental, </w:t>
      </w:r>
      <w:proofErr w:type="spellStart"/>
      <w:r w:rsidR="000E7450">
        <w:t>behavioural</w:t>
      </w:r>
      <w:proofErr w:type="spellEnd"/>
      <w:r>
        <w:t xml:space="preserve"> and </w:t>
      </w:r>
      <w:proofErr w:type="spellStart"/>
      <w:r>
        <w:t>neurodevelopmental</w:t>
      </w:r>
      <w:proofErr w:type="spellEnd"/>
      <w:r>
        <w:t xml:space="preserve"> disorders in the ICD-11: an international perspective on key changes and controversies. </w:t>
      </w:r>
      <w:r>
        <w:rPr>
          <w:i/>
          <w:iCs/>
        </w:rPr>
        <w:t>BMC Medicine</w:t>
      </w:r>
      <w:r>
        <w:t xml:space="preserve">, [online] 18(1). </w:t>
      </w:r>
      <w:hyperlink r:id="rId31" w:history="1">
        <w:r w:rsidR="001C47EC" w:rsidRPr="006028DD">
          <w:rPr>
            <w:rStyle w:val="Hyperlink"/>
          </w:rPr>
          <w:t>https://doi.org/10.1186/s12916-020-1495-2</w:t>
        </w:r>
      </w:hyperlink>
      <w:r>
        <w:t>.</w:t>
      </w:r>
      <w:r w:rsidR="001C47EC">
        <w:t xml:space="preserve"> </w:t>
      </w:r>
    </w:p>
    <w:p w14:paraId="1571FA9D" w14:textId="77777777" w:rsidR="00455991" w:rsidRPr="00E86BD2" w:rsidRDefault="00455991" w:rsidP="00455991">
      <w:pPr>
        <w:pStyle w:val="NoSpacing"/>
      </w:pPr>
      <w:r w:rsidRPr="00E86BD2">
        <w:rPr>
          <w:rFonts w:ascii="Times New Roman" w:eastAsia="Times New Roman" w:hAnsi="Times New Roman" w:cs="Times New Roman"/>
          <w:szCs w:val="24"/>
        </w:rPr>
        <w:t>‌</w:t>
      </w:r>
      <w:proofErr w:type="spellStart"/>
      <w:r w:rsidRPr="00E86BD2">
        <w:t>Taquet</w:t>
      </w:r>
      <w:proofErr w:type="spellEnd"/>
      <w:r w:rsidRPr="00E86BD2">
        <w:t xml:space="preserve">, M., Geddes, J. R., Luciano, S., </w:t>
      </w:r>
      <w:r>
        <w:t>and</w:t>
      </w:r>
      <w:r w:rsidRPr="00E86BD2">
        <w:t xml:space="preserve"> Harrison, P. J. (2021). Incidence and outcomes of eating disorders during the COVID-19 pandemic. </w:t>
      </w:r>
      <w:r w:rsidRPr="00E86BD2">
        <w:rPr>
          <w:i/>
          <w:iCs/>
        </w:rPr>
        <w:t>The British Journal of Psychiatry</w:t>
      </w:r>
      <w:r w:rsidRPr="00E86BD2">
        <w:t>, </w:t>
      </w:r>
      <w:r w:rsidRPr="00E86BD2">
        <w:rPr>
          <w:i/>
          <w:iCs/>
        </w:rPr>
        <w:t>220</w:t>
      </w:r>
      <w:r w:rsidRPr="00E86BD2">
        <w:t xml:space="preserve">(5), 262–264. </w:t>
      </w:r>
      <w:hyperlink r:id="rId32" w:history="1">
        <w:r w:rsidRPr="006028DD">
          <w:rPr>
            <w:rStyle w:val="Hyperlink"/>
          </w:rPr>
          <w:t>https://doi.org/10.1192/bjp.2021.105</w:t>
        </w:r>
      </w:hyperlink>
      <w:r>
        <w:t xml:space="preserve"> </w:t>
      </w:r>
    </w:p>
    <w:p w14:paraId="50A80997" w14:textId="77777777" w:rsidR="00455991" w:rsidRDefault="00455991" w:rsidP="00455991">
      <w:pPr>
        <w:pStyle w:val="NoSpacing"/>
        <w:rPr>
          <w:color w:val="000000"/>
        </w:rPr>
      </w:pPr>
      <w:r>
        <w:rPr>
          <w:color w:val="000000"/>
        </w:rPr>
        <w:t>‌</w:t>
      </w:r>
      <w:proofErr w:type="spellStart"/>
      <w:r>
        <w:rPr>
          <w:shd w:val="clear" w:color="auto" w:fill="FFFFFF"/>
        </w:rPr>
        <w:t>Torous</w:t>
      </w:r>
      <w:proofErr w:type="spellEnd"/>
      <w:r>
        <w:rPr>
          <w:shd w:val="clear" w:color="auto" w:fill="FFFFFF"/>
        </w:rPr>
        <w:t xml:space="preserve">, J., Bucci, S., Bell, I.H., </w:t>
      </w:r>
      <w:proofErr w:type="spellStart"/>
      <w:r>
        <w:rPr>
          <w:shd w:val="clear" w:color="auto" w:fill="FFFFFF"/>
        </w:rPr>
        <w:t>Kessing</w:t>
      </w:r>
      <w:proofErr w:type="spellEnd"/>
      <w:r>
        <w:rPr>
          <w:shd w:val="clear" w:color="auto" w:fill="FFFFFF"/>
        </w:rPr>
        <w:t xml:space="preserve">, L.V., </w:t>
      </w:r>
      <w:proofErr w:type="spellStart"/>
      <w:r>
        <w:rPr>
          <w:shd w:val="clear" w:color="auto" w:fill="FFFFFF"/>
        </w:rPr>
        <w:t>Faurholt</w:t>
      </w:r>
      <w:r>
        <w:rPr>
          <w:rFonts w:ascii="Cambria Math" w:hAnsi="Cambria Math" w:cs="Cambria Math"/>
          <w:shd w:val="clear" w:color="auto" w:fill="FFFFFF"/>
        </w:rPr>
        <w:t>‐</w:t>
      </w:r>
      <w:r>
        <w:rPr>
          <w:shd w:val="clear" w:color="auto" w:fill="FFFFFF"/>
        </w:rPr>
        <w:t>Jepsen</w:t>
      </w:r>
      <w:proofErr w:type="spellEnd"/>
      <w:r>
        <w:rPr>
          <w:shd w:val="clear" w:color="auto" w:fill="FFFFFF"/>
        </w:rPr>
        <w:t xml:space="preserve">, M., Whelan, P., Carvalho, A.F., </w:t>
      </w:r>
      <w:proofErr w:type="spellStart"/>
      <w:r>
        <w:rPr>
          <w:shd w:val="clear" w:color="auto" w:fill="FFFFFF"/>
        </w:rPr>
        <w:t>Keshavan</w:t>
      </w:r>
      <w:proofErr w:type="spellEnd"/>
      <w:r>
        <w:rPr>
          <w:shd w:val="clear" w:color="auto" w:fill="FFFFFF"/>
        </w:rPr>
        <w:t xml:space="preserve">, M., </w:t>
      </w:r>
      <w:proofErr w:type="spellStart"/>
      <w:r>
        <w:rPr>
          <w:shd w:val="clear" w:color="auto" w:fill="FFFFFF"/>
        </w:rPr>
        <w:t>Linardon</w:t>
      </w:r>
      <w:proofErr w:type="spellEnd"/>
      <w:r>
        <w:rPr>
          <w:shd w:val="clear" w:color="auto" w:fill="FFFFFF"/>
        </w:rPr>
        <w:t>, J. and Firth, J., 2021. The growing field of digital psychiatry: current evidence and the future of apps, social media, chatbots, and virtual reality. </w:t>
      </w:r>
      <w:r>
        <w:rPr>
          <w:i/>
          <w:iCs/>
          <w:shd w:val="clear" w:color="auto" w:fill="FFFFFF"/>
        </w:rPr>
        <w:t>World psychiatry</w:t>
      </w:r>
      <w:r>
        <w:rPr>
          <w:shd w:val="clear" w:color="auto" w:fill="FFFFFF"/>
        </w:rPr>
        <w:t>, </w:t>
      </w:r>
      <w:r>
        <w:rPr>
          <w:i/>
          <w:iCs/>
          <w:shd w:val="clear" w:color="auto" w:fill="FFFFFF"/>
        </w:rPr>
        <w:t>20</w:t>
      </w:r>
      <w:r>
        <w:rPr>
          <w:shd w:val="clear" w:color="auto" w:fill="FFFFFF"/>
        </w:rPr>
        <w:t>(3), pp.318-335.</w:t>
      </w:r>
    </w:p>
    <w:p w14:paraId="5984B44E" w14:textId="77777777" w:rsidR="00455991" w:rsidRDefault="00455991" w:rsidP="00455991">
      <w:pPr>
        <w:pStyle w:val="NoSpacing"/>
        <w:rPr>
          <w:shd w:val="clear" w:color="auto" w:fill="FFFFFF"/>
        </w:rPr>
      </w:pPr>
      <w:r>
        <w:rPr>
          <w:color w:val="000000"/>
        </w:rPr>
        <w:t>‌</w:t>
      </w:r>
      <w:r>
        <w:rPr>
          <w:shd w:val="clear" w:color="auto" w:fill="FFFFFF"/>
        </w:rPr>
        <w:t>Viljoen, D., Ayton, A., Roberts, L., Twitchell, M.</w:t>
      </w:r>
      <w:r w:rsidR="003837C4">
        <w:rPr>
          <w:shd w:val="clear" w:color="auto" w:fill="FFFFFF"/>
        </w:rPr>
        <w:t>,</w:t>
      </w:r>
      <w:r>
        <w:rPr>
          <w:shd w:val="clear" w:color="auto" w:fill="FFFFFF"/>
        </w:rPr>
        <w:t xml:space="preserve"> and Collins, L., 2024. Applying integrated enhanced cognitive </w:t>
      </w:r>
      <w:proofErr w:type="spellStart"/>
      <w:r>
        <w:rPr>
          <w:shd w:val="clear" w:color="auto" w:fill="FFFFFF"/>
        </w:rPr>
        <w:t>behaviour</w:t>
      </w:r>
      <w:proofErr w:type="spellEnd"/>
      <w:r>
        <w:rPr>
          <w:shd w:val="clear" w:color="auto" w:fill="FFFFFF"/>
        </w:rPr>
        <w:t xml:space="preserve"> therapy (I-CBTE) to severe and longstanding eating disorders (SEED) Paper 2: An in-depth case study for clinicians. </w:t>
      </w:r>
      <w:r>
        <w:rPr>
          <w:i/>
          <w:iCs/>
          <w:shd w:val="clear" w:color="auto" w:fill="FFFFFF"/>
        </w:rPr>
        <w:t>Journal of Eating Disorders</w:t>
      </w:r>
      <w:r>
        <w:rPr>
          <w:shd w:val="clear" w:color="auto" w:fill="FFFFFF"/>
        </w:rPr>
        <w:t>, </w:t>
      </w:r>
      <w:r>
        <w:rPr>
          <w:i/>
          <w:iCs/>
          <w:shd w:val="clear" w:color="auto" w:fill="FFFFFF"/>
        </w:rPr>
        <w:t>12</w:t>
      </w:r>
      <w:r>
        <w:rPr>
          <w:shd w:val="clear" w:color="auto" w:fill="FFFFFF"/>
        </w:rPr>
        <w:t>(1), p.172.</w:t>
      </w:r>
    </w:p>
    <w:p w14:paraId="5305F4FE" w14:textId="77777777" w:rsidR="00455991" w:rsidRDefault="00455991" w:rsidP="00455991">
      <w:pPr>
        <w:pStyle w:val="NoSpacing"/>
        <w:rPr>
          <w:rFonts w:ascii="Times New Roman" w:hAnsi="Times New Roman" w:cs="Times New Roman"/>
          <w:color w:val="000000"/>
        </w:rPr>
      </w:pPr>
      <w:r>
        <w:rPr>
          <w:color w:val="000000"/>
        </w:rPr>
        <w:t xml:space="preserve">Waller, G. and Beard, J. (2024). Recent Advances in </w:t>
      </w:r>
      <w:proofErr w:type="spellStart"/>
      <w:r>
        <w:rPr>
          <w:color w:val="000000"/>
        </w:rPr>
        <w:t>Cognitive-Behavioural</w:t>
      </w:r>
      <w:proofErr w:type="spellEnd"/>
      <w:r>
        <w:rPr>
          <w:color w:val="000000"/>
        </w:rPr>
        <w:t xml:space="preserve"> Therapy for Eating Disorders (CBT-ED). </w:t>
      </w:r>
      <w:r>
        <w:rPr>
          <w:i/>
          <w:iCs/>
          <w:color w:val="000000"/>
        </w:rPr>
        <w:t>Current Psychiatry Reports</w:t>
      </w:r>
      <w:r>
        <w:rPr>
          <w:color w:val="000000"/>
        </w:rPr>
        <w:t>, [online] 26(7), pp.351–358. https://doi.org/10.1007/s11920-024-01509-0.</w:t>
      </w:r>
      <w:r w:rsidR="001C47EC">
        <w:rPr>
          <w:color w:val="000000"/>
        </w:rPr>
        <w:t xml:space="preserve"> </w:t>
      </w:r>
    </w:p>
    <w:p w14:paraId="26949A41" w14:textId="77777777" w:rsidR="00455991" w:rsidRDefault="00455991" w:rsidP="00455991">
      <w:pPr>
        <w:pStyle w:val="NoSpacing"/>
      </w:pPr>
      <w:r>
        <w:t xml:space="preserve">WHO (2024). </w:t>
      </w:r>
      <w:r>
        <w:rPr>
          <w:rStyle w:val="Emphasis"/>
        </w:rPr>
        <w:t>ICD-11 for Mortality and Morbidity Statistics — Feeding or eating disorders (browse11)</w:t>
      </w:r>
      <w:r>
        <w:t xml:space="preserve">. </w:t>
      </w:r>
      <w:hyperlink r:id="rId33" w:history="1">
        <w:r w:rsidRPr="006028DD">
          <w:rPr>
            <w:rStyle w:val="Hyperlink"/>
          </w:rPr>
          <w:t>https://icd.who.int/browse/2025-01/mms/en</w:t>
        </w:r>
      </w:hyperlink>
      <w:r>
        <w:t xml:space="preserve"> </w:t>
      </w:r>
    </w:p>
    <w:p w14:paraId="2DEE6B42" w14:textId="77777777" w:rsidR="00455991" w:rsidRDefault="00455991" w:rsidP="00455991">
      <w:pPr>
        <w:pStyle w:val="NoSpacing"/>
        <w:rPr>
          <w:rFonts w:ascii="Times New Roman" w:hAnsi="Times New Roman" w:cs="Times New Roman"/>
          <w:color w:val="000000"/>
        </w:rPr>
      </w:pPr>
      <w:r>
        <w:rPr>
          <w:color w:val="000000"/>
        </w:rPr>
        <w:t xml:space="preserve">Wu, K., Lo, Y.T., </w:t>
      </w:r>
      <w:proofErr w:type="spellStart"/>
      <w:r>
        <w:rPr>
          <w:color w:val="000000"/>
        </w:rPr>
        <w:t>Cavaleri</w:t>
      </w:r>
      <w:proofErr w:type="spellEnd"/>
      <w:r>
        <w:rPr>
          <w:color w:val="000000"/>
        </w:rPr>
        <w:t xml:space="preserve">, J., </w:t>
      </w:r>
      <w:proofErr w:type="spellStart"/>
      <w:r>
        <w:rPr>
          <w:color w:val="000000"/>
        </w:rPr>
        <w:t>Bergosh</w:t>
      </w:r>
      <w:proofErr w:type="spellEnd"/>
      <w:r>
        <w:rPr>
          <w:color w:val="000000"/>
        </w:rPr>
        <w:t xml:space="preserve">, M., </w:t>
      </w:r>
      <w:proofErr w:type="spellStart"/>
      <w:r>
        <w:rPr>
          <w:color w:val="000000"/>
        </w:rPr>
        <w:t>Ipe</w:t>
      </w:r>
      <w:proofErr w:type="spellEnd"/>
      <w:r>
        <w:rPr>
          <w:color w:val="000000"/>
        </w:rPr>
        <w:t xml:space="preserve">, J., Briggs, R.G., Jann, K.B., Murray, S.B., Mason, X.L., Liu, C.Y. and Lee, D.J. (2024). Neuromodulation of Eating Disorders: A Review of Underlying Neural Network Activity and </w:t>
      </w:r>
      <w:proofErr w:type="spellStart"/>
      <w:r>
        <w:rPr>
          <w:color w:val="000000"/>
        </w:rPr>
        <w:t>Neuromodulatory</w:t>
      </w:r>
      <w:proofErr w:type="spellEnd"/>
      <w:r>
        <w:rPr>
          <w:color w:val="000000"/>
        </w:rPr>
        <w:t xml:space="preserve"> Treatments. </w:t>
      </w:r>
      <w:r>
        <w:rPr>
          <w:i/>
          <w:iCs/>
          <w:color w:val="000000"/>
        </w:rPr>
        <w:t>Brain Sciences</w:t>
      </w:r>
      <w:r>
        <w:rPr>
          <w:color w:val="000000"/>
        </w:rPr>
        <w:t xml:space="preserve">, [online] 14(3), pp.200–200. </w:t>
      </w:r>
      <w:hyperlink r:id="rId34" w:history="1">
        <w:r w:rsidRPr="006028DD">
          <w:rPr>
            <w:rStyle w:val="Hyperlink"/>
          </w:rPr>
          <w:t>https://doi.org/10.3390/brainsci14030200</w:t>
        </w:r>
      </w:hyperlink>
      <w:r>
        <w:rPr>
          <w:color w:val="000000"/>
        </w:rPr>
        <w:t xml:space="preserve">. </w:t>
      </w:r>
    </w:p>
    <w:p w14:paraId="2E958CEF" w14:textId="77777777" w:rsidR="00455991" w:rsidRDefault="00455991" w:rsidP="00455991">
      <w:pPr>
        <w:pStyle w:val="NoSpacing"/>
        <w:rPr>
          <w:rFonts w:ascii="Times New Roman" w:hAnsi="Times New Roman" w:cs="Times New Roman"/>
          <w:color w:val="000000"/>
        </w:rPr>
      </w:pPr>
      <w:r>
        <w:rPr>
          <w:color w:val="000000"/>
        </w:rPr>
        <w:t xml:space="preserve">Wu, K., Lo, Y.T., </w:t>
      </w:r>
      <w:proofErr w:type="spellStart"/>
      <w:r>
        <w:rPr>
          <w:color w:val="000000"/>
        </w:rPr>
        <w:t>Cavaleri</w:t>
      </w:r>
      <w:proofErr w:type="spellEnd"/>
      <w:r>
        <w:rPr>
          <w:color w:val="000000"/>
        </w:rPr>
        <w:t xml:space="preserve">, J., </w:t>
      </w:r>
      <w:proofErr w:type="spellStart"/>
      <w:r>
        <w:rPr>
          <w:color w:val="000000"/>
        </w:rPr>
        <w:t>Bergosh</w:t>
      </w:r>
      <w:proofErr w:type="spellEnd"/>
      <w:r>
        <w:rPr>
          <w:color w:val="000000"/>
        </w:rPr>
        <w:t xml:space="preserve">, M., </w:t>
      </w:r>
      <w:proofErr w:type="spellStart"/>
      <w:r>
        <w:rPr>
          <w:color w:val="000000"/>
        </w:rPr>
        <w:t>Ipe</w:t>
      </w:r>
      <w:proofErr w:type="spellEnd"/>
      <w:r>
        <w:rPr>
          <w:color w:val="000000"/>
        </w:rPr>
        <w:t xml:space="preserve">, J., Briggs, R.G., Jann, K.B., Murray, S.B., Mason, X.L., Liu, C.Y. and Lee, D.J. (2024). Neuromodulation of Eating Disorders: A Review of Underlying Neural Network Activity and </w:t>
      </w:r>
      <w:proofErr w:type="spellStart"/>
      <w:r>
        <w:rPr>
          <w:color w:val="000000"/>
        </w:rPr>
        <w:t>Neuromodulatory</w:t>
      </w:r>
      <w:proofErr w:type="spellEnd"/>
      <w:r>
        <w:rPr>
          <w:color w:val="000000"/>
        </w:rPr>
        <w:t xml:space="preserve"> Treatments. </w:t>
      </w:r>
      <w:r>
        <w:rPr>
          <w:i/>
          <w:iCs/>
          <w:color w:val="000000"/>
        </w:rPr>
        <w:t>Brain Sciences</w:t>
      </w:r>
      <w:r>
        <w:rPr>
          <w:color w:val="000000"/>
        </w:rPr>
        <w:t xml:space="preserve">, [online] 14(3), pp.200–200. </w:t>
      </w:r>
      <w:hyperlink r:id="rId35" w:history="1">
        <w:r w:rsidRPr="006028DD">
          <w:rPr>
            <w:rStyle w:val="Hyperlink"/>
          </w:rPr>
          <w:t>https://doi.org/10.3390/brainsci14030200</w:t>
        </w:r>
      </w:hyperlink>
      <w:r>
        <w:rPr>
          <w:color w:val="000000"/>
        </w:rPr>
        <w:t xml:space="preserve">. </w:t>
      </w:r>
    </w:p>
    <w:sectPr w:rsidR="004559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89F9C" w14:textId="77777777" w:rsidR="001803A2" w:rsidRDefault="001803A2" w:rsidP="00CB05E9">
      <w:pPr>
        <w:spacing w:before="0" w:after="0" w:line="240" w:lineRule="auto"/>
      </w:pPr>
      <w:r>
        <w:separator/>
      </w:r>
    </w:p>
  </w:endnote>
  <w:endnote w:type="continuationSeparator" w:id="0">
    <w:p w14:paraId="7CEAD195" w14:textId="77777777" w:rsidR="001803A2" w:rsidRDefault="001803A2" w:rsidP="00CB05E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D28B1" w14:textId="77777777" w:rsidR="001803A2" w:rsidRDefault="001803A2" w:rsidP="00CB05E9">
      <w:pPr>
        <w:spacing w:before="0" w:after="0" w:line="240" w:lineRule="auto"/>
      </w:pPr>
      <w:r>
        <w:separator/>
      </w:r>
    </w:p>
  </w:footnote>
  <w:footnote w:type="continuationSeparator" w:id="0">
    <w:p w14:paraId="0F663668" w14:textId="77777777" w:rsidR="001803A2" w:rsidRDefault="001803A2" w:rsidP="00CB05E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5616A"/>
    <w:multiLevelType w:val="multilevel"/>
    <w:tmpl w:val="8DB6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0404D"/>
    <w:multiLevelType w:val="multilevel"/>
    <w:tmpl w:val="FE20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827CC"/>
    <w:multiLevelType w:val="multilevel"/>
    <w:tmpl w:val="0FF6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C5123"/>
    <w:multiLevelType w:val="multilevel"/>
    <w:tmpl w:val="C8DC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04389"/>
    <w:multiLevelType w:val="multilevel"/>
    <w:tmpl w:val="26F29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B78C4"/>
    <w:multiLevelType w:val="multilevel"/>
    <w:tmpl w:val="9396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50DB8"/>
    <w:multiLevelType w:val="multilevel"/>
    <w:tmpl w:val="00D2E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6B21DF"/>
    <w:multiLevelType w:val="multilevel"/>
    <w:tmpl w:val="5B48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5C0BBC"/>
    <w:multiLevelType w:val="multilevel"/>
    <w:tmpl w:val="AA50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E016F6"/>
    <w:multiLevelType w:val="multilevel"/>
    <w:tmpl w:val="0FE89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26A08"/>
    <w:multiLevelType w:val="hybridMultilevel"/>
    <w:tmpl w:val="0050782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0CD6309"/>
    <w:multiLevelType w:val="multilevel"/>
    <w:tmpl w:val="5A90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587C0D"/>
    <w:multiLevelType w:val="multilevel"/>
    <w:tmpl w:val="91B8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149C6"/>
    <w:multiLevelType w:val="multilevel"/>
    <w:tmpl w:val="F7F88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EB3E41"/>
    <w:multiLevelType w:val="multilevel"/>
    <w:tmpl w:val="EB46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32ED6"/>
    <w:multiLevelType w:val="multilevel"/>
    <w:tmpl w:val="F7B47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72AF3"/>
    <w:multiLevelType w:val="multilevel"/>
    <w:tmpl w:val="C316C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2F0E88"/>
    <w:multiLevelType w:val="multilevel"/>
    <w:tmpl w:val="70A26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0178F6"/>
    <w:multiLevelType w:val="multilevel"/>
    <w:tmpl w:val="A8041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AE55F8"/>
    <w:multiLevelType w:val="multilevel"/>
    <w:tmpl w:val="85BA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195A1E"/>
    <w:multiLevelType w:val="multilevel"/>
    <w:tmpl w:val="0D40A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7D47C9"/>
    <w:multiLevelType w:val="multilevel"/>
    <w:tmpl w:val="3E68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FA71E9"/>
    <w:multiLevelType w:val="multilevel"/>
    <w:tmpl w:val="939A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6551A9"/>
    <w:multiLevelType w:val="multilevel"/>
    <w:tmpl w:val="E82A1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A84F4A"/>
    <w:multiLevelType w:val="multilevel"/>
    <w:tmpl w:val="3DB2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AD7F22"/>
    <w:multiLevelType w:val="multilevel"/>
    <w:tmpl w:val="18C4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F5901"/>
    <w:multiLevelType w:val="multilevel"/>
    <w:tmpl w:val="65CA5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B56EC6"/>
    <w:multiLevelType w:val="multilevel"/>
    <w:tmpl w:val="F8324754"/>
    <w:lvl w:ilvl="0">
      <w:start w:val="1"/>
      <w:numFmt w:val="bullet"/>
      <w:pStyle w:val="ListParagraph"/>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1114897">
    <w:abstractNumId w:val="0"/>
  </w:num>
  <w:num w:numId="2" w16cid:durableId="2027824127">
    <w:abstractNumId w:val="23"/>
  </w:num>
  <w:num w:numId="3" w16cid:durableId="206650922">
    <w:abstractNumId w:val="7"/>
  </w:num>
  <w:num w:numId="4" w16cid:durableId="706881268">
    <w:abstractNumId w:val="17"/>
  </w:num>
  <w:num w:numId="5" w16cid:durableId="1763798261">
    <w:abstractNumId w:val="13"/>
  </w:num>
  <w:num w:numId="6" w16cid:durableId="624893450">
    <w:abstractNumId w:val="21"/>
  </w:num>
  <w:num w:numId="7" w16cid:durableId="777794720">
    <w:abstractNumId w:val="20"/>
  </w:num>
  <w:num w:numId="8" w16cid:durableId="1214972803">
    <w:abstractNumId w:val="11"/>
  </w:num>
  <w:num w:numId="9" w16cid:durableId="1095323234">
    <w:abstractNumId w:val="6"/>
  </w:num>
  <w:num w:numId="10" w16cid:durableId="889224626">
    <w:abstractNumId w:val="3"/>
  </w:num>
  <w:num w:numId="11" w16cid:durableId="2037803425">
    <w:abstractNumId w:val="14"/>
  </w:num>
  <w:num w:numId="12" w16cid:durableId="608009238">
    <w:abstractNumId w:val="8"/>
  </w:num>
  <w:num w:numId="13" w16cid:durableId="1862164827">
    <w:abstractNumId w:val="1"/>
  </w:num>
  <w:num w:numId="14" w16cid:durableId="1756200412">
    <w:abstractNumId w:val="4"/>
  </w:num>
  <w:num w:numId="15" w16cid:durableId="524438806">
    <w:abstractNumId w:val="15"/>
  </w:num>
  <w:num w:numId="16" w16cid:durableId="1912735354">
    <w:abstractNumId w:val="24"/>
  </w:num>
  <w:num w:numId="17" w16cid:durableId="456334001">
    <w:abstractNumId w:val="19"/>
  </w:num>
  <w:num w:numId="18" w16cid:durableId="888540666">
    <w:abstractNumId w:val="9"/>
  </w:num>
  <w:num w:numId="19" w16cid:durableId="936837871">
    <w:abstractNumId w:val="5"/>
  </w:num>
  <w:num w:numId="20" w16cid:durableId="674112316">
    <w:abstractNumId w:val="2"/>
  </w:num>
  <w:num w:numId="21" w16cid:durableId="1090464534">
    <w:abstractNumId w:val="25"/>
  </w:num>
  <w:num w:numId="22" w16cid:durableId="966088999">
    <w:abstractNumId w:val="12"/>
  </w:num>
  <w:num w:numId="23" w16cid:durableId="875503416">
    <w:abstractNumId w:val="26"/>
  </w:num>
  <w:num w:numId="24" w16cid:durableId="1616447193">
    <w:abstractNumId w:val="22"/>
  </w:num>
  <w:num w:numId="25" w16cid:durableId="465007188">
    <w:abstractNumId w:val="27"/>
  </w:num>
  <w:num w:numId="26" w16cid:durableId="649017937">
    <w:abstractNumId w:val="10"/>
  </w:num>
  <w:num w:numId="27" w16cid:durableId="1721901436">
    <w:abstractNumId w:val="18"/>
  </w:num>
  <w:num w:numId="28" w16cid:durableId="7947870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3"/>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03"/>
    <w:rsid w:val="00056942"/>
    <w:rsid w:val="000712F9"/>
    <w:rsid w:val="0009167F"/>
    <w:rsid w:val="0009776F"/>
    <w:rsid w:val="000E7450"/>
    <w:rsid w:val="00171B20"/>
    <w:rsid w:val="001803A2"/>
    <w:rsid w:val="00187AA2"/>
    <w:rsid w:val="001A43A8"/>
    <w:rsid w:val="001B2854"/>
    <w:rsid w:val="001C47EC"/>
    <w:rsid w:val="001F33A8"/>
    <w:rsid w:val="001F4731"/>
    <w:rsid w:val="00235975"/>
    <w:rsid w:val="002B3903"/>
    <w:rsid w:val="002C6368"/>
    <w:rsid w:val="00303CA8"/>
    <w:rsid w:val="003837C4"/>
    <w:rsid w:val="00390AB0"/>
    <w:rsid w:val="003A6CE3"/>
    <w:rsid w:val="003F2574"/>
    <w:rsid w:val="00455991"/>
    <w:rsid w:val="00467063"/>
    <w:rsid w:val="005304BB"/>
    <w:rsid w:val="00542CD5"/>
    <w:rsid w:val="005964CE"/>
    <w:rsid w:val="005D1CBD"/>
    <w:rsid w:val="005D72A4"/>
    <w:rsid w:val="005E1124"/>
    <w:rsid w:val="005F3B02"/>
    <w:rsid w:val="00687671"/>
    <w:rsid w:val="0069504A"/>
    <w:rsid w:val="00705000"/>
    <w:rsid w:val="0073579C"/>
    <w:rsid w:val="00747C82"/>
    <w:rsid w:val="0078606B"/>
    <w:rsid w:val="007C0FB1"/>
    <w:rsid w:val="007D08AE"/>
    <w:rsid w:val="008B6B76"/>
    <w:rsid w:val="008F4991"/>
    <w:rsid w:val="008F7BF7"/>
    <w:rsid w:val="009059FF"/>
    <w:rsid w:val="00940CC9"/>
    <w:rsid w:val="00995B7B"/>
    <w:rsid w:val="009A5186"/>
    <w:rsid w:val="009B3F4F"/>
    <w:rsid w:val="00A83ABF"/>
    <w:rsid w:val="00BB72B4"/>
    <w:rsid w:val="00BD4127"/>
    <w:rsid w:val="00BE4AD5"/>
    <w:rsid w:val="00C41578"/>
    <w:rsid w:val="00C806DC"/>
    <w:rsid w:val="00CA7144"/>
    <w:rsid w:val="00CB05E9"/>
    <w:rsid w:val="00DD5CEB"/>
    <w:rsid w:val="00DE08A3"/>
    <w:rsid w:val="00E5510D"/>
    <w:rsid w:val="00E86BD2"/>
    <w:rsid w:val="00EE720E"/>
    <w:rsid w:val="00F2180D"/>
    <w:rsid w:val="00F44C12"/>
    <w:rsid w:val="00F9618B"/>
    <w:rsid w:val="00FF56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493DB"/>
  <w15:chartTrackingRefBased/>
  <w15:docId w15:val="{89B55847-75CB-4DD9-896C-570D65563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B76"/>
    <w:pPr>
      <w:ind w:left="0" w:firstLine="0"/>
    </w:pPr>
    <w:rPr>
      <w:rFonts w:ascii="Arial" w:hAnsi="Arial" w:cs="Arial"/>
      <w:sz w:val="24"/>
    </w:rPr>
  </w:style>
  <w:style w:type="paragraph" w:styleId="Heading1">
    <w:name w:val="heading 1"/>
    <w:basedOn w:val="Normal"/>
    <w:next w:val="Normal"/>
    <w:link w:val="Heading1Char"/>
    <w:autoRedefine/>
    <w:uiPriority w:val="9"/>
    <w:qFormat/>
    <w:rsid w:val="00CB05E9"/>
    <w:pPr>
      <w:outlineLvl w:val="0"/>
    </w:pPr>
    <w:rPr>
      <w:b/>
    </w:rPr>
  </w:style>
  <w:style w:type="paragraph" w:styleId="Heading2">
    <w:name w:val="heading 2"/>
    <w:basedOn w:val="Normal"/>
    <w:link w:val="Heading2Char"/>
    <w:autoRedefine/>
    <w:uiPriority w:val="9"/>
    <w:qFormat/>
    <w:rsid w:val="002B3903"/>
    <w:pPr>
      <w:spacing w:before="240"/>
      <w:outlineLvl w:val="1"/>
    </w:pPr>
    <w:rPr>
      <w:b/>
      <w:i/>
    </w:rPr>
  </w:style>
  <w:style w:type="paragraph" w:styleId="Heading3">
    <w:name w:val="heading 3"/>
    <w:basedOn w:val="Normal"/>
    <w:link w:val="Heading3Char"/>
    <w:autoRedefine/>
    <w:uiPriority w:val="9"/>
    <w:qFormat/>
    <w:rsid w:val="0009167F"/>
    <w:pPr>
      <w:outlineLvl w:val="2"/>
    </w:pPr>
    <w:rPr>
      <w:i/>
    </w:rPr>
  </w:style>
  <w:style w:type="paragraph" w:styleId="Heading4">
    <w:name w:val="heading 4"/>
    <w:basedOn w:val="Normal"/>
    <w:next w:val="Normal"/>
    <w:link w:val="Heading4Char"/>
    <w:autoRedefine/>
    <w:uiPriority w:val="9"/>
    <w:unhideWhenUsed/>
    <w:qFormat/>
    <w:rsid w:val="0009167F"/>
    <w:pPr>
      <w:outlineLvl w:val="3"/>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2B3903"/>
    <w:pPr>
      <w:numPr>
        <w:numId w:val="25"/>
      </w:numPr>
      <w:spacing w:before="0" w:after="0"/>
    </w:pPr>
    <w:rPr>
      <w:rFonts w:eastAsia="Times New Roman"/>
      <w:szCs w:val="24"/>
    </w:rPr>
  </w:style>
  <w:style w:type="character" w:customStyle="1" w:styleId="Heading2Char">
    <w:name w:val="Heading 2 Char"/>
    <w:basedOn w:val="DefaultParagraphFont"/>
    <w:link w:val="Heading2"/>
    <w:uiPriority w:val="9"/>
    <w:rsid w:val="002B3903"/>
    <w:rPr>
      <w:rFonts w:ascii="Arial" w:hAnsi="Arial" w:cs="Arial"/>
      <w:b/>
      <w:i/>
      <w:sz w:val="24"/>
    </w:rPr>
  </w:style>
  <w:style w:type="character" w:customStyle="1" w:styleId="Heading3Char">
    <w:name w:val="Heading 3 Char"/>
    <w:basedOn w:val="DefaultParagraphFont"/>
    <w:link w:val="Heading3"/>
    <w:uiPriority w:val="9"/>
    <w:rsid w:val="0009167F"/>
    <w:rPr>
      <w:rFonts w:ascii="Arial" w:hAnsi="Arial" w:cs="Arial"/>
      <w:i/>
      <w:sz w:val="24"/>
    </w:rPr>
  </w:style>
  <w:style w:type="character" w:customStyle="1" w:styleId="Heading4Char">
    <w:name w:val="Heading 4 Char"/>
    <w:basedOn w:val="DefaultParagraphFont"/>
    <w:link w:val="Heading4"/>
    <w:uiPriority w:val="9"/>
    <w:rsid w:val="0009167F"/>
    <w:rPr>
      <w:rFonts w:ascii="Arial" w:hAnsi="Arial" w:cs="Arial"/>
      <w:i/>
      <w:sz w:val="24"/>
    </w:rPr>
  </w:style>
  <w:style w:type="character" w:customStyle="1" w:styleId="Heading1Char">
    <w:name w:val="Heading 1 Char"/>
    <w:basedOn w:val="DefaultParagraphFont"/>
    <w:link w:val="Heading1"/>
    <w:uiPriority w:val="9"/>
    <w:rsid w:val="00CB05E9"/>
    <w:rPr>
      <w:rFonts w:ascii="Arial" w:hAnsi="Arial" w:cs="Arial"/>
      <w:b/>
      <w:sz w:val="24"/>
    </w:rPr>
  </w:style>
  <w:style w:type="paragraph" w:styleId="Caption">
    <w:name w:val="caption"/>
    <w:basedOn w:val="Normal"/>
    <w:next w:val="Normal"/>
    <w:autoRedefine/>
    <w:uiPriority w:val="35"/>
    <w:unhideWhenUsed/>
    <w:qFormat/>
    <w:rsid w:val="00EE720E"/>
    <w:pPr>
      <w:spacing w:before="0" w:after="200" w:line="240" w:lineRule="auto"/>
      <w:jc w:val="left"/>
    </w:pPr>
    <w:rPr>
      <w:iCs/>
      <w:color w:val="000000" w:themeColor="text1"/>
      <w:sz w:val="20"/>
      <w:szCs w:val="18"/>
      <w:lang w:val="en-GB"/>
    </w:rPr>
  </w:style>
  <w:style w:type="paragraph" w:styleId="NoSpacing">
    <w:name w:val="No Spacing"/>
    <w:basedOn w:val="Normal"/>
    <w:autoRedefine/>
    <w:uiPriority w:val="1"/>
    <w:qFormat/>
    <w:rsid w:val="00747C82"/>
    <w:pPr>
      <w:ind w:left="720" w:hanging="720"/>
    </w:pPr>
    <w:rPr>
      <w:sz w:val="22"/>
    </w:rPr>
  </w:style>
  <w:style w:type="paragraph" w:styleId="NormalWeb">
    <w:name w:val="Normal (Web)"/>
    <w:basedOn w:val="Normal"/>
    <w:uiPriority w:val="99"/>
    <w:unhideWhenUsed/>
    <w:rsid w:val="002B3903"/>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2B3903"/>
    <w:rPr>
      <w:b/>
      <w:bCs/>
    </w:rPr>
  </w:style>
  <w:style w:type="character" w:styleId="Emphasis">
    <w:name w:val="Emphasis"/>
    <w:basedOn w:val="DefaultParagraphFont"/>
    <w:uiPriority w:val="20"/>
    <w:qFormat/>
    <w:rsid w:val="002B3903"/>
    <w:rPr>
      <w:i/>
      <w:iCs/>
    </w:rPr>
  </w:style>
  <w:style w:type="paragraph" w:styleId="Header">
    <w:name w:val="header"/>
    <w:basedOn w:val="Normal"/>
    <w:link w:val="HeaderChar"/>
    <w:uiPriority w:val="99"/>
    <w:unhideWhenUsed/>
    <w:rsid w:val="00CB05E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B05E9"/>
    <w:rPr>
      <w:rFonts w:ascii="Arial" w:hAnsi="Arial" w:cs="Arial"/>
      <w:sz w:val="24"/>
    </w:rPr>
  </w:style>
  <w:style w:type="paragraph" w:styleId="Footer">
    <w:name w:val="footer"/>
    <w:basedOn w:val="Normal"/>
    <w:link w:val="FooterChar"/>
    <w:uiPriority w:val="99"/>
    <w:unhideWhenUsed/>
    <w:rsid w:val="00CB05E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B05E9"/>
    <w:rPr>
      <w:rFonts w:ascii="Arial" w:hAnsi="Arial" w:cs="Arial"/>
      <w:sz w:val="24"/>
    </w:rPr>
  </w:style>
  <w:style w:type="paragraph" w:styleId="TOCHeading">
    <w:name w:val="TOC Heading"/>
    <w:basedOn w:val="Heading1"/>
    <w:next w:val="Normal"/>
    <w:uiPriority w:val="39"/>
    <w:unhideWhenUsed/>
    <w:qFormat/>
    <w:rsid w:val="00CB05E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CB05E9"/>
    <w:pPr>
      <w:spacing w:after="100"/>
    </w:pPr>
  </w:style>
  <w:style w:type="paragraph" w:styleId="TOC2">
    <w:name w:val="toc 2"/>
    <w:basedOn w:val="Normal"/>
    <w:next w:val="Normal"/>
    <w:autoRedefine/>
    <w:uiPriority w:val="39"/>
    <w:unhideWhenUsed/>
    <w:rsid w:val="00CB05E9"/>
    <w:pPr>
      <w:spacing w:after="100"/>
      <w:ind w:left="240"/>
    </w:pPr>
  </w:style>
  <w:style w:type="character" w:styleId="Hyperlink">
    <w:name w:val="Hyperlink"/>
    <w:basedOn w:val="DefaultParagraphFont"/>
    <w:uiPriority w:val="99"/>
    <w:unhideWhenUsed/>
    <w:rsid w:val="00CB05E9"/>
    <w:rPr>
      <w:color w:val="0563C1" w:themeColor="hyperlink"/>
      <w:u w:val="single"/>
    </w:rPr>
  </w:style>
  <w:style w:type="character" w:customStyle="1" w:styleId="ms-1">
    <w:name w:val="ms-1"/>
    <w:basedOn w:val="DefaultParagraphFont"/>
    <w:rsid w:val="007C0FB1"/>
  </w:style>
  <w:style w:type="character" w:customStyle="1" w:styleId="max-w-15ch">
    <w:name w:val="max-w-[15ch]"/>
    <w:basedOn w:val="DefaultParagraphFont"/>
    <w:rsid w:val="007C0FB1"/>
  </w:style>
  <w:style w:type="character" w:customStyle="1" w:styleId="-me-1">
    <w:name w:val="-me-1"/>
    <w:basedOn w:val="DefaultParagraphFont"/>
    <w:rsid w:val="007C0FB1"/>
  </w:style>
  <w:style w:type="character" w:styleId="FollowedHyperlink">
    <w:name w:val="FollowedHyperlink"/>
    <w:basedOn w:val="DefaultParagraphFont"/>
    <w:uiPriority w:val="99"/>
    <w:semiHidden/>
    <w:unhideWhenUsed/>
    <w:rsid w:val="00E86BD2"/>
    <w:rPr>
      <w:color w:val="954F72" w:themeColor="followedHyperlink"/>
      <w:u w:val="single"/>
    </w:rPr>
  </w:style>
  <w:style w:type="character" w:styleId="UnresolvedMention">
    <w:name w:val="Unresolved Mention"/>
    <w:basedOn w:val="DefaultParagraphFont"/>
    <w:uiPriority w:val="99"/>
    <w:semiHidden/>
    <w:unhideWhenUsed/>
    <w:rsid w:val="00E86BD2"/>
    <w:rPr>
      <w:color w:val="605E5C"/>
      <w:shd w:val="clear" w:color="auto" w:fill="E1DFDD"/>
    </w:rPr>
  </w:style>
  <w:style w:type="paragraph" w:styleId="BodyText">
    <w:name w:val="Body Text"/>
    <w:basedOn w:val="Normal"/>
    <w:link w:val="BodyTextChar"/>
    <w:uiPriority w:val="99"/>
    <w:unhideWhenUsed/>
    <w:rsid w:val="00DE08A3"/>
    <w:pPr>
      <w:spacing w:before="0"/>
      <w:ind w:firstLine="720"/>
    </w:pPr>
    <w:rPr>
      <w:sz w:val="22"/>
    </w:rPr>
  </w:style>
  <w:style w:type="character" w:customStyle="1" w:styleId="BodyTextChar">
    <w:name w:val="Body Text Char"/>
    <w:basedOn w:val="DefaultParagraphFont"/>
    <w:link w:val="BodyText"/>
    <w:uiPriority w:val="99"/>
    <w:rsid w:val="00DE08A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6132">
      <w:bodyDiv w:val="1"/>
      <w:marLeft w:val="0"/>
      <w:marRight w:val="0"/>
      <w:marTop w:val="0"/>
      <w:marBottom w:val="0"/>
      <w:divBdr>
        <w:top w:val="none" w:sz="0" w:space="0" w:color="auto"/>
        <w:left w:val="none" w:sz="0" w:space="0" w:color="auto"/>
        <w:bottom w:val="none" w:sz="0" w:space="0" w:color="auto"/>
        <w:right w:val="none" w:sz="0" w:space="0" w:color="auto"/>
      </w:divBdr>
    </w:div>
    <w:div w:id="27337365">
      <w:bodyDiv w:val="1"/>
      <w:marLeft w:val="0"/>
      <w:marRight w:val="0"/>
      <w:marTop w:val="0"/>
      <w:marBottom w:val="0"/>
      <w:divBdr>
        <w:top w:val="none" w:sz="0" w:space="0" w:color="auto"/>
        <w:left w:val="none" w:sz="0" w:space="0" w:color="auto"/>
        <w:bottom w:val="none" w:sz="0" w:space="0" w:color="auto"/>
        <w:right w:val="none" w:sz="0" w:space="0" w:color="auto"/>
      </w:divBdr>
    </w:div>
    <w:div w:id="87966198">
      <w:bodyDiv w:val="1"/>
      <w:marLeft w:val="0"/>
      <w:marRight w:val="0"/>
      <w:marTop w:val="0"/>
      <w:marBottom w:val="0"/>
      <w:divBdr>
        <w:top w:val="none" w:sz="0" w:space="0" w:color="auto"/>
        <w:left w:val="none" w:sz="0" w:space="0" w:color="auto"/>
        <w:bottom w:val="none" w:sz="0" w:space="0" w:color="auto"/>
        <w:right w:val="none" w:sz="0" w:space="0" w:color="auto"/>
      </w:divBdr>
    </w:div>
    <w:div w:id="180945479">
      <w:bodyDiv w:val="1"/>
      <w:marLeft w:val="0"/>
      <w:marRight w:val="0"/>
      <w:marTop w:val="0"/>
      <w:marBottom w:val="0"/>
      <w:divBdr>
        <w:top w:val="none" w:sz="0" w:space="0" w:color="auto"/>
        <w:left w:val="none" w:sz="0" w:space="0" w:color="auto"/>
        <w:bottom w:val="none" w:sz="0" w:space="0" w:color="auto"/>
        <w:right w:val="none" w:sz="0" w:space="0" w:color="auto"/>
      </w:divBdr>
    </w:div>
    <w:div w:id="188954712">
      <w:bodyDiv w:val="1"/>
      <w:marLeft w:val="0"/>
      <w:marRight w:val="0"/>
      <w:marTop w:val="0"/>
      <w:marBottom w:val="0"/>
      <w:divBdr>
        <w:top w:val="none" w:sz="0" w:space="0" w:color="auto"/>
        <w:left w:val="none" w:sz="0" w:space="0" w:color="auto"/>
        <w:bottom w:val="none" w:sz="0" w:space="0" w:color="auto"/>
        <w:right w:val="none" w:sz="0" w:space="0" w:color="auto"/>
      </w:divBdr>
    </w:div>
    <w:div w:id="399638610">
      <w:bodyDiv w:val="1"/>
      <w:marLeft w:val="0"/>
      <w:marRight w:val="0"/>
      <w:marTop w:val="0"/>
      <w:marBottom w:val="0"/>
      <w:divBdr>
        <w:top w:val="none" w:sz="0" w:space="0" w:color="auto"/>
        <w:left w:val="none" w:sz="0" w:space="0" w:color="auto"/>
        <w:bottom w:val="none" w:sz="0" w:space="0" w:color="auto"/>
        <w:right w:val="none" w:sz="0" w:space="0" w:color="auto"/>
      </w:divBdr>
    </w:div>
    <w:div w:id="414405069">
      <w:bodyDiv w:val="1"/>
      <w:marLeft w:val="0"/>
      <w:marRight w:val="0"/>
      <w:marTop w:val="0"/>
      <w:marBottom w:val="0"/>
      <w:divBdr>
        <w:top w:val="none" w:sz="0" w:space="0" w:color="auto"/>
        <w:left w:val="none" w:sz="0" w:space="0" w:color="auto"/>
        <w:bottom w:val="none" w:sz="0" w:space="0" w:color="auto"/>
        <w:right w:val="none" w:sz="0" w:space="0" w:color="auto"/>
      </w:divBdr>
    </w:div>
    <w:div w:id="416367648">
      <w:bodyDiv w:val="1"/>
      <w:marLeft w:val="0"/>
      <w:marRight w:val="0"/>
      <w:marTop w:val="0"/>
      <w:marBottom w:val="0"/>
      <w:divBdr>
        <w:top w:val="none" w:sz="0" w:space="0" w:color="auto"/>
        <w:left w:val="none" w:sz="0" w:space="0" w:color="auto"/>
        <w:bottom w:val="none" w:sz="0" w:space="0" w:color="auto"/>
        <w:right w:val="none" w:sz="0" w:space="0" w:color="auto"/>
      </w:divBdr>
    </w:div>
    <w:div w:id="481577381">
      <w:bodyDiv w:val="1"/>
      <w:marLeft w:val="0"/>
      <w:marRight w:val="0"/>
      <w:marTop w:val="0"/>
      <w:marBottom w:val="0"/>
      <w:divBdr>
        <w:top w:val="none" w:sz="0" w:space="0" w:color="auto"/>
        <w:left w:val="none" w:sz="0" w:space="0" w:color="auto"/>
        <w:bottom w:val="none" w:sz="0" w:space="0" w:color="auto"/>
        <w:right w:val="none" w:sz="0" w:space="0" w:color="auto"/>
      </w:divBdr>
    </w:div>
    <w:div w:id="494418819">
      <w:bodyDiv w:val="1"/>
      <w:marLeft w:val="0"/>
      <w:marRight w:val="0"/>
      <w:marTop w:val="0"/>
      <w:marBottom w:val="0"/>
      <w:divBdr>
        <w:top w:val="none" w:sz="0" w:space="0" w:color="auto"/>
        <w:left w:val="none" w:sz="0" w:space="0" w:color="auto"/>
        <w:bottom w:val="none" w:sz="0" w:space="0" w:color="auto"/>
        <w:right w:val="none" w:sz="0" w:space="0" w:color="auto"/>
      </w:divBdr>
    </w:div>
    <w:div w:id="529419438">
      <w:bodyDiv w:val="1"/>
      <w:marLeft w:val="0"/>
      <w:marRight w:val="0"/>
      <w:marTop w:val="0"/>
      <w:marBottom w:val="0"/>
      <w:divBdr>
        <w:top w:val="none" w:sz="0" w:space="0" w:color="auto"/>
        <w:left w:val="none" w:sz="0" w:space="0" w:color="auto"/>
        <w:bottom w:val="none" w:sz="0" w:space="0" w:color="auto"/>
        <w:right w:val="none" w:sz="0" w:space="0" w:color="auto"/>
      </w:divBdr>
    </w:div>
    <w:div w:id="668021635">
      <w:bodyDiv w:val="1"/>
      <w:marLeft w:val="0"/>
      <w:marRight w:val="0"/>
      <w:marTop w:val="0"/>
      <w:marBottom w:val="0"/>
      <w:divBdr>
        <w:top w:val="none" w:sz="0" w:space="0" w:color="auto"/>
        <w:left w:val="none" w:sz="0" w:space="0" w:color="auto"/>
        <w:bottom w:val="none" w:sz="0" w:space="0" w:color="auto"/>
        <w:right w:val="none" w:sz="0" w:space="0" w:color="auto"/>
      </w:divBdr>
    </w:div>
    <w:div w:id="762382171">
      <w:bodyDiv w:val="1"/>
      <w:marLeft w:val="0"/>
      <w:marRight w:val="0"/>
      <w:marTop w:val="0"/>
      <w:marBottom w:val="0"/>
      <w:divBdr>
        <w:top w:val="none" w:sz="0" w:space="0" w:color="auto"/>
        <w:left w:val="none" w:sz="0" w:space="0" w:color="auto"/>
        <w:bottom w:val="none" w:sz="0" w:space="0" w:color="auto"/>
        <w:right w:val="none" w:sz="0" w:space="0" w:color="auto"/>
      </w:divBdr>
    </w:div>
    <w:div w:id="784235049">
      <w:bodyDiv w:val="1"/>
      <w:marLeft w:val="0"/>
      <w:marRight w:val="0"/>
      <w:marTop w:val="0"/>
      <w:marBottom w:val="0"/>
      <w:divBdr>
        <w:top w:val="none" w:sz="0" w:space="0" w:color="auto"/>
        <w:left w:val="none" w:sz="0" w:space="0" w:color="auto"/>
        <w:bottom w:val="none" w:sz="0" w:space="0" w:color="auto"/>
        <w:right w:val="none" w:sz="0" w:space="0" w:color="auto"/>
      </w:divBdr>
    </w:div>
    <w:div w:id="958684450">
      <w:bodyDiv w:val="1"/>
      <w:marLeft w:val="0"/>
      <w:marRight w:val="0"/>
      <w:marTop w:val="0"/>
      <w:marBottom w:val="0"/>
      <w:divBdr>
        <w:top w:val="none" w:sz="0" w:space="0" w:color="auto"/>
        <w:left w:val="none" w:sz="0" w:space="0" w:color="auto"/>
        <w:bottom w:val="none" w:sz="0" w:space="0" w:color="auto"/>
        <w:right w:val="none" w:sz="0" w:space="0" w:color="auto"/>
      </w:divBdr>
    </w:div>
    <w:div w:id="1019624135">
      <w:bodyDiv w:val="1"/>
      <w:marLeft w:val="0"/>
      <w:marRight w:val="0"/>
      <w:marTop w:val="0"/>
      <w:marBottom w:val="0"/>
      <w:divBdr>
        <w:top w:val="none" w:sz="0" w:space="0" w:color="auto"/>
        <w:left w:val="none" w:sz="0" w:space="0" w:color="auto"/>
        <w:bottom w:val="none" w:sz="0" w:space="0" w:color="auto"/>
        <w:right w:val="none" w:sz="0" w:space="0" w:color="auto"/>
      </w:divBdr>
    </w:div>
    <w:div w:id="1065641446">
      <w:bodyDiv w:val="1"/>
      <w:marLeft w:val="0"/>
      <w:marRight w:val="0"/>
      <w:marTop w:val="0"/>
      <w:marBottom w:val="0"/>
      <w:divBdr>
        <w:top w:val="none" w:sz="0" w:space="0" w:color="auto"/>
        <w:left w:val="none" w:sz="0" w:space="0" w:color="auto"/>
        <w:bottom w:val="none" w:sz="0" w:space="0" w:color="auto"/>
        <w:right w:val="none" w:sz="0" w:space="0" w:color="auto"/>
      </w:divBdr>
    </w:div>
    <w:div w:id="1094279605">
      <w:bodyDiv w:val="1"/>
      <w:marLeft w:val="0"/>
      <w:marRight w:val="0"/>
      <w:marTop w:val="0"/>
      <w:marBottom w:val="0"/>
      <w:divBdr>
        <w:top w:val="none" w:sz="0" w:space="0" w:color="auto"/>
        <w:left w:val="none" w:sz="0" w:space="0" w:color="auto"/>
        <w:bottom w:val="none" w:sz="0" w:space="0" w:color="auto"/>
        <w:right w:val="none" w:sz="0" w:space="0" w:color="auto"/>
      </w:divBdr>
    </w:div>
    <w:div w:id="1112243873">
      <w:bodyDiv w:val="1"/>
      <w:marLeft w:val="0"/>
      <w:marRight w:val="0"/>
      <w:marTop w:val="0"/>
      <w:marBottom w:val="0"/>
      <w:divBdr>
        <w:top w:val="none" w:sz="0" w:space="0" w:color="auto"/>
        <w:left w:val="none" w:sz="0" w:space="0" w:color="auto"/>
        <w:bottom w:val="none" w:sz="0" w:space="0" w:color="auto"/>
        <w:right w:val="none" w:sz="0" w:space="0" w:color="auto"/>
      </w:divBdr>
    </w:div>
    <w:div w:id="1142505886">
      <w:bodyDiv w:val="1"/>
      <w:marLeft w:val="0"/>
      <w:marRight w:val="0"/>
      <w:marTop w:val="0"/>
      <w:marBottom w:val="0"/>
      <w:divBdr>
        <w:top w:val="none" w:sz="0" w:space="0" w:color="auto"/>
        <w:left w:val="none" w:sz="0" w:space="0" w:color="auto"/>
        <w:bottom w:val="none" w:sz="0" w:space="0" w:color="auto"/>
        <w:right w:val="none" w:sz="0" w:space="0" w:color="auto"/>
      </w:divBdr>
    </w:div>
    <w:div w:id="1175657594">
      <w:bodyDiv w:val="1"/>
      <w:marLeft w:val="0"/>
      <w:marRight w:val="0"/>
      <w:marTop w:val="0"/>
      <w:marBottom w:val="0"/>
      <w:divBdr>
        <w:top w:val="none" w:sz="0" w:space="0" w:color="auto"/>
        <w:left w:val="none" w:sz="0" w:space="0" w:color="auto"/>
        <w:bottom w:val="none" w:sz="0" w:space="0" w:color="auto"/>
        <w:right w:val="none" w:sz="0" w:space="0" w:color="auto"/>
      </w:divBdr>
    </w:div>
    <w:div w:id="1230338216">
      <w:bodyDiv w:val="1"/>
      <w:marLeft w:val="0"/>
      <w:marRight w:val="0"/>
      <w:marTop w:val="0"/>
      <w:marBottom w:val="0"/>
      <w:divBdr>
        <w:top w:val="none" w:sz="0" w:space="0" w:color="auto"/>
        <w:left w:val="none" w:sz="0" w:space="0" w:color="auto"/>
        <w:bottom w:val="none" w:sz="0" w:space="0" w:color="auto"/>
        <w:right w:val="none" w:sz="0" w:space="0" w:color="auto"/>
      </w:divBdr>
    </w:div>
    <w:div w:id="1230381594">
      <w:bodyDiv w:val="1"/>
      <w:marLeft w:val="0"/>
      <w:marRight w:val="0"/>
      <w:marTop w:val="0"/>
      <w:marBottom w:val="0"/>
      <w:divBdr>
        <w:top w:val="none" w:sz="0" w:space="0" w:color="auto"/>
        <w:left w:val="none" w:sz="0" w:space="0" w:color="auto"/>
        <w:bottom w:val="none" w:sz="0" w:space="0" w:color="auto"/>
        <w:right w:val="none" w:sz="0" w:space="0" w:color="auto"/>
      </w:divBdr>
    </w:div>
    <w:div w:id="1295984911">
      <w:bodyDiv w:val="1"/>
      <w:marLeft w:val="0"/>
      <w:marRight w:val="0"/>
      <w:marTop w:val="0"/>
      <w:marBottom w:val="0"/>
      <w:divBdr>
        <w:top w:val="none" w:sz="0" w:space="0" w:color="auto"/>
        <w:left w:val="none" w:sz="0" w:space="0" w:color="auto"/>
        <w:bottom w:val="none" w:sz="0" w:space="0" w:color="auto"/>
        <w:right w:val="none" w:sz="0" w:space="0" w:color="auto"/>
      </w:divBdr>
    </w:div>
    <w:div w:id="1313952224">
      <w:bodyDiv w:val="1"/>
      <w:marLeft w:val="0"/>
      <w:marRight w:val="0"/>
      <w:marTop w:val="0"/>
      <w:marBottom w:val="0"/>
      <w:divBdr>
        <w:top w:val="none" w:sz="0" w:space="0" w:color="auto"/>
        <w:left w:val="none" w:sz="0" w:space="0" w:color="auto"/>
        <w:bottom w:val="none" w:sz="0" w:space="0" w:color="auto"/>
        <w:right w:val="none" w:sz="0" w:space="0" w:color="auto"/>
      </w:divBdr>
    </w:div>
    <w:div w:id="1346707494">
      <w:bodyDiv w:val="1"/>
      <w:marLeft w:val="0"/>
      <w:marRight w:val="0"/>
      <w:marTop w:val="0"/>
      <w:marBottom w:val="0"/>
      <w:divBdr>
        <w:top w:val="none" w:sz="0" w:space="0" w:color="auto"/>
        <w:left w:val="none" w:sz="0" w:space="0" w:color="auto"/>
        <w:bottom w:val="none" w:sz="0" w:space="0" w:color="auto"/>
        <w:right w:val="none" w:sz="0" w:space="0" w:color="auto"/>
      </w:divBdr>
    </w:div>
    <w:div w:id="1385374236">
      <w:bodyDiv w:val="1"/>
      <w:marLeft w:val="0"/>
      <w:marRight w:val="0"/>
      <w:marTop w:val="0"/>
      <w:marBottom w:val="0"/>
      <w:divBdr>
        <w:top w:val="none" w:sz="0" w:space="0" w:color="auto"/>
        <w:left w:val="none" w:sz="0" w:space="0" w:color="auto"/>
        <w:bottom w:val="none" w:sz="0" w:space="0" w:color="auto"/>
        <w:right w:val="none" w:sz="0" w:space="0" w:color="auto"/>
      </w:divBdr>
    </w:div>
    <w:div w:id="1420827566">
      <w:bodyDiv w:val="1"/>
      <w:marLeft w:val="0"/>
      <w:marRight w:val="0"/>
      <w:marTop w:val="0"/>
      <w:marBottom w:val="0"/>
      <w:divBdr>
        <w:top w:val="none" w:sz="0" w:space="0" w:color="auto"/>
        <w:left w:val="none" w:sz="0" w:space="0" w:color="auto"/>
        <w:bottom w:val="none" w:sz="0" w:space="0" w:color="auto"/>
        <w:right w:val="none" w:sz="0" w:space="0" w:color="auto"/>
      </w:divBdr>
      <w:divsChild>
        <w:div w:id="276911109">
          <w:marLeft w:val="0"/>
          <w:marRight w:val="0"/>
          <w:marTop w:val="0"/>
          <w:marBottom w:val="0"/>
          <w:divBdr>
            <w:top w:val="none" w:sz="0" w:space="0" w:color="auto"/>
            <w:left w:val="none" w:sz="0" w:space="0" w:color="auto"/>
            <w:bottom w:val="none" w:sz="0" w:space="0" w:color="auto"/>
            <w:right w:val="none" w:sz="0" w:space="0" w:color="auto"/>
          </w:divBdr>
          <w:divsChild>
            <w:div w:id="1791970543">
              <w:marLeft w:val="0"/>
              <w:marRight w:val="0"/>
              <w:marTop w:val="0"/>
              <w:marBottom w:val="0"/>
              <w:divBdr>
                <w:top w:val="none" w:sz="0" w:space="0" w:color="auto"/>
                <w:left w:val="none" w:sz="0" w:space="0" w:color="auto"/>
                <w:bottom w:val="none" w:sz="0" w:space="0" w:color="auto"/>
                <w:right w:val="none" w:sz="0" w:space="0" w:color="auto"/>
              </w:divBdr>
              <w:divsChild>
                <w:div w:id="829180689">
                  <w:marLeft w:val="0"/>
                  <w:marRight w:val="0"/>
                  <w:marTop w:val="0"/>
                  <w:marBottom w:val="0"/>
                  <w:divBdr>
                    <w:top w:val="none" w:sz="0" w:space="0" w:color="auto"/>
                    <w:left w:val="none" w:sz="0" w:space="0" w:color="auto"/>
                    <w:bottom w:val="none" w:sz="0" w:space="0" w:color="auto"/>
                    <w:right w:val="none" w:sz="0" w:space="0" w:color="auto"/>
                  </w:divBdr>
                  <w:divsChild>
                    <w:div w:id="1343703627">
                      <w:marLeft w:val="0"/>
                      <w:marRight w:val="0"/>
                      <w:marTop w:val="0"/>
                      <w:marBottom w:val="0"/>
                      <w:divBdr>
                        <w:top w:val="none" w:sz="0" w:space="0" w:color="auto"/>
                        <w:left w:val="none" w:sz="0" w:space="0" w:color="auto"/>
                        <w:bottom w:val="none" w:sz="0" w:space="0" w:color="auto"/>
                        <w:right w:val="none" w:sz="0" w:space="0" w:color="auto"/>
                      </w:divBdr>
                      <w:divsChild>
                        <w:div w:id="1515612396">
                          <w:marLeft w:val="0"/>
                          <w:marRight w:val="0"/>
                          <w:marTop w:val="0"/>
                          <w:marBottom w:val="0"/>
                          <w:divBdr>
                            <w:top w:val="none" w:sz="0" w:space="0" w:color="auto"/>
                            <w:left w:val="none" w:sz="0" w:space="0" w:color="auto"/>
                            <w:bottom w:val="none" w:sz="0" w:space="0" w:color="auto"/>
                            <w:right w:val="none" w:sz="0" w:space="0" w:color="auto"/>
                          </w:divBdr>
                          <w:divsChild>
                            <w:div w:id="15738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109392">
      <w:bodyDiv w:val="1"/>
      <w:marLeft w:val="0"/>
      <w:marRight w:val="0"/>
      <w:marTop w:val="0"/>
      <w:marBottom w:val="0"/>
      <w:divBdr>
        <w:top w:val="none" w:sz="0" w:space="0" w:color="auto"/>
        <w:left w:val="none" w:sz="0" w:space="0" w:color="auto"/>
        <w:bottom w:val="none" w:sz="0" w:space="0" w:color="auto"/>
        <w:right w:val="none" w:sz="0" w:space="0" w:color="auto"/>
      </w:divBdr>
    </w:div>
    <w:div w:id="1465778715">
      <w:bodyDiv w:val="1"/>
      <w:marLeft w:val="0"/>
      <w:marRight w:val="0"/>
      <w:marTop w:val="0"/>
      <w:marBottom w:val="0"/>
      <w:divBdr>
        <w:top w:val="none" w:sz="0" w:space="0" w:color="auto"/>
        <w:left w:val="none" w:sz="0" w:space="0" w:color="auto"/>
        <w:bottom w:val="none" w:sz="0" w:space="0" w:color="auto"/>
        <w:right w:val="none" w:sz="0" w:space="0" w:color="auto"/>
      </w:divBdr>
    </w:div>
    <w:div w:id="1543323605">
      <w:bodyDiv w:val="1"/>
      <w:marLeft w:val="0"/>
      <w:marRight w:val="0"/>
      <w:marTop w:val="0"/>
      <w:marBottom w:val="0"/>
      <w:divBdr>
        <w:top w:val="none" w:sz="0" w:space="0" w:color="auto"/>
        <w:left w:val="none" w:sz="0" w:space="0" w:color="auto"/>
        <w:bottom w:val="none" w:sz="0" w:space="0" w:color="auto"/>
        <w:right w:val="none" w:sz="0" w:space="0" w:color="auto"/>
      </w:divBdr>
    </w:div>
    <w:div w:id="1658806654">
      <w:bodyDiv w:val="1"/>
      <w:marLeft w:val="0"/>
      <w:marRight w:val="0"/>
      <w:marTop w:val="0"/>
      <w:marBottom w:val="0"/>
      <w:divBdr>
        <w:top w:val="none" w:sz="0" w:space="0" w:color="auto"/>
        <w:left w:val="none" w:sz="0" w:space="0" w:color="auto"/>
        <w:bottom w:val="none" w:sz="0" w:space="0" w:color="auto"/>
        <w:right w:val="none" w:sz="0" w:space="0" w:color="auto"/>
      </w:divBdr>
    </w:div>
    <w:div w:id="1875969672">
      <w:bodyDiv w:val="1"/>
      <w:marLeft w:val="0"/>
      <w:marRight w:val="0"/>
      <w:marTop w:val="0"/>
      <w:marBottom w:val="0"/>
      <w:divBdr>
        <w:top w:val="none" w:sz="0" w:space="0" w:color="auto"/>
        <w:left w:val="none" w:sz="0" w:space="0" w:color="auto"/>
        <w:bottom w:val="none" w:sz="0" w:space="0" w:color="auto"/>
        <w:right w:val="none" w:sz="0" w:space="0" w:color="auto"/>
      </w:divBdr>
    </w:div>
    <w:div w:id="1893617482">
      <w:bodyDiv w:val="1"/>
      <w:marLeft w:val="0"/>
      <w:marRight w:val="0"/>
      <w:marTop w:val="0"/>
      <w:marBottom w:val="0"/>
      <w:divBdr>
        <w:top w:val="none" w:sz="0" w:space="0" w:color="auto"/>
        <w:left w:val="none" w:sz="0" w:space="0" w:color="auto"/>
        <w:bottom w:val="none" w:sz="0" w:space="0" w:color="auto"/>
        <w:right w:val="none" w:sz="0" w:space="0" w:color="auto"/>
      </w:divBdr>
    </w:div>
    <w:div w:id="1938322240">
      <w:bodyDiv w:val="1"/>
      <w:marLeft w:val="0"/>
      <w:marRight w:val="0"/>
      <w:marTop w:val="0"/>
      <w:marBottom w:val="0"/>
      <w:divBdr>
        <w:top w:val="none" w:sz="0" w:space="0" w:color="auto"/>
        <w:left w:val="none" w:sz="0" w:space="0" w:color="auto"/>
        <w:bottom w:val="none" w:sz="0" w:space="0" w:color="auto"/>
        <w:right w:val="none" w:sz="0" w:space="0" w:color="auto"/>
      </w:divBdr>
    </w:div>
    <w:div w:id="1970932068">
      <w:bodyDiv w:val="1"/>
      <w:marLeft w:val="0"/>
      <w:marRight w:val="0"/>
      <w:marTop w:val="0"/>
      <w:marBottom w:val="0"/>
      <w:divBdr>
        <w:top w:val="none" w:sz="0" w:space="0" w:color="auto"/>
        <w:left w:val="none" w:sz="0" w:space="0" w:color="auto"/>
        <w:bottom w:val="none" w:sz="0" w:space="0" w:color="auto"/>
        <w:right w:val="none" w:sz="0" w:space="0" w:color="auto"/>
      </w:divBdr>
    </w:div>
    <w:div w:id="203988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114/ppn.2023.127237" TargetMode="External"/><Relationship Id="rId18" Type="http://schemas.openxmlformats.org/officeDocument/2006/relationships/hyperlink" Target="https://www.ncbi.nlm.nih.gov/books/NBK562178/" TargetMode="External"/><Relationship Id="rId26" Type="http://schemas.openxmlformats.org/officeDocument/2006/relationships/hyperlink" Target="https://www.ncbi.nlm.nih.gov/books/NBK603710/" TargetMode="External"/><Relationship Id="rId21" Type="http://schemas.openxmlformats.org/officeDocument/2006/relationships/hyperlink" Target="https://doi.org/10.1177/10731911231201150" TargetMode="External"/><Relationship Id="rId34" Type="http://schemas.openxmlformats.org/officeDocument/2006/relationships/hyperlink" Target="https://doi.org/10.3390/brainsci14030200" TargetMode="External"/><Relationship Id="rId7" Type="http://schemas.openxmlformats.org/officeDocument/2006/relationships/hyperlink" Target="https://doi.org/10.7759/cureus.39549" TargetMode="External"/><Relationship Id="rId12" Type="http://schemas.openxmlformats.org/officeDocument/2006/relationships/hyperlink" Target="https://www.researchgate.net/publication/369334237_Eating_Disorders_and_Neurodivergence_A_Stepped_Care_Approach" TargetMode="External"/><Relationship Id="rId17" Type="http://schemas.openxmlformats.org/officeDocument/2006/relationships/hyperlink" Target="https://doi.org/10.1007/s13679-023-00517-0" TargetMode="External"/><Relationship Id="rId25" Type="http://schemas.openxmlformats.org/officeDocument/2006/relationships/hyperlink" Target="https://doi.org/10.1002/eat.24010" TargetMode="External"/><Relationship Id="rId33" Type="http://schemas.openxmlformats.org/officeDocument/2006/relationships/hyperlink" Target="https://icd.who.int/browse/2025-01/mms/en" TargetMode="External"/><Relationship Id="rId2" Type="http://schemas.openxmlformats.org/officeDocument/2006/relationships/styles" Target="styles.xml"/><Relationship Id="rId16" Type="http://schemas.openxmlformats.org/officeDocument/2006/relationships/hyperlink" Target="https://doi.org/10.1002/eat.23629" TargetMode="External"/><Relationship Id="rId20" Type="http://schemas.openxmlformats.org/officeDocument/2006/relationships/hyperlink" Target="https://doi.org/10.1186/s40337-017-0145-3" TargetMode="External"/><Relationship Id="rId29" Type="http://schemas.openxmlformats.org/officeDocument/2006/relationships/hyperlink" Target="https://doi.org/10.1002/eat.241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16-019-1327-4" TargetMode="External"/><Relationship Id="rId24" Type="http://schemas.openxmlformats.org/officeDocument/2006/relationships/hyperlink" Target="https://www.legislation.gov.uk/ukpga/1983/20/contents" TargetMode="External"/><Relationship Id="rId32" Type="http://schemas.openxmlformats.org/officeDocument/2006/relationships/hyperlink" Target="https://doi.org/10.1192/bjp.2021.105"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86/s40337-021-00487-5" TargetMode="External"/><Relationship Id="rId23" Type="http://schemas.openxmlformats.org/officeDocument/2006/relationships/hyperlink" Target="https://doi.org/10.1016/j.neubiorev.2022.104857" TargetMode="External"/><Relationship Id="rId28" Type="http://schemas.openxmlformats.org/officeDocument/2006/relationships/hyperlink" Target="https://doi.org/10.1186/s40337-023-00833-9" TargetMode="External"/><Relationship Id="rId36" Type="http://schemas.openxmlformats.org/officeDocument/2006/relationships/fontTable" Target="fontTable.xml"/><Relationship Id="rId10" Type="http://schemas.openxmlformats.org/officeDocument/2006/relationships/hyperlink" Target="https://doi.org/10.1002/erv.3068" TargetMode="External"/><Relationship Id="rId19" Type="http://schemas.openxmlformats.org/officeDocument/2006/relationships/hyperlink" Target="https://doi.org/10.1097/yco.0000000000000750" TargetMode="External"/><Relationship Id="rId31" Type="http://schemas.openxmlformats.org/officeDocument/2006/relationships/hyperlink" Target="https://doi.org/10.1186/s12916-020-1495-2" TargetMode="External"/><Relationship Id="rId4" Type="http://schemas.openxmlformats.org/officeDocument/2006/relationships/webSettings" Target="webSettings.xml"/><Relationship Id="rId9" Type="http://schemas.openxmlformats.org/officeDocument/2006/relationships/hyperlink" Target="https://doi.org/10.1186/s40337-022-00597-8" TargetMode="External"/><Relationship Id="rId14" Type="http://schemas.openxmlformats.org/officeDocument/2006/relationships/hyperlink" Target="https://doi.org/10.1093/ajcn/nqy342" TargetMode="External"/><Relationship Id="rId22" Type="http://schemas.openxmlformats.org/officeDocument/2006/relationships/hyperlink" Target="https://doi.org/10.1002/eat.23640" TargetMode="External"/><Relationship Id="rId27" Type="http://schemas.openxmlformats.org/officeDocument/2006/relationships/hyperlink" Target="https://doi.org/10.1002/wps.20611" TargetMode="External"/><Relationship Id="rId30" Type="http://schemas.openxmlformats.org/officeDocument/2006/relationships/hyperlink" Target="https://doi.org/10.1016/s2215-0366(21)00040-7" TargetMode="External"/><Relationship Id="rId35" Type="http://schemas.openxmlformats.org/officeDocument/2006/relationships/hyperlink" Target="https://doi.org/10.3390/brainsci14030200" TargetMode="External"/><Relationship Id="rId8" Type="http://schemas.openxmlformats.org/officeDocument/2006/relationships/hyperlink" Target="https://doi.org/10.1007/s10803-020-04479-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3599</Words>
  <Characters>26807</Characters>
  <Application>Microsoft Office Word</Application>
  <DocSecurity>0</DocSecurity>
  <Lines>223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khadeeja ikram</cp:lastModifiedBy>
  <cp:revision>2</cp:revision>
  <dcterms:created xsi:type="dcterms:W3CDTF">2025-11-15T11:19:00Z</dcterms:created>
  <dcterms:modified xsi:type="dcterms:W3CDTF">2025-11-15T11:19:00Z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b112a4d8-3833-49ac-a9d6-d515e8dc5269</vt:lpwstr>
  </property>
</Properties>
</file>