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EF5A18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5B5C44">
              <w:rPr>
                <w:b/>
                <w:color w:val="auto"/>
                <w:sz w:val="32"/>
              </w:rPr>
              <w:t xml:space="preserve"> Charlotte Goodway-Sims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58FC3D8B"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4378D">
              <w:rPr>
                <w:b/>
                <w:color w:val="auto"/>
                <w:sz w:val="32"/>
              </w:rPr>
              <w:t>1922404</w:t>
            </w:r>
          </w:p>
          <w:p w14:paraId="161E8B2D" w14:textId="77777777" w:rsidR="005A1BA3" w:rsidRDefault="005A1BA3" w:rsidP="00340E9A">
            <w:pPr>
              <w:overflowPunct/>
              <w:autoSpaceDE/>
              <w:autoSpaceDN/>
              <w:adjustRightInd/>
              <w:ind w:right="237"/>
              <w:textAlignment w:val="auto"/>
              <w:rPr>
                <w:b/>
                <w:color w:val="auto"/>
                <w:sz w:val="32"/>
              </w:rPr>
            </w:pPr>
            <w:bookmarkStart w:id="0" w:name="_GoBack"/>
            <w:bookmarkEnd w:id="0"/>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1">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74378D" w:rsidP="6D8D0C10">
      <w:pPr>
        <w:jc w:val="both"/>
      </w:pPr>
      <w:hyperlink r:id="rId12">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641BFC">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641BF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6A2A35D1" w:rsidR="004F1E21" w:rsidRPr="00270EEB" w:rsidRDefault="00B32DB8" w:rsidP="5848403C">
            <w:pPr>
              <w:ind w:right="237"/>
              <w:jc w:val="both"/>
              <w:rPr>
                <w:i/>
                <w:iCs/>
                <w:sz w:val="24"/>
                <w:szCs w:val="24"/>
              </w:rPr>
            </w:pPr>
            <w:r>
              <w:rPr>
                <w:i/>
                <w:iCs/>
                <w:sz w:val="24"/>
                <w:szCs w:val="24"/>
              </w:rPr>
              <w:t>6</w:t>
            </w:r>
            <w:r w:rsidR="5848403C" w:rsidRPr="5848403C">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FA3758D" w14:textId="12BB1408" w:rsidR="00641BFC" w:rsidRDefault="00641BFC" w:rsidP="00340E9A">
      <w:pPr>
        <w:ind w:right="237"/>
        <w:jc w:val="both"/>
        <w:rPr>
          <w:sz w:val="24"/>
          <w:szCs w:val="24"/>
        </w:rPr>
      </w:pPr>
    </w:p>
    <w:p w14:paraId="186DFC56" w14:textId="77777777" w:rsidR="00B32DB8" w:rsidRDefault="00B32DB8" w:rsidP="00340E9A">
      <w:pPr>
        <w:ind w:right="237"/>
        <w:jc w:val="both"/>
        <w:rPr>
          <w:sz w:val="24"/>
          <w:szCs w:val="24"/>
        </w:rPr>
      </w:pPr>
    </w:p>
    <w:p w14:paraId="4A0CC0B1" w14:textId="77777777" w:rsidR="00B32DB8" w:rsidRDefault="00B32DB8" w:rsidP="00B32DB8">
      <w:pPr>
        <w:ind w:right="237"/>
        <w:jc w:val="both"/>
        <w:rPr>
          <w:sz w:val="24"/>
          <w:szCs w:val="24"/>
        </w:rPr>
      </w:pPr>
      <w:r>
        <w:rPr>
          <w:sz w:val="24"/>
          <w:szCs w:val="24"/>
        </w:rPr>
        <w:t>Although I was already using a few coping strategies for stress and resilience, I had to adapt these and develop upon them to fit my role as a constable in the workplace.</w:t>
      </w:r>
    </w:p>
    <w:p w14:paraId="664922D6" w14:textId="77777777" w:rsidR="00B32DB8" w:rsidRDefault="00B32DB8" w:rsidP="00B32DB8">
      <w:pPr>
        <w:ind w:right="237"/>
        <w:jc w:val="both"/>
        <w:rPr>
          <w:sz w:val="24"/>
          <w:szCs w:val="24"/>
        </w:rPr>
      </w:pPr>
    </w:p>
    <w:p w14:paraId="1ECA5219" w14:textId="019CA860" w:rsidR="00B32DB8" w:rsidRDefault="00B32DB8" w:rsidP="00B32DB8">
      <w:pPr>
        <w:ind w:right="237"/>
        <w:jc w:val="both"/>
        <w:rPr>
          <w:sz w:val="24"/>
          <w:szCs w:val="24"/>
        </w:rPr>
      </w:pPr>
      <w:r>
        <w:rPr>
          <w:sz w:val="24"/>
          <w:szCs w:val="24"/>
        </w:rPr>
        <w:t>Working on response means officers work two early shifts, two late shifts and two night shifts with four rest days. However, after completing my first set of shifts and rest days it became clear the toll that working shifts has on your body, sleep pattern and your general routine, family life and mental health. I found I was constantly playing catch up, in particular by sleeping or feeling very drained and unmotivated on rest days, which, takes away from other things you want or need to be doing. I also found I was drinking a lot more caffeine than I normally would to get me through until bedtime, which I realised was not a healthy solution. With me having a young child, I found I was either prioritising sleep over family and home life or vice versa and struggled to find a middle ground. This lead to a lot of stress, ‘Mum guilt’ and I was often over tired with low mood/motivation. I was able to identify this quickly and found organisation and planning for the month was vital to reduce my stress and build my resilience to cope long term. I spoke to my partner and family, expressed my stress and concerns so far and we all discussed ways to improve in line with what everyone needed, wanted and were capable of doing. I dedicated time to plan the month ahead in relation to my sons nursery schedule including who was picking him up and dropping him matching my shift pattern but also factoring in time for me to spend time with him and allowing myself time to rest/sleep. Along with this, I continued to meal prep on a dedicated day that meant meals were available for the family and me to take to work and arranged with my partner to share housework, which, allows me more time particularly on my rest days to complete university work.</w:t>
      </w:r>
    </w:p>
    <w:p w14:paraId="52BC4134" w14:textId="77777777" w:rsidR="00B32DB8" w:rsidRDefault="00B32DB8" w:rsidP="00B32DB8">
      <w:pPr>
        <w:ind w:right="237"/>
        <w:jc w:val="both"/>
        <w:rPr>
          <w:sz w:val="24"/>
          <w:szCs w:val="24"/>
        </w:rPr>
      </w:pPr>
    </w:p>
    <w:p w14:paraId="1B1E439B" w14:textId="77777777" w:rsidR="00B32DB8" w:rsidRDefault="00B32DB8" w:rsidP="00B32DB8">
      <w:pPr>
        <w:ind w:right="237"/>
        <w:jc w:val="both"/>
        <w:rPr>
          <w:sz w:val="24"/>
          <w:szCs w:val="24"/>
        </w:rPr>
      </w:pPr>
    </w:p>
    <w:p w14:paraId="53C14EB2" w14:textId="0622F3DA" w:rsidR="00B32DB8" w:rsidRDefault="00B32DB8" w:rsidP="00B32DB8">
      <w:pPr>
        <w:ind w:right="237"/>
        <w:jc w:val="both"/>
        <w:rPr>
          <w:sz w:val="24"/>
          <w:szCs w:val="24"/>
        </w:rPr>
      </w:pPr>
      <w:r>
        <w:rPr>
          <w:sz w:val="24"/>
          <w:szCs w:val="24"/>
        </w:rPr>
        <w:t xml:space="preserve">By identifying and adapting my original way of handling my new job as a police officer, I found that it was possible to get a healthy balance between work and home. I now am able to enjoy spending time with my family without worrying about other commitments or deadlines and without feeling too tired or mentally drained. </w:t>
      </w:r>
      <w:r>
        <w:rPr>
          <w:sz w:val="24"/>
          <w:szCs w:val="24"/>
        </w:rPr>
        <w:lastRenderedPageBreak/>
        <w:t xml:space="preserve">Ensuring I get enough sleep is definitely the biggest factor in reducing my stress and building resilience as well as reducing my caffeine intake. NHS Professionals website provides seven healthy ways to deal with shift and night shift work, three of which include getting enough sleep, having a short power nap of 30 minutes and staying hydrated. </w:t>
      </w:r>
      <w:sdt>
        <w:sdtPr>
          <w:rPr>
            <w:sz w:val="24"/>
            <w:szCs w:val="24"/>
          </w:rPr>
          <w:id w:val="1437320986"/>
          <w:citation/>
        </w:sdtPr>
        <w:sdtEndPr/>
        <w:sdtContent>
          <w:r>
            <w:rPr>
              <w:sz w:val="24"/>
              <w:szCs w:val="24"/>
            </w:rPr>
            <w:fldChar w:fldCharType="begin"/>
          </w:r>
          <w:r>
            <w:rPr>
              <w:sz w:val="24"/>
              <w:szCs w:val="24"/>
            </w:rPr>
            <w:instrText xml:space="preserve">CITATION NHS19 \l 2057 </w:instrText>
          </w:r>
          <w:r>
            <w:rPr>
              <w:sz w:val="24"/>
              <w:szCs w:val="24"/>
            </w:rPr>
            <w:fldChar w:fldCharType="separate"/>
          </w:r>
          <w:r w:rsidRPr="001B60F7">
            <w:rPr>
              <w:noProof/>
              <w:sz w:val="24"/>
              <w:szCs w:val="24"/>
            </w:rPr>
            <w:t>(NHS Professionals Ltd, 2019)</w:t>
          </w:r>
          <w:r>
            <w:rPr>
              <w:sz w:val="24"/>
              <w:szCs w:val="24"/>
            </w:rPr>
            <w:fldChar w:fldCharType="end"/>
          </w:r>
        </w:sdtContent>
      </w:sdt>
      <w:r>
        <w:rPr>
          <w:sz w:val="24"/>
          <w:szCs w:val="24"/>
        </w:rPr>
        <w:t xml:space="preserve">. </w:t>
      </w:r>
    </w:p>
    <w:p w14:paraId="6C83DD4E" w14:textId="77777777" w:rsidR="00B32DB8" w:rsidRDefault="00B32DB8" w:rsidP="00B32DB8">
      <w:pPr>
        <w:ind w:right="237"/>
        <w:jc w:val="both"/>
        <w:rPr>
          <w:sz w:val="24"/>
          <w:szCs w:val="24"/>
        </w:rPr>
      </w:pPr>
    </w:p>
    <w:p w14:paraId="7314515F" w14:textId="0DE166C2" w:rsidR="00B32DB8" w:rsidRDefault="00B32DB8" w:rsidP="00B32DB8">
      <w:pPr>
        <w:ind w:right="237"/>
        <w:jc w:val="both"/>
        <w:rPr>
          <w:sz w:val="24"/>
          <w:szCs w:val="24"/>
        </w:rPr>
      </w:pPr>
      <w:r>
        <w:rPr>
          <w:sz w:val="24"/>
          <w:szCs w:val="24"/>
        </w:rPr>
        <w:t>During my tutorship, I have had to handle new pressures at work such as being part of a new team and finding my place. Further, I have had to cope with fast-paced shifts involving difficult situations such as calls for mental health problems, suicide attempts, missing children, sudden deaths and the calmer side of extended shifts and vast amounts of paperwork. All of this so far I have found manageable however I think that this is due to the current coping strategies I have in place. However, I think that with further time in my position and with greater experience and exposure to situations, I may have to revisit and further adapt my ways of coping with stress and build resilience to ensure my continued well-being within the job.</w:t>
      </w:r>
      <w:r w:rsidR="005B5C44">
        <w:rPr>
          <w:sz w:val="24"/>
          <w:szCs w:val="24"/>
        </w:rPr>
        <w:t xml:space="preserve"> (597 words)</w:t>
      </w:r>
    </w:p>
    <w:p w14:paraId="6D828EF6" w14:textId="77777777" w:rsidR="00B32DB8" w:rsidRDefault="00B32DB8" w:rsidP="00B32DB8">
      <w:pPr>
        <w:ind w:right="237"/>
        <w:jc w:val="both"/>
        <w:rPr>
          <w:sz w:val="24"/>
          <w:szCs w:val="24"/>
        </w:rPr>
      </w:pPr>
    </w:p>
    <w:p w14:paraId="71791A66" w14:textId="77777777" w:rsidR="00B32DB8" w:rsidRDefault="00B32DB8" w:rsidP="00340E9A">
      <w:pPr>
        <w:ind w:right="237"/>
        <w:jc w:val="both"/>
        <w:rPr>
          <w:sz w:val="24"/>
          <w:szCs w:val="24"/>
        </w:rPr>
      </w:pPr>
    </w:p>
    <w:p w14:paraId="3319F997" w14:textId="77777777" w:rsidR="00B32DB8" w:rsidRDefault="00B32DB8" w:rsidP="00340E9A">
      <w:pPr>
        <w:ind w:right="237"/>
        <w:jc w:val="both"/>
        <w:rPr>
          <w:sz w:val="24"/>
          <w:szCs w:val="24"/>
        </w:rPr>
      </w:pPr>
    </w:p>
    <w:p w14:paraId="35B34D75" w14:textId="77777777" w:rsidR="00B32DB8" w:rsidRDefault="00B32DB8" w:rsidP="00340E9A">
      <w:pPr>
        <w:ind w:right="237"/>
        <w:jc w:val="both"/>
        <w:rPr>
          <w:sz w:val="24"/>
          <w:szCs w:val="24"/>
        </w:rPr>
      </w:pPr>
    </w:p>
    <w:p w14:paraId="6B638D58" w14:textId="77777777" w:rsidR="00B32DB8" w:rsidRDefault="00B32DB8" w:rsidP="00340E9A">
      <w:pPr>
        <w:ind w:right="237"/>
        <w:jc w:val="both"/>
        <w:rPr>
          <w:sz w:val="24"/>
          <w:szCs w:val="24"/>
        </w:rPr>
      </w:pPr>
    </w:p>
    <w:p w14:paraId="10B9C759" w14:textId="77777777" w:rsidR="00B32DB8" w:rsidRDefault="00B32DB8" w:rsidP="00340E9A">
      <w:pPr>
        <w:ind w:right="237"/>
        <w:jc w:val="both"/>
        <w:rPr>
          <w:sz w:val="24"/>
          <w:szCs w:val="24"/>
        </w:rPr>
      </w:pPr>
    </w:p>
    <w:p w14:paraId="2D110323" w14:textId="77777777" w:rsidR="00B32DB8" w:rsidRDefault="00B32DB8" w:rsidP="00340E9A">
      <w:pPr>
        <w:ind w:right="237"/>
        <w:jc w:val="both"/>
        <w:rPr>
          <w:sz w:val="24"/>
          <w:szCs w:val="24"/>
        </w:rPr>
      </w:pPr>
    </w:p>
    <w:p w14:paraId="0092CE52" w14:textId="77777777" w:rsidR="00B32DB8" w:rsidRDefault="00B32DB8" w:rsidP="00340E9A">
      <w:pPr>
        <w:ind w:right="237"/>
        <w:jc w:val="both"/>
        <w:rPr>
          <w:sz w:val="24"/>
          <w:szCs w:val="24"/>
        </w:rPr>
      </w:pPr>
    </w:p>
    <w:p w14:paraId="289BD854" w14:textId="77777777" w:rsidR="00B32DB8" w:rsidRDefault="00B32DB8" w:rsidP="00340E9A">
      <w:pPr>
        <w:ind w:right="237"/>
        <w:jc w:val="both"/>
        <w:rPr>
          <w:sz w:val="24"/>
          <w:szCs w:val="24"/>
        </w:rPr>
      </w:pPr>
    </w:p>
    <w:p w14:paraId="2DED0228" w14:textId="77777777" w:rsidR="00B32DB8" w:rsidRDefault="00B32DB8" w:rsidP="00340E9A">
      <w:pPr>
        <w:ind w:right="237"/>
        <w:jc w:val="both"/>
        <w:rPr>
          <w:sz w:val="24"/>
          <w:szCs w:val="24"/>
        </w:rPr>
      </w:pPr>
    </w:p>
    <w:p w14:paraId="03055F2F" w14:textId="77777777" w:rsidR="00B32DB8" w:rsidRDefault="00B32DB8" w:rsidP="00340E9A">
      <w:pPr>
        <w:ind w:right="237"/>
        <w:jc w:val="both"/>
        <w:rPr>
          <w:sz w:val="24"/>
          <w:szCs w:val="24"/>
        </w:rPr>
      </w:pPr>
    </w:p>
    <w:p w14:paraId="50CCFAB0" w14:textId="77777777" w:rsidR="00B32DB8" w:rsidRDefault="00B32DB8" w:rsidP="00340E9A">
      <w:pPr>
        <w:ind w:right="237"/>
        <w:jc w:val="both"/>
        <w:rPr>
          <w:sz w:val="24"/>
          <w:szCs w:val="24"/>
        </w:rPr>
      </w:pPr>
    </w:p>
    <w:p w14:paraId="14D27062" w14:textId="77777777" w:rsidR="00B32DB8" w:rsidRDefault="00B32DB8" w:rsidP="00340E9A">
      <w:pPr>
        <w:ind w:right="237"/>
        <w:jc w:val="both"/>
        <w:rPr>
          <w:sz w:val="24"/>
          <w:szCs w:val="24"/>
        </w:rPr>
      </w:pPr>
    </w:p>
    <w:p w14:paraId="365FC57D" w14:textId="77777777" w:rsidR="00B32DB8" w:rsidRDefault="00B32DB8" w:rsidP="00340E9A">
      <w:pPr>
        <w:ind w:right="237"/>
        <w:jc w:val="both"/>
        <w:rPr>
          <w:sz w:val="24"/>
          <w:szCs w:val="24"/>
        </w:rPr>
      </w:pPr>
    </w:p>
    <w:p w14:paraId="404DAFB6" w14:textId="77777777" w:rsidR="00B32DB8" w:rsidRDefault="00B32DB8" w:rsidP="00340E9A">
      <w:pPr>
        <w:ind w:right="237"/>
        <w:jc w:val="both"/>
        <w:rPr>
          <w:sz w:val="24"/>
          <w:szCs w:val="24"/>
        </w:rPr>
      </w:pPr>
    </w:p>
    <w:p w14:paraId="1FFB0FDD" w14:textId="77777777" w:rsidR="00B32DB8" w:rsidRDefault="00B32DB8" w:rsidP="00340E9A">
      <w:pPr>
        <w:ind w:right="237"/>
        <w:jc w:val="both"/>
        <w:rPr>
          <w:sz w:val="24"/>
          <w:szCs w:val="24"/>
        </w:rPr>
      </w:pPr>
    </w:p>
    <w:p w14:paraId="480D0DD2" w14:textId="77777777" w:rsidR="00B32DB8" w:rsidRDefault="00B32DB8" w:rsidP="00340E9A">
      <w:pPr>
        <w:ind w:right="237"/>
        <w:jc w:val="both"/>
        <w:rPr>
          <w:sz w:val="24"/>
          <w:szCs w:val="24"/>
        </w:rPr>
      </w:pPr>
    </w:p>
    <w:p w14:paraId="734701FC" w14:textId="77777777" w:rsidR="00B32DB8" w:rsidRDefault="00B32DB8" w:rsidP="00340E9A">
      <w:pPr>
        <w:ind w:right="237"/>
        <w:jc w:val="both"/>
        <w:rPr>
          <w:sz w:val="24"/>
          <w:szCs w:val="24"/>
        </w:rPr>
      </w:pPr>
    </w:p>
    <w:p w14:paraId="6E65C9A1" w14:textId="77777777" w:rsidR="00B32DB8" w:rsidRDefault="00B32DB8" w:rsidP="00340E9A">
      <w:pPr>
        <w:ind w:right="237"/>
        <w:jc w:val="both"/>
        <w:rPr>
          <w:sz w:val="24"/>
          <w:szCs w:val="24"/>
        </w:rPr>
      </w:pPr>
    </w:p>
    <w:p w14:paraId="434687F6" w14:textId="77777777" w:rsidR="00B32DB8" w:rsidRDefault="00B32DB8" w:rsidP="00340E9A">
      <w:pPr>
        <w:ind w:right="237"/>
        <w:jc w:val="both"/>
        <w:rPr>
          <w:sz w:val="24"/>
          <w:szCs w:val="24"/>
        </w:rPr>
      </w:pPr>
    </w:p>
    <w:p w14:paraId="79AD4324" w14:textId="77777777" w:rsidR="00B32DB8" w:rsidRDefault="00B32DB8" w:rsidP="00340E9A">
      <w:pPr>
        <w:ind w:right="237"/>
        <w:jc w:val="both"/>
        <w:rPr>
          <w:sz w:val="24"/>
          <w:szCs w:val="24"/>
        </w:rPr>
      </w:pPr>
    </w:p>
    <w:p w14:paraId="5BF8E4F5" w14:textId="77777777" w:rsidR="00B32DB8" w:rsidRDefault="00B32DB8" w:rsidP="00340E9A">
      <w:pPr>
        <w:ind w:right="237"/>
        <w:jc w:val="both"/>
        <w:rPr>
          <w:sz w:val="24"/>
          <w:szCs w:val="24"/>
        </w:rPr>
      </w:pPr>
    </w:p>
    <w:p w14:paraId="30DB8C16" w14:textId="77777777" w:rsidR="00B32DB8" w:rsidRDefault="00B32DB8" w:rsidP="00340E9A">
      <w:pPr>
        <w:ind w:right="237"/>
        <w:jc w:val="both"/>
        <w:rPr>
          <w:sz w:val="24"/>
          <w:szCs w:val="24"/>
        </w:rPr>
      </w:pPr>
    </w:p>
    <w:p w14:paraId="4D79F3C5" w14:textId="77777777" w:rsidR="00B32DB8" w:rsidRDefault="00B32DB8" w:rsidP="00340E9A">
      <w:pPr>
        <w:ind w:right="237"/>
        <w:jc w:val="both"/>
        <w:rPr>
          <w:sz w:val="24"/>
          <w:szCs w:val="24"/>
        </w:rPr>
      </w:pPr>
    </w:p>
    <w:p w14:paraId="385C0923" w14:textId="77777777" w:rsidR="00B32DB8" w:rsidRDefault="00B32DB8"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3D4900DE" w14:textId="3E931CBB" w:rsidR="000F7ECD" w:rsidRPr="00270EEB" w:rsidRDefault="000F7ECD" w:rsidP="00340E9A">
      <w:pPr>
        <w:ind w:right="237"/>
        <w:jc w:val="both"/>
        <w:rPr>
          <w:sz w:val="24"/>
          <w:szCs w:val="24"/>
        </w:rPr>
        <w:sectPr w:rsidR="000F7ECD" w:rsidRPr="00270EEB" w:rsidSect="00D46E32">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C2C4F8A" w14:textId="77777777" w:rsidR="00980A09" w:rsidRPr="00980A09" w:rsidRDefault="00980A09" w:rsidP="00980A09">
      <w:pPr>
        <w:ind w:right="237"/>
        <w:jc w:val="both"/>
        <w:rPr>
          <w:color w:val="auto"/>
          <w:sz w:val="24"/>
          <w:szCs w:val="24"/>
        </w:rPr>
      </w:pPr>
      <w:r w:rsidRPr="00980A09">
        <w:rPr>
          <w:sz w:val="24"/>
          <w:szCs w:val="24"/>
        </w:rPr>
        <w:t xml:space="preserve">In this essay, I am going look at the fundamental elements of effective communication during a policing incident where I played a significant role. To do this I will give a brief description of the incident including social and legislative contexts, review the elements of effective communication used, explain my considerations in relation to their vulnerabilities and my responsibilities to safeguard and my role in risk reduction. I will also reflect to illustrate my understanding and application of core principles of ethics, equality, diversity and human rights as well as any code of practice considerations. </w:t>
      </w:r>
    </w:p>
    <w:p w14:paraId="0AF43A73" w14:textId="77777777" w:rsidR="00980A09" w:rsidRPr="00980A09" w:rsidRDefault="00980A09" w:rsidP="00980A09">
      <w:pPr>
        <w:ind w:right="237"/>
        <w:jc w:val="both"/>
        <w:rPr>
          <w:sz w:val="24"/>
          <w:szCs w:val="24"/>
        </w:rPr>
      </w:pPr>
    </w:p>
    <w:p w14:paraId="56731508" w14:textId="32AAC77C" w:rsidR="00980A09" w:rsidRPr="00980A09" w:rsidRDefault="00980A09" w:rsidP="00980A09">
      <w:pPr>
        <w:jc w:val="both"/>
        <w:rPr>
          <w:sz w:val="24"/>
          <w:szCs w:val="24"/>
        </w:rPr>
      </w:pPr>
      <w:r w:rsidRPr="00980A09">
        <w:rPr>
          <w:sz w:val="24"/>
          <w:szCs w:val="24"/>
        </w:rPr>
        <w:t xml:space="preserve">I received a call for concern for a female standing on a bridge above a river. The caller stated the female who was a black female, roughly 20-25 years old was standing over the railings, above the river showing obvious signs of distress, threatening to jump in. While making my way to the scene I considered the National Decision Model (NDM) to aid my decision making for this spontaneous but serious incident. As the female </w:t>
      </w:r>
      <w:r w:rsidRPr="00980A09">
        <w:rPr>
          <w:sz w:val="24"/>
          <w:szCs w:val="24"/>
        </w:rPr>
        <w:lastRenderedPageBreak/>
        <w:t>was unknown to us at this point gathering information and intelligence was limited, however the caller was able to inform us that the female who will be known as ‘Beth’ was showing signs of ill mental health; she was visibly upset and intending to harm herself. This allowed me to assess the immediate threat and high risk of the situation. The working strategy at this point was to use effective communication to engage with Beth to try to ascertain her needs and possible vulnerabilities and go from there in regards to possible options and my responsibly to safeguard her. I had also begun to think about powers and policy. If no other offences were present, the need for arrest is reduced however; consideration of legislative contexts such as The Mental Capacity Act 2005 and arrest if using the Mental Health Act 2007 may be required. Although I am not a mental health professional, I am aware of some of the social contexts that can be involved with mental health from prior learning in school. Anyone can be effected by ill mental health however; factors such as social change, social class, ethnicity and race, gender, household patterns and social institutions can contribute. One piece of research supports this, suggested that those with a mental health condition are more likely to be aged between 35 and 54, female, live alone/are divorced, are a one-parent family, have no formal qualification and are a housing or local authority tenant</w:t>
      </w:r>
      <w:sdt>
        <w:sdtPr>
          <w:rPr>
            <w:sz w:val="24"/>
            <w:szCs w:val="24"/>
          </w:rPr>
          <w:id w:val="-1971577880"/>
          <w:citation/>
        </w:sdtPr>
        <w:sdtEndPr/>
        <w:sdtContent>
          <w:r w:rsidRPr="00980A09">
            <w:rPr>
              <w:sz w:val="24"/>
              <w:szCs w:val="24"/>
            </w:rPr>
            <w:fldChar w:fldCharType="begin"/>
          </w:r>
          <w:r w:rsidRPr="00980A09">
            <w:rPr>
              <w:sz w:val="24"/>
              <w:szCs w:val="24"/>
            </w:rPr>
            <w:instrText xml:space="preserve">CITATION Cou16 \l 2057 </w:instrText>
          </w:r>
          <w:r w:rsidRPr="00980A09">
            <w:rPr>
              <w:sz w:val="24"/>
              <w:szCs w:val="24"/>
            </w:rPr>
            <w:fldChar w:fldCharType="separate"/>
          </w:r>
          <w:r w:rsidRPr="00980A09">
            <w:rPr>
              <w:noProof/>
              <w:sz w:val="24"/>
              <w:szCs w:val="24"/>
            </w:rPr>
            <w:t xml:space="preserve"> (Councelling directory, 2016)</w:t>
          </w:r>
          <w:r w:rsidRPr="00980A09">
            <w:rPr>
              <w:sz w:val="24"/>
              <w:szCs w:val="24"/>
            </w:rPr>
            <w:fldChar w:fldCharType="end"/>
          </w:r>
        </w:sdtContent>
      </w:sdt>
      <w:r w:rsidRPr="00980A09">
        <w:rPr>
          <w:sz w:val="24"/>
          <w:szCs w:val="24"/>
        </w:rPr>
        <w:t>. Therefore, when going into a situation it is important to consider these when communicating and getting information.</w:t>
      </w:r>
      <w:r w:rsidR="007C6A85">
        <w:rPr>
          <w:sz w:val="24"/>
          <w:szCs w:val="24"/>
        </w:rPr>
        <w:t xml:space="preserve"> </w:t>
      </w:r>
    </w:p>
    <w:p w14:paraId="17FACA25" w14:textId="77777777" w:rsidR="00980A09" w:rsidRPr="00980A09" w:rsidRDefault="00980A09" w:rsidP="00980A09">
      <w:pPr>
        <w:jc w:val="both"/>
        <w:rPr>
          <w:sz w:val="24"/>
          <w:szCs w:val="24"/>
        </w:rPr>
      </w:pPr>
    </w:p>
    <w:p w14:paraId="0B29B90C" w14:textId="77777777" w:rsidR="00980A09" w:rsidRPr="00980A09" w:rsidRDefault="00980A09" w:rsidP="00980A09">
      <w:pPr>
        <w:jc w:val="both"/>
        <w:rPr>
          <w:sz w:val="24"/>
          <w:szCs w:val="24"/>
        </w:rPr>
      </w:pPr>
      <w:r w:rsidRPr="00980A09">
        <w:rPr>
          <w:sz w:val="24"/>
          <w:szCs w:val="24"/>
        </w:rPr>
        <w:t>When entering the scene I was aware of the importance of my communication with Beth as when communicating with anyone who is mentally vulnerable or distressed any inappropriate response from myself could cause an escalation of the situation or negatively impact rapport and trust. Particularly if there is any mental illness, learning difficulties, development difficulties or language barriers. Betari’s Box supports this by suggesting that attitude is strongly linked to behaviour. It suggests that ‘My’ attitude as an officer affects ‘My’ behaviour which goes on to affect ‘Others’ attitude and so effects ‘Others’ behaviour which in turn then effects my attitude further, resulting in a negative cycle of conflict. This cycle will continue until broken and once broken it can positively influence others around us. While considering this when approaching Beth I chose to use effective verbal and non-verbal communication, while trying to build rapport and trust by actively listening and showing Beth understanding and support</w:t>
      </w:r>
      <w:sdt>
        <w:sdtPr>
          <w:rPr>
            <w:sz w:val="24"/>
            <w:szCs w:val="24"/>
          </w:rPr>
          <w:id w:val="-399981411"/>
          <w:citation/>
        </w:sdtPr>
        <w:sdtEndPr/>
        <w:sdtContent>
          <w:r w:rsidRPr="00980A09">
            <w:rPr>
              <w:sz w:val="24"/>
              <w:szCs w:val="24"/>
            </w:rPr>
            <w:fldChar w:fldCharType="begin"/>
          </w:r>
          <w:r w:rsidRPr="00980A09">
            <w:rPr>
              <w:sz w:val="24"/>
              <w:szCs w:val="24"/>
            </w:rPr>
            <w:instrText xml:space="preserve"> CITATION Col21 \l 2057 </w:instrText>
          </w:r>
          <w:r w:rsidRPr="00980A09">
            <w:rPr>
              <w:sz w:val="24"/>
              <w:szCs w:val="24"/>
            </w:rPr>
            <w:fldChar w:fldCharType="separate"/>
          </w:r>
          <w:r w:rsidRPr="00980A09">
            <w:rPr>
              <w:noProof/>
              <w:sz w:val="24"/>
              <w:szCs w:val="24"/>
            </w:rPr>
            <w:t xml:space="preserve"> (College of policing, 2021)</w:t>
          </w:r>
          <w:r w:rsidRPr="00980A09">
            <w:rPr>
              <w:sz w:val="24"/>
              <w:szCs w:val="24"/>
            </w:rPr>
            <w:fldChar w:fldCharType="end"/>
          </w:r>
        </w:sdtContent>
      </w:sdt>
      <w:sdt>
        <w:sdtPr>
          <w:rPr>
            <w:sz w:val="24"/>
            <w:szCs w:val="24"/>
          </w:rPr>
          <w:id w:val="137855609"/>
          <w:citation/>
        </w:sdtPr>
        <w:sdtEndPr/>
        <w:sdtContent>
          <w:r w:rsidRPr="00980A09">
            <w:rPr>
              <w:sz w:val="24"/>
              <w:szCs w:val="24"/>
            </w:rPr>
            <w:fldChar w:fldCharType="begin"/>
          </w:r>
          <w:r w:rsidRPr="00980A09">
            <w:rPr>
              <w:sz w:val="24"/>
              <w:szCs w:val="24"/>
            </w:rPr>
            <w:instrText xml:space="preserve">CITATION Min20 \l 2057 </w:instrText>
          </w:r>
          <w:r w:rsidRPr="00980A09">
            <w:rPr>
              <w:sz w:val="24"/>
              <w:szCs w:val="24"/>
            </w:rPr>
            <w:fldChar w:fldCharType="separate"/>
          </w:r>
          <w:r w:rsidRPr="00980A09">
            <w:rPr>
              <w:noProof/>
              <w:sz w:val="24"/>
              <w:szCs w:val="24"/>
            </w:rPr>
            <w:t xml:space="preserve"> (Mind Tools, 2020)</w:t>
          </w:r>
          <w:r w:rsidRPr="00980A09">
            <w:rPr>
              <w:sz w:val="24"/>
              <w:szCs w:val="24"/>
            </w:rPr>
            <w:fldChar w:fldCharType="end"/>
          </w:r>
        </w:sdtContent>
      </w:sdt>
    </w:p>
    <w:p w14:paraId="5AACBF66" w14:textId="77777777" w:rsidR="00980A09" w:rsidRPr="00980A09" w:rsidRDefault="00980A09" w:rsidP="00980A09">
      <w:pPr>
        <w:jc w:val="both"/>
        <w:rPr>
          <w:sz w:val="24"/>
          <w:szCs w:val="24"/>
        </w:rPr>
      </w:pPr>
      <w:r w:rsidRPr="00980A09">
        <w:rPr>
          <w:sz w:val="24"/>
          <w:szCs w:val="24"/>
        </w:rPr>
        <w:t xml:space="preserve">When approaching Beth I had in mind what information I initially needed and wanted from her. I remained calm using a consistently low voice, reassuring Beth and acknowledging her distress. I asked her for personal details and how she was feeling while also repeatedly reassuring her she was safe, cared for and that I understood. At first, Beth would not engage with officers other than to tell us to leave. Although by using non-verbal communication in the form of giving her space, moving slowly and projecting a relaxed, non-aggressive, friendly posture as well as showing I was actively listening to her and using simple caring verbal communication, Beth started to communicate. I was able to complete a person search with her details, which provided me with her PNC and Niche record, her warning markers and history. Beth had numerous warning markers for self harm, mental ill health in the form of depression, anxiety and PTSD. With this information, I had a better understanding of Beth’s vulnerabilities, possible needs and risk/threat of harm. Although Beth was engaging with officers, she was still unsure about stepping to safety and going to receive mental health help, so I used the five-step appeal approach to try to help her understand and accept that she needed help. This included a simple appeal where I asked her to </w:t>
      </w:r>
      <w:r w:rsidRPr="00980A09">
        <w:rPr>
          <w:sz w:val="24"/>
          <w:szCs w:val="24"/>
        </w:rPr>
        <w:lastRenderedPageBreak/>
        <w:t>comply with my suggestion, and a reasoned appeal where I explained I was not happy to leave her until I was sure she was safe. Beth agreed at this stage to step down and receive help. I did not therefore need to use the next step of a personal appeal or the final appeal or action step.</w:t>
      </w:r>
    </w:p>
    <w:p w14:paraId="3037952E" w14:textId="77777777" w:rsidR="00980A09" w:rsidRPr="00980A09" w:rsidRDefault="00980A09" w:rsidP="00980A09">
      <w:pPr>
        <w:jc w:val="both"/>
        <w:rPr>
          <w:sz w:val="24"/>
          <w:szCs w:val="24"/>
        </w:rPr>
      </w:pPr>
      <w:r w:rsidRPr="00980A09">
        <w:rPr>
          <w:sz w:val="24"/>
          <w:szCs w:val="24"/>
        </w:rPr>
        <w:t xml:space="preserve">I continued to use a de-escalation approach while verbally communicating as well as providing reassurance and repeatedly explaining in a simple way what would happen next in a calm, patient manner. Beth remained calm and agreed to voluntarily attend the hospital for a mental health assessment. </w:t>
      </w:r>
    </w:p>
    <w:p w14:paraId="5F62D97B" w14:textId="77777777" w:rsidR="00980A09" w:rsidRPr="00980A09" w:rsidRDefault="00980A09" w:rsidP="00980A09">
      <w:pPr>
        <w:jc w:val="both"/>
        <w:rPr>
          <w:sz w:val="24"/>
          <w:szCs w:val="24"/>
        </w:rPr>
      </w:pPr>
      <w:r w:rsidRPr="00980A09">
        <w:rPr>
          <w:sz w:val="24"/>
          <w:szCs w:val="24"/>
        </w:rPr>
        <w:t>Throughout my interaction with Beth, I continued to assess threat and risk in order to develop a working strategy. As an officer I am not a medical professional so, to respond effectively to risk, protect Beth’s safety and the public’s welfare my ability to recognise symptoms and behaviour associated with mental vulnerability and their significance are crucial. Furthermore, it is important I am able act on, communicate and record this information to medical professionals effectively. The ‘ABCDE’ acronym is used for the vulnerability assessment framework within policing. Officers like myself in this situation are expected to recognise signs of vulnerability by considering:-</w:t>
      </w:r>
    </w:p>
    <w:p w14:paraId="6E3E205E" w14:textId="77777777" w:rsidR="00980A09" w:rsidRPr="00980A09" w:rsidRDefault="00980A09" w:rsidP="00980A09">
      <w:pPr>
        <w:jc w:val="both"/>
        <w:rPr>
          <w:sz w:val="24"/>
          <w:szCs w:val="24"/>
        </w:rPr>
      </w:pPr>
      <w:r w:rsidRPr="00980A09">
        <w:rPr>
          <w:sz w:val="24"/>
          <w:szCs w:val="24"/>
        </w:rPr>
        <w:t>Appearance and atmosphere: - What I see initially including any physical injuries or problems.</w:t>
      </w:r>
    </w:p>
    <w:p w14:paraId="606CAA6F" w14:textId="77777777" w:rsidR="00980A09" w:rsidRPr="00980A09" w:rsidRDefault="00980A09" w:rsidP="00980A09">
      <w:pPr>
        <w:jc w:val="both"/>
        <w:rPr>
          <w:sz w:val="24"/>
          <w:szCs w:val="24"/>
        </w:rPr>
      </w:pPr>
      <w:r w:rsidRPr="00980A09">
        <w:rPr>
          <w:sz w:val="24"/>
          <w:szCs w:val="24"/>
        </w:rPr>
        <w:t>Behaviour: - What Beth is doing, is it appropriate for the situation?</w:t>
      </w:r>
    </w:p>
    <w:p w14:paraId="43D360EE" w14:textId="77777777" w:rsidR="00980A09" w:rsidRPr="00980A09" w:rsidRDefault="00980A09" w:rsidP="00980A09">
      <w:pPr>
        <w:jc w:val="both"/>
        <w:rPr>
          <w:sz w:val="24"/>
          <w:szCs w:val="24"/>
        </w:rPr>
      </w:pPr>
      <w:r w:rsidRPr="00980A09">
        <w:rPr>
          <w:sz w:val="24"/>
          <w:szCs w:val="24"/>
        </w:rPr>
        <w:t>Communication: - What Beth says, how she says it.</w:t>
      </w:r>
    </w:p>
    <w:p w14:paraId="1F3A66ED" w14:textId="77777777" w:rsidR="00980A09" w:rsidRPr="00980A09" w:rsidRDefault="00980A09" w:rsidP="00980A09">
      <w:pPr>
        <w:jc w:val="both"/>
        <w:rPr>
          <w:sz w:val="24"/>
          <w:szCs w:val="24"/>
        </w:rPr>
      </w:pPr>
      <w:r w:rsidRPr="00980A09">
        <w:rPr>
          <w:sz w:val="24"/>
          <w:szCs w:val="24"/>
        </w:rPr>
        <w:t>Danger: - Is Beth in danger, are other people in danger?</w:t>
      </w:r>
    </w:p>
    <w:p w14:paraId="1E8B4B1F" w14:textId="09D6E92F" w:rsidR="00980A09" w:rsidRDefault="00980A09" w:rsidP="00980A09">
      <w:pPr>
        <w:jc w:val="both"/>
        <w:rPr>
          <w:sz w:val="24"/>
          <w:szCs w:val="24"/>
        </w:rPr>
      </w:pPr>
      <w:r w:rsidRPr="00980A09">
        <w:rPr>
          <w:sz w:val="24"/>
          <w:szCs w:val="24"/>
        </w:rPr>
        <w:t>Environment: - Where is Beth? Can her surroundings influence the situation? Who else is there?</w:t>
      </w:r>
    </w:p>
    <w:p w14:paraId="14BC69EC" w14:textId="77777777" w:rsidR="00980A09" w:rsidRPr="00980A09" w:rsidRDefault="00980A09" w:rsidP="00980A09">
      <w:pPr>
        <w:jc w:val="both"/>
        <w:rPr>
          <w:sz w:val="24"/>
          <w:szCs w:val="24"/>
        </w:rPr>
      </w:pPr>
    </w:p>
    <w:p w14:paraId="60CDA081" w14:textId="77777777" w:rsidR="00980A09" w:rsidRPr="00980A09" w:rsidRDefault="00980A09" w:rsidP="00980A09">
      <w:pPr>
        <w:jc w:val="both"/>
        <w:rPr>
          <w:sz w:val="24"/>
          <w:szCs w:val="24"/>
        </w:rPr>
      </w:pPr>
      <w:r w:rsidRPr="00980A09">
        <w:rPr>
          <w:sz w:val="24"/>
          <w:szCs w:val="24"/>
        </w:rPr>
        <w:t>Some behaviour and appearance indicators for vulnerability to consider are confusion, self-neglect, inappropriate or bizarre behaviour, paranoid beliefs, hopelessness, impulsiveness and irrational conversation. Leading on from this aspects of Beth’s communication and risk factors such as exposing herself to danger, threatening or engaging in self-harm or suicide and volatile behaviour also needs to be looked for. I identified Beth as having vulnerabilities and showing some risk factors</w:t>
      </w:r>
      <w:sdt>
        <w:sdtPr>
          <w:rPr>
            <w:sz w:val="24"/>
            <w:szCs w:val="24"/>
          </w:rPr>
          <w:id w:val="-1394423176"/>
          <w:citation/>
        </w:sdtPr>
        <w:sdtEndPr/>
        <w:sdtContent>
          <w:r w:rsidRPr="00980A09">
            <w:rPr>
              <w:sz w:val="24"/>
              <w:szCs w:val="24"/>
            </w:rPr>
            <w:fldChar w:fldCharType="begin"/>
          </w:r>
          <w:r w:rsidRPr="00980A09">
            <w:rPr>
              <w:sz w:val="24"/>
              <w:szCs w:val="24"/>
            </w:rPr>
            <w:instrText xml:space="preserve"> CITATION Col211 \l 2057 </w:instrText>
          </w:r>
          <w:r w:rsidRPr="00980A09">
            <w:rPr>
              <w:sz w:val="24"/>
              <w:szCs w:val="24"/>
            </w:rPr>
            <w:fldChar w:fldCharType="separate"/>
          </w:r>
          <w:r w:rsidRPr="00980A09">
            <w:rPr>
              <w:noProof/>
              <w:sz w:val="24"/>
              <w:szCs w:val="24"/>
            </w:rPr>
            <w:t xml:space="preserve"> (College of Policing, 2021)</w:t>
          </w:r>
          <w:r w:rsidRPr="00980A09">
            <w:rPr>
              <w:sz w:val="24"/>
              <w:szCs w:val="24"/>
            </w:rPr>
            <w:fldChar w:fldCharType="end"/>
          </w:r>
        </w:sdtContent>
      </w:sdt>
      <w:r w:rsidRPr="00980A09">
        <w:rPr>
          <w:sz w:val="24"/>
          <w:szCs w:val="24"/>
        </w:rPr>
        <w:t>. If Beth had not agreed to voluntarily attend hospital I would have had considered two main options, using the Mental Capacity Act 2005 or The Mental Health Act 2017.</w:t>
      </w:r>
    </w:p>
    <w:p w14:paraId="4B935033" w14:textId="031F6799" w:rsidR="00980A09" w:rsidRPr="00980A09" w:rsidRDefault="00980A09" w:rsidP="00980A09">
      <w:pPr>
        <w:jc w:val="both"/>
        <w:rPr>
          <w:sz w:val="24"/>
          <w:szCs w:val="24"/>
        </w:rPr>
      </w:pPr>
      <w:r w:rsidRPr="00980A09">
        <w:rPr>
          <w:sz w:val="24"/>
          <w:szCs w:val="24"/>
        </w:rPr>
        <w:t xml:space="preserve">The Mental Capacity Act 2005 provides a framework for those who lack capacity or the ability to make decisions for themselves whether temporary or permanent due to a disturbance or impairment of the mind or brain. This gives a legal basis for providing care and treatment to police officers. </w:t>
      </w:r>
      <w:sdt>
        <w:sdtPr>
          <w:rPr>
            <w:sz w:val="24"/>
            <w:szCs w:val="24"/>
          </w:rPr>
          <w:id w:val="1820224142"/>
          <w:citation/>
        </w:sdtPr>
        <w:sdtEndPr/>
        <w:sdtContent>
          <w:r w:rsidRPr="00980A09">
            <w:rPr>
              <w:sz w:val="24"/>
              <w:szCs w:val="24"/>
            </w:rPr>
            <w:fldChar w:fldCharType="begin"/>
          </w:r>
          <w:r w:rsidRPr="00980A09">
            <w:rPr>
              <w:sz w:val="24"/>
              <w:szCs w:val="24"/>
            </w:rPr>
            <w:instrText xml:space="preserve"> CITATION Col212 \l 2057 </w:instrText>
          </w:r>
          <w:r w:rsidRPr="00980A09">
            <w:rPr>
              <w:sz w:val="24"/>
              <w:szCs w:val="24"/>
            </w:rPr>
            <w:fldChar w:fldCharType="separate"/>
          </w:r>
          <w:r w:rsidRPr="00980A09">
            <w:rPr>
              <w:noProof/>
              <w:sz w:val="24"/>
              <w:szCs w:val="24"/>
            </w:rPr>
            <w:t>(College of Policing, Mental Capacity, 2021)</w:t>
          </w:r>
          <w:r w:rsidRPr="00980A09">
            <w:rPr>
              <w:sz w:val="24"/>
              <w:szCs w:val="24"/>
            </w:rPr>
            <w:fldChar w:fldCharType="end"/>
          </w:r>
        </w:sdtContent>
      </w:sdt>
      <w:r w:rsidRPr="00980A09">
        <w:rPr>
          <w:sz w:val="24"/>
          <w:szCs w:val="24"/>
        </w:rPr>
        <w:t xml:space="preserve">. S136 of The Mental Health Act 2017 gives officers powers to remove an individual from a public place to a place of safety and keep them there if necessary, if they show signs of suffering from a mental health disorder and being in need of immediate care or control. Beth showed some signs of lacking capacity due to her behaviour and the situation however as effective communication was used it was clear these options were not needed at this time. I was however responsible for safeguarding Beth and ensured that she was conveyed to the appropriate medical professionals and stayed until they took responsibility for her wellbeing </w:t>
      </w:r>
      <w:sdt>
        <w:sdtPr>
          <w:rPr>
            <w:sz w:val="24"/>
            <w:szCs w:val="24"/>
          </w:rPr>
          <w:id w:val="-894815312"/>
          <w:citation/>
        </w:sdtPr>
        <w:sdtEndPr/>
        <w:sdtContent>
          <w:r w:rsidRPr="00980A09">
            <w:rPr>
              <w:sz w:val="24"/>
              <w:szCs w:val="24"/>
            </w:rPr>
            <w:fldChar w:fldCharType="begin"/>
          </w:r>
          <w:r w:rsidRPr="00980A09">
            <w:rPr>
              <w:sz w:val="24"/>
              <w:szCs w:val="24"/>
            </w:rPr>
            <w:instrText xml:space="preserve">CITATION Col213 \l 2057 </w:instrText>
          </w:r>
          <w:r w:rsidRPr="00980A09">
            <w:rPr>
              <w:sz w:val="24"/>
              <w:szCs w:val="24"/>
            </w:rPr>
            <w:fldChar w:fldCharType="separate"/>
          </w:r>
          <w:r w:rsidRPr="00980A09">
            <w:rPr>
              <w:noProof/>
              <w:sz w:val="24"/>
              <w:szCs w:val="24"/>
            </w:rPr>
            <w:t>(College of Policing, Mental Health Detention, 2021)</w:t>
          </w:r>
          <w:r w:rsidRPr="00980A09">
            <w:rPr>
              <w:sz w:val="24"/>
              <w:szCs w:val="24"/>
            </w:rPr>
            <w:fldChar w:fldCharType="end"/>
          </w:r>
        </w:sdtContent>
      </w:sdt>
      <w:r w:rsidRPr="00980A09">
        <w:rPr>
          <w:sz w:val="24"/>
          <w:szCs w:val="24"/>
        </w:rPr>
        <w:t xml:space="preserve">. An adult over 18 is seen to be vulnerable if they need services in relation to mental or physical illness, learning disability or age, if they cannot take care of themselves or protect themselves from harm or exploitation. Beth would fit into this category of vulnerable and to further safeguard Beth I created a Public Protection </w:t>
      </w:r>
      <w:r w:rsidRPr="00980A09">
        <w:rPr>
          <w:sz w:val="24"/>
          <w:szCs w:val="24"/>
        </w:rPr>
        <w:lastRenderedPageBreak/>
        <w:t xml:space="preserve">Notification for her which identifies her as an ‘adult at risk’ which is sent to a Safeguarding Referral Unit who reviews and assesses the information and can lead to further help/support from relevant adult services and local authorities. </w:t>
      </w:r>
      <w:sdt>
        <w:sdtPr>
          <w:rPr>
            <w:sz w:val="24"/>
            <w:szCs w:val="24"/>
          </w:rPr>
          <w:id w:val="2008546356"/>
          <w:citation/>
        </w:sdtPr>
        <w:sdtEndPr/>
        <w:sdtContent>
          <w:r w:rsidRPr="00980A09">
            <w:rPr>
              <w:sz w:val="24"/>
              <w:szCs w:val="24"/>
            </w:rPr>
            <w:fldChar w:fldCharType="begin"/>
          </w:r>
          <w:r w:rsidRPr="00980A09">
            <w:rPr>
              <w:rStyle w:val="FootnoteReference"/>
              <w:sz w:val="24"/>
              <w:szCs w:val="24"/>
            </w:rPr>
            <w:instrText xml:space="preserve"> CITATION Saf19 \l 2057 </w:instrText>
          </w:r>
          <w:r w:rsidRPr="00980A09">
            <w:rPr>
              <w:sz w:val="24"/>
              <w:szCs w:val="24"/>
            </w:rPr>
            <w:fldChar w:fldCharType="separate"/>
          </w:r>
          <w:r w:rsidRPr="00980A09">
            <w:rPr>
              <w:noProof/>
              <w:sz w:val="24"/>
              <w:szCs w:val="24"/>
            </w:rPr>
            <w:t>(Safeguarding Adults Board, 2019)</w:t>
          </w:r>
          <w:r w:rsidRPr="00980A09">
            <w:rPr>
              <w:sz w:val="24"/>
              <w:szCs w:val="24"/>
            </w:rPr>
            <w:fldChar w:fldCharType="end"/>
          </w:r>
        </w:sdtContent>
      </w:sdt>
      <w:r w:rsidRPr="00980A09">
        <w:rPr>
          <w:sz w:val="24"/>
          <w:szCs w:val="24"/>
        </w:rPr>
        <w:t>.</w:t>
      </w:r>
      <w:r w:rsidR="007C6A85">
        <w:rPr>
          <w:sz w:val="24"/>
          <w:szCs w:val="24"/>
        </w:rPr>
        <w:t xml:space="preserve"> </w:t>
      </w:r>
    </w:p>
    <w:p w14:paraId="6D789E79" w14:textId="77777777" w:rsidR="00980A09" w:rsidRPr="00980A09" w:rsidRDefault="00980A09" w:rsidP="00980A09">
      <w:pPr>
        <w:jc w:val="both"/>
        <w:rPr>
          <w:sz w:val="24"/>
          <w:szCs w:val="24"/>
        </w:rPr>
      </w:pPr>
      <w:r w:rsidRPr="00980A09">
        <w:rPr>
          <w:sz w:val="24"/>
          <w:szCs w:val="24"/>
        </w:rPr>
        <w:t xml:space="preserve"> </w:t>
      </w:r>
    </w:p>
    <w:p w14:paraId="47648204" w14:textId="649EF828" w:rsidR="00980A09" w:rsidRPr="00980A09" w:rsidRDefault="00980A09" w:rsidP="00980A09">
      <w:pPr>
        <w:jc w:val="both"/>
        <w:rPr>
          <w:sz w:val="24"/>
          <w:szCs w:val="24"/>
        </w:rPr>
      </w:pPr>
      <w:r w:rsidRPr="00980A09">
        <w:rPr>
          <w:sz w:val="24"/>
          <w:szCs w:val="24"/>
        </w:rPr>
        <w:t>During this incident, I identified that most of the standards of professional behaviour and the policing principles from within the code of ethics were incorporated appropriately and adhered to. In particular, I only gave and carried out lawful orders and instructions as well as diligently executing my duties and responsibilities to Beth. Force was not used on Beth at this time as it was not necessary in the circumstances. I acted with fairness and treated Beth without discrimination. I considered code G of PACE during my interaction with Beth however as she was not arrested/detained under S136 MHA it was not required.</w:t>
      </w:r>
      <w:r w:rsidR="00F30CF1">
        <w:rPr>
          <w:sz w:val="24"/>
          <w:szCs w:val="24"/>
        </w:rPr>
        <w:t xml:space="preserve"> Beth’s human rights should also be considered when considering S136 of MHA as risk of harm is great however, it was not used in this case.</w:t>
      </w:r>
      <w:r w:rsidRPr="00980A09">
        <w:rPr>
          <w:sz w:val="24"/>
          <w:szCs w:val="24"/>
        </w:rPr>
        <w:t xml:space="preserve"> The foundations for equality and diversity are always considered when entering any incident and initially Beth’s race or possible religion was something to consider when interacting with her however the incident did not seem to be directly linked to her race or religion. This incident exposed me to a very serious incident that required fast thoughts and actions and the many police procedures, legislations and resources allowed me to do what I think was right and effective in order to do my job and help Beth receive help</w:t>
      </w:r>
      <w:sdt>
        <w:sdtPr>
          <w:rPr>
            <w:sz w:val="24"/>
            <w:szCs w:val="24"/>
          </w:rPr>
          <w:id w:val="-1296747413"/>
          <w:citation/>
        </w:sdtPr>
        <w:sdtEndPr/>
        <w:sdtContent>
          <w:r w:rsidRPr="00980A09">
            <w:rPr>
              <w:sz w:val="24"/>
              <w:szCs w:val="24"/>
            </w:rPr>
            <w:fldChar w:fldCharType="begin"/>
          </w:r>
          <w:r w:rsidRPr="00980A09">
            <w:rPr>
              <w:sz w:val="24"/>
              <w:szCs w:val="24"/>
            </w:rPr>
            <w:instrText xml:space="preserve">CITATION Bla20 \l 2057 </w:instrText>
          </w:r>
          <w:r w:rsidRPr="00980A09">
            <w:rPr>
              <w:sz w:val="24"/>
              <w:szCs w:val="24"/>
            </w:rPr>
            <w:fldChar w:fldCharType="separate"/>
          </w:r>
          <w:r w:rsidRPr="00980A09">
            <w:rPr>
              <w:noProof/>
              <w:sz w:val="24"/>
              <w:szCs w:val="24"/>
            </w:rPr>
            <w:t xml:space="preserve"> (Blackburn et al, 2020)</w:t>
          </w:r>
          <w:r w:rsidRPr="00980A09">
            <w:rPr>
              <w:sz w:val="24"/>
              <w:szCs w:val="24"/>
            </w:rPr>
            <w:fldChar w:fldCharType="end"/>
          </w:r>
        </w:sdtContent>
      </w:sdt>
      <w:r w:rsidRPr="00980A09">
        <w:rPr>
          <w:sz w:val="24"/>
          <w:szCs w:val="24"/>
        </w:rPr>
        <w:t>.</w:t>
      </w:r>
      <w:r w:rsidR="007C6A85">
        <w:rPr>
          <w:sz w:val="24"/>
          <w:szCs w:val="24"/>
        </w:rPr>
        <w:t xml:space="preserve"> </w:t>
      </w:r>
    </w:p>
    <w:p w14:paraId="545B147F" w14:textId="77777777" w:rsidR="008B28E7" w:rsidRPr="00980A09" w:rsidRDefault="008B28E7" w:rsidP="00980A09">
      <w:pPr>
        <w:ind w:right="237"/>
        <w:jc w:val="both"/>
        <w:rPr>
          <w:sz w:val="24"/>
          <w:szCs w:val="24"/>
        </w:rPr>
      </w:pPr>
    </w:p>
    <w:p w14:paraId="452E40A6" w14:textId="26DC6B90" w:rsidR="008B28E7" w:rsidRPr="00980A09" w:rsidRDefault="007C6A85" w:rsidP="00980A09">
      <w:pPr>
        <w:ind w:right="237"/>
        <w:jc w:val="both"/>
        <w:rPr>
          <w:sz w:val="24"/>
          <w:szCs w:val="24"/>
        </w:rPr>
      </w:pPr>
      <w:r>
        <w:rPr>
          <w:sz w:val="24"/>
          <w:szCs w:val="24"/>
        </w:rPr>
        <w:t>1638 words</w:t>
      </w:r>
    </w:p>
    <w:p w14:paraId="1A730B74" w14:textId="77777777" w:rsidR="008B28E7" w:rsidRPr="00980A09" w:rsidRDefault="008B28E7" w:rsidP="00980A09">
      <w:pPr>
        <w:ind w:right="237"/>
        <w:jc w:val="both"/>
        <w:rPr>
          <w:sz w:val="24"/>
          <w:szCs w:val="24"/>
        </w:rPr>
      </w:pPr>
    </w:p>
    <w:p w14:paraId="4A8B313D" w14:textId="77777777" w:rsidR="008B28E7" w:rsidRPr="00980A09" w:rsidRDefault="008B28E7" w:rsidP="00980A09">
      <w:pPr>
        <w:ind w:right="237"/>
        <w:jc w:val="both"/>
        <w:rPr>
          <w:sz w:val="24"/>
          <w:szCs w:val="24"/>
        </w:rPr>
      </w:pPr>
    </w:p>
    <w:p w14:paraId="58ECD1AB" w14:textId="77777777" w:rsidR="008B28E7" w:rsidRPr="00980A09" w:rsidRDefault="008B28E7" w:rsidP="00980A09">
      <w:pPr>
        <w:ind w:right="237"/>
        <w:jc w:val="both"/>
        <w:rPr>
          <w:sz w:val="24"/>
          <w:szCs w:val="24"/>
        </w:rPr>
      </w:pPr>
    </w:p>
    <w:p w14:paraId="1034652A" w14:textId="77777777" w:rsidR="008B28E7" w:rsidRPr="00980A09" w:rsidRDefault="008B28E7" w:rsidP="00980A09">
      <w:pPr>
        <w:ind w:right="237"/>
        <w:jc w:val="both"/>
        <w:rPr>
          <w:sz w:val="24"/>
          <w:szCs w:val="24"/>
        </w:rPr>
      </w:pPr>
    </w:p>
    <w:p w14:paraId="4519C025" w14:textId="77777777" w:rsidR="008B28E7" w:rsidRPr="00980A09" w:rsidRDefault="008B28E7" w:rsidP="00980A09">
      <w:pPr>
        <w:ind w:right="237"/>
        <w:jc w:val="both"/>
        <w:rPr>
          <w:sz w:val="24"/>
          <w:szCs w:val="24"/>
        </w:rPr>
      </w:pPr>
    </w:p>
    <w:p w14:paraId="07ED14A6" w14:textId="77777777" w:rsidR="00AA666E" w:rsidRPr="00980A09" w:rsidRDefault="00AA666E" w:rsidP="00980A09">
      <w:pPr>
        <w:ind w:right="237"/>
        <w:jc w:val="both"/>
        <w:rPr>
          <w:sz w:val="24"/>
          <w:szCs w:val="24"/>
        </w:rPr>
      </w:pPr>
    </w:p>
    <w:p w14:paraId="2D3DE98A" w14:textId="77777777" w:rsidR="00AA666E" w:rsidRPr="00980A09" w:rsidRDefault="00AA666E" w:rsidP="00980A09">
      <w:pPr>
        <w:ind w:right="237"/>
        <w:jc w:val="both"/>
        <w:rPr>
          <w:b/>
          <w:sz w:val="24"/>
          <w:szCs w:val="24"/>
        </w:rPr>
      </w:pPr>
    </w:p>
    <w:p w14:paraId="3B3526AE" w14:textId="77777777" w:rsidR="00025650" w:rsidRPr="00980A09" w:rsidRDefault="00025650" w:rsidP="00980A09">
      <w:pPr>
        <w:ind w:right="237"/>
        <w:jc w:val="both"/>
        <w:rPr>
          <w:sz w:val="24"/>
          <w:szCs w:val="24"/>
        </w:rPr>
      </w:pPr>
      <w:r w:rsidRPr="00980A09">
        <w:rPr>
          <w:sz w:val="24"/>
          <w:szCs w:val="24"/>
        </w:rP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AB5636" w:rsidRDefault="00025650" w:rsidP="00340E9A">
      <w:pPr>
        <w:ind w:right="237"/>
        <w:jc w:val="both"/>
        <w:rPr>
          <w:sz w:val="24"/>
          <w:szCs w:val="24"/>
        </w:rPr>
      </w:pPr>
    </w:p>
    <w:p w14:paraId="54B15989" w14:textId="77777777" w:rsidR="00AB5636" w:rsidRPr="00AB5636" w:rsidRDefault="00AB5636" w:rsidP="00AB5636">
      <w:pPr>
        <w:rPr>
          <w:sz w:val="24"/>
          <w:szCs w:val="24"/>
        </w:rPr>
      </w:pPr>
      <w:r w:rsidRPr="00AB5636">
        <w:rPr>
          <w:sz w:val="24"/>
          <w:szCs w:val="24"/>
        </w:rPr>
        <w:t>In this essay, I am going to look at a suspect interview that I was involved in and reflect on what happened. To do this I am going to give a brief description of the incident outlining relevant legislative contexts, outline my considerations when planning and preparing the interview, explain, and reflect on my responsibilities in accordance with the PEACE interview process. I will also evaluate my performance and its effectiveness in the investigation.</w:t>
      </w:r>
    </w:p>
    <w:p w14:paraId="32C4D04F" w14:textId="77777777" w:rsidR="00AB5636" w:rsidRPr="00AB5636" w:rsidRDefault="00AB5636" w:rsidP="00AB5636">
      <w:pPr>
        <w:rPr>
          <w:sz w:val="24"/>
          <w:szCs w:val="24"/>
        </w:rPr>
      </w:pPr>
    </w:p>
    <w:p w14:paraId="437843FC" w14:textId="77777777" w:rsidR="00AB5636" w:rsidRPr="00AB5636" w:rsidRDefault="00AB5636" w:rsidP="00AB5636">
      <w:pPr>
        <w:rPr>
          <w:sz w:val="24"/>
          <w:szCs w:val="24"/>
        </w:rPr>
      </w:pPr>
      <w:r w:rsidRPr="00AB5636">
        <w:rPr>
          <w:sz w:val="24"/>
          <w:szCs w:val="24"/>
        </w:rPr>
        <w:t xml:space="preserve">I received a non-urgent call in regards to a father concerned for his children’s safety as they had told him his ex-partner; their mother had a Taser at home. The children apparently stated, she kept it under her bed and they had been allowed to play with it a few times in the house, which he was concerned about. At this time we had not yet had contact with the Mother who will be known as Lily and I completed a PNC and Niche check to gather information. There were no warning markers in relation to weapons or violence however there was an ongoing back and fore of accusations between Lily and her ex-partner often involving the children. I discovered that due to this social services were already involved. Before attending and speaking to Lily I did some research, as I had not dealt with an incident like this before, I wanted to ascertain what offences may have been committed, under which legislation and what </w:t>
      </w:r>
      <w:r w:rsidRPr="00AB5636">
        <w:rPr>
          <w:sz w:val="24"/>
          <w:szCs w:val="24"/>
        </w:rPr>
        <w:lastRenderedPageBreak/>
        <w:t xml:space="preserve">police powers I had. Section 5 of the Firearms Act 1968 prohibits the general public from possessing or making certain types of highly dangerous weapons without lawful authority. At first glance, the act covers weapons such as PAVA or CS spray, handguns and machine guns. At this point, I was unsure if this would include a Taser however a prohibited feature within this act includes an item that can discharge a noxious gas which would include a Taser or stun gun. The penalty for this offence is triable either way and can be resolved with a fine or imprisonment. With knowledge from the initial call, person check and legislation, officers wanted to speak to Lily, explaining why we had been called, ascertain whether she did in fact have a Taser and give her the opportunity to voluntarily surrender it before moving forward. When officers arrived and explained we had a call for concern of her children’s safety due to the possible possession and handling of a Taser, Lily was very concerned. She told officers straight away that she did have a Taser under her bed, which her ex-partner had left there and she did not realise that it was classed as a weapon and would give it straight to officers. She stated she did not give the children permission to play with it, she did not let them play with it and she was not even aware that they knew it was there. She seemed to fully understand the seriousness of the situation and was very worried about what would happen now especially in regards to the children. As Lily was very honest and gave officers the Taser with no issues, we arranged for Lily to attend a Voluntary Attendance Interview. A VA interview is where the suspect is not arrested however agrees to attend an interview on a specific date and time. This allows for more time for the investigation and interview preparation when there is not an immediate need to arrest </w:t>
      </w:r>
      <w:sdt>
        <w:sdtPr>
          <w:rPr>
            <w:sz w:val="24"/>
            <w:szCs w:val="24"/>
          </w:rPr>
          <w:id w:val="-18926896"/>
          <w:citation/>
        </w:sdtPr>
        <w:sdtEndPr/>
        <w:sdtContent>
          <w:r w:rsidRPr="00AB5636">
            <w:rPr>
              <w:sz w:val="24"/>
              <w:szCs w:val="24"/>
            </w:rPr>
            <w:fldChar w:fldCharType="begin"/>
          </w:r>
          <w:r w:rsidRPr="00AB5636">
            <w:rPr>
              <w:sz w:val="24"/>
              <w:szCs w:val="24"/>
            </w:rPr>
            <w:instrText xml:space="preserve"> CITATION Bla201 \l 2057 </w:instrText>
          </w:r>
          <w:r w:rsidRPr="00AB5636">
            <w:rPr>
              <w:sz w:val="24"/>
              <w:szCs w:val="24"/>
            </w:rPr>
            <w:fldChar w:fldCharType="separate"/>
          </w:r>
          <w:r w:rsidRPr="00AB5636">
            <w:rPr>
              <w:noProof/>
              <w:sz w:val="24"/>
              <w:szCs w:val="24"/>
            </w:rPr>
            <w:t>(Blackburn et al, Chapter 10.13..3.1 - Initial Investigation, 2020)</w:t>
          </w:r>
          <w:r w:rsidRPr="00AB5636">
            <w:rPr>
              <w:sz w:val="24"/>
              <w:szCs w:val="24"/>
            </w:rPr>
            <w:fldChar w:fldCharType="end"/>
          </w:r>
        </w:sdtContent>
      </w:sdt>
      <w:r w:rsidRPr="00AB5636">
        <w:rPr>
          <w:sz w:val="24"/>
          <w:szCs w:val="24"/>
        </w:rPr>
        <w:t xml:space="preserve">. This was an occasion where officer discretion was vital. We understood the potential seriousness of the incident and the children’s welfare was checked. As we took possession of the firearm the potential threat and risk had been removed. Lily was clearly upset and concerned about both her children’s safety as well as the realisation that she had committed an offence and although ignorance is not a defence, considering all the circumstances and her behaviour we believed a VA was the best option to get further information. A VA also took into account her need to acquire childcare for her three children and get legal advice or assistance if wanted. </w:t>
      </w:r>
    </w:p>
    <w:p w14:paraId="77D4F9DA" w14:textId="77777777" w:rsidR="00AB5636" w:rsidRPr="00AB5636" w:rsidRDefault="00AB5636" w:rsidP="00AB5636">
      <w:pPr>
        <w:rPr>
          <w:sz w:val="24"/>
          <w:szCs w:val="24"/>
        </w:rPr>
      </w:pPr>
    </w:p>
    <w:p w14:paraId="40822232" w14:textId="77777777" w:rsidR="00AB5636" w:rsidRPr="00AB5636" w:rsidRDefault="00AB5636" w:rsidP="00AB5636">
      <w:pPr>
        <w:rPr>
          <w:sz w:val="24"/>
          <w:szCs w:val="24"/>
        </w:rPr>
      </w:pPr>
      <w:r w:rsidRPr="00AB5636">
        <w:rPr>
          <w:sz w:val="24"/>
          <w:szCs w:val="24"/>
        </w:rPr>
        <w:t xml:space="preserve">From an investigative prospective there was multiple things that needed to be looked into prior to Interview. This included, taking a formal statement from the Father who called the incident in, speaking to the social worker already involved with Lily and the children as well as arranging to speak to the children with an appropriate adult present that is not currently involved in the investigation. </w:t>
      </w:r>
    </w:p>
    <w:p w14:paraId="5B66B7B2" w14:textId="77777777" w:rsidR="00AB5636" w:rsidRPr="00AB5636" w:rsidRDefault="00AB5636" w:rsidP="00AB5636">
      <w:pPr>
        <w:rPr>
          <w:sz w:val="24"/>
          <w:szCs w:val="24"/>
        </w:rPr>
      </w:pPr>
      <w:r w:rsidRPr="00AB5636">
        <w:rPr>
          <w:sz w:val="24"/>
          <w:szCs w:val="24"/>
        </w:rPr>
        <w:t>The Code of Practice to the Criminal Procedure and Investigations Act 1996 (CPIA) outlines what a criminal investigation is and when they can be carried out. This act also defines a criminal investigator and outlines our responsibility to carry out the duties required such as an interview.  When preparing for an interview there is a lot to consider and organise. Interviews are a vital element of the investigative process and due to their complexity, they require practice and learning to ensure they are carried out, legally and to a high standard. The aim of any interview is to gain a detailed, accurate account and to do this investigators use seven key principles to assist with the use of the PEACE model interview framework. These key principles are:-</w:t>
      </w:r>
    </w:p>
    <w:p w14:paraId="0EA21836"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t>To obtain accurate and reliable information</w:t>
      </w:r>
    </w:p>
    <w:p w14:paraId="7B877C59"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lastRenderedPageBreak/>
        <w:t>For interviewers to be open minded</w:t>
      </w:r>
    </w:p>
    <w:p w14:paraId="17BA4D08"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t>Obtained information received should be tested against what is already known</w:t>
      </w:r>
    </w:p>
    <w:p w14:paraId="6129F88E"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t>The first answer given does not have to be accepted, you have the right to question.</w:t>
      </w:r>
    </w:p>
    <w:p w14:paraId="223158D2"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t>Interviewers are free to ask questions</w:t>
      </w:r>
    </w:p>
    <w:p w14:paraId="5A294615"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t>All those interviewed must be treated with consideration</w:t>
      </w:r>
    </w:p>
    <w:p w14:paraId="7C726CA4" w14:textId="77777777" w:rsidR="00AB5636" w:rsidRPr="00AB5636" w:rsidRDefault="00AB5636" w:rsidP="00AB5636">
      <w:pPr>
        <w:pStyle w:val="ListParagraph"/>
        <w:numPr>
          <w:ilvl w:val="0"/>
          <w:numId w:val="6"/>
        </w:numPr>
        <w:overflowPunct/>
        <w:autoSpaceDE/>
        <w:autoSpaceDN/>
        <w:adjustRightInd/>
        <w:spacing w:after="160" w:line="259" w:lineRule="auto"/>
        <w:textAlignment w:val="auto"/>
        <w:rPr>
          <w:sz w:val="24"/>
          <w:szCs w:val="24"/>
        </w:rPr>
      </w:pPr>
      <w:r w:rsidRPr="00AB5636">
        <w:rPr>
          <w:sz w:val="24"/>
          <w:szCs w:val="24"/>
        </w:rPr>
        <w:t>Although interviewees have a right to silence, an investigator has a responsibility and right to put questions to them.</w:t>
      </w:r>
    </w:p>
    <w:p w14:paraId="4CBEC7B0" w14:textId="77777777" w:rsidR="00AB5636" w:rsidRPr="00AB5636" w:rsidRDefault="00AB5636" w:rsidP="00AB5636">
      <w:pPr>
        <w:rPr>
          <w:sz w:val="24"/>
          <w:szCs w:val="24"/>
        </w:rPr>
      </w:pPr>
      <w:r w:rsidRPr="00AB5636">
        <w:rPr>
          <w:sz w:val="24"/>
          <w:szCs w:val="24"/>
        </w:rPr>
        <w:t xml:space="preserve">Principle seven links to legislation within the Criminal Justice and Public Order Act (CJPOA) which allows in certain circumstances a conclusion or adverse inference to be made from a suspects silence or inability to mention when questioned that they later use for their defence. </w:t>
      </w:r>
      <w:sdt>
        <w:sdtPr>
          <w:rPr>
            <w:sz w:val="24"/>
            <w:szCs w:val="24"/>
          </w:rPr>
          <w:id w:val="376056889"/>
          <w:citation/>
        </w:sdtPr>
        <w:sdtEndPr/>
        <w:sdtContent>
          <w:r w:rsidRPr="00AB5636">
            <w:rPr>
              <w:sz w:val="24"/>
              <w:szCs w:val="24"/>
            </w:rPr>
            <w:fldChar w:fldCharType="begin"/>
          </w:r>
          <w:r w:rsidRPr="00AB5636">
            <w:rPr>
              <w:sz w:val="24"/>
              <w:szCs w:val="24"/>
            </w:rPr>
            <w:instrText xml:space="preserve">CITATION Col215 \l 2057 </w:instrText>
          </w:r>
          <w:r w:rsidRPr="00AB5636">
            <w:rPr>
              <w:sz w:val="24"/>
              <w:szCs w:val="24"/>
            </w:rPr>
            <w:fldChar w:fldCharType="separate"/>
          </w:r>
          <w:r w:rsidRPr="00AB5636">
            <w:rPr>
              <w:noProof/>
              <w:sz w:val="24"/>
              <w:szCs w:val="24"/>
            </w:rPr>
            <w:t>(College of Policing, Investagative Interviewing, 2021)</w:t>
          </w:r>
          <w:r w:rsidRPr="00AB5636">
            <w:rPr>
              <w:sz w:val="24"/>
              <w:szCs w:val="24"/>
            </w:rPr>
            <w:fldChar w:fldCharType="end"/>
          </w:r>
        </w:sdtContent>
      </w:sdt>
    </w:p>
    <w:p w14:paraId="4DFF8B5F" w14:textId="77777777" w:rsidR="00AB5636" w:rsidRPr="00AB5636" w:rsidRDefault="00AB5636" w:rsidP="00AB5636">
      <w:pPr>
        <w:rPr>
          <w:sz w:val="24"/>
          <w:szCs w:val="24"/>
        </w:rPr>
      </w:pPr>
      <w:r w:rsidRPr="00AB5636">
        <w:rPr>
          <w:sz w:val="24"/>
          <w:szCs w:val="24"/>
        </w:rPr>
        <w:t>A VA interview is planned and carried out in the same way as one where the individual has been arrested and is my responsibility as investigating officer to consider-</w:t>
      </w:r>
    </w:p>
    <w:p w14:paraId="5F928C95" w14:textId="77777777" w:rsidR="00AB5636" w:rsidRPr="00AB5636" w:rsidRDefault="00AB5636" w:rsidP="00AB5636">
      <w:pPr>
        <w:numPr>
          <w:ilvl w:val="0"/>
          <w:numId w:val="7"/>
        </w:numPr>
        <w:overflowPunct/>
        <w:autoSpaceDE/>
        <w:autoSpaceDN/>
        <w:adjustRightInd/>
        <w:spacing w:before="100" w:beforeAutospacing="1" w:after="100" w:afterAutospacing="1"/>
        <w:textAlignment w:val="auto"/>
        <w:rPr>
          <w:color w:val="333333"/>
          <w:sz w:val="24"/>
          <w:szCs w:val="24"/>
        </w:rPr>
      </w:pPr>
      <w:r w:rsidRPr="00AB5636">
        <w:rPr>
          <w:color w:val="333333"/>
          <w:sz w:val="24"/>
          <w:szCs w:val="24"/>
        </w:rPr>
        <w:t>Lily’s needs and capabilities, her fitness for interview and if there is a need for an appropriate adult.</w:t>
      </w:r>
    </w:p>
    <w:p w14:paraId="14281E80" w14:textId="77777777" w:rsidR="00AB5636" w:rsidRPr="00AB5636" w:rsidRDefault="00AB5636" w:rsidP="00AB5636">
      <w:pPr>
        <w:numPr>
          <w:ilvl w:val="0"/>
          <w:numId w:val="7"/>
        </w:numPr>
        <w:overflowPunct/>
        <w:autoSpaceDE/>
        <w:autoSpaceDN/>
        <w:adjustRightInd/>
        <w:spacing w:before="100" w:beforeAutospacing="1" w:after="100" w:afterAutospacing="1"/>
        <w:textAlignment w:val="auto"/>
        <w:rPr>
          <w:color w:val="333333"/>
          <w:sz w:val="24"/>
          <w:szCs w:val="24"/>
        </w:rPr>
      </w:pPr>
      <w:r w:rsidRPr="00AB5636">
        <w:rPr>
          <w:color w:val="333333"/>
          <w:sz w:val="24"/>
          <w:szCs w:val="24"/>
        </w:rPr>
        <w:t xml:space="preserve">Provide information about her right to free legal advice as soon as possible. </w:t>
      </w:r>
    </w:p>
    <w:p w14:paraId="6226DD54" w14:textId="77777777" w:rsidR="00AB5636" w:rsidRPr="00AB5636" w:rsidRDefault="00AB5636" w:rsidP="00AB5636">
      <w:pPr>
        <w:numPr>
          <w:ilvl w:val="0"/>
          <w:numId w:val="7"/>
        </w:numPr>
        <w:overflowPunct/>
        <w:autoSpaceDE/>
        <w:autoSpaceDN/>
        <w:adjustRightInd/>
        <w:spacing w:before="100" w:beforeAutospacing="1" w:after="100" w:afterAutospacing="1"/>
        <w:textAlignment w:val="auto"/>
        <w:rPr>
          <w:color w:val="333333"/>
          <w:sz w:val="24"/>
          <w:szCs w:val="24"/>
        </w:rPr>
      </w:pPr>
      <w:r w:rsidRPr="00AB5636">
        <w:rPr>
          <w:color w:val="333333"/>
          <w:sz w:val="24"/>
          <w:szCs w:val="24"/>
        </w:rPr>
        <w:t>Inform Lily the purpose of the VA and about her right to information about the offence</w:t>
      </w:r>
    </w:p>
    <w:p w14:paraId="0805CEA3" w14:textId="77777777" w:rsidR="00AB5636" w:rsidRPr="00AB5636" w:rsidRDefault="00AB5636" w:rsidP="00AB5636">
      <w:pPr>
        <w:numPr>
          <w:ilvl w:val="0"/>
          <w:numId w:val="7"/>
        </w:numPr>
        <w:overflowPunct/>
        <w:autoSpaceDE/>
        <w:autoSpaceDN/>
        <w:adjustRightInd/>
        <w:spacing w:before="100" w:beforeAutospacing="1" w:after="100" w:afterAutospacing="1"/>
        <w:textAlignment w:val="auto"/>
        <w:rPr>
          <w:color w:val="333333"/>
          <w:sz w:val="24"/>
          <w:szCs w:val="24"/>
        </w:rPr>
      </w:pPr>
      <w:r w:rsidRPr="00AB5636">
        <w:rPr>
          <w:color w:val="333333"/>
          <w:sz w:val="24"/>
          <w:szCs w:val="24"/>
        </w:rPr>
        <w:t>Clearly explain the significance of the VA interview</w:t>
      </w:r>
    </w:p>
    <w:p w14:paraId="61D50500" w14:textId="77777777" w:rsidR="00AB5636" w:rsidRPr="00AB5636" w:rsidRDefault="00AB5636" w:rsidP="00AB5636">
      <w:pPr>
        <w:numPr>
          <w:ilvl w:val="0"/>
          <w:numId w:val="7"/>
        </w:numPr>
        <w:overflowPunct/>
        <w:autoSpaceDE/>
        <w:autoSpaceDN/>
        <w:adjustRightInd/>
        <w:spacing w:before="100" w:beforeAutospacing="1" w:after="100" w:afterAutospacing="1"/>
        <w:textAlignment w:val="auto"/>
        <w:rPr>
          <w:color w:val="333333"/>
          <w:sz w:val="24"/>
          <w:szCs w:val="24"/>
        </w:rPr>
      </w:pPr>
      <w:r w:rsidRPr="00AB5636">
        <w:rPr>
          <w:color w:val="333333"/>
          <w:sz w:val="24"/>
          <w:szCs w:val="24"/>
        </w:rPr>
        <w:t>Record the interview (Code E pace) and record Lily’s confirmation of agreeing to interview (Code C PACE)</w:t>
      </w:r>
    </w:p>
    <w:p w14:paraId="442DBD45" w14:textId="77777777" w:rsidR="00AB5636" w:rsidRPr="00AB5636" w:rsidRDefault="00AB5636" w:rsidP="00AB5636">
      <w:pPr>
        <w:spacing w:before="100" w:beforeAutospacing="1" w:after="100" w:afterAutospacing="1"/>
        <w:rPr>
          <w:color w:val="333333"/>
          <w:sz w:val="24"/>
          <w:szCs w:val="24"/>
        </w:rPr>
      </w:pPr>
      <w:r w:rsidRPr="00AB5636">
        <w:rPr>
          <w:color w:val="333333"/>
          <w:sz w:val="24"/>
          <w:szCs w:val="24"/>
        </w:rPr>
        <w:t>However as this was VA interview S29 PACE is relevant as this states that anyone voluntarily attending to assist an investigation without being arrested may leave at any time unless arrested and informed immediately if they are being arrested.</w:t>
      </w:r>
    </w:p>
    <w:p w14:paraId="29C2EBF7" w14:textId="77777777" w:rsidR="00AB5636" w:rsidRPr="00AB5636" w:rsidRDefault="00AB5636" w:rsidP="00AB5636">
      <w:pPr>
        <w:rPr>
          <w:sz w:val="24"/>
          <w:szCs w:val="24"/>
        </w:rPr>
      </w:pPr>
      <w:r w:rsidRPr="00AB5636">
        <w:rPr>
          <w:sz w:val="24"/>
          <w:szCs w:val="24"/>
        </w:rPr>
        <w:t xml:space="preserve">When interviewing Lily there were many pieces of legislation that applied and needed to be considered and followed. Firstly, Code C of PACE as mentioned above which covers the individuals rights during detention, the treatment they receive throughout, their rights before questioning regarding legal representatives and during questioning. Code E and F (if applicable) of PACE also apply for Lily during interview as these cover audio and audio visual recording, safeguarding her rights and outlines the procedures that need to be followed. </w:t>
      </w:r>
    </w:p>
    <w:p w14:paraId="35E32BC9" w14:textId="77777777" w:rsidR="00AB5636" w:rsidRPr="00AB5636" w:rsidRDefault="00AB5636" w:rsidP="00AB5636">
      <w:pPr>
        <w:rPr>
          <w:sz w:val="24"/>
          <w:szCs w:val="24"/>
        </w:rPr>
      </w:pPr>
      <w:r w:rsidRPr="00AB5636">
        <w:rPr>
          <w:sz w:val="24"/>
          <w:szCs w:val="24"/>
        </w:rPr>
        <w:t xml:space="preserve">I planned and carried out Lily’s interview using the PEACE interview model; Planning and Preparation, Engage and Explain, Account- Clarification and Challenge, Closure and Evaluation. When planning and preparing for Lily’s interview I created and recorded the interview plan, which on reflection allowed me to review the investigation, look at the material available to me and select the aims and objectives. I considered Lily and her history with police, her circumstances and individual characteristics, which provided me with a lot of insight before interview. I also created a written interview plan that summarised and provided me a guide for questioning. This increased my confidence and gave me the ability to conduct a thorough, professional and effective interview. During interview using my prepared </w:t>
      </w:r>
      <w:r w:rsidRPr="00AB5636">
        <w:rPr>
          <w:sz w:val="24"/>
          <w:szCs w:val="24"/>
        </w:rPr>
        <w:lastRenderedPageBreak/>
        <w:t xml:space="preserve">guide I began the Engage and Explain section where I established rapport, explained Lily’s legal rights, explained the reason and objectives as well as the routines and expectations for the interview. By doing this it made the process very clear, Lily understood what was happening and why and it helped support the rapport and trust. To account, clarify and challenge I allowed Lily to provide a ‘free’ account of the incident and anything she found relevant without interruption. I followed this free account with short and simple questions in the form of conversational probing. This allowed me to expand Lily’s account and clarify parts. In reflection covering each part and summarising after each allowed further clarity and understanding. I then briefly challenged some things that Lily stated, there was not any evidence that contradicted her at this point and so this step further emphasised and clarified her responses and accuracy to explain. When closing the interview I reviewed Lily’s full account and gave her the opportunity to correct or alter anything. I checked I had included everything from an investigative standpoint and asked Lily if she had any questions and explained what happens next. When evaluating my interview with Lily I believe that the aims and objectives were achieved and that the interview provided the information clarifying offence. I feel the planning, preparation was thorough and effective, and the clarity and detail from Lily supports this. This interview will aid the investigation and be very helpful in deciding a course of action. I think that this incident and interview was relatively simple and it allowed me to be able to understand my responsibilities, which in turn allowed me to complete an effective and useful interview while following legislation. </w:t>
      </w:r>
      <w:sdt>
        <w:sdtPr>
          <w:rPr>
            <w:sz w:val="24"/>
            <w:szCs w:val="24"/>
          </w:rPr>
          <w:id w:val="1837649057"/>
          <w:citation/>
        </w:sdtPr>
        <w:sdtEndPr/>
        <w:sdtContent>
          <w:r w:rsidRPr="00AB5636">
            <w:rPr>
              <w:sz w:val="24"/>
              <w:szCs w:val="24"/>
            </w:rPr>
            <w:fldChar w:fldCharType="begin"/>
          </w:r>
          <w:r w:rsidRPr="00AB5636">
            <w:rPr>
              <w:sz w:val="24"/>
              <w:szCs w:val="24"/>
            </w:rPr>
            <w:instrText xml:space="preserve"> CITATION Bla202 \l 2057 </w:instrText>
          </w:r>
          <w:r w:rsidRPr="00AB5636">
            <w:rPr>
              <w:sz w:val="24"/>
              <w:szCs w:val="24"/>
            </w:rPr>
            <w:fldChar w:fldCharType="separate"/>
          </w:r>
          <w:r w:rsidRPr="00AB5636">
            <w:rPr>
              <w:noProof/>
              <w:sz w:val="24"/>
              <w:szCs w:val="24"/>
            </w:rPr>
            <w:t>(Blackburn et al, Chapter 24.1-24.4 - Criminal Investigation, 2020)</w:t>
          </w:r>
          <w:r w:rsidRPr="00AB5636">
            <w:rPr>
              <w:sz w:val="24"/>
              <w:szCs w:val="24"/>
            </w:rPr>
            <w:fldChar w:fldCharType="end"/>
          </w:r>
        </w:sdtContent>
      </w:sdt>
      <w:sdt>
        <w:sdtPr>
          <w:rPr>
            <w:sz w:val="24"/>
            <w:szCs w:val="24"/>
          </w:rPr>
          <w:id w:val="803655671"/>
          <w:citation/>
        </w:sdtPr>
        <w:sdtEndPr/>
        <w:sdtContent>
          <w:r w:rsidRPr="00AB5636">
            <w:rPr>
              <w:sz w:val="24"/>
              <w:szCs w:val="24"/>
            </w:rPr>
            <w:fldChar w:fldCharType="begin"/>
          </w:r>
          <w:r w:rsidRPr="00AB5636">
            <w:rPr>
              <w:sz w:val="24"/>
              <w:szCs w:val="24"/>
            </w:rPr>
            <w:instrText xml:space="preserve"> CITATION Col215 \l 2057 </w:instrText>
          </w:r>
          <w:r w:rsidRPr="00AB5636">
            <w:rPr>
              <w:sz w:val="24"/>
              <w:szCs w:val="24"/>
            </w:rPr>
            <w:fldChar w:fldCharType="separate"/>
          </w:r>
          <w:r w:rsidRPr="00AB5636">
            <w:rPr>
              <w:noProof/>
              <w:sz w:val="24"/>
              <w:szCs w:val="24"/>
            </w:rPr>
            <w:t xml:space="preserve"> (College of Policing, Investagative Interviewing, 2021)</w:t>
          </w:r>
          <w:r w:rsidRPr="00AB5636">
            <w:rPr>
              <w:sz w:val="24"/>
              <w:szCs w:val="24"/>
            </w:rPr>
            <w:fldChar w:fldCharType="end"/>
          </w:r>
        </w:sdtContent>
      </w:sdt>
    </w:p>
    <w:p w14:paraId="67139BAE" w14:textId="77777777" w:rsidR="00AB5636" w:rsidRPr="00AB5636" w:rsidRDefault="00AB5636" w:rsidP="00AB5636">
      <w:pPr>
        <w:rPr>
          <w:sz w:val="24"/>
          <w:szCs w:val="24"/>
        </w:rPr>
      </w:pPr>
    </w:p>
    <w:p w14:paraId="76483DFF" w14:textId="6F79602F" w:rsidR="00AB5636" w:rsidRPr="00AB5636" w:rsidRDefault="00AB5636" w:rsidP="00AB5636">
      <w:pPr>
        <w:rPr>
          <w:sz w:val="24"/>
          <w:szCs w:val="24"/>
        </w:rPr>
      </w:pPr>
      <w:r w:rsidRPr="00AB5636">
        <w:rPr>
          <w:sz w:val="24"/>
          <w:szCs w:val="24"/>
        </w:rPr>
        <w:t>1652 words</w:t>
      </w:r>
    </w:p>
    <w:p w14:paraId="1E6BD301" w14:textId="1E83136B" w:rsidR="00AB5636" w:rsidRDefault="00AB5636" w:rsidP="00AB5636"/>
    <w:p w14:paraId="258CC30B" w14:textId="620718B1" w:rsidR="00AB5636" w:rsidRDefault="00AB5636" w:rsidP="00AB5636"/>
    <w:p w14:paraId="454B2447" w14:textId="5233C2BE" w:rsidR="00AB5636" w:rsidRDefault="00AB5636" w:rsidP="00AB5636"/>
    <w:p w14:paraId="26C2DEEC" w14:textId="51A0E60E" w:rsidR="00AB5636" w:rsidRDefault="00AB5636" w:rsidP="00AB5636"/>
    <w:p w14:paraId="24A67F0E" w14:textId="0AB7A597" w:rsidR="00AB5636" w:rsidRDefault="00AB5636" w:rsidP="00AB5636"/>
    <w:p w14:paraId="42585B96" w14:textId="2DB13D4F" w:rsidR="00AB5636" w:rsidRDefault="00AB5636" w:rsidP="00AB5636"/>
    <w:p w14:paraId="0389C46A" w14:textId="04E1FE26" w:rsidR="00AB5636" w:rsidRDefault="00AB5636" w:rsidP="00AB5636"/>
    <w:p w14:paraId="6CDFBB2A" w14:textId="2A476FF7" w:rsidR="00AB5636" w:rsidRDefault="00AB5636" w:rsidP="00AB5636"/>
    <w:p w14:paraId="119F1D17" w14:textId="0C5F4FA4" w:rsidR="00AB5636" w:rsidRDefault="00AB5636" w:rsidP="00AB5636"/>
    <w:p w14:paraId="3F7EFACE" w14:textId="57681AF2" w:rsidR="00AB5636" w:rsidRDefault="00AB5636" w:rsidP="00AB5636"/>
    <w:p w14:paraId="4FDEAD59" w14:textId="2BF002BA" w:rsidR="00B0023F" w:rsidRDefault="00B0023F" w:rsidP="00AB5636"/>
    <w:p w14:paraId="31A55F1B" w14:textId="57B5F8DF" w:rsidR="00B0023F" w:rsidRDefault="00B0023F" w:rsidP="00AB5636"/>
    <w:p w14:paraId="7B195C3B" w14:textId="19DBE0E5" w:rsidR="00B0023F" w:rsidRDefault="00B0023F" w:rsidP="00AB5636"/>
    <w:p w14:paraId="234F705C" w14:textId="7E91992B" w:rsidR="00B0023F" w:rsidRDefault="00B0023F" w:rsidP="00AB5636"/>
    <w:p w14:paraId="32AE113D" w14:textId="44495C70" w:rsidR="00B0023F" w:rsidRDefault="00B0023F" w:rsidP="00AB5636"/>
    <w:p w14:paraId="4D6C1186" w14:textId="5BCD003E" w:rsidR="00B0023F" w:rsidRDefault="00B0023F" w:rsidP="00AB5636"/>
    <w:p w14:paraId="628F299B" w14:textId="4D84AF34" w:rsidR="00B0023F" w:rsidRDefault="00B0023F" w:rsidP="00AB5636"/>
    <w:p w14:paraId="76423122" w14:textId="66F53B73" w:rsidR="00B0023F" w:rsidRDefault="00B0023F" w:rsidP="00AB5636"/>
    <w:p w14:paraId="68F6A2F6" w14:textId="5E249C63" w:rsidR="00B0023F" w:rsidRDefault="00B0023F" w:rsidP="00AB5636"/>
    <w:p w14:paraId="3D905A3B" w14:textId="289A778C" w:rsidR="00B0023F" w:rsidRDefault="00B0023F" w:rsidP="00AB5636"/>
    <w:p w14:paraId="48E90F53" w14:textId="0AC6F755" w:rsidR="00B0023F" w:rsidRDefault="00B0023F" w:rsidP="00AB5636"/>
    <w:p w14:paraId="0E0B2D15" w14:textId="4457EA74" w:rsidR="00B0023F" w:rsidRDefault="00B0023F" w:rsidP="00AB5636"/>
    <w:p w14:paraId="7BCA34D6" w14:textId="71FB88AE" w:rsidR="00B0023F" w:rsidRDefault="00B0023F" w:rsidP="00AB5636"/>
    <w:p w14:paraId="59B77D6F" w14:textId="055A5F7D" w:rsidR="00B0023F" w:rsidRDefault="00B0023F" w:rsidP="00AB5636"/>
    <w:p w14:paraId="770DF421" w14:textId="27E25AA7" w:rsidR="00B0023F" w:rsidRDefault="00B0023F" w:rsidP="00AB5636"/>
    <w:p w14:paraId="31BC7164" w14:textId="77777777" w:rsidR="00B0023F" w:rsidRDefault="00B0023F" w:rsidP="00AB5636"/>
    <w:p w14:paraId="6A7A5528" w14:textId="2A6D3870" w:rsidR="00AB5636" w:rsidRDefault="00AB5636" w:rsidP="00AB5636"/>
    <w:p w14:paraId="3B1AFA3A" w14:textId="77777777" w:rsidR="00AB5636" w:rsidRPr="00137244" w:rsidRDefault="00AB5636" w:rsidP="00AB5636"/>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lastRenderedPageBreak/>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6A2637" w14:paraId="4E540F27" w14:textId="77777777" w:rsidTr="5848403C">
        <w:tc>
          <w:tcPr>
            <w:tcW w:w="10188" w:type="dxa"/>
            <w:shd w:val="clear" w:color="auto" w:fill="auto"/>
          </w:tcPr>
          <w:p w14:paraId="0FE59A08" w14:textId="09B3A434" w:rsidR="003769F6" w:rsidRPr="006A2637"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Pr="006A2637" w:rsidRDefault="5848403C" w:rsidP="5848403C">
            <w:pPr>
              <w:ind w:right="237"/>
              <w:jc w:val="both"/>
              <w:rPr>
                <w:sz w:val="24"/>
                <w:szCs w:val="24"/>
              </w:rPr>
            </w:pPr>
            <w:r w:rsidRPr="006A2637">
              <w:rPr>
                <w:b/>
                <w:bCs/>
                <w:sz w:val="24"/>
                <w:szCs w:val="24"/>
              </w:rPr>
              <w:t>Give a brief description</w:t>
            </w:r>
            <w:r w:rsidRPr="006A2637">
              <w:rPr>
                <w:sz w:val="24"/>
                <w:szCs w:val="24"/>
              </w:rPr>
              <w:t xml:space="preserve"> of the situation including social and legislative contexts and any relevant cultural, ethnicity and language issues. </w:t>
            </w:r>
          </w:p>
          <w:p w14:paraId="636A3FE5" w14:textId="7E22307E" w:rsidR="00C91574" w:rsidRPr="006A2637" w:rsidRDefault="00C91574" w:rsidP="5848403C">
            <w:pPr>
              <w:ind w:right="237"/>
              <w:jc w:val="both"/>
              <w:rPr>
                <w:sz w:val="24"/>
                <w:szCs w:val="24"/>
              </w:rPr>
            </w:pPr>
          </w:p>
          <w:p w14:paraId="6A04720E" w14:textId="77777777" w:rsidR="0012135C" w:rsidRPr="006A2637" w:rsidRDefault="5848403C" w:rsidP="5848403C">
            <w:pPr>
              <w:ind w:right="237"/>
              <w:jc w:val="both"/>
              <w:rPr>
                <w:sz w:val="24"/>
                <w:szCs w:val="24"/>
              </w:rPr>
            </w:pPr>
            <w:r w:rsidRPr="006A2637">
              <w:rPr>
                <w:b/>
                <w:bCs/>
                <w:sz w:val="24"/>
                <w:szCs w:val="24"/>
              </w:rPr>
              <w:t>Consider</w:t>
            </w:r>
            <w:r w:rsidRPr="006A2637">
              <w:rPr>
                <w:sz w:val="24"/>
                <w:szCs w:val="24"/>
              </w:rPr>
              <w:t xml:space="preserve"> how the anti-social behaviour impacted the local community and what constitutes effective and appropriate police action. </w:t>
            </w:r>
          </w:p>
          <w:p w14:paraId="3F8D0F97" w14:textId="77777777" w:rsidR="0012135C" w:rsidRPr="006A2637" w:rsidRDefault="0012135C" w:rsidP="5848403C">
            <w:pPr>
              <w:ind w:right="237"/>
              <w:jc w:val="both"/>
              <w:rPr>
                <w:sz w:val="24"/>
                <w:szCs w:val="24"/>
              </w:rPr>
            </w:pPr>
          </w:p>
          <w:p w14:paraId="00AB5F18" w14:textId="479879FF" w:rsidR="00C91574" w:rsidRPr="006A2637" w:rsidRDefault="5848403C" w:rsidP="5848403C">
            <w:pPr>
              <w:ind w:right="237"/>
              <w:jc w:val="both"/>
              <w:rPr>
                <w:sz w:val="24"/>
                <w:szCs w:val="24"/>
              </w:rPr>
            </w:pPr>
            <w:r w:rsidRPr="006A2637">
              <w:rPr>
                <w:b/>
                <w:bCs/>
                <w:sz w:val="24"/>
                <w:szCs w:val="24"/>
              </w:rPr>
              <w:t>Outline</w:t>
            </w:r>
            <w:r w:rsidRPr="006A2637">
              <w:rPr>
                <w:sz w:val="24"/>
                <w:szCs w:val="24"/>
              </w:rPr>
              <w:t xml:space="preserve"> your responsibilities when responding to anti-social behaviour (including enforcement, prevention activity and partnership activity). </w:t>
            </w:r>
          </w:p>
          <w:p w14:paraId="4998071E" w14:textId="77777777" w:rsidR="003C458C" w:rsidRPr="006A2637" w:rsidRDefault="003C458C" w:rsidP="5848403C">
            <w:pPr>
              <w:ind w:right="237"/>
              <w:jc w:val="both"/>
              <w:rPr>
                <w:sz w:val="24"/>
                <w:szCs w:val="24"/>
              </w:rPr>
            </w:pPr>
          </w:p>
          <w:p w14:paraId="3C4885A7" w14:textId="6385A733" w:rsidR="00BA1FFA" w:rsidRPr="006A2637" w:rsidRDefault="5848403C" w:rsidP="5848403C">
            <w:pPr>
              <w:ind w:right="237"/>
              <w:jc w:val="both"/>
              <w:rPr>
                <w:sz w:val="24"/>
                <w:szCs w:val="24"/>
              </w:rPr>
            </w:pPr>
            <w:r w:rsidRPr="006A2637">
              <w:rPr>
                <w:b/>
                <w:bCs/>
                <w:sz w:val="24"/>
                <w:szCs w:val="24"/>
              </w:rPr>
              <w:t>Illustrate</w:t>
            </w:r>
            <w:r w:rsidRPr="006A2637">
              <w:rPr>
                <w:sz w:val="24"/>
                <w:szCs w:val="24"/>
              </w:rPr>
              <w:t xml:space="preserve"> how policing values were engaged particularly through an </w:t>
            </w:r>
            <w:r w:rsidRPr="006A2637">
              <w:rPr>
                <w:b/>
                <w:bCs/>
                <w:sz w:val="24"/>
                <w:szCs w:val="24"/>
              </w:rPr>
              <w:t>analysis</w:t>
            </w:r>
            <w:r w:rsidRPr="006A2637">
              <w:rPr>
                <w:sz w:val="24"/>
                <w:szCs w:val="24"/>
              </w:rPr>
              <w:t xml:space="preserve"> of the potential impact of bias on the decision-making process.</w:t>
            </w:r>
          </w:p>
          <w:p w14:paraId="6EFBC38D" w14:textId="77777777" w:rsidR="00BD1F45" w:rsidRPr="006A2637" w:rsidRDefault="00BD1F45" w:rsidP="5848403C">
            <w:pPr>
              <w:ind w:right="237"/>
              <w:jc w:val="both"/>
              <w:rPr>
                <w:sz w:val="24"/>
                <w:szCs w:val="24"/>
              </w:rPr>
            </w:pPr>
          </w:p>
          <w:p w14:paraId="06F54062" w14:textId="1F2016C5" w:rsidR="00BD1F45" w:rsidRPr="006A2637" w:rsidRDefault="00BD1F45" w:rsidP="5848403C">
            <w:pPr>
              <w:ind w:right="237"/>
              <w:jc w:val="both"/>
              <w:rPr>
                <w:sz w:val="24"/>
                <w:szCs w:val="24"/>
              </w:rPr>
            </w:pPr>
            <w:r w:rsidRPr="006A2637">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Pr="006A2637" w:rsidRDefault="00BD1F45" w:rsidP="5848403C">
            <w:pPr>
              <w:ind w:right="237"/>
              <w:jc w:val="both"/>
              <w:rPr>
                <w:sz w:val="24"/>
                <w:szCs w:val="24"/>
              </w:rPr>
            </w:pPr>
          </w:p>
          <w:p w14:paraId="688C7C9B" w14:textId="77777777" w:rsidR="00BD1F45" w:rsidRPr="006A2637" w:rsidRDefault="00BD1F45" w:rsidP="00BD1F45">
            <w:pPr>
              <w:ind w:right="237"/>
              <w:jc w:val="both"/>
              <w:rPr>
                <w:b/>
                <w:sz w:val="24"/>
                <w:szCs w:val="24"/>
              </w:rPr>
            </w:pPr>
            <w:r w:rsidRPr="006A2637">
              <w:rPr>
                <w:b/>
                <w:sz w:val="24"/>
                <w:szCs w:val="24"/>
              </w:rPr>
              <w:t>For example:</w:t>
            </w:r>
          </w:p>
          <w:p w14:paraId="35D7D89D" w14:textId="77777777" w:rsidR="00BD1F45" w:rsidRPr="006A2637" w:rsidRDefault="00BD1F45" w:rsidP="00BD1F45">
            <w:pPr>
              <w:ind w:right="237"/>
              <w:jc w:val="both"/>
              <w:rPr>
                <w:sz w:val="24"/>
                <w:szCs w:val="24"/>
              </w:rPr>
            </w:pPr>
          </w:p>
          <w:p w14:paraId="62C7A49D" w14:textId="7BC5741C" w:rsidR="00BD1F45" w:rsidRPr="006A2637" w:rsidRDefault="00BD1F45" w:rsidP="00BD1F45">
            <w:pPr>
              <w:ind w:right="237"/>
              <w:jc w:val="both"/>
              <w:rPr>
                <w:i/>
                <w:sz w:val="24"/>
                <w:szCs w:val="24"/>
              </w:rPr>
            </w:pPr>
            <w:r w:rsidRPr="006A2637">
              <w:rPr>
                <w:i/>
                <w:sz w:val="24"/>
                <w:szCs w:val="24"/>
              </w:rPr>
              <w:t>How has your experience of policing the night time economy influenced your    perception of the wider community?</w:t>
            </w:r>
          </w:p>
          <w:p w14:paraId="4361822B" w14:textId="77777777" w:rsidR="00BD1F45" w:rsidRPr="006A2637" w:rsidRDefault="00BD1F45" w:rsidP="00BD1F45">
            <w:pPr>
              <w:ind w:right="237"/>
              <w:jc w:val="both"/>
              <w:rPr>
                <w:i/>
                <w:sz w:val="24"/>
                <w:szCs w:val="24"/>
              </w:rPr>
            </w:pPr>
          </w:p>
          <w:p w14:paraId="0ECB7FEB" w14:textId="2FF71B1C" w:rsidR="00BD1F45" w:rsidRPr="006A2637" w:rsidRDefault="00BD1F45" w:rsidP="00BD1F45">
            <w:pPr>
              <w:ind w:right="237"/>
              <w:jc w:val="both"/>
              <w:rPr>
                <w:i/>
                <w:sz w:val="24"/>
                <w:szCs w:val="24"/>
              </w:rPr>
            </w:pPr>
            <w:r w:rsidRPr="006A2637">
              <w:rPr>
                <w:i/>
                <w:sz w:val="24"/>
                <w:szCs w:val="24"/>
              </w:rPr>
              <w:t>Other examples relating to your experiences would be equally valid.</w:t>
            </w:r>
          </w:p>
          <w:p w14:paraId="4B0D92DA" w14:textId="77777777" w:rsidR="00BD1F45" w:rsidRPr="006A2637" w:rsidRDefault="00BD1F45" w:rsidP="5848403C">
            <w:pPr>
              <w:ind w:right="237"/>
              <w:jc w:val="both"/>
              <w:rPr>
                <w:sz w:val="24"/>
                <w:szCs w:val="24"/>
              </w:rPr>
            </w:pPr>
          </w:p>
          <w:p w14:paraId="450B38EE" w14:textId="77777777" w:rsidR="003C458C" w:rsidRPr="006A2637" w:rsidRDefault="003C458C" w:rsidP="5848403C">
            <w:pPr>
              <w:ind w:right="237"/>
              <w:rPr>
                <w:sz w:val="24"/>
                <w:szCs w:val="24"/>
              </w:rPr>
            </w:pPr>
          </w:p>
          <w:p w14:paraId="5A93EC2F" w14:textId="77777777" w:rsidR="003C458C" w:rsidRPr="006A2637" w:rsidRDefault="003C458C" w:rsidP="5848403C">
            <w:pPr>
              <w:ind w:right="237"/>
              <w:jc w:val="both"/>
              <w:rPr>
                <w:sz w:val="24"/>
                <w:szCs w:val="24"/>
              </w:rPr>
            </w:pPr>
          </w:p>
          <w:p w14:paraId="77D8AC39" w14:textId="20C03DE6" w:rsidR="003C458C" w:rsidRPr="006A2637" w:rsidRDefault="001D1C68" w:rsidP="5848403C">
            <w:pPr>
              <w:ind w:right="237"/>
              <w:jc w:val="both"/>
              <w:rPr>
                <w:sz w:val="24"/>
                <w:szCs w:val="24"/>
              </w:rPr>
            </w:pPr>
            <w:r w:rsidRPr="006A2637">
              <w:rPr>
                <w:sz w:val="24"/>
                <w:szCs w:val="24"/>
              </w:rPr>
              <w:t>2400</w:t>
            </w:r>
            <w:r w:rsidR="5848403C" w:rsidRPr="006A2637">
              <w:rPr>
                <w:sz w:val="24"/>
                <w:szCs w:val="24"/>
              </w:rPr>
              <w:t xml:space="preserve"> words </w:t>
            </w:r>
            <w:r w:rsidR="5848403C" w:rsidRPr="006A2637">
              <w:rPr>
                <w:i/>
                <w:iCs/>
                <w:sz w:val="24"/>
                <w:szCs w:val="24"/>
              </w:rPr>
              <w:t>(+/- 10%: include your actual word count at the end of each section)</w:t>
            </w:r>
          </w:p>
        </w:tc>
      </w:tr>
      <w:tr w:rsidR="00BD1F45" w:rsidRPr="006A2637" w14:paraId="446DD42C" w14:textId="77777777" w:rsidTr="5848403C">
        <w:tc>
          <w:tcPr>
            <w:tcW w:w="10188" w:type="dxa"/>
            <w:shd w:val="clear" w:color="auto" w:fill="auto"/>
          </w:tcPr>
          <w:p w14:paraId="26707CBB" w14:textId="77777777" w:rsidR="00BD1F45" w:rsidRPr="006A2637"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6A2637" w:rsidRDefault="003C458C" w:rsidP="00340E9A">
      <w:pPr>
        <w:ind w:right="237"/>
        <w:jc w:val="both"/>
        <w:rPr>
          <w:sz w:val="24"/>
          <w:szCs w:val="24"/>
        </w:rPr>
      </w:pPr>
    </w:p>
    <w:p w14:paraId="76035EA8" w14:textId="77777777" w:rsidR="003C458C" w:rsidRPr="006A2637" w:rsidRDefault="003C458C" w:rsidP="00340E9A">
      <w:pPr>
        <w:ind w:right="237"/>
        <w:jc w:val="both"/>
        <w:rPr>
          <w:b/>
          <w:sz w:val="24"/>
          <w:szCs w:val="24"/>
        </w:rPr>
      </w:pPr>
      <w:r w:rsidRPr="006A2637">
        <w:rPr>
          <w:b/>
          <w:sz w:val="24"/>
          <w:szCs w:val="24"/>
        </w:rPr>
        <w:t>ANSWER:</w:t>
      </w:r>
    </w:p>
    <w:p w14:paraId="52FCEE5A" w14:textId="77777777" w:rsidR="00025650" w:rsidRPr="006A2637" w:rsidRDefault="00025650" w:rsidP="00340E9A">
      <w:pPr>
        <w:ind w:right="237"/>
        <w:jc w:val="both"/>
        <w:rPr>
          <w:sz w:val="24"/>
          <w:szCs w:val="24"/>
        </w:rPr>
      </w:pPr>
    </w:p>
    <w:p w14:paraId="423CD175" w14:textId="77777777" w:rsidR="006A2637" w:rsidRPr="006A2637" w:rsidRDefault="006A2637" w:rsidP="006A2637">
      <w:pPr>
        <w:ind w:right="237"/>
        <w:jc w:val="both"/>
        <w:rPr>
          <w:sz w:val="24"/>
          <w:szCs w:val="24"/>
        </w:rPr>
      </w:pPr>
      <w:r w:rsidRPr="006A2637">
        <w:rPr>
          <w:sz w:val="24"/>
          <w:szCs w:val="24"/>
        </w:rPr>
        <w:t xml:space="preserve">In this essay, I am going to look at a policing incident relating to Anti-Social Behaviour (ASB) where I was involved with an offender/victim and reflect on what happened. To do this I am going to give a brief description of the situation including any social and legislative contexts, consider how ASB affects the local community and what constitutes effective, appropriate police action. I will outline my responsibilities when responding to ASB and illustrate how policing values were engaged by analysing the potential impact of bias on decision-making. </w:t>
      </w:r>
    </w:p>
    <w:p w14:paraId="323C53EA" w14:textId="77777777" w:rsidR="006A2637" w:rsidRPr="006A2637" w:rsidRDefault="006A2637" w:rsidP="006A2637">
      <w:pPr>
        <w:ind w:right="237"/>
        <w:jc w:val="both"/>
        <w:rPr>
          <w:sz w:val="24"/>
          <w:szCs w:val="24"/>
        </w:rPr>
      </w:pPr>
    </w:p>
    <w:p w14:paraId="4F6C0CC0" w14:textId="77777777" w:rsidR="006A2637" w:rsidRPr="006A2637" w:rsidRDefault="006A2637" w:rsidP="006A2637">
      <w:pPr>
        <w:ind w:right="237"/>
        <w:jc w:val="both"/>
        <w:rPr>
          <w:sz w:val="24"/>
          <w:szCs w:val="24"/>
        </w:rPr>
      </w:pPr>
    </w:p>
    <w:p w14:paraId="7F320C4B" w14:textId="77777777" w:rsidR="006A2637" w:rsidRPr="006A2637" w:rsidRDefault="006A2637" w:rsidP="006A2637">
      <w:pPr>
        <w:ind w:right="237"/>
        <w:jc w:val="both"/>
        <w:rPr>
          <w:sz w:val="24"/>
          <w:szCs w:val="24"/>
        </w:rPr>
      </w:pPr>
      <w:r w:rsidRPr="006A2637">
        <w:rPr>
          <w:sz w:val="24"/>
          <w:szCs w:val="24"/>
        </w:rPr>
        <w:t xml:space="preserve">During my tutorship, I have attended multiple calls and incidents revolving around the same issue of ongoing ASB in the same street and involving the same people. Mr and Mrs Jones who wanted to report their neighbour for their anti-social, harassing behaviour that seemed to be getting worse, made the initial few calls of complaint. Mr and Mrs Jones who live in Poppy Street on the Flower Estate, reported that their next door neighbours Jack and Abby played extremely loud music at inappropriate times, made excessive and persistent noise all through the day and night as well as displaying insulting, abusing behaviour including shouting, swearing, screaming, being drunk and threatening violence. Mr and Mrs Jones also stated that their neighbour’s children contributed to the abusive and insulting behaviour, persistent noise as well as vandalising their property with litter and graffiti. Further calls were received from Mr and Mrs Jones as well as a few other neighbours in the street, complaining of similar incidents of anti-social behaviour. </w:t>
      </w:r>
    </w:p>
    <w:p w14:paraId="3E0EA4B0" w14:textId="77777777" w:rsidR="006A2637" w:rsidRPr="006A2637" w:rsidRDefault="006A2637" w:rsidP="006A2637">
      <w:pPr>
        <w:ind w:right="237"/>
        <w:jc w:val="both"/>
        <w:rPr>
          <w:noProof/>
          <w:sz w:val="24"/>
          <w:szCs w:val="24"/>
        </w:rPr>
      </w:pPr>
      <w:r w:rsidRPr="006A2637">
        <w:rPr>
          <w:sz w:val="24"/>
          <w:szCs w:val="24"/>
        </w:rPr>
        <w:t xml:space="preserve">Anti-Social Behaviour is not, as such, a crime however some behaviours or acts classed as ABS can be a criminal offence. The Anti-Social Behaviour Act 2014 defines ASB as behaviour that has caused or is likely to cause any person harassment, alarm or distress. </w:t>
      </w:r>
      <w:r w:rsidRPr="006A2637">
        <w:rPr>
          <w:noProof/>
          <w:sz w:val="24"/>
          <w:szCs w:val="24"/>
        </w:rPr>
        <w:t xml:space="preserve">(Blackburn et al, Policing Public Order, Anti-Social Behaviour and Harassment, 2020,). When speaking to Mr and Mrs jones they explained all the behviour in detail and further stated how the behaviour was both affecting their daily lives and causing them to feel uncomfortable, scared and worried daily, when in their own home and while out in the community. After gathering further statements from other neighbours in the street it was clear that this was a wider issue as not only was the behaviour causing those living there distress but also causing ongoing tension within the street and in with police. Each call was responded to separately and often each call was regarding a different type of anti social activity and therefore each reposnce was somewhat different. This lead to some neighbours feeling the police were not taking them seriously, using appropriate action or resolving the issue where as other nighbours appreciated our response causing a slight difficulty when trying to work together to resolve the issues. Any and all types of anti-social behaviour, especially ASB that is on-going, continuous and varied in method can significantly disrupt or even destroy peoples quality of life. Firstly ASB can cause a victim to feel scared, intimidated, frightened and unwelcomed in their own home and area. It can effect how people live their life, what they do and this can be worsened if they are particularly vulnerable. Further, ASB can directly affect the community. Anti social behaviours such as littering, graffitti, persistent noise, bad langauge, drunkenness and threats of violence to name a few can cause neglect in an area. If the standard of an area such as the look and feel declines, the communities ability to feel pride for that area can be effected. People in the community may feel powerless to the negative changes in their area, many may move, businesses may close and this can then further the ASB problems in that area. As a community or individually people may worry about  spending time in their area, visiting local parks, walking through the streets or just being in their garden due to them worrying about having to deal with being or becoming a vitim of anti-social behaviour </w:t>
      </w:r>
      <w:sdt>
        <w:sdtPr>
          <w:rPr>
            <w:noProof/>
            <w:sz w:val="24"/>
            <w:szCs w:val="24"/>
          </w:rPr>
          <w:id w:val="-986394698"/>
          <w:citation/>
        </w:sdtPr>
        <w:sdtEndPr/>
        <w:sdtContent>
          <w:r w:rsidRPr="006A2637">
            <w:rPr>
              <w:noProof/>
              <w:sz w:val="24"/>
              <w:szCs w:val="24"/>
            </w:rPr>
            <w:fldChar w:fldCharType="begin"/>
          </w:r>
          <w:r w:rsidRPr="006A2637">
            <w:rPr>
              <w:noProof/>
              <w:sz w:val="24"/>
              <w:szCs w:val="24"/>
            </w:rPr>
            <w:instrText xml:space="preserve"> CITATION Bla203 \l 2057 </w:instrText>
          </w:r>
          <w:r w:rsidRPr="006A2637">
            <w:rPr>
              <w:noProof/>
              <w:sz w:val="24"/>
              <w:szCs w:val="24"/>
            </w:rPr>
            <w:fldChar w:fldCharType="separate"/>
          </w:r>
          <w:r w:rsidRPr="006A2637">
            <w:rPr>
              <w:noProof/>
              <w:sz w:val="24"/>
              <w:szCs w:val="24"/>
            </w:rPr>
            <w:t>(Blackburn et al, Policing Public Order, Anti-Social Behaviour and Harassment,, 2020,)</w:t>
          </w:r>
          <w:r w:rsidRPr="006A2637">
            <w:rPr>
              <w:noProof/>
              <w:sz w:val="24"/>
              <w:szCs w:val="24"/>
            </w:rPr>
            <w:fldChar w:fldCharType="end"/>
          </w:r>
        </w:sdtContent>
      </w:sdt>
      <w:r w:rsidRPr="006A2637">
        <w:rPr>
          <w:noProof/>
          <w:sz w:val="24"/>
          <w:szCs w:val="24"/>
        </w:rPr>
        <w:t xml:space="preserve">. I believe the real life accounts of the people I spoke to in this community regarding the ASB incidents can support this. Mr and Mrs Jones detailed how they now felt less comfortable and safe in their home. They worried when it starts to get dark as that is when a lot of the behaviour </w:t>
      </w:r>
      <w:r w:rsidRPr="006A2637">
        <w:rPr>
          <w:noProof/>
          <w:sz w:val="24"/>
          <w:szCs w:val="24"/>
        </w:rPr>
        <w:lastRenderedPageBreak/>
        <w:t xml:space="preserve">occurs, they worry when going to sleep, are very concerned that the ASB will continue to escalte and are always worried about what is going to happen next. Mr Jones even stated that all the worrying is starting to affect Mrs Jones’ sleep and health as she is often visibily nervous and shaken, no longer finding happiness taking small walks or being in the garden and will no longer take their grandchildren to the park closest to them. Other neighbours also stated they were worried about escalation of behvaiour, paticularly damage to property or behviour towards or around their children. In particular one parent explained she worried about the impact loud noise, music, shouting and swearing as well as seeing ASB was having on her young children. </w:t>
      </w:r>
    </w:p>
    <w:p w14:paraId="52D0CF20" w14:textId="77777777" w:rsidR="006A2637" w:rsidRPr="006A2637" w:rsidRDefault="006A2637" w:rsidP="006A2637">
      <w:pPr>
        <w:ind w:right="237"/>
        <w:jc w:val="both"/>
        <w:rPr>
          <w:noProof/>
          <w:sz w:val="24"/>
          <w:szCs w:val="24"/>
        </w:rPr>
      </w:pPr>
      <w:r w:rsidRPr="006A2637">
        <w:rPr>
          <w:noProof/>
          <w:sz w:val="24"/>
          <w:szCs w:val="24"/>
        </w:rPr>
        <w:t xml:space="preserve">Currently there are many forms of legislation as well as roles within the police that currently aid and support in the effective and appropriate action for ASB. Firstly evidence based policing has been used regarding ASB legislation, police responsibilities and police action such as enforcement, prevention and working with other agencies. Evidence based policing takes current or existing legislation, practices and guidelines and doing further research and making changes with new or improved methods to see if effective change or improvement is made. </w:t>
      </w:r>
      <w:sdt>
        <w:sdtPr>
          <w:rPr>
            <w:noProof/>
            <w:sz w:val="24"/>
            <w:szCs w:val="24"/>
          </w:rPr>
          <w:id w:val="-1005822816"/>
          <w:citation/>
        </w:sdtPr>
        <w:sdtEndPr/>
        <w:sdtContent>
          <w:r w:rsidRPr="006A2637">
            <w:rPr>
              <w:noProof/>
              <w:sz w:val="24"/>
              <w:szCs w:val="24"/>
            </w:rPr>
            <w:fldChar w:fldCharType="begin"/>
          </w:r>
          <w:r w:rsidRPr="006A2637">
            <w:rPr>
              <w:noProof/>
              <w:sz w:val="24"/>
              <w:szCs w:val="24"/>
            </w:rPr>
            <w:instrText xml:space="preserve">CITATION Bla204 \l 2057 </w:instrText>
          </w:r>
          <w:r w:rsidRPr="006A2637">
            <w:rPr>
              <w:noProof/>
              <w:sz w:val="24"/>
              <w:szCs w:val="24"/>
            </w:rPr>
            <w:fldChar w:fldCharType="separate"/>
          </w:r>
          <w:r w:rsidRPr="006A2637">
            <w:rPr>
              <w:noProof/>
              <w:sz w:val="24"/>
              <w:szCs w:val="24"/>
            </w:rPr>
            <w:t>(Blackburn et al, Evidence Based Policing, 2020)</w:t>
          </w:r>
          <w:r w:rsidRPr="006A2637">
            <w:rPr>
              <w:noProof/>
              <w:sz w:val="24"/>
              <w:szCs w:val="24"/>
            </w:rPr>
            <w:fldChar w:fldCharType="end"/>
          </w:r>
        </w:sdtContent>
      </w:sdt>
      <w:r w:rsidRPr="006A2637">
        <w:rPr>
          <w:noProof/>
          <w:sz w:val="24"/>
          <w:szCs w:val="24"/>
        </w:rPr>
        <w:t xml:space="preserve">. The Anti-Social Behaviour Act 2003 sets out the powers police have awell as the powers local authorities have in order to deal with and tackle ASB by supporting and expanding upon the types of ASB and ways to deal with these. Following on from this The Anti-Social Behaviour, Crime and Policing Act 2014 further strengthened and expanded the ways in which police and other agencies deal with ASB by making things quicker and simpler </w:t>
      </w:r>
      <w:sdt>
        <w:sdtPr>
          <w:rPr>
            <w:noProof/>
            <w:sz w:val="24"/>
            <w:szCs w:val="24"/>
          </w:rPr>
          <w:id w:val="2029361961"/>
          <w:citation/>
        </w:sdtPr>
        <w:sdtEndPr/>
        <w:sdtContent>
          <w:r w:rsidRPr="006A2637">
            <w:rPr>
              <w:noProof/>
              <w:sz w:val="24"/>
              <w:szCs w:val="24"/>
            </w:rPr>
            <w:fldChar w:fldCharType="begin"/>
          </w:r>
          <w:r w:rsidRPr="006A2637">
            <w:rPr>
              <w:noProof/>
              <w:sz w:val="24"/>
              <w:szCs w:val="24"/>
            </w:rPr>
            <w:instrText xml:space="preserve">CITATION HMS \l 2057 </w:instrText>
          </w:r>
          <w:r w:rsidRPr="006A2637">
            <w:rPr>
              <w:noProof/>
              <w:sz w:val="24"/>
              <w:szCs w:val="24"/>
            </w:rPr>
            <w:fldChar w:fldCharType="separate"/>
          </w:r>
          <w:r w:rsidRPr="006A2637">
            <w:rPr>
              <w:noProof/>
              <w:sz w:val="24"/>
              <w:szCs w:val="24"/>
            </w:rPr>
            <w:t>(HMSO, n.d.)</w:t>
          </w:r>
          <w:r w:rsidRPr="006A2637">
            <w:rPr>
              <w:noProof/>
              <w:sz w:val="24"/>
              <w:szCs w:val="24"/>
            </w:rPr>
            <w:fldChar w:fldCharType="end"/>
          </w:r>
        </w:sdtContent>
      </w:sdt>
      <w:r w:rsidRPr="006A2637">
        <w:rPr>
          <w:noProof/>
          <w:sz w:val="24"/>
          <w:szCs w:val="24"/>
        </w:rPr>
        <w:t xml:space="preserve"> Aswell as legislation Police officers also have the support of Police Community Support Officers/Neighbourhood policing team who are central to all ASB. PCSO’s main role is the prevention and detection of crime. Through community engagement and bridging a gap between the police and the public within communities they are able to communicate effectively, aquiring local knowledge and letting us get a better idea of what is happening in an area and how to support them. In regards to ASB, PCSO’s work to, reduce fear, crime and anti-social behaviour. Linking to this, Section 34 of The Police Reform and Social Responsibility Act 2011 supports PCSO’s and Police officers by setting out the responsibility to consult each neighbourhood in regards to crime and policing aswell as the need for meetings. This legal requirement allows for better communication between the police and the public and provides the public and local communities with planned changes and reforms as well as receiving their opinions, views and concerns in order to work with and support them effectively. An example of this would be the neighbourhood watch initiative </w:t>
      </w:r>
      <w:sdt>
        <w:sdtPr>
          <w:rPr>
            <w:noProof/>
            <w:sz w:val="24"/>
            <w:szCs w:val="24"/>
          </w:rPr>
          <w:id w:val="-800616097"/>
          <w:citation/>
        </w:sdtPr>
        <w:sdtEndPr/>
        <w:sdtContent>
          <w:r w:rsidRPr="006A2637">
            <w:rPr>
              <w:noProof/>
              <w:sz w:val="24"/>
              <w:szCs w:val="24"/>
            </w:rPr>
            <w:fldChar w:fldCharType="begin"/>
          </w:r>
          <w:r w:rsidRPr="006A2637">
            <w:rPr>
              <w:noProof/>
              <w:sz w:val="24"/>
              <w:szCs w:val="24"/>
            </w:rPr>
            <w:instrText xml:space="preserve"> CITATION Bla205 \l 2057 </w:instrText>
          </w:r>
          <w:r w:rsidRPr="006A2637">
            <w:rPr>
              <w:noProof/>
              <w:sz w:val="24"/>
              <w:szCs w:val="24"/>
            </w:rPr>
            <w:fldChar w:fldCharType="separate"/>
          </w:r>
          <w:r w:rsidRPr="006A2637">
            <w:rPr>
              <w:noProof/>
              <w:sz w:val="24"/>
              <w:szCs w:val="24"/>
            </w:rPr>
            <w:t>(Blackburn et al, Policing Local Communities,, 2020)</w:t>
          </w:r>
          <w:r w:rsidRPr="006A2637">
            <w:rPr>
              <w:noProof/>
              <w:sz w:val="24"/>
              <w:szCs w:val="24"/>
            </w:rPr>
            <w:fldChar w:fldCharType="end"/>
          </w:r>
        </w:sdtContent>
      </w:sdt>
      <w:r w:rsidRPr="006A2637">
        <w:rPr>
          <w:noProof/>
          <w:sz w:val="24"/>
          <w:szCs w:val="24"/>
        </w:rPr>
        <w:t>.</w:t>
      </w:r>
    </w:p>
    <w:p w14:paraId="2FA6DAA3" w14:textId="77777777" w:rsidR="006A2637" w:rsidRPr="006A2637" w:rsidRDefault="006A2637" w:rsidP="006A2637">
      <w:pPr>
        <w:ind w:right="237"/>
        <w:jc w:val="both"/>
        <w:rPr>
          <w:noProof/>
          <w:sz w:val="24"/>
          <w:szCs w:val="24"/>
        </w:rPr>
      </w:pPr>
    </w:p>
    <w:p w14:paraId="2F1E7B27" w14:textId="77777777" w:rsidR="006A2637" w:rsidRPr="006A2637" w:rsidRDefault="006A2637" w:rsidP="006A2637">
      <w:pPr>
        <w:ind w:right="237"/>
        <w:jc w:val="both"/>
        <w:rPr>
          <w:noProof/>
          <w:sz w:val="24"/>
          <w:szCs w:val="24"/>
        </w:rPr>
      </w:pPr>
      <w:r w:rsidRPr="006A2637">
        <w:rPr>
          <w:noProof/>
          <w:sz w:val="24"/>
          <w:szCs w:val="24"/>
        </w:rPr>
        <w:t xml:space="preserve">When police repond to any call they have many responsibilities and when attending and dealing with the ASB incidents from the Flower estate not only did officers have to think about investigation and action but also enforcement, possible partnership activity and prevention. One way to approach each incident is to analyse it using The Problem Analysis Triangle which requires you to analyse the victim, the location and the offender which then allows you to identify  practical measures to address issues and find a solution. For example analysis of Mr and Mrs Jones as the victim’s suggest they are particularly vulnerable, their property is easy to access and they live next to the offender. A solution may be to protect them through crime prevention or target hardening strategies such as CCTV round their properties, increase </w:t>
      </w:r>
      <w:r w:rsidRPr="006A2637">
        <w:rPr>
          <w:noProof/>
          <w:sz w:val="24"/>
          <w:szCs w:val="24"/>
        </w:rPr>
        <w:lastRenderedPageBreak/>
        <w:t xml:space="preserve">footpatrols in their area, visits from the neighbourhood policing team. Providing support for the victims is also important whether it is providing them with general support services or support for during court. </w:t>
      </w:r>
      <w:sdt>
        <w:sdtPr>
          <w:rPr>
            <w:noProof/>
            <w:sz w:val="24"/>
            <w:szCs w:val="24"/>
          </w:rPr>
          <w:id w:val="-905833662"/>
          <w:citation/>
        </w:sdtPr>
        <w:sdtEndPr/>
        <w:sdtContent>
          <w:r w:rsidRPr="006A2637">
            <w:rPr>
              <w:noProof/>
              <w:sz w:val="24"/>
              <w:szCs w:val="24"/>
            </w:rPr>
            <w:fldChar w:fldCharType="begin"/>
          </w:r>
          <w:r w:rsidRPr="006A2637">
            <w:rPr>
              <w:noProof/>
              <w:sz w:val="24"/>
              <w:szCs w:val="24"/>
            </w:rPr>
            <w:instrText xml:space="preserve">CITATION Bla206 \l 2057 </w:instrText>
          </w:r>
          <w:r w:rsidRPr="006A2637">
            <w:rPr>
              <w:noProof/>
              <w:sz w:val="24"/>
              <w:szCs w:val="24"/>
            </w:rPr>
            <w:fldChar w:fldCharType="separate"/>
          </w:r>
          <w:r w:rsidRPr="006A2637">
            <w:rPr>
              <w:noProof/>
              <w:sz w:val="24"/>
              <w:szCs w:val="24"/>
            </w:rPr>
            <w:t>(Blackburn et al, Policing Local Communiities - Delivering Local Policing, 2020)</w:t>
          </w:r>
          <w:r w:rsidRPr="006A2637">
            <w:rPr>
              <w:noProof/>
              <w:sz w:val="24"/>
              <w:szCs w:val="24"/>
            </w:rPr>
            <w:fldChar w:fldCharType="end"/>
          </w:r>
        </w:sdtContent>
      </w:sdt>
      <w:r w:rsidRPr="006A2637">
        <w:rPr>
          <w:noProof/>
          <w:sz w:val="24"/>
          <w:szCs w:val="24"/>
        </w:rPr>
        <w:t>.</w:t>
      </w:r>
    </w:p>
    <w:p w14:paraId="3F675C23" w14:textId="77777777" w:rsidR="006A2637" w:rsidRPr="006A2637" w:rsidRDefault="006A2637" w:rsidP="006A2637">
      <w:pPr>
        <w:ind w:right="237"/>
        <w:jc w:val="both"/>
        <w:rPr>
          <w:noProof/>
          <w:sz w:val="24"/>
          <w:szCs w:val="24"/>
        </w:rPr>
      </w:pPr>
      <w:r w:rsidRPr="006A2637">
        <w:rPr>
          <w:noProof/>
          <w:sz w:val="24"/>
          <w:szCs w:val="24"/>
        </w:rPr>
        <w:t>Once incidents of ABS have been looked at and anaylsed the appropriate response can be decided upon whether that be suggesting or taking one or multiple actions. Both Police and pertnership agencies such as local authorities, landlords and housing associations have the responsibility to deal with ASB swiflty and efficiently. There are two main ways to begin tackling ASB, methods that are directly for the perpetrator committing the ASB and community-based measures to tackle ASB within the area.</w:t>
      </w:r>
    </w:p>
    <w:p w14:paraId="7B4683CD" w14:textId="77777777" w:rsidR="006A2637" w:rsidRPr="006A2637" w:rsidRDefault="006A2637" w:rsidP="006A2637">
      <w:pPr>
        <w:ind w:right="237"/>
        <w:jc w:val="both"/>
        <w:rPr>
          <w:noProof/>
          <w:sz w:val="24"/>
          <w:szCs w:val="24"/>
        </w:rPr>
      </w:pPr>
      <w:r w:rsidRPr="006A2637">
        <w:rPr>
          <w:noProof/>
          <w:sz w:val="24"/>
          <w:szCs w:val="24"/>
        </w:rPr>
        <w:t>W to takle ASB directly for the perpetrator includes Civil Injunctions, Criminal Behaviour Orders, Out of Court disposals and Community triggers and victim engagement.</w:t>
      </w:r>
    </w:p>
    <w:p w14:paraId="5B3B4E8D" w14:textId="77777777" w:rsidR="006A2637" w:rsidRPr="006A2637" w:rsidRDefault="006A2637" w:rsidP="006A2637">
      <w:pPr>
        <w:ind w:right="237"/>
        <w:jc w:val="both"/>
        <w:rPr>
          <w:noProof/>
          <w:sz w:val="24"/>
          <w:szCs w:val="24"/>
        </w:rPr>
      </w:pPr>
      <w:r w:rsidRPr="006A2637">
        <w:rPr>
          <w:noProof/>
          <w:sz w:val="24"/>
          <w:szCs w:val="24"/>
        </w:rPr>
        <w:t xml:space="preserve">Out of court disposals (OOCD’s) are wasy to deal with ASB by also attempting to prevent the individuals from being labelled as criminals and having a criminal record. These in the first instance are to stop and deter further ASB in young people. These can include:- </w:t>
      </w:r>
    </w:p>
    <w:p w14:paraId="0D415376" w14:textId="77777777" w:rsidR="006A2637" w:rsidRPr="006A2637" w:rsidRDefault="006A2637" w:rsidP="006A2637">
      <w:pPr>
        <w:ind w:right="237"/>
        <w:jc w:val="both"/>
        <w:rPr>
          <w:noProof/>
          <w:sz w:val="24"/>
          <w:szCs w:val="24"/>
        </w:rPr>
      </w:pPr>
      <w:r w:rsidRPr="006A2637">
        <w:rPr>
          <w:noProof/>
          <w:sz w:val="24"/>
          <w:szCs w:val="24"/>
        </w:rPr>
        <w:t>-Acceptable behaviour contracts: which is a written agreement between the perpetrator and local agency where they state they will stop the ASB.</w:t>
      </w:r>
    </w:p>
    <w:p w14:paraId="1E2BA059" w14:textId="77777777" w:rsidR="006A2637" w:rsidRPr="006A2637" w:rsidRDefault="006A2637" w:rsidP="006A2637">
      <w:pPr>
        <w:ind w:right="237"/>
        <w:jc w:val="both"/>
        <w:rPr>
          <w:noProof/>
          <w:sz w:val="24"/>
          <w:szCs w:val="24"/>
        </w:rPr>
      </w:pPr>
      <w:r w:rsidRPr="006A2637">
        <w:rPr>
          <w:noProof/>
          <w:sz w:val="24"/>
          <w:szCs w:val="24"/>
        </w:rPr>
        <w:t>-Community Resolutions: which is a form of restorative justice where an informal agreement is create.</w:t>
      </w:r>
    </w:p>
    <w:p w14:paraId="0AB33EF1" w14:textId="77777777" w:rsidR="006A2637" w:rsidRPr="006A2637" w:rsidRDefault="006A2637" w:rsidP="006A2637">
      <w:pPr>
        <w:ind w:right="237"/>
        <w:jc w:val="both"/>
        <w:rPr>
          <w:noProof/>
          <w:sz w:val="24"/>
          <w:szCs w:val="24"/>
        </w:rPr>
      </w:pPr>
      <w:r w:rsidRPr="006A2637">
        <w:rPr>
          <w:noProof/>
          <w:sz w:val="24"/>
          <w:szCs w:val="24"/>
        </w:rPr>
        <w:t>-Support and councelling – appropriate intervention for the child.</w:t>
      </w:r>
    </w:p>
    <w:p w14:paraId="19825767" w14:textId="77777777" w:rsidR="006A2637" w:rsidRPr="006A2637" w:rsidRDefault="006A2637" w:rsidP="006A2637">
      <w:pPr>
        <w:ind w:right="237"/>
        <w:jc w:val="both"/>
        <w:rPr>
          <w:noProof/>
          <w:sz w:val="24"/>
          <w:szCs w:val="24"/>
        </w:rPr>
      </w:pPr>
      <w:r w:rsidRPr="006A2637">
        <w:rPr>
          <w:noProof/>
          <w:sz w:val="24"/>
          <w:szCs w:val="24"/>
        </w:rPr>
        <w:t>-Parenting contracts: this is signed by parents or guardians agreeing to tackle/stop the ASB</w:t>
      </w:r>
    </w:p>
    <w:p w14:paraId="385FD892" w14:textId="77777777" w:rsidR="006A2637" w:rsidRPr="006A2637" w:rsidRDefault="006A2637" w:rsidP="006A2637">
      <w:pPr>
        <w:ind w:right="237"/>
        <w:jc w:val="both"/>
        <w:rPr>
          <w:noProof/>
          <w:sz w:val="24"/>
          <w:szCs w:val="24"/>
        </w:rPr>
      </w:pPr>
      <w:r w:rsidRPr="006A2637">
        <w:rPr>
          <w:noProof/>
          <w:sz w:val="24"/>
          <w:szCs w:val="24"/>
        </w:rPr>
        <w:t>-Verbal warning and written warnings: issued by police or coucil if ASB occurs, detailing the behaviour and why it is unacceptable, providing them a chance to desist.</w:t>
      </w:r>
    </w:p>
    <w:p w14:paraId="50041DD3" w14:textId="77777777" w:rsidR="006A2637" w:rsidRPr="006A2637" w:rsidRDefault="006A2637" w:rsidP="006A2637">
      <w:pPr>
        <w:ind w:right="237"/>
        <w:jc w:val="both"/>
        <w:rPr>
          <w:noProof/>
          <w:sz w:val="24"/>
          <w:szCs w:val="24"/>
        </w:rPr>
      </w:pPr>
      <w:r w:rsidRPr="006A2637">
        <w:rPr>
          <w:noProof/>
          <w:sz w:val="24"/>
          <w:szCs w:val="24"/>
        </w:rPr>
        <w:t xml:space="preserve">At the early stages of ASB incidents in an attempt to prevent or stop ASB,Civil Injuctions such as an Injunction to Prevent Nuicanse and Annoyance (IPMNA’s) can also be used. These can make a perpetrator of ASB to address the causes of their ASB and often include prohibitations as well as penalties if a breach occurs. Local authorities such as local councils and landlords also have the power to deal with certain ASB using IPMNA’S. When an individual engages with criminal activity as well as continued ASB, Criminal Behaviour Orders (CBO’s) are used. These are issued througt court when an individual is convicted for any criminal offence and can require that individual to address the casues of their ASB and can include prohibitations. Breaching a CBO is a criminal offence and therefore the repercusions of a breach are more substantial. Finally Community Triggers/Remedies can be used as these allow for victims and those in the community to have an input in the decisions and ways ASB is managed in their area. </w:t>
      </w:r>
    </w:p>
    <w:p w14:paraId="48F8F7C0" w14:textId="77777777" w:rsidR="006A2637" w:rsidRPr="006A2637" w:rsidRDefault="006A2637" w:rsidP="006A2637">
      <w:pPr>
        <w:ind w:right="237"/>
        <w:jc w:val="both"/>
        <w:rPr>
          <w:noProof/>
          <w:sz w:val="24"/>
          <w:szCs w:val="24"/>
        </w:rPr>
      </w:pPr>
      <w:r w:rsidRPr="006A2637">
        <w:rPr>
          <w:noProof/>
          <w:sz w:val="24"/>
          <w:szCs w:val="24"/>
        </w:rPr>
        <w:t xml:space="preserve">Some community based measures for dealing with ASB incude Dispersal orders and Community Protectino Notices. Dispersal orders allow officers and PCSO’s to require anyone likely to commit or committing ASB to leave an area for upto 48 hours if over the age of 10 years old and not return with penalties for any breach. Community Protection Notices (CPN’s) can be used by Police, PCSO’s, local councils and landlords and is used for those committing ASB that is peersistent, unreasonable and be effecting quility of life within the area. Requirements are included and a breach is a criminal offence with consequences. </w:t>
      </w:r>
    </w:p>
    <w:p w14:paraId="12456143" w14:textId="77777777" w:rsidR="006A2637" w:rsidRPr="006A2637" w:rsidRDefault="006A2637" w:rsidP="006A2637">
      <w:pPr>
        <w:ind w:right="237"/>
        <w:jc w:val="both"/>
        <w:rPr>
          <w:noProof/>
          <w:sz w:val="24"/>
          <w:szCs w:val="24"/>
        </w:rPr>
      </w:pPr>
    </w:p>
    <w:p w14:paraId="0AB0F905" w14:textId="77777777" w:rsidR="006A2637" w:rsidRPr="006A2637" w:rsidRDefault="006A2637" w:rsidP="006A2637">
      <w:pPr>
        <w:ind w:right="237"/>
        <w:jc w:val="both"/>
        <w:rPr>
          <w:noProof/>
          <w:sz w:val="24"/>
          <w:szCs w:val="24"/>
        </w:rPr>
      </w:pPr>
      <w:r w:rsidRPr="006A2637">
        <w:rPr>
          <w:noProof/>
          <w:sz w:val="24"/>
          <w:szCs w:val="24"/>
        </w:rPr>
        <w:t xml:space="preserve">When dealing with the incidents of ASB in the Flower Estate officers used a variety of these methods to deal with the behaviour and safeguard the victims and community. </w:t>
      </w:r>
    </w:p>
    <w:p w14:paraId="424DF8B4" w14:textId="77777777" w:rsidR="006A2637" w:rsidRPr="006A2637" w:rsidRDefault="006A2637" w:rsidP="006A2637">
      <w:pPr>
        <w:ind w:right="237"/>
        <w:jc w:val="both"/>
        <w:rPr>
          <w:noProof/>
          <w:sz w:val="24"/>
          <w:szCs w:val="24"/>
        </w:rPr>
      </w:pPr>
      <w:r w:rsidRPr="006A2637">
        <w:rPr>
          <w:noProof/>
          <w:sz w:val="24"/>
          <w:szCs w:val="24"/>
        </w:rPr>
        <w:t>As the ASB was so varied and cariied out by multiple people a range of methods were used based on how appropriate the action was for the behaviour. Jack and Abby were spoken to initially and they did not see any issue with their behaviour. As a result of this as well as them stating they would continue the behaviour  they were issued with Civil Injunctions which required them to address their ASB including their alcohol issues with appropriate support and were given prohibitations. Their children were apologetic and realised their behviour was wrong but thought it was also funny. Out of court disposals were used in this case in the hope it would stop their behaviour and encourage them to not repeat this behaviour in the future. Jack and Abby as their parents were also made aware that future ASB from the children courl result in other methods such as Parenting contracts or acceptable behaviour contracts or further more serious methods which could affect thei children in the future</w:t>
      </w:r>
      <w:sdt>
        <w:sdtPr>
          <w:rPr>
            <w:noProof/>
            <w:sz w:val="24"/>
            <w:szCs w:val="24"/>
          </w:rPr>
          <w:id w:val="-2072411422"/>
          <w:citation/>
        </w:sdtPr>
        <w:sdtEndPr/>
        <w:sdtContent>
          <w:r w:rsidRPr="006A2637">
            <w:rPr>
              <w:noProof/>
              <w:sz w:val="24"/>
              <w:szCs w:val="24"/>
            </w:rPr>
            <w:fldChar w:fldCharType="begin"/>
          </w:r>
          <w:r w:rsidRPr="006A2637">
            <w:rPr>
              <w:noProof/>
              <w:sz w:val="24"/>
              <w:szCs w:val="24"/>
            </w:rPr>
            <w:instrText xml:space="preserve">CITATION Bla207 \l 2057 </w:instrText>
          </w:r>
          <w:r w:rsidRPr="006A2637">
            <w:rPr>
              <w:noProof/>
              <w:sz w:val="24"/>
              <w:szCs w:val="24"/>
            </w:rPr>
            <w:fldChar w:fldCharType="separate"/>
          </w:r>
          <w:r w:rsidRPr="006A2637">
            <w:rPr>
              <w:noProof/>
              <w:sz w:val="24"/>
              <w:szCs w:val="24"/>
            </w:rPr>
            <w:t xml:space="preserve"> (Blackburn et al, Policing Public Order, Anti-Social Behaiour and Harassment, 2020)</w:t>
          </w:r>
          <w:r w:rsidRPr="006A2637">
            <w:rPr>
              <w:noProof/>
              <w:sz w:val="24"/>
              <w:szCs w:val="24"/>
            </w:rPr>
            <w:fldChar w:fldCharType="end"/>
          </w:r>
        </w:sdtContent>
      </w:sdt>
      <w:sdt>
        <w:sdtPr>
          <w:rPr>
            <w:noProof/>
            <w:sz w:val="24"/>
            <w:szCs w:val="24"/>
          </w:rPr>
          <w:id w:val="-1747796838"/>
          <w:citation/>
        </w:sdtPr>
        <w:sdtEndPr/>
        <w:sdtContent>
          <w:r w:rsidRPr="006A2637">
            <w:rPr>
              <w:noProof/>
              <w:sz w:val="24"/>
              <w:szCs w:val="24"/>
            </w:rPr>
            <w:fldChar w:fldCharType="begin"/>
          </w:r>
          <w:r w:rsidRPr="006A2637">
            <w:rPr>
              <w:noProof/>
              <w:sz w:val="24"/>
              <w:szCs w:val="24"/>
            </w:rPr>
            <w:instrText xml:space="preserve">CITATION Dor21 \l 2057 </w:instrText>
          </w:r>
          <w:r w:rsidRPr="006A2637">
            <w:rPr>
              <w:noProof/>
              <w:sz w:val="24"/>
              <w:szCs w:val="24"/>
            </w:rPr>
            <w:fldChar w:fldCharType="separate"/>
          </w:r>
          <w:r w:rsidRPr="006A2637">
            <w:rPr>
              <w:noProof/>
              <w:sz w:val="24"/>
              <w:szCs w:val="24"/>
            </w:rPr>
            <w:t xml:space="preserve"> (Dorset Police, 2021)</w:t>
          </w:r>
          <w:r w:rsidRPr="006A2637">
            <w:rPr>
              <w:noProof/>
              <w:sz w:val="24"/>
              <w:szCs w:val="24"/>
            </w:rPr>
            <w:fldChar w:fldCharType="end"/>
          </w:r>
        </w:sdtContent>
      </w:sdt>
    </w:p>
    <w:p w14:paraId="444ADA98" w14:textId="77777777" w:rsidR="006A2637" w:rsidRPr="006A2637" w:rsidRDefault="006A2637" w:rsidP="006A2637">
      <w:pPr>
        <w:ind w:right="237"/>
        <w:jc w:val="both"/>
        <w:rPr>
          <w:rFonts w:asciiTheme="minorHAnsi" w:hAnsiTheme="minorHAnsi" w:cstheme="minorBidi"/>
          <w:noProof/>
          <w:sz w:val="24"/>
          <w:szCs w:val="24"/>
        </w:rPr>
      </w:pPr>
    </w:p>
    <w:p w14:paraId="06B0E4D2" w14:textId="32BD0505" w:rsidR="006A2637" w:rsidRPr="00137244" w:rsidRDefault="006A2637" w:rsidP="006A2637">
      <w:r w:rsidRPr="006A2637">
        <w:rPr>
          <w:sz w:val="24"/>
          <w:szCs w:val="24"/>
        </w:rPr>
        <w:t xml:space="preserve">As a police officer, it is important to be aware of and utilise the four main policing values of impartiality, integrity, transparency and public service. When dealing with any incident I endeavour to do this and believe I do this naturally. From my experience to date with ASB incidents, I believe I have naturally shown these values within my problem solving, decision making and when using discretion. It is however possible for unconscious bias to affect the decision making process. Unconscious bias is where prejudice or social stereotypes are used either positively or negatively in relation to anything such as a person, group of people, trait or characteristic. Often it is learnt stereotype and usually unintentional however it can exist towards religion, race, disability, gender, sexual orientation or other characteristics </w:t>
      </w:r>
      <w:sdt>
        <w:sdtPr>
          <w:rPr>
            <w:sz w:val="24"/>
            <w:szCs w:val="24"/>
          </w:rPr>
          <w:id w:val="-466969257"/>
          <w:citation/>
        </w:sdtPr>
        <w:sdtEndPr/>
        <w:sdtContent>
          <w:r w:rsidRPr="006A2637">
            <w:rPr>
              <w:sz w:val="24"/>
              <w:szCs w:val="24"/>
            </w:rPr>
            <w:fldChar w:fldCharType="begin"/>
          </w:r>
          <w:r w:rsidRPr="006A2637">
            <w:rPr>
              <w:sz w:val="24"/>
              <w:szCs w:val="24"/>
            </w:rPr>
            <w:instrText xml:space="preserve"> CITATION Jes21 \l 2057 </w:instrText>
          </w:r>
          <w:r w:rsidRPr="006A2637">
            <w:rPr>
              <w:sz w:val="24"/>
              <w:szCs w:val="24"/>
            </w:rPr>
            <w:fldChar w:fldCharType="separate"/>
          </w:r>
          <w:r w:rsidRPr="006A2637">
            <w:rPr>
              <w:noProof/>
              <w:sz w:val="24"/>
              <w:szCs w:val="24"/>
            </w:rPr>
            <w:t>(Man, 2021)</w:t>
          </w:r>
          <w:r w:rsidRPr="006A2637">
            <w:rPr>
              <w:sz w:val="24"/>
              <w:szCs w:val="24"/>
            </w:rPr>
            <w:fldChar w:fldCharType="end"/>
          </w:r>
        </w:sdtContent>
      </w:sdt>
      <w:r w:rsidRPr="006A2637">
        <w:rPr>
          <w:sz w:val="24"/>
          <w:szCs w:val="24"/>
        </w:rPr>
        <w:t xml:space="preserve">. Bias, whether it is intentional or unintentional can affect the decision making process as well as officers use for discretion. For example if an officer has an unconscious bias in relation to youths/groups of teenagers, then this could affect how police values and ethical principles are considered and followed which could negatively impact the decisions made and the course of actions that follow. Bias can also affect an officer’s use of discretion. Officers are able to use their own judgement in particular situations however if bias is involved then officers decisions and actions may come into question in regards to discrimination or under/over enforcement. Discretion involves making a choice between different enforcement options and often each officer will have a slightly different thought process and viewpoint and this can further vary if any bias is present. As a result, the way an officer applies discretion may be different to the next officer, which may result in different people committing the same offence to receive different treatment or consequence. This might appear to be discrimination. If an officer has a sort of bias or prejudice against youths, when that officer is assessing a situation such as ASB in an area or what enforcement options to use their prejudice may negatively affect those youths. For example, if the officer has an unconscious bias towards youths they may display this in their initial contact with the group of teenagers. As a result, the group of youths may respond and ‘gang up on’ or come across as argumentative or rude. This may then cause the officer to use a slightly harsher consequence, such as giving a civil injunction or fine instead of </w:t>
      </w:r>
      <w:r w:rsidRPr="006A2637">
        <w:rPr>
          <w:sz w:val="24"/>
          <w:szCs w:val="24"/>
        </w:rPr>
        <w:lastRenderedPageBreak/>
        <w:t xml:space="preserve">an out of court disposal as the officer sees the youths behaviour as not showing remorse for their ASB and therefore believe a harsher punishment will be more likely in preventing ASB in the future. From my experience to date, I can see how bias can influence the relationship between the police and the community. Police bias links to our decision-making, use of discretion and problem solving and each links to each other. If there is bias at any point when doing our duty as officers then it can affect how the public perceives us. One of our main policing values is public service and to act in the best interest of society as a whole. If however, there is bias within policing then this can cause the community to believe we are not endeavouring to be transparent, impartial or show integrity or selflessly serve the public but instead see us as being open to bias and discrimination </w:t>
      </w:r>
      <w:sdt>
        <w:sdtPr>
          <w:rPr>
            <w:sz w:val="24"/>
            <w:szCs w:val="24"/>
          </w:rPr>
          <w:id w:val="477892318"/>
          <w:citation/>
        </w:sdtPr>
        <w:sdtEndPr>
          <w:rPr>
            <w:sz w:val="20"/>
            <w:szCs w:val="20"/>
          </w:rPr>
        </w:sdtEndPr>
        <w:sdtContent>
          <w:r w:rsidRPr="006A2637">
            <w:rPr>
              <w:sz w:val="24"/>
              <w:szCs w:val="24"/>
            </w:rPr>
            <w:fldChar w:fldCharType="begin"/>
          </w:r>
          <w:r w:rsidRPr="006A2637">
            <w:rPr>
              <w:sz w:val="24"/>
              <w:szCs w:val="24"/>
            </w:rPr>
            <w:instrText xml:space="preserve"> CITATION Bla208 \l 2057 </w:instrText>
          </w:r>
          <w:r w:rsidRPr="006A2637">
            <w:rPr>
              <w:sz w:val="24"/>
              <w:szCs w:val="24"/>
            </w:rPr>
            <w:fldChar w:fldCharType="separate"/>
          </w:r>
          <w:r w:rsidRPr="006A2637">
            <w:rPr>
              <w:noProof/>
              <w:sz w:val="24"/>
              <w:szCs w:val="24"/>
            </w:rPr>
            <w:t>(Blackburn et al, Roles, Responsibilies and Support, 2020)</w:t>
          </w:r>
          <w:r w:rsidRPr="006A2637">
            <w:rPr>
              <w:sz w:val="24"/>
              <w:szCs w:val="24"/>
            </w:rPr>
            <w:fldChar w:fldCharType="end"/>
          </w:r>
        </w:sdtContent>
      </w:sdt>
      <w:r>
        <w:t>.</w:t>
      </w:r>
    </w:p>
    <w:p w14:paraId="4C50E184" w14:textId="44814CE5" w:rsidR="00025650" w:rsidRPr="00270EEB" w:rsidRDefault="006A2637" w:rsidP="00340E9A">
      <w:pPr>
        <w:ind w:right="237"/>
        <w:jc w:val="both"/>
        <w:rPr>
          <w:sz w:val="24"/>
          <w:szCs w:val="24"/>
        </w:rPr>
      </w:pPr>
      <w:r>
        <w:rPr>
          <w:sz w:val="24"/>
          <w:szCs w:val="24"/>
        </w:rPr>
        <w:t>(2611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D46E32">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791A2BFC"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C166AFD" w14:textId="366AC07C" w:rsidR="006A2637" w:rsidRDefault="006A2637" w:rsidP="5848403C">
      <w:pPr>
        <w:keepNext/>
        <w:spacing w:before="240" w:after="60"/>
        <w:ind w:right="237"/>
        <w:jc w:val="both"/>
        <w:rPr>
          <w:sz w:val="24"/>
          <w:szCs w:val="24"/>
        </w:rPr>
      </w:pPr>
    </w:p>
    <w:sdt>
      <w:sdtPr>
        <w:rPr>
          <w:b w:val="0"/>
          <w:kern w:val="0"/>
          <w:sz w:val="20"/>
        </w:rPr>
        <w:id w:val="2043473460"/>
        <w:docPartObj>
          <w:docPartGallery w:val="Bibliographies"/>
          <w:docPartUnique/>
        </w:docPartObj>
      </w:sdtPr>
      <w:sdtEndPr/>
      <w:sdtContent>
        <w:p w14:paraId="16E67960" w14:textId="47D7CD2A" w:rsidR="006A2637" w:rsidRDefault="006A2637">
          <w:pPr>
            <w:pStyle w:val="Heading1"/>
          </w:pPr>
          <w:r>
            <w:t>Bibliography</w:t>
          </w:r>
        </w:p>
        <w:sdt>
          <w:sdtPr>
            <w:id w:val="111145805"/>
            <w:bibliography/>
          </w:sdtPr>
          <w:sdtEndPr/>
          <w:sdtContent>
            <w:p w14:paraId="6245666C" w14:textId="77777777" w:rsidR="006A2637" w:rsidRDefault="006A2637" w:rsidP="006A2637">
              <w:pPr>
                <w:pStyle w:val="Bibliography"/>
                <w:ind w:left="720" w:hanging="720"/>
                <w:rPr>
                  <w:noProof/>
                  <w:sz w:val="24"/>
                  <w:szCs w:val="24"/>
                </w:rPr>
              </w:pPr>
              <w:r>
                <w:fldChar w:fldCharType="begin"/>
              </w:r>
              <w:r>
                <w:instrText xml:space="preserve"> BIBLIOGRAPHY </w:instrText>
              </w:r>
              <w:r>
                <w:fldChar w:fldCharType="separate"/>
              </w:r>
              <w:r>
                <w:rPr>
                  <w:noProof/>
                </w:rPr>
                <w:t xml:space="preserve">Blackburn et al. (2020). Chapter 10.13..3.1 - Initial Investigation. In B. e. al, </w:t>
              </w:r>
              <w:r>
                <w:rPr>
                  <w:i/>
                  <w:iCs/>
                  <w:noProof/>
                </w:rPr>
                <w:t>Blackstones Handbook for Policing Students.</w:t>
              </w:r>
              <w:r>
                <w:rPr>
                  <w:noProof/>
                </w:rPr>
                <w:t xml:space="preserve"> Oxford English Press.</w:t>
              </w:r>
            </w:p>
            <w:p w14:paraId="1B771F2B" w14:textId="77777777" w:rsidR="006A2637" w:rsidRDefault="006A2637" w:rsidP="006A2637">
              <w:pPr>
                <w:pStyle w:val="Bibliography"/>
                <w:ind w:left="720" w:hanging="720"/>
                <w:rPr>
                  <w:noProof/>
                </w:rPr>
              </w:pPr>
              <w:r>
                <w:rPr>
                  <w:noProof/>
                </w:rPr>
                <w:t xml:space="preserve">Blackburn et al. (2020). Chapter 24.1-24.4 - Criminal Investigation. In B. e. al, </w:t>
              </w:r>
              <w:r>
                <w:rPr>
                  <w:i/>
                  <w:iCs/>
                  <w:noProof/>
                </w:rPr>
                <w:t>Blackstones Handbook for Policing Students.</w:t>
              </w:r>
              <w:r>
                <w:rPr>
                  <w:noProof/>
                </w:rPr>
                <w:t xml:space="preserve"> Oxford English Press.</w:t>
              </w:r>
            </w:p>
            <w:p w14:paraId="43F3779B" w14:textId="77777777" w:rsidR="006A2637" w:rsidRDefault="006A2637" w:rsidP="006A2637">
              <w:pPr>
                <w:pStyle w:val="Bibliography"/>
                <w:ind w:left="720" w:hanging="720"/>
                <w:rPr>
                  <w:noProof/>
                </w:rPr>
              </w:pPr>
              <w:r>
                <w:rPr>
                  <w:noProof/>
                </w:rPr>
                <w:t xml:space="preserve">Blackburn et al. (2020). Evidence Based Policing. In B. e. al, </w:t>
              </w:r>
              <w:r>
                <w:rPr>
                  <w:i/>
                  <w:iCs/>
                  <w:noProof/>
                </w:rPr>
                <w:t>Blackstones Handbook for Policing Students</w:t>
              </w:r>
              <w:r>
                <w:rPr>
                  <w:noProof/>
                </w:rPr>
                <w:t xml:space="preserve"> (pp. 51-52). Oxford English Press.</w:t>
              </w:r>
            </w:p>
            <w:p w14:paraId="6E405DFB" w14:textId="77777777" w:rsidR="006A2637" w:rsidRDefault="006A2637" w:rsidP="006A2637">
              <w:pPr>
                <w:pStyle w:val="Bibliography"/>
                <w:ind w:left="720" w:hanging="720"/>
                <w:rPr>
                  <w:noProof/>
                </w:rPr>
              </w:pPr>
              <w:r>
                <w:rPr>
                  <w:noProof/>
                </w:rPr>
                <w:t xml:space="preserve">Blackburn et al. (2020). Policing Local Communiities - Delivering Local Policing. In Blackburn et al, </w:t>
              </w:r>
              <w:r>
                <w:rPr>
                  <w:i/>
                  <w:iCs/>
                  <w:noProof/>
                </w:rPr>
                <w:t>Blackstones Handbook for Practical Policing</w:t>
              </w:r>
              <w:r>
                <w:rPr>
                  <w:noProof/>
                </w:rPr>
                <w:t xml:space="preserve"> (p. pg 157). Oxford English Press.</w:t>
              </w:r>
            </w:p>
            <w:p w14:paraId="36625CDF" w14:textId="77777777" w:rsidR="006A2637" w:rsidRDefault="006A2637" w:rsidP="006A2637">
              <w:pPr>
                <w:pStyle w:val="Bibliography"/>
                <w:ind w:left="720" w:hanging="720"/>
                <w:rPr>
                  <w:noProof/>
                </w:rPr>
              </w:pPr>
              <w:r>
                <w:rPr>
                  <w:noProof/>
                </w:rPr>
                <w:t xml:space="preserve">Blackburn et al. (2020). Policing Local Communities,. In B. e. al, </w:t>
              </w:r>
              <w:r>
                <w:rPr>
                  <w:i/>
                  <w:iCs/>
                  <w:noProof/>
                </w:rPr>
                <w:t>Blackstones Handbook for Policing Students</w:t>
              </w:r>
              <w:r>
                <w:rPr>
                  <w:noProof/>
                </w:rPr>
                <w:t xml:space="preserve"> (pp. pg 153-161). Oxford English Press.</w:t>
              </w:r>
            </w:p>
            <w:p w14:paraId="7691A60F" w14:textId="77777777" w:rsidR="006A2637" w:rsidRDefault="006A2637" w:rsidP="006A2637">
              <w:pPr>
                <w:pStyle w:val="Bibliography"/>
                <w:ind w:left="720" w:hanging="720"/>
                <w:rPr>
                  <w:noProof/>
                </w:rPr>
              </w:pPr>
              <w:r>
                <w:rPr>
                  <w:noProof/>
                </w:rPr>
                <w:t xml:space="preserve">Blackburn et al. (2020). Policing Public Order, Anti-Social Behaiour and Harassment. In B. e. al, </w:t>
              </w:r>
              <w:r>
                <w:rPr>
                  <w:i/>
                  <w:iCs/>
                  <w:noProof/>
                </w:rPr>
                <w:t>Blackstones Handbook for Policing Students</w:t>
              </w:r>
              <w:r>
                <w:rPr>
                  <w:noProof/>
                </w:rPr>
                <w:t xml:space="preserve"> (pp. pg 301-306). Oxford English Press.</w:t>
              </w:r>
            </w:p>
            <w:p w14:paraId="4C9C7F7D" w14:textId="77777777" w:rsidR="006A2637" w:rsidRDefault="006A2637" w:rsidP="006A2637">
              <w:pPr>
                <w:pStyle w:val="Bibliography"/>
                <w:ind w:left="720" w:hanging="720"/>
                <w:rPr>
                  <w:noProof/>
                </w:rPr>
              </w:pPr>
              <w:r>
                <w:rPr>
                  <w:noProof/>
                </w:rPr>
                <w:t xml:space="preserve">Blackburn et al. (2020). Roles, Responsibilies and Support. In B. e. al, </w:t>
              </w:r>
              <w:r>
                <w:rPr>
                  <w:i/>
                  <w:iCs/>
                  <w:noProof/>
                </w:rPr>
                <w:t>Blackstones Handbook for Policing Students</w:t>
              </w:r>
              <w:r>
                <w:rPr>
                  <w:noProof/>
                </w:rPr>
                <w:t xml:space="preserve"> (pp. 73-84). Oxford English Press.</w:t>
              </w:r>
            </w:p>
            <w:p w14:paraId="2AD3C9EF" w14:textId="77777777" w:rsidR="006A2637" w:rsidRDefault="006A2637" w:rsidP="006A2637">
              <w:pPr>
                <w:pStyle w:val="Bibliography"/>
                <w:ind w:left="720" w:hanging="720"/>
                <w:rPr>
                  <w:noProof/>
                </w:rPr>
              </w:pPr>
              <w:r>
                <w:rPr>
                  <w:noProof/>
                </w:rPr>
                <w:t xml:space="preserve">Blackburn et al. (2020,). Policing Public Order, Anti-Social Behaviour and Harassment,. In Blackburn et al, </w:t>
              </w:r>
              <w:r>
                <w:rPr>
                  <w:i/>
                  <w:iCs/>
                  <w:noProof/>
                </w:rPr>
                <w:t>Blackstones Handbook for Policing Students</w:t>
              </w:r>
              <w:r>
                <w:rPr>
                  <w:noProof/>
                </w:rPr>
                <w:t xml:space="preserve"> (pp. 301-328). Oxford English Press.</w:t>
              </w:r>
            </w:p>
            <w:p w14:paraId="19F6A267" w14:textId="77777777" w:rsidR="006A2637" w:rsidRDefault="006A2637" w:rsidP="006A2637">
              <w:pPr>
                <w:pStyle w:val="Bibliography"/>
                <w:ind w:left="720" w:hanging="720"/>
                <w:rPr>
                  <w:noProof/>
                </w:rPr>
              </w:pPr>
              <w:r>
                <w:rPr>
                  <w:noProof/>
                </w:rPr>
                <w:t xml:space="preserve">College of Policing. (2021). </w:t>
              </w:r>
              <w:r>
                <w:rPr>
                  <w:i/>
                  <w:iCs/>
                  <w:noProof/>
                </w:rPr>
                <w:t>Investagative Interviewing</w:t>
              </w:r>
              <w:r>
                <w:rPr>
                  <w:noProof/>
                </w:rPr>
                <w:t>. Retrieved from College of Policing Authorised Professional Practice: https://www.app.college.police.uk/app-content/investigations/investigative-interviewing/#top</w:t>
              </w:r>
            </w:p>
            <w:p w14:paraId="25C11552" w14:textId="77777777" w:rsidR="006A2637" w:rsidRDefault="006A2637" w:rsidP="006A2637">
              <w:pPr>
                <w:pStyle w:val="Bibliography"/>
                <w:ind w:left="720" w:hanging="720"/>
                <w:rPr>
                  <w:noProof/>
                </w:rPr>
              </w:pPr>
              <w:r>
                <w:rPr>
                  <w:noProof/>
                </w:rPr>
                <w:t xml:space="preserve">Dorset Police. (2021). </w:t>
              </w:r>
              <w:r>
                <w:rPr>
                  <w:i/>
                  <w:iCs/>
                  <w:noProof/>
                </w:rPr>
                <w:t>Welcom to Dorset Police</w:t>
              </w:r>
              <w:r>
                <w:rPr>
                  <w:noProof/>
                </w:rPr>
                <w:t>. Retrieved from Dorset Police: https://www.dorset.police.uk/help-advice-crime-prevention/safety-in-your-community/asb/</w:t>
              </w:r>
            </w:p>
            <w:p w14:paraId="7B5BC4B3" w14:textId="77777777" w:rsidR="006A2637" w:rsidRDefault="006A2637" w:rsidP="006A2637">
              <w:pPr>
                <w:pStyle w:val="Bibliography"/>
                <w:ind w:left="720" w:hanging="720"/>
                <w:rPr>
                  <w:noProof/>
                </w:rPr>
              </w:pPr>
              <w:r>
                <w:rPr>
                  <w:noProof/>
                </w:rPr>
                <w:t xml:space="preserve">HMSO. (n.d.). </w:t>
              </w:r>
              <w:r>
                <w:rPr>
                  <w:i/>
                  <w:iCs/>
                  <w:noProof/>
                </w:rPr>
                <w:t>Anti-Social Behaviour Act 2003</w:t>
              </w:r>
              <w:r>
                <w:rPr>
                  <w:noProof/>
                </w:rPr>
                <w:t>. Retrieved from Legislation.gov.uk: https://www.legislation.gov.uk/ukpga/2003/38/notes</w:t>
              </w:r>
            </w:p>
            <w:p w14:paraId="0A960609" w14:textId="77777777" w:rsidR="006A2637" w:rsidRDefault="006A2637" w:rsidP="006A2637">
              <w:pPr>
                <w:pStyle w:val="Bibliography"/>
                <w:ind w:left="720" w:hanging="720"/>
                <w:rPr>
                  <w:noProof/>
                </w:rPr>
              </w:pPr>
              <w:r>
                <w:rPr>
                  <w:noProof/>
                </w:rPr>
                <w:t xml:space="preserve">Man, J. (2021). </w:t>
              </w:r>
              <w:r>
                <w:rPr>
                  <w:i/>
                  <w:iCs/>
                  <w:noProof/>
                </w:rPr>
                <w:t>Unconsious Bias - Definitions and Examples</w:t>
              </w:r>
              <w:r>
                <w:rPr>
                  <w:noProof/>
                </w:rPr>
                <w:t>. Retrieved from Diversity for Social Impact: https://diversity.social/unconscious-bias/</w:t>
              </w:r>
            </w:p>
            <w:p w14:paraId="38723640" w14:textId="77777777" w:rsidR="006A2637" w:rsidRDefault="006A2637" w:rsidP="006A2637">
              <w:pPr>
                <w:pStyle w:val="Bibliography"/>
                <w:ind w:left="720" w:hanging="720"/>
                <w:rPr>
                  <w:noProof/>
                </w:rPr>
              </w:pPr>
              <w:r>
                <w:rPr>
                  <w:noProof/>
                </w:rPr>
                <w:t xml:space="preserve">NHS Professionals Ltd. (2019, 04 18). </w:t>
              </w:r>
              <w:r>
                <w:rPr>
                  <w:i/>
                  <w:iCs/>
                  <w:noProof/>
                </w:rPr>
                <w:t>Seven Ways to Deal With Night Shifts</w:t>
              </w:r>
              <w:r>
                <w:rPr>
                  <w:noProof/>
                </w:rPr>
                <w:t>. Retrieved from NHS Professionals: https://www.nhsprofessionals.nhs.uk/Joining-NHSP/Latest-News/Detail?Id=Seven-ways-to-deal-with-night-shifts</w:t>
              </w:r>
            </w:p>
            <w:p w14:paraId="22CB17F1" w14:textId="33E3DE66" w:rsidR="006A2637" w:rsidRDefault="006A2637" w:rsidP="006A2637">
              <w:r>
                <w:rPr>
                  <w:b/>
                  <w:bCs/>
                  <w:noProof/>
                </w:rPr>
                <w:fldChar w:fldCharType="end"/>
              </w:r>
            </w:p>
          </w:sdtContent>
        </w:sdt>
      </w:sdtContent>
    </w:sdt>
    <w:p w14:paraId="38671483" w14:textId="77777777" w:rsidR="006A2637" w:rsidRPr="00270EEB" w:rsidRDefault="006A2637"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725E16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6A2637">
        <w:rPr>
          <w:rFonts w:eastAsia="Arial"/>
          <w:color w:val="000000" w:themeColor="text1"/>
          <w:sz w:val="24"/>
          <w:szCs w:val="24"/>
        </w:rPr>
        <w:t xml:space="preserve"> – Charlotte Goodway-Sims</w:t>
      </w:r>
      <w:r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1C0CFCA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A2637">
        <w:rPr>
          <w:rFonts w:eastAsia="Arial"/>
          <w:color w:val="000000" w:themeColor="text1"/>
          <w:sz w:val="24"/>
          <w:szCs w:val="24"/>
        </w:rPr>
        <w:t>07/03/2021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D46E32">
          <w:headerReference w:type="even" r:id="rId25"/>
          <w:headerReference w:type="default" r:id="rId26"/>
          <w:footerReference w:type="even" r:id="rId27"/>
          <w:footerReference w:type="default" r:id="rId28"/>
          <w:headerReference w:type="first" r:id="rId29"/>
          <w:footerReference w:type="first" r:id="rId30"/>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6986725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64455D">
        <w:rPr>
          <w:rFonts w:eastAsia="Arial"/>
          <w:color w:val="000000" w:themeColor="text1"/>
          <w:sz w:val="24"/>
          <w:szCs w:val="24"/>
        </w:rPr>
        <w:t>Charlotte Goodway-Sims</w:t>
      </w:r>
    </w:p>
    <w:p w14:paraId="3EC01EFA" w14:textId="0F1AEED0" w:rsidR="5848403C" w:rsidRDefault="5848403C" w:rsidP="5848403C">
      <w:pPr>
        <w:jc w:val="both"/>
        <w:rPr>
          <w:rFonts w:eastAsia="Arial"/>
          <w:color w:val="000000" w:themeColor="text1"/>
          <w:sz w:val="24"/>
          <w:szCs w:val="24"/>
        </w:rPr>
      </w:pPr>
    </w:p>
    <w:p w14:paraId="6058463E" w14:textId="543E239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4455D">
        <w:rPr>
          <w:rFonts w:eastAsia="Arial"/>
          <w:color w:val="000000" w:themeColor="text1"/>
          <w:sz w:val="24"/>
          <w:szCs w:val="24"/>
        </w:rPr>
        <w:t>07/03/2021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6C39F012" w14:textId="379B492C" w:rsidR="5848403C" w:rsidRDefault="5848403C" w:rsidP="5848403C"/>
    <w:sectPr w:rsidR="5848403C" w:rsidSect="00D46E32">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0A7D0B" w:rsidRDefault="000A7D0B">
      <w:r>
        <w:separator/>
      </w:r>
    </w:p>
  </w:endnote>
  <w:endnote w:type="continuationSeparator" w:id="0">
    <w:p w14:paraId="2FD44551" w14:textId="77777777" w:rsidR="000A7D0B" w:rsidRDefault="000A7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4D8FA8" w14:textId="21322FEA" w:rsidR="000A7D0B" w:rsidRDefault="0074378D" w:rsidP="0074378D">
    <w:pPr>
      <w:pStyle w:val="Footer"/>
      <w:rPr>
        <w:sz w:val="17"/>
      </w:rPr>
    </w:pPr>
    <w:bookmarkStart w:id="3" w:name="TITUS1FooterEvenPages"/>
    <w:r>
      <w:rPr>
        <w:sz w:val="17"/>
      </w:rPr>
      <w:t> </w:t>
    </w:r>
  </w:p>
  <w:bookmarkEnd w:id="3"/>
  <w:p w14:paraId="162A4869" w14:textId="6312C954" w:rsidR="000A7D0B" w:rsidRDefault="000A7D0B" w:rsidP="00D46E32">
    <w:pPr>
      <w:pStyle w:val="Footer"/>
      <w:jc w:val="right"/>
    </w:pPr>
    <w:r>
      <w:fldChar w:fldCharType="begin"/>
    </w:r>
    <w:r>
      <w:instrText xml:space="preserve"> PAGE   \* MERGEFORMAT </w:instrText>
    </w:r>
    <w:r>
      <w:fldChar w:fldCharType="separate"/>
    </w:r>
    <w:r w:rsidR="0074378D">
      <w:rPr>
        <w:noProof/>
      </w:rPr>
      <w:t>2</w:t>
    </w:r>
    <w:r>
      <w:rPr>
        <w:noProof/>
      </w:rPr>
      <w:fldChar w:fldCharType="end"/>
    </w:r>
  </w:p>
  <w:p w14:paraId="6F28AD6C" w14:textId="77777777" w:rsidR="000A7D0B" w:rsidRPr="00BB5EAA" w:rsidRDefault="000A7D0B" w:rsidP="00D46E32">
    <w:pPr>
      <w:pStyle w:val="Footer"/>
      <w:ind w:right="360"/>
      <w:jc w:val="center"/>
    </w:pPr>
  </w:p>
  <w:p w14:paraId="55D66368" w14:textId="77777777" w:rsidR="000A7D0B" w:rsidRDefault="000A7D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8ED91" w14:textId="065668FF" w:rsidR="000A7D0B" w:rsidRDefault="0074378D" w:rsidP="0074378D">
    <w:pPr>
      <w:pStyle w:val="Footer"/>
      <w:rPr>
        <w:sz w:val="17"/>
      </w:rPr>
    </w:pPr>
    <w:bookmarkStart w:id="4" w:name="TITUS1FooterPrimary"/>
    <w:r>
      <w:rPr>
        <w:sz w:val="17"/>
      </w:rPr>
      <w:t> </w:t>
    </w:r>
  </w:p>
  <w:bookmarkEnd w:id="4"/>
  <w:p w14:paraId="50521BFA" w14:textId="1BD4E7C7" w:rsidR="000A7D0B" w:rsidRDefault="000A7D0B">
    <w:pPr>
      <w:pStyle w:val="Footer"/>
      <w:jc w:val="right"/>
    </w:pPr>
    <w:r>
      <w:fldChar w:fldCharType="begin"/>
    </w:r>
    <w:r>
      <w:instrText xml:space="preserve"> PAGE   \* MERGEFORMAT </w:instrText>
    </w:r>
    <w:r>
      <w:fldChar w:fldCharType="separate"/>
    </w:r>
    <w:r w:rsidR="0074378D">
      <w:rPr>
        <w:noProof/>
      </w:rPr>
      <w:t>7</w:t>
    </w:r>
    <w:r>
      <w:rPr>
        <w:noProof/>
      </w:rPr>
      <w:fldChar w:fldCharType="end"/>
    </w:r>
  </w:p>
  <w:p w14:paraId="790812FF" w14:textId="77777777" w:rsidR="000A7D0B" w:rsidRPr="00BB5EAA" w:rsidRDefault="000A7D0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32484" w14:textId="24445A59" w:rsidR="000A7D0B" w:rsidRDefault="0074378D" w:rsidP="0074378D">
    <w:pPr>
      <w:pStyle w:val="Footer"/>
      <w:rPr>
        <w:sz w:val="17"/>
      </w:rPr>
    </w:pPr>
    <w:bookmarkStart w:id="6" w:name="TITUS1FooterFirstPage"/>
    <w:r>
      <w:rPr>
        <w:sz w:val="17"/>
      </w:rPr>
      <w:t> </w:t>
    </w:r>
  </w:p>
  <w:bookmarkEnd w:id="6"/>
  <w:p w14:paraId="15D20F52" w14:textId="327AE2AC" w:rsidR="000A7D0B" w:rsidRDefault="000A7D0B" w:rsidP="00D46E32">
    <w:pPr>
      <w:pStyle w:val="Footer"/>
      <w:jc w:val="right"/>
    </w:pPr>
    <w:r>
      <w:fldChar w:fldCharType="begin"/>
    </w:r>
    <w:r>
      <w:instrText xml:space="preserve"> PAGE   \* MERGEFORMAT </w:instrText>
    </w:r>
    <w:r>
      <w:fldChar w:fldCharType="separate"/>
    </w:r>
    <w:r w:rsidR="0074378D">
      <w:rPr>
        <w:noProof/>
      </w:rPr>
      <w:t>1</w:t>
    </w:r>
    <w:r>
      <w:rPr>
        <w:noProof/>
      </w:rPr>
      <w:fldChar w:fldCharType="end"/>
    </w:r>
  </w:p>
  <w:p w14:paraId="36A27330" w14:textId="77777777" w:rsidR="000A7D0B" w:rsidRPr="00BB5EAA" w:rsidRDefault="000A7D0B" w:rsidP="00D46E32">
    <w:pPr>
      <w:pStyle w:val="Footer"/>
      <w:ind w:right="360"/>
      <w:jc w:val="center"/>
    </w:pPr>
  </w:p>
  <w:p w14:paraId="6B6DF666" w14:textId="77777777" w:rsidR="000A7D0B" w:rsidRDefault="000A7D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E1469" w14:textId="6C68753A" w:rsidR="000A7D0B" w:rsidRDefault="0074378D" w:rsidP="0074378D">
    <w:pPr>
      <w:pStyle w:val="Footer"/>
      <w:rPr>
        <w:sz w:val="17"/>
      </w:rPr>
    </w:pPr>
    <w:bookmarkStart w:id="9" w:name="TITUS2FooterEvenPages"/>
    <w:r>
      <w:rPr>
        <w:sz w:val="17"/>
      </w:rPr>
      <w:t> </w:t>
    </w:r>
  </w:p>
  <w:bookmarkEnd w:id="9"/>
  <w:p w14:paraId="2C2AD12E" w14:textId="77777777" w:rsidR="000A7D0B" w:rsidRDefault="000A7D0B" w:rsidP="00D46E32">
    <w:pPr>
      <w:pStyle w:val="Footer"/>
      <w:jc w:val="right"/>
    </w:pPr>
  </w:p>
  <w:p w14:paraId="6D91F94D" w14:textId="6D66F768" w:rsidR="000A7D0B" w:rsidRDefault="000A7D0B" w:rsidP="00D46E32">
    <w:pPr>
      <w:pStyle w:val="Footer"/>
      <w:jc w:val="right"/>
    </w:pPr>
    <w:r>
      <w:fldChar w:fldCharType="begin"/>
    </w:r>
    <w:r>
      <w:instrText xml:space="preserve"> PAGE   \* MERGEFORMAT </w:instrText>
    </w:r>
    <w:r>
      <w:fldChar w:fldCharType="separate"/>
    </w:r>
    <w:r w:rsidR="0074378D">
      <w:rPr>
        <w:noProof/>
      </w:rPr>
      <w:t>20</w:t>
    </w:r>
    <w:r>
      <w:rPr>
        <w:noProof/>
      </w:rPr>
      <w:fldChar w:fldCharType="end"/>
    </w:r>
  </w:p>
  <w:p w14:paraId="1415F42A" w14:textId="77777777" w:rsidR="000A7D0B" w:rsidRPr="00BB5EAA" w:rsidRDefault="000A7D0B" w:rsidP="00D46E32">
    <w:pPr>
      <w:pStyle w:val="Footer"/>
      <w:ind w:right="360"/>
      <w:jc w:val="center"/>
    </w:pPr>
  </w:p>
  <w:p w14:paraId="2944A608" w14:textId="77777777" w:rsidR="000A7D0B" w:rsidRDefault="000A7D0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950E6" w14:textId="3404054F" w:rsidR="000A7D0B" w:rsidRDefault="0074378D" w:rsidP="0074378D">
    <w:pPr>
      <w:pStyle w:val="Footer"/>
      <w:rPr>
        <w:sz w:val="17"/>
      </w:rPr>
    </w:pPr>
    <w:bookmarkStart w:id="10" w:name="TITUS2FooterPrimary"/>
    <w:r>
      <w:rPr>
        <w:sz w:val="17"/>
      </w:rPr>
      <w:t> </w:t>
    </w:r>
  </w:p>
  <w:bookmarkEnd w:id="10"/>
  <w:p w14:paraId="51AC3616" w14:textId="77777777" w:rsidR="000A7D0B" w:rsidRDefault="000A7D0B">
    <w:pPr>
      <w:pStyle w:val="Footer"/>
      <w:jc w:val="right"/>
    </w:pPr>
  </w:p>
  <w:p w14:paraId="72313CC0" w14:textId="7F7815AE" w:rsidR="000A7D0B" w:rsidRDefault="000A7D0B">
    <w:pPr>
      <w:pStyle w:val="Footer"/>
      <w:jc w:val="right"/>
    </w:pPr>
    <w:r>
      <w:fldChar w:fldCharType="begin"/>
    </w:r>
    <w:r>
      <w:instrText xml:space="preserve"> PAGE   \* MERGEFORMAT </w:instrText>
    </w:r>
    <w:r>
      <w:fldChar w:fldCharType="separate"/>
    </w:r>
    <w:r w:rsidR="0074378D">
      <w:rPr>
        <w:noProof/>
      </w:rPr>
      <w:t>21</w:t>
    </w:r>
    <w:r>
      <w:rPr>
        <w:noProof/>
      </w:rPr>
      <w:fldChar w:fldCharType="end"/>
    </w:r>
  </w:p>
  <w:p w14:paraId="65F4909A" w14:textId="77777777" w:rsidR="000A7D0B" w:rsidRPr="00BB5EAA" w:rsidRDefault="000A7D0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52D10" w14:textId="2AA4BB5A" w:rsidR="000A7D0B" w:rsidRDefault="0074378D" w:rsidP="0074378D">
    <w:pPr>
      <w:pStyle w:val="Footer"/>
      <w:rPr>
        <w:sz w:val="17"/>
      </w:rPr>
    </w:pPr>
    <w:bookmarkStart w:id="12" w:name="TITUS2FooterFirstPage"/>
    <w:r>
      <w:rPr>
        <w:sz w:val="17"/>
      </w:rPr>
      <w:t> </w:t>
    </w:r>
  </w:p>
  <w:bookmarkEnd w:id="12"/>
  <w:p w14:paraId="25B5B6FD" w14:textId="77777777" w:rsidR="000A7D0B" w:rsidRDefault="000A7D0B" w:rsidP="00D46E32">
    <w:pPr>
      <w:pStyle w:val="Footer"/>
      <w:jc w:val="right"/>
    </w:pPr>
  </w:p>
  <w:p w14:paraId="4EEE9055" w14:textId="60307CDE" w:rsidR="000A7D0B" w:rsidRDefault="000A7D0B" w:rsidP="00D46E32">
    <w:pPr>
      <w:pStyle w:val="Footer"/>
      <w:jc w:val="right"/>
    </w:pPr>
    <w:r>
      <w:fldChar w:fldCharType="begin"/>
    </w:r>
    <w:r>
      <w:instrText xml:space="preserve"> PAGE   \* MERGEFORMAT </w:instrText>
    </w:r>
    <w:r>
      <w:fldChar w:fldCharType="separate"/>
    </w:r>
    <w:r w:rsidR="0074378D">
      <w:rPr>
        <w:noProof/>
      </w:rPr>
      <w:t>8</w:t>
    </w:r>
    <w:r>
      <w:rPr>
        <w:noProof/>
      </w:rPr>
      <w:fldChar w:fldCharType="end"/>
    </w:r>
  </w:p>
  <w:p w14:paraId="3123FEB2" w14:textId="77777777" w:rsidR="000A7D0B" w:rsidRPr="00BB5EAA" w:rsidRDefault="000A7D0B" w:rsidP="00D46E32">
    <w:pPr>
      <w:pStyle w:val="Footer"/>
      <w:ind w:right="360"/>
      <w:jc w:val="center"/>
    </w:pPr>
  </w:p>
  <w:p w14:paraId="2ADF85D2" w14:textId="77777777" w:rsidR="000A7D0B" w:rsidRDefault="000A7D0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656F0" w14:textId="7724CD6F" w:rsidR="000A7D0B" w:rsidRDefault="0074378D" w:rsidP="0074378D">
    <w:pPr>
      <w:pStyle w:val="Footer"/>
      <w:rPr>
        <w:sz w:val="17"/>
      </w:rPr>
    </w:pPr>
    <w:bookmarkStart w:id="15" w:name="TITUS3FooterEvenPages"/>
    <w:r>
      <w:rPr>
        <w:sz w:val="17"/>
      </w:rPr>
      <w:t> </w:t>
    </w:r>
  </w:p>
  <w:bookmarkEnd w:id="15"/>
  <w:p w14:paraId="46772445" w14:textId="77777777" w:rsidR="000A7D0B" w:rsidRDefault="000A7D0B" w:rsidP="00D46E32">
    <w:pPr>
      <w:pStyle w:val="Footer"/>
      <w:jc w:val="right"/>
    </w:pPr>
  </w:p>
  <w:p w14:paraId="6E021312" w14:textId="62EE573B" w:rsidR="000A7D0B" w:rsidRDefault="000A7D0B" w:rsidP="00D46E32">
    <w:pPr>
      <w:pStyle w:val="Footer"/>
      <w:jc w:val="right"/>
    </w:pPr>
    <w:r>
      <w:fldChar w:fldCharType="begin"/>
    </w:r>
    <w:r>
      <w:instrText xml:space="preserve"> PAGE   \* MERGEFORMAT </w:instrText>
    </w:r>
    <w:r>
      <w:fldChar w:fldCharType="separate"/>
    </w:r>
    <w:r w:rsidR="0074378D">
      <w:rPr>
        <w:noProof/>
      </w:rPr>
      <w:t>24</w:t>
    </w:r>
    <w:r>
      <w:rPr>
        <w:noProof/>
      </w:rPr>
      <w:fldChar w:fldCharType="end"/>
    </w:r>
  </w:p>
  <w:p w14:paraId="60A28A3B" w14:textId="77777777" w:rsidR="000A7D0B" w:rsidRPr="00BB5EAA" w:rsidRDefault="000A7D0B" w:rsidP="00D46E32">
    <w:pPr>
      <w:pStyle w:val="Footer"/>
      <w:ind w:right="360"/>
      <w:jc w:val="center"/>
    </w:pPr>
  </w:p>
  <w:p w14:paraId="569DDA77" w14:textId="77777777" w:rsidR="000A7D0B" w:rsidRDefault="000A7D0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734FD" w14:textId="2D7ABBCC" w:rsidR="000A7D0B" w:rsidRDefault="0074378D" w:rsidP="0074378D">
    <w:pPr>
      <w:pStyle w:val="Footer"/>
      <w:rPr>
        <w:sz w:val="17"/>
      </w:rPr>
    </w:pPr>
    <w:bookmarkStart w:id="16" w:name="TITUS3FooterPrimary"/>
    <w:r>
      <w:rPr>
        <w:sz w:val="17"/>
      </w:rPr>
      <w:t> </w:t>
    </w:r>
  </w:p>
  <w:bookmarkEnd w:id="16"/>
  <w:p w14:paraId="7A664A5C" w14:textId="77777777" w:rsidR="000A7D0B" w:rsidRDefault="000A7D0B">
    <w:pPr>
      <w:pStyle w:val="Footer"/>
      <w:jc w:val="right"/>
    </w:pPr>
  </w:p>
  <w:p w14:paraId="29C8A4C1" w14:textId="6B28716F" w:rsidR="000A7D0B" w:rsidRDefault="000A7D0B">
    <w:pPr>
      <w:pStyle w:val="Footer"/>
      <w:jc w:val="right"/>
    </w:pPr>
    <w:r>
      <w:fldChar w:fldCharType="begin"/>
    </w:r>
    <w:r>
      <w:instrText xml:space="preserve"> PAGE   \* MERGEFORMAT </w:instrText>
    </w:r>
    <w:r>
      <w:fldChar w:fldCharType="separate"/>
    </w:r>
    <w:r w:rsidR="0074378D">
      <w:rPr>
        <w:noProof/>
      </w:rPr>
      <w:t>23</w:t>
    </w:r>
    <w:r>
      <w:rPr>
        <w:noProof/>
      </w:rPr>
      <w:fldChar w:fldCharType="end"/>
    </w:r>
  </w:p>
  <w:p w14:paraId="11654799" w14:textId="77777777" w:rsidR="000A7D0B" w:rsidRPr="00BB5EAA" w:rsidRDefault="000A7D0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073FA" w14:textId="638D0197" w:rsidR="000A7D0B" w:rsidRDefault="0074378D" w:rsidP="0074378D">
    <w:pPr>
      <w:pStyle w:val="Footer"/>
      <w:rPr>
        <w:sz w:val="17"/>
      </w:rPr>
    </w:pPr>
    <w:bookmarkStart w:id="18" w:name="TITUS3FooterFirstPage"/>
    <w:r>
      <w:rPr>
        <w:sz w:val="17"/>
      </w:rPr>
      <w:t> </w:t>
    </w:r>
  </w:p>
  <w:bookmarkEnd w:id="18"/>
  <w:p w14:paraId="068B2499" w14:textId="77777777" w:rsidR="000A7D0B" w:rsidRDefault="000A7D0B" w:rsidP="00D46E32">
    <w:pPr>
      <w:pStyle w:val="Footer"/>
      <w:jc w:val="right"/>
    </w:pPr>
  </w:p>
  <w:p w14:paraId="778DFB1C" w14:textId="19EE4B26" w:rsidR="000A7D0B" w:rsidRDefault="000A7D0B" w:rsidP="00D46E32">
    <w:pPr>
      <w:pStyle w:val="Footer"/>
      <w:jc w:val="right"/>
    </w:pPr>
    <w:r>
      <w:fldChar w:fldCharType="begin"/>
    </w:r>
    <w:r>
      <w:instrText xml:space="preserve"> PAGE   \* MERGEFORMAT </w:instrText>
    </w:r>
    <w:r>
      <w:fldChar w:fldCharType="separate"/>
    </w:r>
    <w:r w:rsidR="0074378D">
      <w:rPr>
        <w:noProof/>
      </w:rPr>
      <w:t>22</w:t>
    </w:r>
    <w:r>
      <w:rPr>
        <w:noProof/>
      </w:rPr>
      <w:fldChar w:fldCharType="end"/>
    </w:r>
  </w:p>
  <w:p w14:paraId="1CE75158" w14:textId="77777777" w:rsidR="000A7D0B" w:rsidRPr="00BB5EAA" w:rsidRDefault="000A7D0B" w:rsidP="00D46E32">
    <w:pPr>
      <w:pStyle w:val="Footer"/>
      <w:ind w:right="360"/>
      <w:jc w:val="center"/>
    </w:pPr>
  </w:p>
  <w:p w14:paraId="6FBB2BCC" w14:textId="77777777" w:rsidR="000A7D0B" w:rsidRDefault="000A7D0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CD4D8" w14:textId="053767A9" w:rsidR="000A7D0B" w:rsidRDefault="0074378D" w:rsidP="0074378D">
    <w:pPr>
      <w:pStyle w:val="Footer"/>
      <w:rPr>
        <w:sz w:val="17"/>
      </w:rPr>
    </w:pPr>
    <w:bookmarkStart w:id="21" w:name="TITUS4FooterEvenPages"/>
    <w:r>
      <w:rPr>
        <w:sz w:val="17"/>
      </w:rPr>
      <w:t> </w:t>
    </w:r>
  </w:p>
  <w:bookmarkEnd w:id="21"/>
  <w:p w14:paraId="362B59F8" w14:textId="77777777" w:rsidR="000A7D0B" w:rsidRDefault="000A7D0B" w:rsidP="00D46E32">
    <w:pPr>
      <w:pStyle w:val="Footer"/>
      <w:jc w:val="right"/>
    </w:pPr>
  </w:p>
  <w:p w14:paraId="4B9E6837" w14:textId="77777777" w:rsidR="000A7D0B" w:rsidRDefault="000A7D0B" w:rsidP="00D46E32">
    <w:pPr>
      <w:pStyle w:val="Footer"/>
      <w:jc w:val="right"/>
    </w:pPr>
    <w:r>
      <w:fldChar w:fldCharType="begin"/>
    </w:r>
    <w:r>
      <w:instrText xml:space="preserve"> PAGE   \* MERGEFORMAT </w:instrText>
    </w:r>
    <w:r>
      <w:fldChar w:fldCharType="separate"/>
    </w:r>
    <w:r>
      <w:rPr>
        <w:noProof/>
      </w:rPr>
      <w:t>8</w:t>
    </w:r>
    <w:r>
      <w:rPr>
        <w:noProof/>
      </w:rPr>
      <w:fldChar w:fldCharType="end"/>
    </w:r>
  </w:p>
  <w:p w14:paraId="1710E8AA" w14:textId="77777777" w:rsidR="000A7D0B" w:rsidRPr="00BB5EAA" w:rsidRDefault="000A7D0B" w:rsidP="00D46E32">
    <w:pPr>
      <w:pStyle w:val="Footer"/>
      <w:ind w:right="360"/>
      <w:jc w:val="center"/>
    </w:pPr>
  </w:p>
  <w:p w14:paraId="7EBA7DB2" w14:textId="77777777" w:rsidR="000A7D0B" w:rsidRDefault="000A7D0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AC6B2" w14:textId="7712ED58" w:rsidR="000A7D0B" w:rsidRDefault="0074378D" w:rsidP="0074378D">
    <w:pPr>
      <w:pStyle w:val="Footer"/>
      <w:rPr>
        <w:sz w:val="17"/>
      </w:rPr>
    </w:pPr>
    <w:bookmarkStart w:id="22" w:name="TITUS4FooterPrimary"/>
    <w:r>
      <w:rPr>
        <w:sz w:val="17"/>
      </w:rPr>
      <w:t> </w:t>
    </w:r>
  </w:p>
  <w:bookmarkEnd w:id="22"/>
  <w:p w14:paraId="07165DA8" w14:textId="77777777" w:rsidR="000A7D0B" w:rsidRDefault="000A7D0B">
    <w:pPr>
      <w:pStyle w:val="Footer"/>
      <w:jc w:val="right"/>
    </w:pPr>
  </w:p>
  <w:p w14:paraId="0F455D0E" w14:textId="77777777" w:rsidR="000A7D0B" w:rsidRDefault="000A7D0B">
    <w:pPr>
      <w:pStyle w:val="Footer"/>
      <w:jc w:val="right"/>
    </w:pPr>
    <w:r>
      <w:fldChar w:fldCharType="begin"/>
    </w:r>
    <w:r>
      <w:instrText xml:space="preserve"> PAGE   \* MERGEFORMAT </w:instrText>
    </w:r>
    <w:r>
      <w:fldChar w:fldCharType="separate"/>
    </w:r>
    <w:r>
      <w:rPr>
        <w:noProof/>
      </w:rPr>
      <w:t>9</w:t>
    </w:r>
    <w:r>
      <w:rPr>
        <w:noProof/>
      </w:rPr>
      <w:fldChar w:fldCharType="end"/>
    </w:r>
  </w:p>
  <w:p w14:paraId="730F9303" w14:textId="77777777" w:rsidR="000A7D0B" w:rsidRPr="00BB5EAA" w:rsidRDefault="000A7D0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3BF3F" w14:textId="26430DA6" w:rsidR="000A7D0B" w:rsidRDefault="0074378D" w:rsidP="0074378D">
    <w:pPr>
      <w:pStyle w:val="Footer"/>
      <w:rPr>
        <w:sz w:val="17"/>
      </w:rPr>
    </w:pPr>
    <w:bookmarkStart w:id="24" w:name="TITUS4FooterFirstPage"/>
    <w:r>
      <w:rPr>
        <w:sz w:val="17"/>
      </w:rPr>
      <w:t> </w:t>
    </w:r>
  </w:p>
  <w:bookmarkEnd w:id="24"/>
  <w:p w14:paraId="594951F6" w14:textId="77777777" w:rsidR="000A7D0B" w:rsidRDefault="000A7D0B" w:rsidP="00D46E32">
    <w:pPr>
      <w:pStyle w:val="Footer"/>
      <w:jc w:val="right"/>
    </w:pPr>
  </w:p>
  <w:p w14:paraId="5E2C87BC" w14:textId="6213559A" w:rsidR="000A7D0B" w:rsidRDefault="000A7D0B" w:rsidP="00D46E32">
    <w:pPr>
      <w:pStyle w:val="Footer"/>
      <w:jc w:val="right"/>
    </w:pPr>
    <w:r>
      <w:fldChar w:fldCharType="begin"/>
    </w:r>
    <w:r>
      <w:instrText xml:space="preserve"> PAGE   \* MERGEFORMAT </w:instrText>
    </w:r>
    <w:r>
      <w:fldChar w:fldCharType="separate"/>
    </w:r>
    <w:r w:rsidR="0074378D">
      <w:rPr>
        <w:noProof/>
      </w:rPr>
      <w:t>24</w:t>
    </w:r>
    <w:r>
      <w:rPr>
        <w:noProof/>
      </w:rPr>
      <w:fldChar w:fldCharType="end"/>
    </w:r>
  </w:p>
  <w:p w14:paraId="6D602BCF" w14:textId="77777777" w:rsidR="000A7D0B" w:rsidRPr="00BB5EAA" w:rsidRDefault="000A7D0B" w:rsidP="00D46E32">
    <w:pPr>
      <w:pStyle w:val="Footer"/>
      <w:ind w:right="360"/>
      <w:jc w:val="center"/>
    </w:pPr>
  </w:p>
  <w:p w14:paraId="6AEA3B66" w14:textId="77777777" w:rsidR="000A7D0B" w:rsidRDefault="000A7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0A7D0B" w:rsidRDefault="000A7D0B">
      <w:r>
        <w:separator/>
      </w:r>
    </w:p>
  </w:footnote>
  <w:footnote w:type="continuationSeparator" w:id="0">
    <w:p w14:paraId="458DDD75" w14:textId="77777777" w:rsidR="000A7D0B" w:rsidRDefault="000A7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8A6C8" w14:textId="2308179D" w:rsidR="000A7D0B" w:rsidRDefault="0074378D" w:rsidP="0074378D">
    <w:pPr>
      <w:pStyle w:val="Header"/>
      <w:rPr>
        <w:sz w:val="17"/>
      </w:rPr>
    </w:pPr>
    <w:bookmarkStart w:id="1" w:name="TITUS1HeaderEvenPages"/>
    <w:r>
      <w:rPr>
        <w:sz w:val="17"/>
      </w:rPr>
      <w:t> </w:t>
    </w:r>
  </w:p>
  <w:bookmarkEnd w:id="1"/>
  <w:p w14:paraId="7038E69E" w14:textId="77777777" w:rsidR="000A7D0B" w:rsidRDefault="000A7D0B" w:rsidP="00DE010D">
    <w:pPr>
      <w:pStyle w:val="Header"/>
    </w:pPr>
  </w:p>
  <w:p w14:paraId="519C1141" w14:textId="77777777" w:rsidR="000A7D0B" w:rsidRDefault="000A7D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97683" w14:textId="154B750B" w:rsidR="000A7D0B" w:rsidRDefault="0074378D" w:rsidP="0074378D">
    <w:pPr>
      <w:pStyle w:val="Header"/>
      <w:rPr>
        <w:sz w:val="17"/>
      </w:rPr>
    </w:pPr>
    <w:bookmarkStart w:id="2" w:name="TITUS1HeaderPrimary"/>
    <w:r>
      <w:rPr>
        <w:sz w:val="17"/>
      </w:rPr>
      <w:t> </w:t>
    </w:r>
  </w:p>
  <w:bookmarkEnd w:id="2"/>
  <w:p w14:paraId="37CFB2A9" w14:textId="77777777" w:rsidR="000A7D0B" w:rsidRDefault="000A7D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10988" w14:textId="742CBDB9" w:rsidR="000A7D0B" w:rsidRDefault="0074378D" w:rsidP="0074378D">
    <w:pPr>
      <w:pStyle w:val="Header"/>
      <w:rPr>
        <w:sz w:val="17"/>
      </w:rPr>
    </w:pPr>
    <w:bookmarkStart w:id="5" w:name="TITUS1HeaderFirstPage"/>
    <w:r>
      <w:rPr>
        <w:sz w:val="17"/>
      </w:rPr>
      <w:t> </w:t>
    </w:r>
  </w:p>
  <w:bookmarkEnd w:id="5"/>
  <w:p w14:paraId="53D74F94" w14:textId="77777777" w:rsidR="000A7D0B" w:rsidRDefault="000A7D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D8A67" w14:textId="74CC2EF3" w:rsidR="000A7D0B" w:rsidRDefault="0074378D" w:rsidP="0074378D">
    <w:pPr>
      <w:pStyle w:val="Header"/>
      <w:rPr>
        <w:sz w:val="17"/>
      </w:rPr>
    </w:pPr>
    <w:bookmarkStart w:id="7" w:name="TITUS2HeaderEvenPages"/>
    <w:r>
      <w:rPr>
        <w:sz w:val="17"/>
      </w:rPr>
      <w:t> </w:t>
    </w:r>
  </w:p>
  <w:bookmarkEnd w:id="7"/>
  <w:p w14:paraId="0A889478" w14:textId="77777777" w:rsidR="000A7D0B" w:rsidRDefault="000A7D0B" w:rsidP="00D46E32">
    <w:pPr>
      <w:pStyle w:val="Header"/>
    </w:pPr>
  </w:p>
  <w:p w14:paraId="05937692" w14:textId="77777777" w:rsidR="000A7D0B" w:rsidRDefault="000A7D0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4D421" w14:textId="4C90C1EF" w:rsidR="000A7D0B" w:rsidRDefault="0074378D" w:rsidP="0074378D">
    <w:pPr>
      <w:pStyle w:val="Header"/>
      <w:rPr>
        <w:sz w:val="17"/>
      </w:rPr>
    </w:pPr>
    <w:bookmarkStart w:id="8" w:name="TITUS2HeaderPrimary"/>
    <w:r>
      <w:rPr>
        <w:sz w:val="17"/>
      </w:rPr>
      <w:t> </w:t>
    </w:r>
  </w:p>
  <w:bookmarkEnd w:id="8"/>
  <w:p w14:paraId="41F50D4F" w14:textId="77777777" w:rsidR="000A7D0B" w:rsidRDefault="000A7D0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27788" w14:textId="693B3805" w:rsidR="000A7D0B" w:rsidRDefault="0074378D" w:rsidP="0074378D">
    <w:pPr>
      <w:pStyle w:val="Header"/>
      <w:rPr>
        <w:sz w:val="17"/>
      </w:rPr>
    </w:pPr>
    <w:bookmarkStart w:id="11" w:name="TITUS2HeaderFirstPage"/>
    <w:r>
      <w:rPr>
        <w:sz w:val="17"/>
      </w:rPr>
      <w:t> </w:t>
    </w:r>
  </w:p>
  <w:bookmarkEnd w:id="11"/>
  <w:p w14:paraId="05DDC03A" w14:textId="77777777" w:rsidR="000A7D0B" w:rsidRDefault="000A7D0B" w:rsidP="00D46E32">
    <w:pPr>
      <w:pStyle w:val="Header"/>
    </w:pPr>
  </w:p>
  <w:p w14:paraId="539DDA96" w14:textId="77777777" w:rsidR="000A7D0B" w:rsidRDefault="000A7D0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A4A68" w14:textId="473AA9D3" w:rsidR="000A7D0B" w:rsidRDefault="0074378D" w:rsidP="0074378D">
    <w:pPr>
      <w:pStyle w:val="Header"/>
      <w:rPr>
        <w:sz w:val="17"/>
      </w:rPr>
    </w:pPr>
    <w:bookmarkStart w:id="13" w:name="TITUS3HeaderEvenPages"/>
    <w:r>
      <w:rPr>
        <w:sz w:val="17"/>
      </w:rPr>
      <w:t> </w:t>
    </w:r>
  </w:p>
  <w:bookmarkEnd w:id="13"/>
  <w:p w14:paraId="5F4BCA4E" w14:textId="77777777" w:rsidR="000A7D0B" w:rsidRDefault="000A7D0B" w:rsidP="00D46E32">
    <w:pPr>
      <w:pStyle w:val="Header"/>
    </w:pPr>
  </w:p>
  <w:p w14:paraId="31257058" w14:textId="77777777" w:rsidR="000A7D0B" w:rsidRDefault="000A7D0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AF4F5" w14:textId="4E407826" w:rsidR="000A7D0B" w:rsidRDefault="0074378D" w:rsidP="0074378D">
    <w:pPr>
      <w:pStyle w:val="Header"/>
      <w:rPr>
        <w:sz w:val="17"/>
      </w:rPr>
    </w:pPr>
    <w:bookmarkStart w:id="14" w:name="TITUS3HeaderPrimary"/>
    <w:r>
      <w:rPr>
        <w:sz w:val="17"/>
      </w:rPr>
      <w:t> </w:t>
    </w:r>
  </w:p>
  <w:bookmarkEnd w:id="14"/>
  <w:p w14:paraId="6C49FDC9" w14:textId="77777777" w:rsidR="000A7D0B" w:rsidRDefault="000A7D0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A415" w14:textId="404E5AFE" w:rsidR="000A7D0B" w:rsidRDefault="0074378D" w:rsidP="0074378D">
    <w:pPr>
      <w:pStyle w:val="Header"/>
      <w:rPr>
        <w:sz w:val="17"/>
      </w:rPr>
    </w:pPr>
    <w:bookmarkStart w:id="17" w:name="TITUS3HeaderFirstPage"/>
    <w:r>
      <w:rPr>
        <w:sz w:val="17"/>
      </w:rPr>
      <w:t> </w:t>
    </w:r>
  </w:p>
  <w:bookmarkEnd w:id="17"/>
  <w:p w14:paraId="13FACD93" w14:textId="77777777" w:rsidR="000A7D0B" w:rsidRDefault="000A7D0B" w:rsidP="00D46E32">
    <w:pPr>
      <w:pStyle w:val="Header"/>
    </w:pPr>
  </w:p>
  <w:p w14:paraId="30049966" w14:textId="77777777" w:rsidR="000A7D0B" w:rsidRDefault="000A7D0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8F1FE" w14:textId="13514AC3" w:rsidR="000A7D0B" w:rsidRDefault="0074378D" w:rsidP="0074378D">
    <w:pPr>
      <w:pStyle w:val="Header"/>
      <w:rPr>
        <w:sz w:val="17"/>
      </w:rPr>
    </w:pPr>
    <w:bookmarkStart w:id="19" w:name="TITUS4HeaderEvenPages"/>
    <w:r>
      <w:rPr>
        <w:sz w:val="17"/>
      </w:rPr>
      <w:t> </w:t>
    </w:r>
  </w:p>
  <w:bookmarkEnd w:id="19"/>
  <w:p w14:paraId="4FA0A2B4" w14:textId="77777777" w:rsidR="000A7D0B" w:rsidRDefault="000A7D0B" w:rsidP="00D46E32">
    <w:pPr>
      <w:pStyle w:val="Header"/>
    </w:pPr>
  </w:p>
  <w:p w14:paraId="7FE84B0D" w14:textId="77777777" w:rsidR="000A7D0B" w:rsidRDefault="000A7D0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EF13F" w14:textId="3CE74877" w:rsidR="000A7D0B" w:rsidRDefault="0074378D" w:rsidP="0074378D">
    <w:pPr>
      <w:pStyle w:val="Header"/>
      <w:rPr>
        <w:sz w:val="17"/>
      </w:rPr>
    </w:pPr>
    <w:bookmarkStart w:id="20" w:name="TITUS4HeaderPrimary"/>
    <w:r>
      <w:rPr>
        <w:sz w:val="17"/>
      </w:rPr>
      <w:t> </w:t>
    </w:r>
  </w:p>
  <w:bookmarkEnd w:id="20"/>
  <w:p w14:paraId="1E3EE3EE" w14:textId="77777777" w:rsidR="000A7D0B" w:rsidRDefault="000A7D0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5AFA5" w14:textId="4EE3FF5B" w:rsidR="000A7D0B" w:rsidRDefault="0074378D" w:rsidP="0074378D">
    <w:pPr>
      <w:pStyle w:val="Header"/>
      <w:rPr>
        <w:sz w:val="17"/>
      </w:rPr>
    </w:pPr>
    <w:bookmarkStart w:id="23" w:name="TITUS4HeaderFirstPage"/>
    <w:r>
      <w:rPr>
        <w:sz w:val="17"/>
      </w:rPr>
      <w:t> </w:t>
    </w:r>
  </w:p>
  <w:bookmarkEnd w:id="23"/>
  <w:p w14:paraId="5C7EA345" w14:textId="77777777" w:rsidR="000A7D0B" w:rsidRDefault="000A7D0B" w:rsidP="00D46E32">
    <w:pPr>
      <w:pStyle w:val="Header"/>
    </w:pPr>
  </w:p>
  <w:p w14:paraId="2651D387" w14:textId="77777777" w:rsidR="000A7D0B" w:rsidRDefault="000A7D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245AA8"/>
    <w:multiLevelType w:val="multilevel"/>
    <w:tmpl w:val="48CE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5AA2355E"/>
    <w:multiLevelType w:val="hybridMultilevel"/>
    <w:tmpl w:val="2064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5586E"/>
    <w:multiLevelType w:val="hybridMultilevel"/>
    <w:tmpl w:val="5860C0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2"/>
  </w:num>
  <w:num w:numId="5">
    <w:abstractNumId w:val="4"/>
  </w:num>
  <w:num w:numId="6">
    <w:abstractNumId w:val="5"/>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38F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D0B"/>
    <w:rsid w:val="000B1E96"/>
    <w:rsid w:val="000B631B"/>
    <w:rsid w:val="000C378F"/>
    <w:rsid w:val="000C6892"/>
    <w:rsid w:val="000C6FFE"/>
    <w:rsid w:val="000D0BB6"/>
    <w:rsid w:val="000D444A"/>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60F7"/>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21"/>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17D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745B"/>
    <w:rsid w:val="004B600B"/>
    <w:rsid w:val="004B6822"/>
    <w:rsid w:val="004B69F6"/>
    <w:rsid w:val="004C2D3A"/>
    <w:rsid w:val="004D03C4"/>
    <w:rsid w:val="004D0BF1"/>
    <w:rsid w:val="004D24D2"/>
    <w:rsid w:val="004D35A4"/>
    <w:rsid w:val="004D445F"/>
    <w:rsid w:val="004D6709"/>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B5C44"/>
    <w:rsid w:val="005C1567"/>
    <w:rsid w:val="005C6CE5"/>
    <w:rsid w:val="005D3F07"/>
    <w:rsid w:val="005D583E"/>
    <w:rsid w:val="005E13EA"/>
    <w:rsid w:val="005E53BD"/>
    <w:rsid w:val="005F34DB"/>
    <w:rsid w:val="00601C05"/>
    <w:rsid w:val="00606E27"/>
    <w:rsid w:val="006108C9"/>
    <w:rsid w:val="00615C7E"/>
    <w:rsid w:val="0062158D"/>
    <w:rsid w:val="00630F39"/>
    <w:rsid w:val="006326D1"/>
    <w:rsid w:val="00632E0A"/>
    <w:rsid w:val="00633165"/>
    <w:rsid w:val="00636B6C"/>
    <w:rsid w:val="00641BFC"/>
    <w:rsid w:val="0064455D"/>
    <w:rsid w:val="006447DE"/>
    <w:rsid w:val="0065276E"/>
    <w:rsid w:val="00654329"/>
    <w:rsid w:val="00654CEC"/>
    <w:rsid w:val="00655507"/>
    <w:rsid w:val="006712A7"/>
    <w:rsid w:val="006733CC"/>
    <w:rsid w:val="00674FC2"/>
    <w:rsid w:val="00677E42"/>
    <w:rsid w:val="00682334"/>
    <w:rsid w:val="00684453"/>
    <w:rsid w:val="00684B16"/>
    <w:rsid w:val="00696F65"/>
    <w:rsid w:val="006A2637"/>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78D"/>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5"/>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3E39"/>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E7764"/>
    <w:rsid w:val="008F22BD"/>
    <w:rsid w:val="009079BD"/>
    <w:rsid w:val="00912BD9"/>
    <w:rsid w:val="00920E5B"/>
    <w:rsid w:val="00926436"/>
    <w:rsid w:val="0093018C"/>
    <w:rsid w:val="00932CCA"/>
    <w:rsid w:val="009544C0"/>
    <w:rsid w:val="00954FA4"/>
    <w:rsid w:val="00956AE9"/>
    <w:rsid w:val="00964CC6"/>
    <w:rsid w:val="00980A0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18DA"/>
    <w:rsid w:val="00A470EE"/>
    <w:rsid w:val="00A4722D"/>
    <w:rsid w:val="00A47621"/>
    <w:rsid w:val="00A479CD"/>
    <w:rsid w:val="00A50CFC"/>
    <w:rsid w:val="00A54D67"/>
    <w:rsid w:val="00A55A3F"/>
    <w:rsid w:val="00A56BC4"/>
    <w:rsid w:val="00A6469E"/>
    <w:rsid w:val="00A652F6"/>
    <w:rsid w:val="00A67B75"/>
    <w:rsid w:val="00A732EA"/>
    <w:rsid w:val="00A7489E"/>
    <w:rsid w:val="00A8015F"/>
    <w:rsid w:val="00A80BD2"/>
    <w:rsid w:val="00A85039"/>
    <w:rsid w:val="00A851F7"/>
    <w:rsid w:val="00A906AA"/>
    <w:rsid w:val="00A94C5E"/>
    <w:rsid w:val="00AA241A"/>
    <w:rsid w:val="00AA252C"/>
    <w:rsid w:val="00AA666E"/>
    <w:rsid w:val="00AB5518"/>
    <w:rsid w:val="00AB5636"/>
    <w:rsid w:val="00AC01D4"/>
    <w:rsid w:val="00AC4A04"/>
    <w:rsid w:val="00AD336F"/>
    <w:rsid w:val="00AD3550"/>
    <w:rsid w:val="00AE2564"/>
    <w:rsid w:val="00AE301F"/>
    <w:rsid w:val="00AE3302"/>
    <w:rsid w:val="00AE7077"/>
    <w:rsid w:val="00AF61C2"/>
    <w:rsid w:val="00AF6CC6"/>
    <w:rsid w:val="00B0023F"/>
    <w:rsid w:val="00B011CD"/>
    <w:rsid w:val="00B0296A"/>
    <w:rsid w:val="00B12295"/>
    <w:rsid w:val="00B137BE"/>
    <w:rsid w:val="00B17FA0"/>
    <w:rsid w:val="00B24344"/>
    <w:rsid w:val="00B26769"/>
    <w:rsid w:val="00B31C91"/>
    <w:rsid w:val="00B32DB8"/>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1DA"/>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21BB"/>
    <w:rsid w:val="00C63D00"/>
    <w:rsid w:val="00C6441B"/>
    <w:rsid w:val="00C7108B"/>
    <w:rsid w:val="00C8089F"/>
    <w:rsid w:val="00C836CC"/>
    <w:rsid w:val="00C87A74"/>
    <w:rsid w:val="00C90A71"/>
    <w:rsid w:val="00C91574"/>
    <w:rsid w:val="00C91BC2"/>
    <w:rsid w:val="00C92C71"/>
    <w:rsid w:val="00C93F8F"/>
    <w:rsid w:val="00C963C7"/>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46E32"/>
    <w:rsid w:val="00D50130"/>
    <w:rsid w:val="00D5733C"/>
    <w:rsid w:val="00D6037A"/>
    <w:rsid w:val="00D607EF"/>
    <w:rsid w:val="00D60D77"/>
    <w:rsid w:val="00D60F88"/>
    <w:rsid w:val="00D625E7"/>
    <w:rsid w:val="00D646BD"/>
    <w:rsid w:val="00D70239"/>
    <w:rsid w:val="00D71011"/>
    <w:rsid w:val="00D71201"/>
    <w:rsid w:val="00D720C7"/>
    <w:rsid w:val="00D76F7D"/>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D3145"/>
    <w:rsid w:val="00DE010D"/>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0CF1"/>
    <w:rsid w:val="00F32B82"/>
    <w:rsid w:val="00F4043E"/>
    <w:rsid w:val="00F40CB5"/>
    <w:rsid w:val="00F41BBC"/>
    <w:rsid w:val="00F43B9D"/>
    <w:rsid w:val="00F444F0"/>
    <w:rsid w:val="00F46C8C"/>
    <w:rsid w:val="00F50847"/>
    <w:rsid w:val="00F53F27"/>
    <w:rsid w:val="00F546D1"/>
    <w:rsid w:val="00F6457C"/>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otnoteReference">
    <w:name w:val="footnote reference"/>
    <w:basedOn w:val="DefaultParagraphFont"/>
    <w:uiPriority w:val="99"/>
    <w:semiHidden/>
    <w:unhideWhenUsed/>
    <w:rsid w:val="00980A09"/>
    <w:rPr>
      <w:vertAlign w:val="superscript"/>
    </w:rPr>
  </w:style>
  <w:style w:type="character" w:customStyle="1" w:styleId="Heading1Char">
    <w:name w:val="Heading 1 Char"/>
    <w:basedOn w:val="DefaultParagraphFont"/>
    <w:link w:val="Heading1"/>
    <w:uiPriority w:val="9"/>
    <w:rsid w:val="006A2637"/>
    <w:rPr>
      <w:rFonts w:ascii="Arial" w:hAnsi="Arial" w:cs="Arial"/>
      <w:b/>
      <w:color w:val="000000"/>
      <w:kern w:val="28"/>
      <w:sz w:val="28"/>
      <w:lang w:eastAsia="en-GB"/>
    </w:rPr>
  </w:style>
  <w:style w:type="paragraph" w:styleId="Bibliography">
    <w:name w:val="Bibliography"/>
    <w:basedOn w:val="Normal"/>
    <w:next w:val="Normal"/>
    <w:uiPriority w:val="37"/>
    <w:unhideWhenUsed/>
    <w:rsid w:val="006A2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4457">
      <w:bodyDiv w:val="1"/>
      <w:marLeft w:val="0"/>
      <w:marRight w:val="0"/>
      <w:marTop w:val="0"/>
      <w:marBottom w:val="0"/>
      <w:divBdr>
        <w:top w:val="none" w:sz="0" w:space="0" w:color="auto"/>
        <w:left w:val="none" w:sz="0" w:space="0" w:color="auto"/>
        <w:bottom w:val="none" w:sz="0" w:space="0" w:color="auto"/>
        <w:right w:val="none" w:sz="0" w:space="0" w:color="auto"/>
      </w:divBdr>
    </w:div>
    <w:div w:id="2859634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31800794">
      <w:bodyDiv w:val="1"/>
      <w:marLeft w:val="0"/>
      <w:marRight w:val="0"/>
      <w:marTop w:val="0"/>
      <w:marBottom w:val="0"/>
      <w:divBdr>
        <w:top w:val="none" w:sz="0" w:space="0" w:color="auto"/>
        <w:left w:val="none" w:sz="0" w:space="0" w:color="auto"/>
        <w:bottom w:val="none" w:sz="0" w:space="0" w:color="auto"/>
        <w:right w:val="none" w:sz="0" w:space="0" w:color="auto"/>
      </w:divBdr>
    </w:div>
    <w:div w:id="1664042049">
      <w:bodyDiv w:val="1"/>
      <w:marLeft w:val="0"/>
      <w:marRight w:val="0"/>
      <w:marTop w:val="0"/>
      <w:marBottom w:val="0"/>
      <w:divBdr>
        <w:top w:val="none" w:sz="0" w:space="0" w:color="auto"/>
        <w:left w:val="none" w:sz="0" w:space="0" w:color="auto"/>
        <w:bottom w:val="none" w:sz="0" w:space="0" w:color="auto"/>
        <w:right w:val="none" w:sz="0" w:space="0" w:color="auto"/>
      </w:divBdr>
    </w:div>
    <w:div w:id="1684088574">
      <w:bodyDiv w:val="1"/>
      <w:marLeft w:val="0"/>
      <w:marRight w:val="0"/>
      <w:marTop w:val="0"/>
      <w:marBottom w:val="0"/>
      <w:divBdr>
        <w:top w:val="none" w:sz="0" w:space="0" w:color="auto"/>
        <w:left w:val="none" w:sz="0" w:space="0" w:color="auto"/>
        <w:bottom w:val="none" w:sz="0" w:space="0" w:color="auto"/>
        <w:right w:val="none" w:sz="0" w:space="0" w:color="auto"/>
      </w:divBdr>
    </w:div>
    <w:div w:id="170001270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oter" Target="footer11.xml"/><Relationship Id="rId7" Type="http://schemas.openxmlformats.org/officeDocument/2006/relationships/webSettings" Target="webSettings.xml"/><Relationship Id="rId12" Type="http://schemas.openxmlformats.org/officeDocument/2006/relationships/hyperlink" Target="https://moodle.uwtsd.ac.uk/pluginfile.php/298870/mod_resource/content/1/Reflective%20Practice%20for%20Policing%20Students%20-%20Selina%20Copley%20Chapter5.pdf" TargetMode="Externa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wtsd.ac.uk/media/uwtsd-website/content-assets/documents/academic-office/aqh-chapters/chapters---en/Chapter_07_Assessment_Taught_Programmes_Pages_72-79-UPDATED-05-11-2019.pdf" TargetMode="Externa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image" Target="media/image1.png"/><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NHS19</b:Tag>
    <b:SourceType>InternetSite</b:SourceType>
    <b:Guid>{9987A4F7-4486-42F0-997B-D8FE073923D7}</b:Guid>
    <b:Author>
      <b:Author>
        <b:NameList>
          <b:Person>
            <b:Last>NHS Professionals Ltd</b:Last>
          </b:Person>
        </b:NameList>
      </b:Author>
    </b:Author>
    <b:Title>Seven Ways to Deal With Night Shifts</b:Title>
    <b:InternetSiteTitle>NHS Professionals</b:InternetSiteTitle>
    <b:Year>2019</b:Year>
    <b:Month>04</b:Month>
    <b:Day>18</b:Day>
    <b:URL>https://www.nhsprofessionals.nhs.uk/Joining-NHSP/Latest-News/Detail?Id=Seven-ways-to-deal-with-night-shifts</b:URL>
    <b:RefOrder>1</b:RefOrder>
  </b:Source>
  <b:Source>
    <b:Tag>Bla201</b:Tag>
    <b:SourceType>BookSection</b:SourceType>
    <b:Guid>{5F744BE1-CD43-48BA-81F7-2F264F849B86}</b:Guid>
    <b:Title>Chapter 10.13..3.1 - Initial Investigation</b:Title>
    <b:Year>2020</b:Year>
    <b:Author>
      <b:Author>
        <b:NameList>
          <b:Person>
            <b:Last>Blackburn et al</b:Last>
          </b:Person>
        </b:NameList>
      </b:Author>
      <b:BookAuthor>
        <b:NameList>
          <b:Person>
            <b:Last>al</b:Last>
            <b:First>Blackburn</b:First>
            <b:Middle>et</b:Middle>
          </b:Person>
        </b:NameList>
      </b:BookAuthor>
    </b:Author>
    <b:BookTitle>Blackstones Handbook for Policing Students</b:BookTitle>
    <b:Publisher>Oxford English Press</b:Publisher>
    <b:RefOrder>2</b:RefOrder>
  </b:Source>
  <b:Source>
    <b:Tag>Col215</b:Tag>
    <b:SourceType>InternetSite</b:SourceType>
    <b:Guid>{D2DD6A5C-AF6B-465D-ACA5-EAC516E997DE}</b:Guid>
    <b:Author>
      <b:Author>
        <b:NameList>
          <b:Person>
            <b:Last>College of Policing</b:Last>
          </b:Person>
        </b:NameList>
      </b:Author>
    </b:Author>
    <b:Title>Investagative Interviewing</b:Title>
    <b:InternetSiteTitle>College of Policing Authorised Professional Practice</b:InternetSiteTitle>
    <b:Year>2021</b:Year>
    <b:URL>https://www.app.college.police.uk/app-content/investigations/investigative-interviewing/#top</b:URL>
    <b:RefOrder>3</b:RefOrder>
  </b:Source>
  <b:Source>
    <b:Tag>Bla202</b:Tag>
    <b:SourceType>BookSection</b:SourceType>
    <b:Guid>{95F1C6F3-00AF-4DDC-925A-11DE7DDA3F34}</b:Guid>
    <b:Title>Chapter 24.1-24.4 - Criminal Investigation</b:Title>
    <b:Year>2020</b:Year>
    <b:Author>
      <b:Author>
        <b:NameList>
          <b:Person>
            <b:Last>Blackburn et al</b:Last>
          </b:Person>
        </b:NameList>
      </b:Author>
      <b:BookAuthor>
        <b:NameList>
          <b:Person>
            <b:Last>al</b:Last>
            <b:First>Blackburn</b:First>
            <b:Middle>et</b:Middle>
          </b:Person>
        </b:NameList>
      </b:BookAuthor>
    </b:Author>
    <b:BookTitle>Blackstones Handbook for Policing Students</b:BookTitle>
    <b:Publisher>Oxford English Press</b:Publisher>
    <b:RefOrder>4</b:RefOrder>
  </b:Source>
  <b:Source>
    <b:Tag>Bla203</b:Tag>
    <b:SourceType>BookSection</b:SourceType>
    <b:Guid>{A635B524-C354-4CA8-99DE-8CEA4D7CDD99}</b:Guid>
    <b:Author>
      <b:Author>
        <b:NameList>
          <b:Person>
            <b:Last>Blackburn et al</b:Last>
          </b:Person>
        </b:NameList>
      </b:Author>
      <b:BookAuthor>
        <b:NameList>
          <b:Person>
            <b:Last>Blackburn et al</b:Last>
          </b:Person>
        </b:NameList>
      </b:BookAuthor>
    </b:Author>
    <b:Title>Policing Public Order, Anti-Social Behaviour and Harassment,</b:Title>
    <b:BookTitle>Blackstones Handbook for Policing Students</b:BookTitle>
    <b:Year>2020,</b:Year>
    <b:Publisher>Oxford English Press</b:Publisher>
    <b:Pages>301-328</b:Pages>
    <b:RefOrder>5</b:RefOrder>
  </b:Source>
  <b:Source>
    <b:Tag>Bla204</b:Tag>
    <b:SourceType>BookSection</b:SourceType>
    <b:Guid>{F6777F15-1147-428D-9204-8C9C39FAD55A}</b:Guid>
    <b:Author>
      <b:Author>
        <b:NameList>
          <b:Person>
            <b:Last>Blackburn et al</b:Last>
          </b:Person>
        </b:NameList>
      </b:Author>
      <b:BookAuthor>
        <b:NameList>
          <b:Person>
            <b:Last>al</b:Last>
            <b:First>Blackburn</b:First>
            <b:Middle>et</b:Middle>
          </b:Person>
        </b:NameList>
      </b:BookAuthor>
    </b:Author>
    <b:Title>Evidence Based Policing</b:Title>
    <b:BookTitle>Blackstones Handbook for Policing Students</b:BookTitle>
    <b:Year>2020</b:Year>
    <b:Pages>51-52</b:Pages>
    <b:Publisher>Oxford English Press</b:Publisher>
    <b:RefOrder>6</b:RefOrder>
  </b:Source>
  <b:Source>
    <b:Tag>HMS</b:Tag>
    <b:SourceType>InternetSite</b:SourceType>
    <b:Guid>{DB9FDF96-F295-4A66-8385-85538376E5A1}</b:Guid>
    <b:Title>Anti-Social Behaviour Act 2003</b:Title>
    <b:Author>
      <b:Author>
        <b:NameList>
          <b:Person>
            <b:Last>HMSO</b:Last>
          </b:Person>
        </b:NameList>
      </b:Author>
    </b:Author>
    <b:InternetSiteTitle>Legislation.gov.uk</b:InternetSiteTitle>
    <b:URL>https://www.legislation.gov.uk/ukpga/2003/38/notes</b:URL>
    <b:RefOrder>7</b:RefOrder>
  </b:Source>
  <b:Source>
    <b:Tag>Bla205</b:Tag>
    <b:SourceType>BookSection</b:SourceType>
    <b:Guid>{79D6F73B-3F68-4F5D-B8D5-E7666BFC0ADA}</b:Guid>
    <b:Title>Policing Local Communities,</b:Title>
    <b:Year>2020</b:Year>
    <b:Author>
      <b:Author>
        <b:NameList>
          <b:Person>
            <b:Last>Blackburn et al</b:Last>
          </b:Person>
        </b:NameList>
      </b:Author>
      <b:BookAuthor>
        <b:NameList>
          <b:Person>
            <b:Last>al</b:Last>
            <b:First>Blackburn</b:First>
            <b:Middle>et</b:Middle>
          </b:Person>
        </b:NameList>
      </b:BookAuthor>
    </b:Author>
    <b:BookTitle>Blackstones Handbook for Policing Students</b:BookTitle>
    <b:Pages>pg 153-161</b:Pages>
    <b:Publisher>Oxford English Press</b:Publisher>
    <b:RefOrder>8</b:RefOrder>
  </b:Source>
  <b:Source>
    <b:Tag>Bla206</b:Tag>
    <b:SourceType>BookSection</b:SourceType>
    <b:Guid>{7DAC62DB-86E9-40BF-9328-5E884D3D7418}</b:Guid>
    <b:Author>
      <b:Author>
        <b:NameList>
          <b:Person>
            <b:Last>Blackburn et al</b:Last>
          </b:Person>
        </b:NameList>
      </b:Author>
      <b:BookAuthor>
        <b:NameList>
          <b:Person>
            <b:Last>Blackburn et al</b:Last>
          </b:Person>
        </b:NameList>
      </b:BookAuthor>
    </b:Author>
    <b:Title>Policing Local Communiities - Delivering Local Policing</b:Title>
    <b:BookTitle>Blackstones Handbook for Practical Policing</b:BookTitle>
    <b:Year>2020</b:Year>
    <b:Pages>pg 157</b:Pages>
    <b:Publisher>Oxford English Press</b:Publisher>
    <b:RefOrder>9</b:RefOrder>
  </b:Source>
  <b:Source>
    <b:Tag>Bla207</b:Tag>
    <b:SourceType>BookSection</b:SourceType>
    <b:Guid>{C957E1B4-3FAC-4922-AE49-8ECD2D3CAC83}</b:Guid>
    <b:Author>
      <b:Author>
        <b:NameList>
          <b:Person>
            <b:Last>Blackburn et al</b:Last>
          </b:Person>
        </b:NameList>
      </b:Author>
      <b:BookAuthor>
        <b:NameList>
          <b:Person>
            <b:Last>al</b:Last>
            <b:First>Blackburn</b:First>
            <b:Middle>et</b:Middle>
          </b:Person>
        </b:NameList>
      </b:BookAuthor>
    </b:Author>
    <b:Title>Policing Public Order, Anti-Social Behaiour and Harassment</b:Title>
    <b:BookTitle>Blackstones Handbook for Policing Students</b:BookTitle>
    <b:Year>2020</b:Year>
    <b:Pages>pg 301-306</b:Pages>
    <b:Publisher>Oxford English Press</b:Publisher>
    <b:RefOrder>10</b:RefOrder>
  </b:Source>
  <b:Source>
    <b:Tag>Dor21</b:Tag>
    <b:SourceType>InternetSite</b:SourceType>
    <b:Guid>{AAB10E69-8B99-43D8-9A8A-5C771D1FFEEE}</b:Guid>
    <b:Title>Welcom to Dorset Police</b:Title>
    <b:Year>2021</b:Year>
    <b:Author>
      <b:Author>
        <b:NameList>
          <b:Person>
            <b:Last>Dorset Police</b:Last>
          </b:Person>
        </b:NameList>
      </b:Author>
    </b:Author>
    <b:InternetSiteTitle>Dorset Police</b:InternetSiteTitle>
    <b:URL>https://www.dorset.police.uk/help-advice-crime-prevention/safety-in-your-community/asb/</b:URL>
    <b:RefOrder>11</b:RefOrder>
  </b:Source>
  <b:Source>
    <b:Tag>Jes21</b:Tag>
    <b:SourceType>InternetSite</b:SourceType>
    <b:Guid>{55C85E2A-6130-4F02-9493-92B060BCCFD5}</b:Guid>
    <b:Author>
      <b:Author>
        <b:NameList>
          <b:Person>
            <b:Last>Man</b:Last>
            <b:First>Jessica</b:First>
          </b:Person>
        </b:NameList>
      </b:Author>
    </b:Author>
    <b:Title>Unconsious Bias - Definitions and Examples</b:Title>
    <b:InternetSiteTitle>Diversity for Social Impact</b:InternetSiteTitle>
    <b:Year>2021</b:Year>
    <b:URL>https://diversity.social/unconscious-bias/</b:URL>
    <b:RefOrder>12</b:RefOrder>
  </b:Source>
  <b:Source>
    <b:Tag>Bla208</b:Tag>
    <b:SourceType>BookSection</b:SourceType>
    <b:Guid>{42C1B25F-F233-4016-9E05-AC93562D5706}</b:Guid>
    <b:Title>Roles, Responsibilies and Support</b:Title>
    <b:Year>2020</b:Year>
    <b:Author>
      <b:Author>
        <b:NameList>
          <b:Person>
            <b:Last>Blackburn et al</b:Last>
          </b:Person>
        </b:NameList>
      </b:Author>
      <b:BookAuthor>
        <b:NameList>
          <b:Person>
            <b:Last>al</b:Last>
            <b:First>Blackburn</b:First>
            <b:Middle>et</b:Middle>
          </b:Person>
        </b:NameList>
      </b:BookAuthor>
    </b:Author>
    <b:BookTitle>Blackstones Handbook for Policing Students</b:BookTitle>
    <b:Pages>73-84</b:Pages>
    <b:Publisher>Oxford English Press</b:Publisher>
    <b:RefOrder>13</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BF0C0B-AE82-48C6-96F1-4EA8E04FE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24</Pages>
  <Words>8527</Words>
  <Characters>46918</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Goodway-Sims,Charlotte swp6732</cp:lastModifiedBy>
  <cp:revision>15</cp:revision>
  <cp:lastPrinted>2019-09-26T14:40:00Z</cp:lastPrinted>
  <dcterms:created xsi:type="dcterms:W3CDTF">2021-02-05T15:28:00Z</dcterms:created>
  <dcterms:modified xsi:type="dcterms:W3CDTF">2021-03-08T08:10:00Z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aaefcecf-9215-4c3b-aa62-4bc99b6cb26a</vt:lpwstr>
  </property>
  <property fmtid="{D5CDD505-2E9C-101B-9397-08002B2CF9AE}" pid="4" name="Classification">
    <vt:lpwstr>OFFICIAL</vt:lpwstr>
  </property>
  <property fmtid="{D5CDD505-2E9C-101B-9397-08002B2CF9AE}" pid="5" name="Visibility">
    <vt:lpwstr>NOT VISIBLE</vt:lpwstr>
  </property>
</Properties>
</file>