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273FC" w14:textId="0EA55462" w:rsidR="002B318F" w:rsidRPr="00474B2E" w:rsidRDefault="00474B2E">
      <w:pPr>
        <w:spacing w:after="0"/>
        <w:jc w:val="center"/>
      </w:pPr>
      <w:r w:rsidRPr="00474B2E">
        <w:rPr>
          <w:noProof/>
        </w:rPr>
        <w:drawing>
          <wp:anchor distT="0" distB="0" distL="114300" distR="114300" simplePos="0" relativeHeight="251658752" behindDoc="0" locked="0" layoutInCell="1" allowOverlap="1" wp14:anchorId="77A2DFA8" wp14:editId="1229801E">
            <wp:simplePos x="0" y="0"/>
            <wp:positionH relativeFrom="column">
              <wp:posOffset>4728210</wp:posOffset>
            </wp:positionH>
            <wp:positionV relativeFrom="paragraph">
              <wp:posOffset>-1905</wp:posOffset>
            </wp:positionV>
            <wp:extent cx="1485900" cy="1485900"/>
            <wp:effectExtent l="0" t="0" r="0" b="0"/>
            <wp:wrapSquare wrapText="bothSides"/>
            <wp:docPr id="7574625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pic:spPr>
                </pic:pic>
              </a:graphicData>
            </a:graphic>
          </wp:anchor>
        </w:drawing>
      </w:r>
    </w:p>
    <w:tbl>
      <w:tblPr>
        <w:tblpPr w:leftFromText="180" w:rightFromText="180" w:vertAnchor="page" w:horzAnchor="margin" w:tblpY="3601"/>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74B2E" w:rsidRPr="00474B2E" w14:paraId="76C952FF" w14:textId="77777777" w:rsidTr="00474B2E">
        <w:tc>
          <w:tcPr>
            <w:tcW w:w="2093" w:type="dxa"/>
          </w:tcPr>
          <w:p w14:paraId="44EA9B5A" w14:textId="77777777" w:rsidR="00474B2E" w:rsidRPr="00474B2E" w:rsidRDefault="00474B2E" w:rsidP="00474B2E">
            <w:pPr>
              <w:spacing w:before="120"/>
              <w:jc w:val="both"/>
              <w:rPr>
                <w:rFonts w:cs="Arial"/>
                <w:b/>
              </w:rPr>
            </w:pPr>
            <w:r w:rsidRPr="00474B2E">
              <w:rPr>
                <w:rFonts w:cs="Arial"/>
                <w:b/>
              </w:rPr>
              <w:t>Student name:</w:t>
            </w:r>
          </w:p>
        </w:tc>
        <w:tc>
          <w:tcPr>
            <w:tcW w:w="3293" w:type="dxa"/>
          </w:tcPr>
          <w:p w14:paraId="7756A6F4" w14:textId="46321D97" w:rsidR="00474B2E" w:rsidRPr="00474B2E" w:rsidRDefault="00474B2E" w:rsidP="00474B2E">
            <w:pPr>
              <w:spacing w:before="120"/>
              <w:jc w:val="both"/>
              <w:rPr>
                <w:rFonts w:cs="Arial"/>
                <w:bCs/>
              </w:rPr>
            </w:pPr>
            <w:r w:rsidRPr="00474B2E">
              <w:rPr>
                <w:rFonts w:cs="Arial"/>
                <w:bCs/>
              </w:rPr>
              <w:t>Winston Hall</w:t>
            </w:r>
          </w:p>
        </w:tc>
        <w:tc>
          <w:tcPr>
            <w:tcW w:w="2268" w:type="dxa"/>
            <w:shd w:val="clear" w:color="auto" w:fill="D9D9D9" w:themeFill="background1" w:themeFillShade="D9"/>
          </w:tcPr>
          <w:p w14:paraId="524FE7FC" w14:textId="77777777" w:rsidR="00474B2E" w:rsidRPr="00474B2E" w:rsidRDefault="00474B2E" w:rsidP="00474B2E">
            <w:pPr>
              <w:spacing w:before="120"/>
              <w:jc w:val="both"/>
              <w:rPr>
                <w:rFonts w:cs="Arial"/>
                <w:b/>
              </w:rPr>
            </w:pPr>
            <w:r w:rsidRPr="00474B2E">
              <w:rPr>
                <w:rFonts w:cs="Arial"/>
                <w:b/>
              </w:rPr>
              <w:t>Student ID number:</w:t>
            </w:r>
          </w:p>
        </w:tc>
        <w:tc>
          <w:tcPr>
            <w:tcW w:w="2268" w:type="dxa"/>
          </w:tcPr>
          <w:p w14:paraId="5E838670" w14:textId="42E31CDF" w:rsidR="00474B2E" w:rsidRPr="00474B2E" w:rsidRDefault="00474B2E" w:rsidP="00474B2E">
            <w:pPr>
              <w:spacing w:before="120"/>
              <w:jc w:val="both"/>
              <w:rPr>
                <w:rFonts w:cs="Arial"/>
                <w:bCs/>
              </w:rPr>
            </w:pPr>
            <w:r w:rsidRPr="00474B2E">
              <w:rPr>
                <w:rFonts w:cs="Arial"/>
                <w:bCs/>
              </w:rPr>
              <w:t>2422871</w:t>
            </w:r>
          </w:p>
        </w:tc>
      </w:tr>
      <w:tr w:rsidR="00474B2E" w:rsidRPr="00474B2E" w14:paraId="0F237CCD" w14:textId="77777777" w:rsidTr="00474B2E">
        <w:tc>
          <w:tcPr>
            <w:tcW w:w="2093" w:type="dxa"/>
          </w:tcPr>
          <w:p w14:paraId="2481F873" w14:textId="77777777" w:rsidR="00474B2E" w:rsidRPr="00474B2E" w:rsidRDefault="00474B2E" w:rsidP="00474B2E">
            <w:pPr>
              <w:spacing w:before="120"/>
              <w:jc w:val="both"/>
              <w:rPr>
                <w:rFonts w:cs="Arial"/>
                <w:b/>
              </w:rPr>
            </w:pPr>
            <w:r w:rsidRPr="00474B2E">
              <w:rPr>
                <w:rFonts w:cs="Arial"/>
                <w:b/>
              </w:rPr>
              <w:t>Programme:</w:t>
            </w:r>
          </w:p>
        </w:tc>
        <w:tc>
          <w:tcPr>
            <w:tcW w:w="7829" w:type="dxa"/>
            <w:gridSpan w:val="3"/>
          </w:tcPr>
          <w:p w14:paraId="29251857" w14:textId="77777777" w:rsidR="00474B2E" w:rsidRPr="00474B2E" w:rsidRDefault="00474B2E" w:rsidP="00474B2E">
            <w:pPr>
              <w:spacing w:before="120"/>
              <w:jc w:val="both"/>
              <w:rPr>
                <w:rFonts w:cs="Arial"/>
                <w:b/>
              </w:rPr>
            </w:pPr>
            <w:r w:rsidRPr="00474B2E">
              <w:rPr>
                <w:rFonts w:cs="Arial"/>
                <w:b/>
              </w:rPr>
              <w:t xml:space="preserve">BA (Hons) Leadership and Management Skills for the Workplace   </w:t>
            </w:r>
          </w:p>
        </w:tc>
      </w:tr>
      <w:tr w:rsidR="00474B2E" w:rsidRPr="00474B2E" w14:paraId="1038FEDA" w14:textId="77777777" w:rsidTr="00474B2E">
        <w:tc>
          <w:tcPr>
            <w:tcW w:w="2093" w:type="dxa"/>
          </w:tcPr>
          <w:p w14:paraId="5F778AFB" w14:textId="77777777" w:rsidR="00474B2E" w:rsidRPr="00474B2E" w:rsidRDefault="00474B2E" w:rsidP="00474B2E">
            <w:pPr>
              <w:spacing w:before="120"/>
              <w:jc w:val="both"/>
              <w:rPr>
                <w:rFonts w:cs="Arial"/>
                <w:b/>
              </w:rPr>
            </w:pPr>
            <w:r w:rsidRPr="00474B2E">
              <w:rPr>
                <w:rFonts w:cs="Arial"/>
                <w:b/>
              </w:rPr>
              <w:t>Module:</w:t>
            </w:r>
          </w:p>
        </w:tc>
        <w:tc>
          <w:tcPr>
            <w:tcW w:w="7829" w:type="dxa"/>
            <w:gridSpan w:val="3"/>
          </w:tcPr>
          <w:p w14:paraId="081B961B" w14:textId="77777777" w:rsidR="00474B2E" w:rsidRPr="00E81231" w:rsidRDefault="00474B2E" w:rsidP="00474B2E">
            <w:pPr>
              <w:rPr>
                <w:rFonts w:cs="Arial"/>
              </w:rPr>
            </w:pPr>
          </w:p>
          <w:p w14:paraId="255A31E6" w14:textId="77777777" w:rsidR="00474B2E" w:rsidRPr="00E81231" w:rsidRDefault="00474B2E" w:rsidP="00474B2E">
            <w:pPr>
              <w:rPr>
                <w:rFonts w:cs="Arial"/>
              </w:rPr>
            </w:pPr>
            <w:r w:rsidRPr="00E81231">
              <w:rPr>
                <w:rFonts w:cs="Arial"/>
              </w:rPr>
              <w:t xml:space="preserve">Managing Business Information   </w:t>
            </w:r>
          </w:p>
        </w:tc>
      </w:tr>
      <w:tr w:rsidR="00E81231" w:rsidRPr="00474B2E" w14:paraId="12093CE6" w14:textId="77777777" w:rsidTr="00E41F26">
        <w:tc>
          <w:tcPr>
            <w:tcW w:w="2093" w:type="dxa"/>
          </w:tcPr>
          <w:p w14:paraId="7595B0CE" w14:textId="77777777" w:rsidR="00E81231" w:rsidRPr="00474B2E" w:rsidRDefault="00E81231" w:rsidP="00474B2E">
            <w:pPr>
              <w:spacing w:before="120"/>
              <w:jc w:val="both"/>
              <w:rPr>
                <w:rFonts w:cs="Arial"/>
                <w:b/>
              </w:rPr>
            </w:pPr>
            <w:r w:rsidRPr="00474B2E">
              <w:rPr>
                <w:rFonts w:cs="Arial"/>
                <w:b/>
              </w:rPr>
              <w:t>Module code:</w:t>
            </w:r>
          </w:p>
        </w:tc>
        <w:tc>
          <w:tcPr>
            <w:tcW w:w="7829" w:type="dxa"/>
            <w:gridSpan w:val="3"/>
          </w:tcPr>
          <w:p w14:paraId="6ACE93CE" w14:textId="0DF328AD" w:rsidR="00E81231" w:rsidRPr="00E81231" w:rsidRDefault="00E81231" w:rsidP="00E81231">
            <w:pPr>
              <w:spacing w:before="120"/>
              <w:jc w:val="both"/>
              <w:rPr>
                <w:rFonts w:cs="Arial"/>
              </w:rPr>
            </w:pPr>
            <w:r w:rsidRPr="00E81231">
              <w:rPr>
                <w:rFonts w:cs="Arial"/>
              </w:rPr>
              <w:t>LCLM 5004</w:t>
            </w:r>
          </w:p>
        </w:tc>
      </w:tr>
      <w:tr w:rsidR="00474B2E" w:rsidRPr="00474B2E" w14:paraId="62792D8B" w14:textId="77777777" w:rsidTr="00474B2E">
        <w:tc>
          <w:tcPr>
            <w:tcW w:w="2093" w:type="dxa"/>
          </w:tcPr>
          <w:p w14:paraId="07720F29" w14:textId="77777777" w:rsidR="00474B2E" w:rsidRPr="00474B2E" w:rsidRDefault="00474B2E" w:rsidP="00474B2E">
            <w:pPr>
              <w:spacing w:before="120"/>
              <w:jc w:val="both"/>
              <w:rPr>
                <w:rFonts w:cs="Arial"/>
                <w:b/>
              </w:rPr>
            </w:pPr>
            <w:r w:rsidRPr="00474B2E">
              <w:rPr>
                <w:rFonts w:cs="Arial"/>
                <w:b/>
              </w:rPr>
              <w:t>Lecturer:</w:t>
            </w:r>
          </w:p>
        </w:tc>
        <w:tc>
          <w:tcPr>
            <w:tcW w:w="3293" w:type="dxa"/>
          </w:tcPr>
          <w:p w14:paraId="3DBC55F0" w14:textId="77777777" w:rsidR="00474B2E" w:rsidRPr="00E81231" w:rsidRDefault="00474B2E" w:rsidP="00474B2E">
            <w:pPr>
              <w:spacing w:before="120" w:line="259" w:lineRule="auto"/>
              <w:jc w:val="both"/>
              <w:rPr>
                <w:rFonts w:cs="Arial"/>
              </w:rPr>
            </w:pPr>
            <w:r w:rsidRPr="00E81231">
              <w:rPr>
                <w:rFonts w:cs="Arial"/>
              </w:rPr>
              <w:t>Dr. Amer Kareem</w:t>
            </w:r>
          </w:p>
          <w:p w14:paraId="7D399AF2" w14:textId="77777777" w:rsidR="00474B2E" w:rsidRPr="00E81231" w:rsidRDefault="00474B2E" w:rsidP="00474B2E">
            <w:pPr>
              <w:spacing w:before="120"/>
              <w:jc w:val="both"/>
              <w:rPr>
                <w:rFonts w:cs="Arial"/>
              </w:rPr>
            </w:pPr>
            <w:r w:rsidRPr="00E81231">
              <w:rPr>
                <w:rFonts w:cs="Arial"/>
              </w:rPr>
              <w:t>Dr Chinomso Nwagboso</w:t>
            </w:r>
          </w:p>
        </w:tc>
        <w:tc>
          <w:tcPr>
            <w:tcW w:w="2268" w:type="dxa"/>
            <w:shd w:val="clear" w:color="auto" w:fill="D9D9D9" w:themeFill="background1" w:themeFillShade="D9"/>
          </w:tcPr>
          <w:p w14:paraId="25FA300D" w14:textId="77777777" w:rsidR="00474B2E" w:rsidRPr="00474B2E" w:rsidRDefault="00474B2E" w:rsidP="00474B2E">
            <w:pPr>
              <w:spacing w:before="120"/>
              <w:jc w:val="both"/>
              <w:rPr>
                <w:rFonts w:cs="Arial"/>
                <w:b/>
              </w:rPr>
            </w:pPr>
            <w:r w:rsidRPr="00474B2E">
              <w:rPr>
                <w:rFonts w:cs="Arial"/>
                <w:b/>
              </w:rPr>
              <w:t>Internal Verifier:</w:t>
            </w:r>
          </w:p>
        </w:tc>
        <w:tc>
          <w:tcPr>
            <w:tcW w:w="2268" w:type="dxa"/>
          </w:tcPr>
          <w:p w14:paraId="0A121933" w14:textId="77777777" w:rsidR="00474B2E" w:rsidRPr="008A38D3" w:rsidRDefault="00474B2E" w:rsidP="00474B2E">
            <w:pPr>
              <w:spacing w:before="120"/>
              <w:jc w:val="both"/>
              <w:rPr>
                <w:rFonts w:cs="Arial"/>
              </w:rPr>
            </w:pPr>
            <w:r w:rsidRPr="008A38D3">
              <w:rPr>
                <w:rFonts w:cs="Arial"/>
              </w:rPr>
              <w:t>Md Kalam</w:t>
            </w:r>
          </w:p>
          <w:p w14:paraId="735D6F06" w14:textId="77777777" w:rsidR="00474B2E" w:rsidRPr="008A38D3" w:rsidRDefault="00474B2E" w:rsidP="00474B2E">
            <w:pPr>
              <w:spacing w:before="120"/>
              <w:jc w:val="both"/>
              <w:rPr>
                <w:rFonts w:cs="Arial"/>
              </w:rPr>
            </w:pPr>
            <w:r w:rsidRPr="008A38D3">
              <w:rPr>
                <w:rFonts w:cs="Arial"/>
              </w:rPr>
              <w:t>Samuel Ofori</w:t>
            </w:r>
          </w:p>
        </w:tc>
      </w:tr>
      <w:tr w:rsidR="00474B2E" w:rsidRPr="00474B2E" w14:paraId="47D998E2" w14:textId="77777777" w:rsidTr="00474B2E">
        <w:tc>
          <w:tcPr>
            <w:tcW w:w="2093" w:type="dxa"/>
          </w:tcPr>
          <w:p w14:paraId="5DD50AC8" w14:textId="77777777" w:rsidR="00474B2E" w:rsidRPr="00474B2E" w:rsidRDefault="00474B2E" w:rsidP="00474B2E">
            <w:pPr>
              <w:spacing w:before="120"/>
              <w:jc w:val="both"/>
              <w:rPr>
                <w:rFonts w:cs="Arial"/>
                <w:b/>
              </w:rPr>
            </w:pPr>
            <w:r w:rsidRPr="00474B2E">
              <w:rPr>
                <w:rFonts w:cs="Arial"/>
                <w:b/>
              </w:rPr>
              <w:t>Assignment Title:</w:t>
            </w:r>
          </w:p>
        </w:tc>
        <w:tc>
          <w:tcPr>
            <w:tcW w:w="3293" w:type="dxa"/>
          </w:tcPr>
          <w:p w14:paraId="510B79F7" w14:textId="77777777" w:rsidR="00474B2E" w:rsidRPr="00E81231" w:rsidRDefault="00474B2E" w:rsidP="00474B2E">
            <w:pPr>
              <w:spacing w:before="120"/>
              <w:rPr>
                <w:rFonts w:cs="Arial"/>
              </w:rPr>
            </w:pPr>
            <w:r w:rsidRPr="00E81231">
              <w:rPr>
                <w:rFonts w:cs="Arial"/>
                <w:sz w:val="24"/>
                <w:szCs w:val="24"/>
              </w:rPr>
              <w:t>Component 2- Individual report</w:t>
            </w:r>
            <w:r w:rsidRPr="00E81231">
              <w:rPr>
                <w:rFonts w:cs="Arial"/>
              </w:rPr>
              <w:t>- Information Systems Improvements</w:t>
            </w:r>
          </w:p>
        </w:tc>
        <w:tc>
          <w:tcPr>
            <w:tcW w:w="2268" w:type="dxa"/>
          </w:tcPr>
          <w:p w14:paraId="4052D45E" w14:textId="77777777" w:rsidR="00474B2E" w:rsidRPr="00474B2E" w:rsidRDefault="00474B2E" w:rsidP="00474B2E">
            <w:pPr>
              <w:spacing w:before="120"/>
              <w:jc w:val="both"/>
              <w:rPr>
                <w:rFonts w:cs="Arial"/>
                <w:b/>
              </w:rPr>
            </w:pPr>
            <w:r w:rsidRPr="00474B2E">
              <w:rPr>
                <w:rFonts w:cs="Arial"/>
                <w:b/>
              </w:rPr>
              <w:t>Word count (or equivalent):</w:t>
            </w:r>
          </w:p>
        </w:tc>
        <w:tc>
          <w:tcPr>
            <w:tcW w:w="2268" w:type="dxa"/>
          </w:tcPr>
          <w:p w14:paraId="44A9F99B" w14:textId="0642C87A" w:rsidR="00474B2E" w:rsidRPr="008A38D3" w:rsidRDefault="00272EC3" w:rsidP="00474B2E">
            <w:pPr>
              <w:pStyle w:val="TableParagraph"/>
              <w:spacing w:before="1"/>
              <w:ind w:left="108"/>
            </w:pPr>
            <w:r>
              <w:t>1,800 words</w:t>
            </w:r>
          </w:p>
        </w:tc>
      </w:tr>
    </w:tbl>
    <w:p w14:paraId="4F43AEB4" w14:textId="77777777" w:rsidR="002B318F" w:rsidRPr="00474B2E" w:rsidRDefault="002B318F"/>
    <w:p w14:paraId="40F87253" w14:textId="0FAFA0CE" w:rsidR="00474B2E" w:rsidRPr="00474B2E" w:rsidRDefault="00474B2E">
      <w:pPr>
        <w:sectPr w:rsidR="00474B2E" w:rsidRPr="00474B2E">
          <w:pgSz w:w="12240" w:h="15840"/>
          <w:pgMar w:top="1008" w:right="1224" w:bottom="1008" w:left="1224" w:header="720" w:footer="720" w:gutter="0"/>
          <w:cols w:space="720"/>
          <w:docGrid w:linePitch="360"/>
        </w:sectPr>
      </w:pPr>
    </w:p>
    <w:sdt>
      <w:sdtPr>
        <w:rPr>
          <w:rFonts w:ascii="Arial" w:eastAsia="Arial" w:hAnsi="Arial"/>
          <w:b w:val="0"/>
          <w:bCs w:val="0"/>
        </w:rPr>
        <w:id w:val="-175972408"/>
        <w:docPartObj>
          <w:docPartGallery w:val="Table of Contents"/>
          <w:docPartUnique/>
        </w:docPartObj>
      </w:sdtPr>
      <w:sdtEndPr>
        <w:rPr>
          <w:noProof/>
        </w:rPr>
      </w:sdtEndPr>
      <w:sdtContent>
        <w:p w14:paraId="09A2BB50" w14:textId="1F455B34" w:rsidR="00E81231" w:rsidRDefault="00E81231" w:rsidP="00E81231">
          <w:pPr>
            <w:pStyle w:val="TOCHeading"/>
            <w:jc w:val="center"/>
          </w:pPr>
          <w:r>
            <w:t>Contents</w:t>
          </w:r>
        </w:p>
        <w:p w14:paraId="2D9F8ADA" w14:textId="03669AA2" w:rsidR="00E81231" w:rsidRDefault="00E81231" w:rsidP="00E81231">
          <w:pPr>
            <w:pStyle w:val="TOC1"/>
            <w:tabs>
              <w:tab w:val="right" w:leader="dot" w:pos="9782"/>
            </w:tabs>
            <w:jc w:val="center"/>
            <w:rPr>
              <w:rFonts w:asciiTheme="minorHAnsi" w:eastAsiaTheme="minorEastAsia" w:hAnsiTheme="minorHAnsi"/>
              <w:noProof/>
              <w:kern w:val="2"/>
              <w:sz w:val="24"/>
              <w:szCs w:val="24"/>
              <w:lang w:val="en-PK" w:eastAsia="en-PK"/>
              <w14:ligatures w14:val="standardContextual"/>
            </w:rPr>
          </w:pPr>
          <w:r>
            <w:fldChar w:fldCharType="begin"/>
          </w:r>
          <w:r>
            <w:instrText xml:space="preserve"> TOC \o "1-3" \h \z \u </w:instrText>
          </w:r>
          <w:r>
            <w:fldChar w:fldCharType="separate"/>
          </w:r>
          <w:hyperlink w:anchor="_Toc235546528" w:history="1">
            <w:r w:rsidRPr="000572B4">
              <w:rPr>
                <w:rStyle w:val="Hyperlink"/>
                <w:noProof/>
              </w:rPr>
              <w:t>1. Introduction</w:t>
            </w:r>
            <w:r>
              <w:rPr>
                <w:noProof/>
                <w:webHidden/>
              </w:rPr>
              <w:tab/>
            </w:r>
            <w:r>
              <w:rPr>
                <w:noProof/>
                <w:webHidden/>
              </w:rPr>
              <w:fldChar w:fldCharType="begin"/>
            </w:r>
            <w:r>
              <w:rPr>
                <w:noProof/>
                <w:webHidden/>
              </w:rPr>
              <w:instrText xml:space="preserve"> PAGEREF _Toc235546528 \h </w:instrText>
            </w:r>
            <w:r>
              <w:rPr>
                <w:noProof/>
                <w:webHidden/>
              </w:rPr>
            </w:r>
            <w:r>
              <w:rPr>
                <w:noProof/>
                <w:webHidden/>
              </w:rPr>
              <w:fldChar w:fldCharType="separate"/>
            </w:r>
            <w:r w:rsidR="008958B8">
              <w:rPr>
                <w:noProof/>
                <w:webHidden/>
              </w:rPr>
              <w:t>2</w:t>
            </w:r>
            <w:r>
              <w:rPr>
                <w:noProof/>
                <w:webHidden/>
              </w:rPr>
              <w:fldChar w:fldCharType="end"/>
            </w:r>
          </w:hyperlink>
        </w:p>
        <w:p w14:paraId="5C9EAA54" w14:textId="4E408150" w:rsidR="00E81231" w:rsidRDefault="00E81231" w:rsidP="00E81231">
          <w:pPr>
            <w:pStyle w:val="TOC1"/>
            <w:tabs>
              <w:tab w:val="right" w:leader="dot" w:pos="9782"/>
            </w:tabs>
            <w:jc w:val="center"/>
            <w:rPr>
              <w:rFonts w:asciiTheme="minorHAnsi" w:eastAsiaTheme="minorEastAsia" w:hAnsiTheme="minorHAnsi"/>
              <w:noProof/>
              <w:kern w:val="2"/>
              <w:sz w:val="24"/>
              <w:szCs w:val="24"/>
              <w:lang w:val="en-PK" w:eastAsia="en-PK"/>
              <w14:ligatures w14:val="standardContextual"/>
            </w:rPr>
          </w:pPr>
          <w:hyperlink w:anchor="_Toc235546529" w:history="1">
            <w:r w:rsidRPr="000572B4">
              <w:rPr>
                <w:rStyle w:val="Hyperlink"/>
                <w:noProof/>
              </w:rPr>
              <w:t>2. Evaluation of Existing Systems</w:t>
            </w:r>
            <w:r>
              <w:rPr>
                <w:noProof/>
                <w:webHidden/>
              </w:rPr>
              <w:tab/>
            </w:r>
            <w:r>
              <w:rPr>
                <w:noProof/>
                <w:webHidden/>
              </w:rPr>
              <w:fldChar w:fldCharType="begin"/>
            </w:r>
            <w:r>
              <w:rPr>
                <w:noProof/>
                <w:webHidden/>
              </w:rPr>
              <w:instrText xml:space="preserve"> PAGEREF _Toc235546529 \h </w:instrText>
            </w:r>
            <w:r>
              <w:rPr>
                <w:noProof/>
                <w:webHidden/>
              </w:rPr>
            </w:r>
            <w:r>
              <w:rPr>
                <w:noProof/>
                <w:webHidden/>
              </w:rPr>
              <w:fldChar w:fldCharType="separate"/>
            </w:r>
            <w:r w:rsidR="008958B8">
              <w:rPr>
                <w:noProof/>
                <w:webHidden/>
              </w:rPr>
              <w:t>2</w:t>
            </w:r>
            <w:r>
              <w:rPr>
                <w:noProof/>
                <w:webHidden/>
              </w:rPr>
              <w:fldChar w:fldCharType="end"/>
            </w:r>
          </w:hyperlink>
        </w:p>
        <w:p w14:paraId="4DF95040" w14:textId="4175C772" w:rsidR="00E81231" w:rsidRDefault="00E81231" w:rsidP="00E81231">
          <w:pPr>
            <w:pStyle w:val="TOC2"/>
            <w:tabs>
              <w:tab w:val="right" w:leader="dot" w:pos="9782"/>
            </w:tabs>
            <w:jc w:val="center"/>
            <w:rPr>
              <w:rFonts w:asciiTheme="minorHAnsi" w:eastAsiaTheme="minorEastAsia" w:hAnsiTheme="minorHAnsi"/>
              <w:noProof/>
              <w:kern w:val="2"/>
              <w:sz w:val="24"/>
              <w:szCs w:val="24"/>
              <w:lang w:val="en-PK" w:eastAsia="en-PK"/>
              <w14:ligatures w14:val="standardContextual"/>
            </w:rPr>
          </w:pPr>
          <w:hyperlink w:anchor="_Toc235546530" w:history="1">
            <w:r w:rsidRPr="000572B4">
              <w:rPr>
                <w:rStyle w:val="Hyperlink"/>
                <w:noProof/>
              </w:rPr>
              <w:t>2.1 Operational and Customer-Facing Weaknesses</w:t>
            </w:r>
            <w:r>
              <w:rPr>
                <w:noProof/>
                <w:webHidden/>
              </w:rPr>
              <w:tab/>
            </w:r>
            <w:r>
              <w:rPr>
                <w:noProof/>
                <w:webHidden/>
              </w:rPr>
              <w:fldChar w:fldCharType="begin"/>
            </w:r>
            <w:r>
              <w:rPr>
                <w:noProof/>
                <w:webHidden/>
              </w:rPr>
              <w:instrText xml:space="preserve"> PAGEREF _Toc235546530 \h </w:instrText>
            </w:r>
            <w:r>
              <w:rPr>
                <w:noProof/>
                <w:webHidden/>
              </w:rPr>
            </w:r>
            <w:r>
              <w:rPr>
                <w:noProof/>
                <w:webHidden/>
              </w:rPr>
              <w:fldChar w:fldCharType="separate"/>
            </w:r>
            <w:r w:rsidR="008958B8">
              <w:rPr>
                <w:noProof/>
                <w:webHidden/>
              </w:rPr>
              <w:t>2</w:t>
            </w:r>
            <w:r>
              <w:rPr>
                <w:noProof/>
                <w:webHidden/>
              </w:rPr>
              <w:fldChar w:fldCharType="end"/>
            </w:r>
          </w:hyperlink>
        </w:p>
        <w:p w14:paraId="70888B20" w14:textId="7B67D36B" w:rsidR="00E81231" w:rsidRDefault="00E81231" w:rsidP="00E81231">
          <w:pPr>
            <w:pStyle w:val="TOC2"/>
            <w:tabs>
              <w:tab w:val="right" w:leader="dot" w:pos="9782"/>
            </w:tabs>
            <w:jc w:val="center"/>
            <w:rPr>
              <w:rFonts w:asciiTheme="minorHAnsi" w:eastAsiaTheme="minorEastAsia" w:hAnsiTheme="minorHAnsi"/>
              <w:noProof/>
              <w:kern w:val="2"/>
              <w:sz w:val="24"/>
              <w:szCs w:val="24"/>
              <w:lang w:val="en-PK" w:eastAsia="en-PK"/>
              <w14:ligatures w14:val="standardContextual"/>
            </w:rPr>
          </w:pPr>
          <w:hyperlink w:anchor="_Toc235546531" w:history="1">
            <w:r w:rsidRPr="000572B4">
              <w:rPr>
                <w:rStyle w:val="Hyperlink"/>
                <w:noProof/>
              </w:rPr>
              <w:t>2.2 Management Information, Integration and Control</w:t>
            </w:r>
            <w:r>
              <w:rPr>
                <w:noProof/>
                <w:webHidden/>
              </w:rPr>
              <w:tab/>
            </w:r>
            <w:r>
              <w:rPr>
                <w:noProof/>
                <w:webHidden/>
              </w:rPr>
              <w:fldChar w:fldCharType="begin"/>
            </w:r>
            <w:r>
              <w:rPr>
                <w:noProof/>
                <w:webHidden/>
              </w:rPr>
              <w:instrText xml:space="preserve"> PAGEREF _Toc235546531 \h </w:instrText>
            </w:r>
            <w:r>
              <w:rPr>
                <w:noProof/>
                <w:webHidden/>
              </w:rPr>
            </w:r>
            <w:r>
              <w:rPr>
                <w:noProof/>
                <w:webHidden/>
              </w:rPr>
              <w:fldChar w:fldCharType="separate"/>
            </w:r>
            <w:r w:rsidR="008958B8">
              <w:rPr>
                <w:noProof/>
                <w:webHidden/>
              </w:rPr>
              <w:t>2</w:t>
            </w:r>
            <w:r>
              <w:rPr>
                <w:noProof/>
                <w:webHidden/>
              </w:rPr>
              <w:fldChar w:fldCharType="end"/>
            </w:r>
          </w:hyperlink>
        </w:p>
        <w:p w14:paraId="414E4FB3" w14:textId="093C4224" w:rsidR="00E81231" w:rsidRDefault="00E81231" w:rsidP="00E81231">
          <w:pPr>
            <w:pStyle w:val="TOC2"/>
            <w:tabs>
              <w:tab w:val="right" w:leader="dot" w:pos="9782"/>
            </w:tabs>
            <w:jc w:val="center"/>
            <w:rPr>
              <w:rFonts w:asciiTheme="minorHAnsi" w:eastAsiaTheme="minorEastAsia" w:hAnsiTheme="minorHAnsi"/>
              <w:noProof/>
              <w:kern w:val="2"/>
              <w:sz w:val="24"/>
              <w:szCs w:val="24"/>
              <w:lang w:val="en-PK" w:eastAsia="en-PK"/>
              <w14:ligatures w14:val="standardContextual"/>
            </w:rPr>
          </w:pPr>
          <w:hyperlink w:anchor="_Toc235546532" w:history="1">
            <w:r w:rsidRPr="000572B4">
              <w:rPr>
                <w:rStyle w:val="Hyperlink"/>
                <w:noProof/>
              </w:rPr>
              <w:t>2.3 Critical Evaluation of Strategic Options</w:t>
            </w:r>
            <w:r>
              <w:rPr>
                <w:noProof/>
                <w:webHidden/>
              </w:rPr>
              <w:tab/>
            </w:r>
            <w:r>
              <w:rPr>
                <w:noProof/>
                <w:webHidden/>
              </w:rPr>
              <w:fldChar w:fldCharType="begin"/>
            </w:r>
            <w:r>
              <w:rPr>
                <w:noProof/>
                <w:webHidden/>
              </w:rPr>
              <w:instrText xml:space="preserve"> PAGEREF _Toc235546532 \h </w:instrText>
            </w:r>
            <w:r>
              <w:rPr>
                <w:noProof/>
                <w:webHidden/>
              </w:rPr>
            </w:r>
            <w:r>
              <w:rPr>
                <w:noProof/>
                <w:webHidden/>
              </w:rPr>
              <w:fldChar w:fldCharType="separate"/>
            </w:r>
            <w:r w:rsidR="008958B8">
              <w:rPr>
                <w:noProof/>
                <w:webHidden/>
              </w:rPr>
              <w:t>3</w:t>
            </w:r>
            <w:r>
              <w:rPr>
                <w:noProof/>
                <w:webHidden/>
              </w:rPr>
              <w:fldChar w:fldCharType="end"/>
            </w:r>
          </w:hyperlink>
        </w:p>
        <w:p w14:paraId="74545047" w14:textId="7C26C86D" w:rsidR="00E81231" w:rsidRDefault="00E81231" w:rsidP="00E81231">
          <w:pPr>
            <w:pStyle w:val="TOC1"/>
            <w:tabs>
              <w:tab w:val="right" w:leader="dot" w:pos="9782"/>
            </w:tabs>
            <w:jc w:val="center"/>
            <w:rPr>
              <w:rFonts w:asciiTheme="minorHAnsi" w:eastAsiaTheme="minorEastAsia" w:hAnsiTheme="minorHAnsi"/>
              <w:noProof/>
              <w:kern w:val="2"/>
              <w:sz w:val="24"/>
              <w:szCs w:val="24"/>
              <w:lang w:val="en-PK" w:eastAsia="en-PK"/>
              <w14:ligatures w14:val="standardContextual"/>
            </w:rPr>
          </w:pPr>
          <w:hyperlink w:anchor="_Toc235546533" w:history="1">
            <w:r w:rsidRPr="000572B4">
              <w:rPr>
                <w:rStyle w:val="Hyperlink"/>
                <w:noProof/>
              </w:rPr>
              <w:t>3. Recommended Solution</w:t>
            </w:r>
            <w:r>
              <w:rPr>
                <w:noProof/>
                <w:webHidden/>
              </w:rPr>
              <w:tab/>
            </w:r>
            <w:r>
              <w:rPr>
                <w:noProof/>
                <w:webHidden/>
              </w:rPr>
              <w:fldChar w:fldCharType="begin"/>
            </w:r>
            <w:r>
              <w:rPr>
                <w:noProof/>
                <w:webHidden/>
              </w:rPr>
              <w:instrText xml:space="preserve"> PAGEREF _Toc235546533 \h </w:instrText>
            </w:r>
            <w:r>
              <w:rPr>
                <w:noProof/>
                <w:webHidden/>
              </w:rPr>
            </w:r>
            <w:r>
              <w:rPr>
                <w:noProof/>
                <w:webHidden/>
              </w:rPr>
              <w:fldChar w:fldCharType="separate"/>
            </w:r>
            <w:r w:rsidR="008958B8">
              <w:rPr>
                <w:noProof/>
                <w:webHidden/>
              </w:rPr>
              <w:t>4</w:t>
            </w:r>
            <w:r>
              <w:rPr>
                <w:noProof/>
                <w:webHidden/>
              </w:rPr>
              <w:fldChar w:fldCharType="end"/>
            </w:r>
          </w:hyperlink>
        </w:p>
        <w:p w14:paraId="6198B438" w14:textId="431B7BB3" w:rsidR="00E81231" w:rsidRDefault="00E81231" w:rsidP="00E81231">
          <w:pPr>
            <w:pStyle w:val="TOC2"/>
            <w:tabs>
              <w:tab w:val="right" w:leader="dot" w:pos="9782"/>
            </w:tabs>
            <w:jc w:val="center"/>
            <w:rPr>
              <w:rFonts w:asciiTheme="minorHAnsi" w:eastAsiaTheme="minorEastAsia" w:hAnsiTheme="minorHAnsi"/>
              <w:noProof/>
              <w:kern w:val="2"/>
              <w:sz w:val="24"/>
              <w:szCs w:val="24"/>
              <w:lang w:val="en-PK" w:eastAsia="en-PK"/>
              <w14:ligatures w14:val="standardContextual"/>
            </w:rPr>
          </w:pPr>
          <w:hyperlink w:anchor="_Toc235546534" w:history="1">
            <w:r w:rsidRPr="000572B4">
              <w:rPr>
                <w:rStyle w:val="Hyperlink"/>
                <w:noProof/>
              </w:rPr>
              <w:t>3.1 Modular Cloud ERP and Omnichannel Operations</w:t>
            </w:r>
            <w:r>
              <w:rPr>
                <w:noProof/>
                <w:webHidden/>
              </w:rPr>
              <w:tab/>
            </w:r>
            <w:r>
              <w:rPr>
                <w:noProof/>
                <w:webHidden/>
              </w:rPr>
              <w:fldChar w:fldCharType="begin"/>
            </w:r>
            <w:r>
              <w:rPr>
                <w:noProof/>
                <w:webHidden/>
              </w:rPr>
              <w:instrText xml:space="preserve"> PAGEREF _Toc235546534 \h </w:instrText>
            </w:r>
            <w:r>
              <w:rPr>
                <w:noProof/>
                <w:webHidden/>
              </w:rPr>
            </w:r>
            <w:r>
              <w:rPr>
                <w:noProof/>
                <w:webHidden/>
              </w:rPr>
              <w:fldChar w:fldCharType="separate"/>
            </w:r>
            <w:r w:rsidR="008958B8">
              <w:rPr>
                <w:noProof/>
                <w:webHidden/>
              </w:rPr>
              <w:t>4</w:t>
            </w:r>
            <w:r>
              <w:rPr>
                <w:noProof/>
                <w:webHidden/>
              </w:rPr>
              <w:fldChar w:fldCharType="end"/>
            </w:r>
          </w:hyperlink>
        </w:p>
        <w:p w14:paraId="3A46AF12" w14:textId="0100F6FA" w:rsidR="00E81231" w:rsidRDefault="00E81231" w:rsidP="00E81231">
          <w:pPr>
            <w:pStyle w:val="TOC2"/>
            <w:tabs>
              <w:tab w:val="right" w:leader="dot" w:pos="9782"/>
            </w:tabs>
            <w:jc w:val="center"/>
            <w:rPr>
              <w:rFonts w:asciiTheme="minorHAnsi" w:eastAsiaTheme="minorEastAsia" w:hAnsiTheme="minorHAnsi"/>
              <w:noProof/>
              <w:kern w:val="2"/>
              <w:sz w:val="24"/>
              <w:szCs w:val="24"/>
              <w:lang w:val="en-PK" w:eastAsia="en-PK"/>
              <w14:ligatures w14:val="standardContextual"/>
            </w:rPr>
          </w:pPr>
          <w:hyperlink w:anchor="_Toc235546535" w:history="1">
            <w:r w:rsidRPr="000572B4">
              <w:rPr>
                <w:rStyle w:val="Hyperlink"/>
                <w:noProof/>
              </w:rPr>
              <w:t>3.2 CRM, Business Intelligence and Data Governance</w:t>
            </w:r>
            <w:r>
              <w:rPr>
                <w:noProof/>
                <w:webHidden/>
              </w:rPr>
              <w:tab/>
            </w:r>
            <w:r>
              <w:rPr>
                <w:noProof/>
                <w:webHidden/>
              </w:rPr>
              <w:fldChar w:fldCharType="begin"/>
            </w:r>
            <w:r>
              <w:rPr>
                <w:noProof/>
                <w:webHidden/>
              </w:rPr>
              <w:instrText xml:space="preserve"> PAGEREF _Toc235546535 \h </w:instrText>
            </w:r>
            <w:r>
              <w:rPr>
                <w:noProof/>
                <w:webHidden/>
              </w:rPr>
            </w:r>
            <w:r>
              <w:rPr>
                <w:noProof/>
                <w:webHidden/>
              </w:rPr>
              <w:fldChar w:fldCharType="separate"/>
            </w:r>
            <w:r w:rsidR="008958B8">
              <w:rPr>
                <w:noProof/>
                <w:webHidden/>
              </w:rPr>
              <w:t>4</w:t>
            </w:r>
            <w:r>
              <w:rPr>
                <w:noProof/>
                <w:webHidden/>
              </w:rPr>
              <w:fldChar w:fldCharType="end"/>
            </w:r>
          </w:hyperlink>
        </w:p>
        <w:p w14:paraId="44B72081" w14:textId="5298CF22" w:rsidR="00E81231" w:rsidRDefault="00E81231" w:rsidP="00E81231">
          <w:pPr>
            <w:pStyle w:val="TOC2"/>
            <w:tabs>
              <w:tab w:val="right" w:leader="dot" w:pos="9782"/>
            </w:tabs>
            <w:jc w:val="center"/>
            <w:rPr>
              <w:rFonts w:asciiTheme="minorHAnsi" w:eastAsiaTheme="minorEastAsia" w:hAnsiTheme="minorHAnsi"/>
              <w:noProof/>
              <w:kern w:val="2"/>
              <w:sz w:val="24"/>
              <w:szCs w:val="24"/>
              <w:lang w:val="en-PK" w:eastAsia="en-PK"/>
              <w14:ligatures w14:val="standardContextual"/>
            </w:rPr>
          </w:pPr>
          <w:hyperlink w:anchor="_Toc235546536" w:history="1">
            <w:r w:rsidRPr="000572B4">
              <w:rPr>
                <w:rStyle w:val="Hyperlink"/>
                <w:noProof/>
              </w:rPr>
              <w:t>3.3 Security, Ethics, Sustainability and Business Value</w:t>
            </w:r>
            <w:r>
              <w:rPr>
                <w:noProof/>
                <w:webHidden/>
              </w:rPr>
              <w:tab/>
            </w:r>
            <w:r>
              <w:rPr>
                <w:noProof/>
                <w:webHidden/>
              </w:rPr>
              <w:fldChar w:fldCharType="begin"/>
            </w:r>
            <w:r>
              <w:rPr>
                <w:noProof/>
                <w:webHidden/>
              </w:rPr>
              <w:instrText xml:space="preserve"> PAGEREF _Toc235546536 \h </w:instrText>
            </w:r>
            <w:r>
              <w:rPr>
                <w:noProof/>
                <w:webHidden/>
              </w:rPr>
            </w:r>
            <w:r>
              <w:rPr>
                <w:noProof/>
                <w:webHidden/>
              </w:rPr>
              <w:fldChar w:fldCharType="separate"/>
            </w:r>
            <w:r w:rsidR="008958B8">
              <w:rPr>
                <w:noProof/>
                <w:webHidden/>
              </w:rPr>
              <w:t>5</w:t>
            </w:r>
            <w:r>
              <w:rPr>
                <w:noProof/>
                <w:webHidden/>
              </w:rPr>
              <w:fldChar w:fldCharType="end"/>
            </w:r>
          </w:hyperlink>
        </w:p>
        <w:p w14:paraId="4066BBF8" w14:textId="3CB21F9B" w:rsidR="00E81231" w:rsidRDefault="00E81231" w:rsidP="00E81231">
          <w:pPr>
            <w:pStyle w:val="TOC2"/>
            <w:tabs>
              <w:tab w:val="right" w:leader="dot" w:pos="9782"/>
            </w:tabs>
            <w:jc w:val="center"/>
            <w:rPr>
              <w:rFonts w:asciiTheme="minorHAnsi" w:eastAsiaTheme="minorEastAsia" w:hAnsiTheme="minorHAnsi"/>
              <w:noProof/>
              <w:kern w:val="2"/>
              <w:sz w:val="24"/>
              <w:szCs w:val="24"/>
              <w:lang w:val="en-PK" w:eastAsia="en-PK"/>
              <w14:ligatures w14:val="standardContextual"/>
            </w:rPr>
          </w:pPr>
          <w:hyperlink w:anchor="_Toc235546537" w:history="1">
            <w:r w:rsidRPr="000572B4">
              <w:rPr>
                <w:rStyle w:val="Hyperlink"/>
                <w:noProof/>
              </w:rPr>
              <w:t>3.4 Limitations and Decision Boundaries</w:t>
            </w:r>
            <w:r>
              <w:rPr>
                <w:noProof/>
                <w:webHidden/>
              </w:rPr>
              <w:tab/>
            </w:r>
            <w:r>
              <w:rPr>
                <w:noProof/>
                <w:webHidden/>
              </w:rPr>
              <w:fldChar w:fldCharType="begin"/>
            </w:r>
            <w:r>
              <w:rPr>
                <w:noProof/>
                <w:webHidden/>
              </w:rPr>
              <w:instrText xml:space="preserve"> PAGEREF _Toc235546537 \h </w:instrText>
            </w:r>
            <w:r>
              <w:rPr>
                <w:noProof/>
                <w:webHidden/>
              </w:rPr>
            </w:r>
            <w:r>
              <w:rPr>
                <w:noProof/>
                <w:webHidden/>
              </w:rPr>
              <w:fldChar w:fldCharType="separate"/>
            </w:r>
            <w:r w:rsidR="008958B8">
              <w:rPr>
                <w:noProof/>
                <w:webHidden/>
              </w:rPr>
              <w:t>5</w:t>
            </w:r>
            <w:r>
              <w:rPr>
                <w:noProof/>
                <w:webHidden/>
              </w:rPr>
              <w:fldChar w:fldCharType="end"/>
            </w:r>
          </w:hyperlink>
        </w:p>
        <w:p w14:paraId="40460165" w14:textId="0127C7CA" w:rsidR="00E81231" w:rsidRDefault="00E81231" w:rsidP="00E81231">
          <w:pPr>
            <w:pStyle w:val="TOC1"/>
            <w:tabs>
              <w:tab w:val="right" w:leader="dot" w:pos="9782"/>
            </w:tabs>
            <w:jc w:val="center"/>
            <w:rPr>
              <w:rFonts w:asciiTheme="minorHAnsi" w:eastAsiaTheme="minorEastAsia" w:hAnsiTheme="minorHAnsi"/>
              <w:noProof/>
              <w:kern w:val="2"/>
              <w:sz w:val="24"/>
              <w:szCs w:val="24"/>
              <w:lang w:val="en-PK" w:eastAsia="en-PK"/>
              <w14:ligatures w14:val="standardContextual"/>
            </w:rPr>
          </w:pPr>
          <w:hyperlink w:anchor="_Toc235546538" w:history="1">
            <w:r w:rsidRPr="000572B4">
              <w:rPr>
                <w:rStyle w:val="Hyperlink"/>
                <w:noProof/>
              </w:rPr>
              <w:t>4. Implementation Plan</w:t>
            </w:r>
            <w:r>
              <w:rPr>
                <w:noProof/>
                <w:webHidden/>
              </w:rPr>
              <w:tab/>
            </w:r>
            <w:r>
              <w:rPr>
                <w:noProof/>
                <w:webHidden/>
              </w:rPr>
              <w:fldChar w:fldCharType="begin"/>
            </w:r>
            <w:r>
              <w:rPr>
                <w:noProof/>
                <w:webHidden/>
              </w:rPr>
              <w:instrText xml:space="preserve"> PAGEREF _Toc235546538 \h </w:instrText>
            </w:r>
            <w:r>
              <w:rPr>
                <w:noProof/>
                <w:webHidden/>
              </w:rPr>
            </w:r>
            <w:r>
              <w:rPr>
                <w:noProof/>
                <w:webHidden/>
              </w:rPr>
              <w:fldChar w:fldCharType="separate"/>
            </w:r>
            <w:r w:rsidR="008958B8">
              <w:rPr>
                <w:noProof/>
                <w:webHidden/>
              </w:rPr>
              <w:t>6</w:t>
            </w:r>
            <w:r>
              <w:rPr>
                <w:noProof/>
                <w:webHidden/>
              </w:rPr>
              <w:fldChar w:fldCharType="end"/>
            </w:r>
          </w:hyperlink>
        </w:p>
        <w:p w14:paraId="58B05389" w14:textId="4DD74515" w:rsidR="00E81231" w:rsidRDefault="00E81231" w:rsidP="00E81231">
          <w:pPr>
            <w:pStyle w:val="TOC2"/>
            <w:tabs>
              <w:tab w:val="right" w:leader="dot" w:pos="9782"/>
            </w:tabs>
            <w:jc w:val="center"/>
            <w:rPr>
              <w:rFonts w:asciiTheme="minorHAnsi" w:eastAsiaTheme="minorEastAsia" w:hAnsiTheme="minorHAnsi"/>
              <w:noProof/>
              <w:kern w:val="2"/>
              <w:sz w:val="24"/>
              <w:szCs w:val="24"/>
              <w:lang w:val="en-PK" w:eastAsia="en-PK"/>
              <w14:ligatures w14:val="standardContextual"/>
            </w:rPr>
          </w:pPr>
          <w:hyperlink w:anchor="_Toc235546539" w:history="1">
            <w:r w:rsidRPr="000572B4">
              <w:rPr>
                <w:rStyle w:val="Hyperlink"/>
                <w:noProof/>
              </w:rPr>
              <w:t>4.1 Governance and Phased Delivery</w:t>
            </w:r>
            <w:r>
              <w:rPr>
                <w:noProof/>
                <w:webHidden/>
              </w:rPr>
              <w:tab/>
            </w:r>
            <w:r>
              <w:rPr>
                <w:noProof/>
                <w:webHidden/>
              </w:rPr>
              <w:fldChar w:fldCharType="begin"/>
            </w:r>
            <w:r>
              <w:rPr>
                <w:noProof/>
                <w:webHidden/>
              </w:rPr>
              <w:instrText xml:space="preserve"> PAGEREF _Toc235546539 \h </w:instrText>
            </w:r>
            <w:r>
              <w:rPr>
                <w:noProof/>
                <w:webHidden/>
              </w:rPr>
            </w:r>
            <w:r>
              <w:rPr>
                <w:noProof/>
                <w:webHidden/>
              </w:rPr>
              <w:fldChar w:fldCharType="separate"/>
            </w:r>
            <w:r w:rsidR="008958B8">
              <w:rPr>
                <w:noProof/>
                <w:webHidden/>
              </w:rPr>
              <w:t>6</w:t>
            </w:r>
            <w:r>
              <w:rPr>
                <w:noProof/>
                <w:webHidden/>
              </w:rPr>
              <w:fldChar w:fldCharType="end"/>
            </w:r>
          </w:hyperlink>
        </w:p>
        <w:p w14:paraId="7F81926C" w14:textId="63AE8EC1" w:rsidR="00E81231" w:rsidRDefault="00E81231" w:rsidP="00E81231">
          <w:pPr>
            <w:pStyle w:val="TOC2"/>
            <w:tabs>
              <w:tab w:val="right" w:leader="dot" w:pos="9782"/>
            </w:tabs>
            <w:jc w:val="center"/>
            <w:rPr>
              <w:rFonts w:asciiTheme="minorHAnsi" w:eastAsiaTheme="minorEastAsia" w:hAnsiTheme="minorHAnsi"/>
              <w:noProof/>
              <w:kern w:val="2"/>
              <w:sz w:val="24"/>
              <w:szCs w:val="24"/>
              <w:lang w:val="en-PK" w:eastAsia="en-PK"/>
              <w14:ligatures w14:val="standardContextual"/>
            </w:rPr>
          </w:pPr>
          <w:hyperlink w:anchor="_Toc235546540" w:history="1">
            <w:r w:rsidRPr="000572B4">
              <w:rPr>
                <w:rStyle w:val="Hyperlink"/>
                <w:noProof/>
              </w:rPr>
              <w:t>4.2 Change, Risk and Benefits Realisation</w:t>
            </w:r>
            <w:r>
              <w:rPr>
                <w:noProof/>
                <w:webHidden/>
              </w:rPr>
              <w:tab/>
            </w:r>
            <w:r>
              <w:rPr>
                <w:noProof/>
                <w:webHidden/>
              </w:rPr>
              <w:fldChar w:fldCharType="begin"/>
            </w:r>
            <w:r>
              <w:rPr>
                <w:noProof/>
                <w:webHidden/>
              </w:rPr>
              <w:instrText xml:space="preserve"> PAGEREF _Toc235546540 \h </w:instrText>
            </w:r>
            <w:r>
              <w:rPr>
                <w:noProof/>
                <w:webHidden/>
              </w:rPr>
            </w:r>
            <w:r>
              <w:rPr>
                <w:noProof/>
                <w:webHidden/>
              </w:rPr>
              <w:fldChar w:fldCharType="separate"/>
            </w:r>
            <w:r w:rsidR="008958B8">
              <w:rPr>
                <w:noProof/>
                <w:webHidden/>
              </w:rPr>
              <w:t>6</w:t>
            </w:r>
            <w:r>
              <w:rPr>
                <w:noProof/>
                <w:webHidden/>
              </w:rPr>
              <w:fldChar w:fldCharType="end"/>
            </w:r>
          </w:hyperlink>
        </w:p>
        <w:p w14:paraId="28DB2967" w14:textId="35EF42F1" w:rsidR="00E81231" w:rsidRDefault="00E81231" w:rsidP="00E81231">
          <w:pPr>
            <w:pStyle w:val="TOC2"/>
            <w:tabs>
              <w:tab w:val="right" w:leader="dot" w:pos="9782"/>
            </w:tabs>
            <w:jc w:val="center"/>
            <w:rPr>
              <w:rFonts w:asciiTheme="minorHAnsi" w:eastAsiaTheme="minorEastAsia" w:hAnsiTheme="minorHAnsi"/>
              <w:noProof/>
              <w:kern w:val="2"/>
              <w:sz w:val="24"/>
              <w:szCs w:val="24"/>
              <w:lang w:val="en-PK" w:eastAsia="en-PK"/>
              <w14:ligatures w14:val="standardContextual"/>
            </w:rPr>
          </w:pPr>
          <w:hyperlink w:anchor="_Toc235546541" w:history="1">
            <w:r w:rsidRPr="000572B4">
              <w:rPr>
                <w:rStyle w:val="Hyperlink"/>
                <w:noProof/>
              </w:rPr>
              <w:t>4.3 Review and Continuous Improvement</w:t>
            </w:r>
            <w:r>
              <w:rPr>
                <w:noProof/>
                <w:webHidden/>
              </w:rPr>
              <w:tab/>
            </w:r>
            <w:r>
              <w:rPr>
                <w:noProof/>
                <w:webHidden/>
              </w:rPr>
              <w:fldChar w:fldCharType="begin"/>
            </w:r>
            <w:r>
              <w:rPr>
                <w:noProof/>
                <w:webHidden/>
              </w:rPr>
              <w:instrText xml:space="preserve"> PAGEREF _Toc235546541 \h </w:instrText>
            </w:r>
            <w:r>
              <w:rPr>
                <w:noProof/>
                <w:webHidden/>
              </w:rPr>
            </w:r>
            <w:r>
              <w:rPr>
                <w:noProof/>
                <w:webHidden/>
              </w:rPr>
              <w:fldChar w:fldCharType="separate"/>
            </w:r>
            <w:r w:rsidR="008958B8">
              <w:rPr>
                <w:noProof/>
                <w:webHidden/>
              </w:rPr>
              <w:t>7</w:t>
            </w:r>
            <w:r>
              <w:rPr>
                <w:noProof/>
                <w:webHidden/>
              </w:rPr>
              <w:fldChar w:fldCharType="end"/>
            </w:r>
          </w:hyperlink>
        </w:p>
        <w:p w14:paraId="7AD02B1B" w14:textId="3D5EE20A" w:rsidR="00E81231" w:rsidRDefault="00E81231" w:rsidP="00E81231">
          <w:pPr>
            <w:pStyle w:val="TOC1"/>
            <w:tabs>
              <w:tab w:val="right" w:leader="dot" w:pos="9782"/>
            </w:tabs>
            <w:jc w:val="center"/>
            <w:rPr>
              <w:rFonts w:asciiTheme="minorHAnsi" w:eastAsiaTheme="minorEastAsia" w:hAnsiTheme="minorHAnsi"/>
              <w:noProof/>
              <w:kern w:val="2"/>
              <w:sz w:val="24"/>
              <w:szCs w:val="24"/>
              <w:lang w:val="en-PK" w:eastAsia="en-PK"/>
              <w14:ligatures w14:val="standardContextual"/>
            </w:rPr>
          </w:pPr>
          <w:hyperlink w:anchor="_Toc235546542" w:history="1">
            <w:r w:rsidRPr="000572B4">
              <w:rPr>
                <w:rStyle w:val="Hyperlink"/>
                <w:noProof/>
              </w:rPr>
              <w:t>5. Conclusion</w:t>
            </w:r>
            <w:r>
              <w:rPr>
                <w:noProof/>
                <w:webHidden/>
              </w:rPr>
              <w:tab/>
            </w:r>
            <w:r>
              <w:rPr>
                <w:noProof/>
                <w:webHidden/>
              </w:rPr>
              <w:fldChar w:fldCharType="begin"/>
            </w:r>
            <w:r>
              <w:rPr>
                <w:noProof/>
                <w:webHidden/>
              </w:rPr>
              <w:instrText xml:space="preserve"> PAGEREF _Toc235546542 \h </w:instrText>
            </w:r>
            <w:r>
              <w:rPr>
                <w:noProof/>
                <w:webHidden/>
              </w:rPr>
            </w:r>
            <w:r>
              <w:rPr>
                <w:noProof/>
                <w:webHidden/>
              </w:rPr>
              <w:fldChar w:fldCharType="separate"/>
            </w:r>
            <w:r w:rsidR="008958B8">
              <w:rPr>
                <w:noProof/>
                <w:webHidden/>
              </w:rPr>
              <w:t>7</w:t>
            </w:r>
            <w:r>
              <w:rPr>
                <w:noProof/>
                <w:webHidden/>
              </w:rPr>
              <w:fldChar w:fldCharType="end"/>
            </w:r>
          </w:hyperlink>
        </w:p>
        <w:p w14:paraId="1F12B115" w14:textId="77095455" w:rsidR="00E81231" w:rsidRDefault="00E81231" w:rsidP="00E81231">
          <w:pPr>
            <w:pStyle w:val="TOC1"/>
            <w:tabs>
              <w:tab w:val="right" w:leader="dot" w:pos="9782"/>
            </w:tabs>
            <w:jc w:val="center"/>
            <w:rPr>
              <w:rFonts w:asciiTheme="minorHAnsi" w:eastAsiaTheme="minorEastAsia" w:hAnsiTheme="minorHAnsi"/>
              <w:noProof/>
              <w:kern w:val="2"/>
              <w:sz w:val="24"/>
              <w:szCs w:val="24"/>
              <w:lang w:val="en-PK" w:eastAsia="en-PK"/>
              <w14:ligatures w14:val="standardContextual"/>
            </w:rPr>
          </w:pPr>
          <w:hyperlink w:anchor="_Toc235546543" w:history="1">
            <w:r w:rsidRPr="000572B4">
              <w:rPr>
                <w:rStyle w:val="Hyperlink"/>
                <w:noProof/>
              </w:rPr>
              <w:t>References</w:t>
            </w:r>
            <w:r>
              <w:rPr>
                <w:noProof/>
                <w:webHidden/>
              </w:rPr>
              <w:tab/>
            </w:r>
            <w:r>
              <w:rPr>
                <w:noProof/>
                <w:webHidden/>
              </w:rPr>
              <w:fldChar w:fldCharType="begin"/>
            </w:r>
            <w:r>
              <w:rPr>
                <w:noProof/>
                <w:webHidden/>
              </w:rPr>
              <w:instrText xml:space="preserve"> PAGEREF _Toc235546543 \h </w:instrText>
            </w:r>
            <w:r>
              <w:rPr>
                <w:noProof/>
                <w:webHidden/>
              </w:rPr>
            </w:r>
            <w:r>
              <w:rPr>
                <w:noProof/>
                <w:webHidden/>
              </w:rPr>
              <w:fldChar w:fldCharType="separate"/>
            </w:r>
            <w:r w:rsidR="008958B8">
              <w:rPr>
                <w:noProof/>
                <w:webHidden/>
              </w:rPr>
              <w:t>8</w:t>
            </w:r>
            <w:r>
              <w:rPr>
                <w:noProof/>
                <w:webHidden/>
              </w:rPr>
              <w:fldChar w:fldCharType="end"/>
            </w:r>
          </w:hyperlink>
        </w:p>
        <w:p w14:paraId="42F8A083" w14:textId="2B20394A" w:rsidR="00E81231" w:rsidRDefault="00E81231" w:rsidP="00E81231">
          <w:pPr>
            <w:jc w:val="center"/>
          </w:pPr>
          <w:r>
            <w:rPr>
              <w:b/>
              <w:bCs/>
              <w:noProof/>
            </w:rPr>
            <w:fldChar w:fldCharType="end"/>
          </w:r>
        </w:p>
      </w:sdtContent>
    </w:sdt>
    <w:p w14:paraId="0EEEF48B" w14:textId="77777777" w:rsidR="00E81231" w:rsidRDefault="00E81231">
      <w:pPr>
        <w:spacing w:after="200" w:line="276" w:lineRule="auto"/>
        <w:rPr>
          <w:rFonts w:asciiTheme="minorBidi" w:eastAsiaTheme="majorEastAsia" w:hAnsiTheme="minorBidi"/>
          <w:b/>
          <w:bCs/>
        </w:rPr>
      </w:pPr>
      <w:bookmarkStart w:id="0" w:name="_Toc235546528"/>
      <w:r>
        <w:br w:type="page"/>
      </w:r>
    </w:p>
    <w:p w14:paraId="1646A396" w14:textId="3D30A9CD" w:rsidR="002B318F" w:rsidRPr="00474B2E" w:rsidRDefault="00FC6B1B" w:rsidP="00474B2E">
      <w:pPr>
        <w:pStyle w:val="Heading1"/>
      </w:pPr>
      <w:r w:rsidRPr="00474B2E">
        <w:rPr>
          <w:rFonts w:ascii="Arial" w:eastAsia="Arial" w:hAnsi="Arial"/>
        </w:rPr>
        <w:lastRenderedPageBreak/>
        <w:t>1. Introduction</w:t>
      </w:r>
      <w:bookmarkEnd w:id="0"/>
    </w:p>
    <w:p w14:paraId="4FC88E87" w14:textId="7C952F57" w:rsidR="00474B2E" w:rsidRPr="00474B2E" w:rsidRDefault="00474B2E" w:rsidP="00474B2E">
      <w:pPr>
        <w:jc w:val="both"/>
        <w:rPr>
          <w:rFonts w:asciiTheme="minorBidi" w:hAnsiTheme="minorBidi"/>
        </w:rPr>
      </w:pPr>
      <w:r>
        <w:rPr>
          <w:rFonts w:asciiTheme="minorBidi" w:hAnsiTheme="minorBidi"/>
        </w:rPr>
        <w:t>Maldiva Ltd. is a fast-growing consumer-electronics retailer with 30 stores and an online platform, but its operational information systems have not developed in line with demand. Manual inventory records, disconnected customer databases, spreadsheet reporting, inadequate access controls and repeated data entry cause stockouts, overstocking, refunds, fulfilment delays and unreliable management information. These failures are interconnected: inaccurate transactions distort reports, fragmented records weaken customer service, and poor governance creates legal and reputational risk.</w:t>
      </w:r>
    </w:p>
    <w:p w14:paraId="707FCF3F" w14:textId="586FB010" w:rsidR="002B318F" w:rsidRPr="00474B2E" w:rsidRDefault="00474B2E" w:rsidP="00474B2E">
      <w:pPr>
        <w:jc w:val="both"/>
        <w:rPr>
          <w:rFonts w:asciiTheme="minorBidi" w:hAnsiTheme="minorBidi"/>
        </w:rPr>
      </w:pPr>
      <w:r>
        <w:rPr>
          <w:rFonts w:asciiTheme="minorBidi" w:hAnsiTheme="minorBidi"/>
        </w:rPr>
        <w:t>An information system is not merely software; it is an organised combination of people, processes, data and technology that converts transactions into information for coordination, control and decision-making (Laudon and Laudon, 2022). Accordingly, this proposal evaluates Maldiva's transaction-processing, customer, reporting and security arrangements and recommends a modular cloud enterprise resource planning (ERP) system integrating omnichannel inventory, order management, customer relationship management (CRM), business intelligence (BI) and finance. The objective is a controlled single source of truth rather than technology replacement without business justification.</w:t>
      </w:r>
    </w:p>
    <w:p w14:paraId="723E9327" w14:textId="77777777" w:rsidR="002B318F" w:rsidRPr="00474B2E" w:rsidRDefault="00FC6B1B" w:rsidP="00474B2E">
      <w:pPr>
        <w:pStyle w:val="Heading1"/>
      </w:pPr>
      <w:bookmarkStart w:id="1" w:name="_Toc235546529"/>
      <w:r w:rsidRPr="00474B2E">
        <w:rPr>
          <w:rFonts w:ascii="Arial" w:eastAsia="Arial" w:hAnsi="Arial"/>
        </w:rPr>
        <w:t>2. Evaluation of Existing Systems</w:t>
      </w:r>
      <w:bookmarkEnd w:id="1"/>
    </w:p>
    <w:p w14:paraId="65A03554" w14:textId="77777777" w:rsidR="002B318F" w:rsidRPr="00474B2E" w:rsidRDefault="00FC6B1B" w:rsidP="00474B2E">
      <w:pPr>
        <w:pStyle w:val="Heading2"/>
      </w:pPr>
      <w:bookmarkStart w:id="2" w:name="_Toc235546530"/>
      <w:r w:rsidRPr="00474B2E">
        <w:rPr>
          <w:rFonts w:ascii="Arial" w:eastAsia="Arial" w:hAnsi="Arial"/>
        </w:rPr>
        <w:t>2.1 Operational and Customer-Facing Weaknesses</w:t>
      </w:r>
      <w:bookmarkEnd w:id="2"/>
    </w:p>
    <w:p w14:paraId="7F3757B2" w14:textId="77777777" w:rsidR="00474B2E" w:rsidRPr="00474B2E" w:rsidRDefault="00474B2E" w:rsidP="00474B2E">
      <w:pPr>
        <w:jc w:val="both"/>
        <w:rPr>
          <w:rFonts w:asciiTheme="minorBidi" w:hAnsiTheme="minorBidi"/>
        </w:rPr>
      </w:pPr>
      <w:r>
        <w:rPr>
          <w:rFonts w:asciiTheme="minorBidi" w:hAnsiTheme="minorBidi"/>
        </w:rPr>
        <w:t>Maldiva's manual inventory arrangement is an ineffective transaction-processing system. Sales, returns, transfers, damaged goods and online reservations are not recorded consistently at source, so reported availability may differ from physical stock. Employees consequently investigate discrepancies, customers experience cancellations, and managers retain excessive safety stock. In omnichannel retail, stores also function as fulfilment centres; therefore, stock visibility, order allocation, replenishment and returns must be coordinated across the whole network rather than managed separately by channel (Hübner, Hense and Dethlefs, 2022).</w:t>
      </w:r>
    </w:p>
    <w:p w14:paraId="5977E3FC" w14:textId="092C5475" w:rsidR="002B318F" w:rsidRPr="00474B2E" w:rsidRDefault="00474B2E" w:rsidP="00474B2E">
      <w:pPr>
        <w:jc w:val="both"/>
        <w:rPr>
          <w:rFonts w:asciiTheme="minorBidi" w:hAnsiTheme="minorBidi"/>
        </w:rPr>
      </w:pPr>
      <w:r>
        <w:rPr>
          <w:rFonts w:asciiTheme="minorBidi" w:hAnsiTheme="minorBidi"/>
        </w:rPr>
        <w:t>The current CRM arrangement is similarly decentralised. Marketing holds email preferences, e-commerce retains orders, and customer service records complaints separately. Without a common customer identifier, employees cannot establish a complete purchase and service history or distinguish emerging loyalty from isolated transactions. The consequences include generic promotions, duplicated communication and delayed complaint resolution. Marketing commitments and operational capacity must be coordinated because disconnected inventory and service data can allow aggressive campaigns to increase stockouts and returns (Bijmolt et al., 2021).</w:t>
      </w:r>
    </w:p>
    <w:p w14:paraId="67721F2C" w14:textId="77777777" w:rsidR="002B318F" w:rsidRPr="00474B2E" w:rsidRDefault="00FC6B1B" w:rsidP="00474B2E">
      <w:pPr>
        <w:pStyle w:val="Heading2"/>
      </w:pPr>
      <w:bookmarkStart w:id="3" w:name="_Toc235546531"/>
      <w:r w:rsidRPr="00474B2E">
        <w:rPr>
          <w:rFonts w:ascii="Arial" w:eastAsia="Arial" w:hAnsi="Arial"/>
        </w:rPr>
        <w:t>2.2 Management Information, Integration and Control</w:t>
      </w:r>
      <w:bookmarkEnd w:id="3"/>
    </w:p>
    <w:p w14:paraId="3E76E931" w14:textId="6B5C7C27" w:rsidR="00474B2E" w:rsidRPr="00474B2E" w:rsidRDefault="00474B2E" w:rsidP="00474B2E">
      <w:pPr>
        <w:jc w:val="both"/>
        <w:rPr>
          <w:rFonts w:asciiTheme="minorBidi" w:hAnsiTheme="minorBidi"/>
        </w:rPr>
      </w:pPr>
      <w:r>
        <w:rPr>
          <w:rFonts w:asciiTheme="minorBidi" w:hAnsiTheme="minorBidi"/>
        </w:rPr>
        <w:t xml:space="preserve">Spreadsheets provide flexibility but are unsuitable as Maldiva's principal management information system. Manual extracts create version conflicts, formula errors and reporting delays, so executives </w:t>
      </w:r>
      <w:r>
        <w:rPr>
          <w:rFonts w:asciiTheme="minorBidi" w:hAnsiTheme="minorBidi"/>
        </w:rPr>
        <w:lastRenderedPageBreak/>
        <w:t>receive retrospective totals rather than timely exception information. Forecasts are then developed from inconsistent product, store and customer definitions. A BI dashboard alone cannot correct these weaknesses because analytics creates value only when reliable data is combined with appropriate managerial routines and operational capabilities (Mikalef et al., 2020a).</w:t>
      </w:r>
    </w:p>
    <w:p w14:paraId="72DCD271" w14:textId="51E27CA4" w:rsidR="00474B2E" w:rsidRPr="00474B2E" w:rsidRDefault="00474B2E" w:rsidP="00474B2E">
      <w:pPr>
        <w:jc w:val="both"/>
        <w:rPr>
          <w:rFonts w:asciiTheme="minorBidi" w:hAnsiTheme="minorBidi"/>
        </w:rPr>
      </w:pPr>
      <w:r>
        <w:rPr>
          <w:rFonts w:asciiTheme="minorBidi" w:hAnsiTheme="minorBidi"/>
        </w:rPr>
        <w:t>Fragmentation also exists between departmental applications. Labour requirements and mismatch risks increase when one online sale is re-entered into inventory, finance and customer-service systems. The absence of shared master data also obscures accountability for correcting errors. Data ownership, common standards and explicit decision rights determine whether information is reusable and trustworthy; information governance is therefore a business requirement rather than an administrative preference (Mikalef et al., 2020b).</w:t>
      </w:r>
    </w:p>
    <w:p w14:paraId="47DB16BB" w14:textId="1C822A7F" w:rsidR="002B318F" w:rsidRPr="00474B2E" w:rsidRDefault="00474B2E" w:rsidP="00474B2E">
      <w:pPr>
        <w:jc w:val="both"/>
        <w:rPr>
          <w:rFonts w:asciiTheme="minorBidi" w:hAnsiTheme="minorBidi"/>
        </w:rPr>
      </w:pPr>
      <w:r>
        <w:rPr>
          <w:rFonts w:asciiTheme="minorBidi" w:hAnsiTheme="minorBidi"/>
        </w:rPr>
        <w:t>Security controls are currently reactive. Least-privilege access, retention rules, audit trails and deletion are difficult to enforce across dispersed files. The concern is ethical as well as legal: excessive collection, opaque profiling and access beyond occupational need can undermine customer trust even without a reported breach. Privacy by Design must therefore operate throughout the information lifecycle rather than being added after system configuration (Bu et al., 2020).</w:t>
      </w:r>
    </w:p>
    <w:p w14:paraId="3B03EDA8" w14:textId="77777777" w:rsidR="002B318F" w:rsidRPr="00474B2E" w:rsidRDefault="00FC6B1B" w:rsidP="00474B2E">
      <w:pPr>
        <w:pStyle w:val="Heading2"/>
      </w:pPr>
      <w:bookmarkStart w:id="4" w:name="_Toc235546532"/>
      <w:r w:rsidRPr="00474B2E">
        <w:rPr>
          <w:rFonts w:ascii="Arial" w:eastAsia="Arial" w:hAnsi="Arial"/>
        </w:rPr>
        <w:t>2.3 Critical Evaluation of Strategic Options</w:t>
      </w:r>
      <w:bookmarkEnd w:id="4"/>
    </w:p>
    <w:p w14:paraId="477E35A0" w14:textId="77777777" w:rsidR="00474B2E" w:rsidRPr="00474B2E" w:rsidRDefault="00474B2E" w:rsidP="00474B2E">
      <w:pPr>
        <w:jc w:val="both"/>
        <w:rPr>
          <w:rFonts w:asciiTheme="minorBidi" w:hAnsiTheme="minorBidi"/>
        </w:rPr>
      </w:pPr>
      <w:r>
        <w:rPr>
          <w:rFonts w:asciiTheme="minorBidi" w:hAnsiTheme="minorBidi"/>
        </w:rPr>
        <w:t>The three options were assessed against functional fit, integration, scalability, total cost, implementation risk and control. Patching existing tools offers limited disruption but retains duplicate data and hidden manual costs. Best-of-breed inventory, CRM and analytics applications provide specialist capability, but increase interface, vendor-management and data-reconciliation complexity. A heavily customised integrated system could standardise processes but would be difficult to upgrade and dependent on bespoke development. ERP research identifies implementation, integration, user participation, decision-making and risk management as recurring concerns; consequently, the preferred architecture should combine integration with disciplined scope and controlled configuration (Martins and Belfo, 2023). The integrated option is therefore superior only if standard processes satisfy most requirements; otherwise, specialist applications may remain preferable where distinctive capability creates measurable value.</w:t>
      </w:r>
    </w:p>
    <w:p w14:paraId="20C12B30" w14:textId="480925D1" w:rsidR="002B318F" w:rsidRPr="00474B2E" w:rsidRDefault="002B318F" w:rsidP="00474B2E">
      <w:pPr>
        <w:jc w:val="both"/>
        <w:rPr>
          <w:rFonts w:asciiTheme="minorBidi" w:hAnsiTheme="minorBidi"/>
        </w:rPr>
      </w:pPr>
    </w:p>
    <w:p w14:paraId="73CD4CAC" w14:textId="77777777" w:rsidR="00474B2E" w:rsidRPr="00474B2E" w:rsidRDefault="00474B2E" w:rsidP="00474B2E">
      <w:pPr>
        <w:jc w:val="both"/>
        <w:rPr>
          <w:rFonts w:asciiTheme="minorBidi" w:hAnsiTheme="minorBidi"/>
        </w:rPr>
      </w:pPr>
    </w:p>
    <w:p w14:paraId="69C2D922" w14:textId="77777777" w:rsidR="00474B2E" w:rsidRPr="00474B2E" w:rsidRDefault="00474B2E" w:rsidP="00474B2E">
      <w:pPr>
        <w:jc w:val="both"/>
        <w:rPr>
          <w:rFonts w:asciiTheme="minorBidi" w:hAnsiTheme="minorBidi"/>
        </w:rPr>
      </w:pPr>
    </w:p>
    <w:p w14:paraId="67AD7DD7" w14:textId="77777777" w:rsidR="00474B2E" w:rsidRPr="00474B2E" w:rsidRDefault="00474B2E" w:rsidP="00474B2E">
      <w:pPr>
        <w:jc w:val="both"/>
        <w:rPr>
          <w:rFonts w:asciiTheme="minorBidi" w:hAnsiTheme="minorBidi"/>
        </w:rPr>
      </w:pPr>
    </w:p>
    <w:tbl>
      <w:tblPr>
        <w:tblStyle w:val="TableGrid"/>
        <w:tblW w:w="0" w:type="auto"/>
        <w:tblLayout w:type="fixed"/>
        <w:tblLook w:val="04A0" w:firstRow="1" w:lastRow="0" w:firstColumn="1" w:lastColumn="0" w:noHBand="0" w:noVBand="1"/>
      </w:tblPr>
      <w:tblGrid>
        <w:gridCol w:w="1800"/>
        <w:gridCol w:w="2376"/>
        <w:gridCol w:w="3096"/>
        <w:gridCol w:w="2475"/>
      </w:tblGrid>
      <w:tr w:rsidR="002B318F" w:rsidRPr="00474B2E" w14:paraId="0071B155" w14:textId="77777777" w:rsidTr="00474B2E">
        <w:trPr>
          <w:cantSplit/>
        </w:trPr>
        <w:tc>
          <w:tcPr>
            <w:tcW w:w="1800" w:type="dxa"/>
          </w:tcPr>
          <w:p w14:paraId="2DA28C28" w14:textId="77777777" w:rsidR="002B318F" w:rsidRPr="00474B2E" w:rsidRDefault="00FC6B1B">
            <w:pPr>
              <w:keepNext/>
              <w:spacing w:after="0"/>
              <w:jc w:val="center"/>
              <w:rPr>
                <w:rFonts w:asciiTheme="minorBidi" w:hAnsiTheme="minorBidi"/>
              </w:rPr>
            </w:pPr>
            <w:r w:rsidRPr="00474B2E">
              <w:rPr>
                <w:rFonts w:asciiTheme="minorBidi" w:hAnsiTheme="minorBidi"/>
                <w:b/>
              </w:rPr>
              <w:lastRenderedPageBreak/>
              <w:t>Option</w:t>
            </w:r>
          </w:p>
        </w:tc>
        <w:tc>
          <w:tcPr>
            <w:tcW w:w="2376" w:type="dxa"/>
          </w:tcPr>
          <w:p w14:paraId="4FE7AB74" w14:textId="77777777" w:rsidR="002B318F" w:rsidRPr="00474B2E" w:rsidRDefault="00FC6B1B">
            <w:pPr>
              <w:keepNext/>
              <w:spacing w:after="0"/>
              <w:jc w:val="center"/>
              <w:rPr>
                <w:rFonts w:asciiTheme="minorBidi" w:hAnsiTheme="minorBidi"/>
              </w:rPr>
            </w:pPr>
            <w:r w:rsidRPr="00474B2E">
              <w:rPr>
                <w:rFonts w:asciiTheme="minorBidi" w:hAnsiTheme="minorBidi"/>
                <w:b/>
              </w:rPr>
              <w:t>Immediate attraction</w:t>
            </w:r>
          </w:p>
        </w:tc>
        <w:tc>
          <w:tcPr>
            <w:tcW w:w="3096" w:type="dxa"/>
          </w:tcPr>
          <w:p w14:paraId="05A96194" w14:textId="77777777" w:rsidR="002B318F" w:rsidRPr="00474B2E" w:rsidRDefault="00FC6B1B">
            <w:pPr>
              <w:keepNext/>
              <w:spacing w:after="0"/>
              <w:jc w:val="center"/>
              <w:rPr>
                <w:rFonts w:asciiTheme="minorBidi" w:hAnsiTheme="minorBidi"/>
              </w:rPr>
            </w:pPr>
            <w:r w:rsidRPr="00474B2E">
              <w:rPr>
                <w:rFonts w:asciiTheme="minorBidi" w:hAnsiTheme="minorBidi"/>
                <w:b/>
              </w:rPr>
              <w:t>Critical limitation</w:t>
            </w:r>
          </w:p>
        </w:tc>
        <w:tc>
          <w:tcPr>
            <w:tcW w:w="2475" w:type="dxa"/>
          </w:tcPr>
          <w:p w14:paraId="4E111579" w14:textId="77777777" w:rsidR="002B318F" w:rsidRPr="00474B2E" w:rsidRDefault="00FC6B1B">
            <w:pPr>
              <w:keepNext/>
              <w:spacing w:after="0"/>
              <w:jc w:val="center"/>
              <w:rPr>
                <w:rFonts w:asciiTheme="minorBidi" w:hAnsiTheme="minorBidi"/>
              </w:rPr>
            </w:pPr>
            <w:r w:rsidRPr="00474B2E">
              <w:rPr>
                <w:rFonts w:asciiTheme="minorBidi" w:hAnsiTheme="minorBidi"/>
                <w:b/>
              </w:rPr>
              <w:t>Judgement</w:t>
            </w:r>
          </w:p>
        </w:tc>
      </w:tr>
      <w:tr w:rsidR="002B318F" w:rsidRPr="00474B2E" w14:paraId="3104088F" w14:textId="77777777" w:rsidTr="00474B2E">
        <w:trPr>
          <w:cantSplit/>
        </w:trPr>
        <w:tc>
          <w:tcPr>
            <w:tcW w:w="1800" w:type="dxa"/>
          </w:tcPr>
          <w:p w14:paraId="24ACAC59" w14:textId="77777777" w:rsidR="002B318F" w:rsidRPr="00474B2E" w:rsidRDefault="00FC6B1B">
            <w:pPr>
              <w:keepNext/>
              <w:spacing w:after="0"/>
              <w:rPr>
                <w:rFonts w:asciiTheme="minorBidi" w:hAnsiTheme="minorBidi"/>
              </w:rPr>
            </w:pPr>
            <w:r>
              <w:rPr>
                <w:sz w:val="20"/>
              </w:rPr>
              <w:t>Patch existing systems</w:t>
            </w:r>
          </w:p>
        </w:tc>
        <w:tc>
          <w:tcPr>
            <w:tcW w:w="2376" w:type="dxa"/>
          </w:tcPr>
          <w:p w14:paraId="0F5C9B18" w14:textId="77777777" w:rsidR="002B318F" w:rsidRPr="00474B2E" w:rsidRDefault="00FC6B1B">
            <w:pPr>
              <w:keepNext/>
              <w:spacing w:after="0"/>
              <w:rPr>
                <w:rFonts w:asciiTheme="minorBidi" w:hAnsiTheme="minorBidi"/>
              </w:rPr>
            </w:pPr>
            <w:r>
              <w:rPr>
                <w:sz w:val="20"/>
              </w:rPr>
              <w:t>Limited initial disruption</w:t>
            </w:r>
          </w:p>
        </w:tc>
        <w:tc>
          <w:tcPr>
            <w:tcW w:w="3096" w:type="dxa"/>
          </w:tcPr>
          <w:p w14:paraId="6EB68EA4" w14:textId="77777777" w:rsidR="002B318F" w:rsidRPr="00474B2E" w:rsidRDefault="00FC6B1B">
            <w:pPr>
              <w:keepNext/>
              <w:spacing w:after="0"/>
              <w:rPr>
                <w:rFonts w:asciiTheme="minorBidi" w:hAnsiTheme="minorBidi"/>
              </w:rPr>
            </w:pPr>
            <w:r>
              <w:rPr>
                <w:sz w:val="20"/>
              </w:rPr>
              <w:t>Duplication and manual controls remain</w:t>
            </w:r>
          </w:p>
        </w:tc>
        <w:tc>
          <w:tcPr>
            <w:tcW w:w="2475" w:type="dxa"/>
          </w:tcPr>
          <w:p w14:paraId="6C8B247F" w14:textId="77777777" w:rsidR="002B318F" w:rsidRPr="00474B2E" w:rsidRDefault="00FC6B1B">
            <w:pPr>
              <w:keepNext/>
              <w:spacing w:after="0"/>
              <w:rPr>
                <w:rFonts w:asciiTheme="minorBidi" w:hAnsiTheme="minorBidi"/>
              </w:rPr>
            </w:pPr>
            <w:r>
              <w:rPr>
                <w:sz w:val="20"/>
              </w:rPr>
              <w:t>Reject</w:t>
            </w:r>
          </w:p>
        </w:tc>
      </w:tr>
      <w:tr w:rsidR="002B318F" w:rsidRPr="00474B2E" w14:paraId="7DBA65FC" w14:textId="77777777" w:rsidTr="00474B2E">
        <w:trPr>
          <w:cantSplit/>
        </w:trPr>
        <w:tc>
          <w:tcPr>
            <w:tcW w:w="1800" w:type="dxa"/>
          </w:tcPr>
          <w:p w14:paraId="02C92980" w14:textId="77777777" w:rsidR="002B318F" w:rsidRPr="00474B2E" w:rsidRDefault="00FC6B1B">
            <w:pPr>
              <w:keepNext/>
              <w:spacing w:after="0"/>
              <w:rPr>
                <w:rFonts w:asciiTheme="minorBidi" w:hAnsiTheme="minorBidi"/>
              </w:rPr>
            </w:pPr>
            <w:r>
              <w:rPr>
                <w:sz w:val="20"/>
              </w:rPr>
              <w:t>Specialist applications</w:t>
            </w:r>
          </w:p>
        </w:tc>
        <w:tc>
          <w:tcPr>
            <w:tcW w:w="2376" w:type="dxa"/>
          </w:tcPr>
          <w:p w14:paraId="7A49B4EA" w14:textId="77777777" w:rsidR="002B318F" w:rsidRPr="00474B2E" w:rsidRDefault="00FC6B1B">
            <w:pPr>
              <w:keepNext/>
              <w:spacing w:after="0"/>
              <w:rPr>
                <w:rFonts w:asciiTheme="minorBidi" w:hAnsiTheme="minorBidi"/>
              </w:rPr>
            </w:pPr>
            <w:r>
              <w:rPr>
                <w:sz w:val="20"/>
              </w:rPr>
              <w:t>Strong specialist functionality</w:t>
            </w:r>
          </w:p>
        </w:tc>
        <w:tc>
          <w:tcPr>
            <w:tcW w:w="3096" w:type="dxa"/>
          </w:tcPr>
          <w:p w14:paraId="78AE75A9" w14:textId="77777777" w:rsidR="002B318F" w:rsidRPr="00474B2E" w:rsidRDefault="00FC6B1B">
            <w:pPr>
              <w:keepNext/>
              <w:spacing w:after="0"/>
              <w:rPr>
                <w:rFonts w:asciiTheme="minorBidi" w:hAnsiTheme="minorBidi"/>
              </w:rPr>
            </w:pPr>
            <w:r>
              <w:rPr>
                <w:sz w:val="20"/>
              </w:rPr>
              <w:t>Integration and vendor complexity</w:t>
            </w:r>
          </w:p>
        </w:tc>
        <w:tc>
          <w:tcPr>
            <w:tcW w:w="2475" w:type="dxa"/>
          </w:tcPr>
          <w:p w14:paraId="57E4C084" w14:textId="77777777" w:rsidR="002B318F" w:rsidRPr="00474B2E" w:rsidRDefault="00FC6B1B">
            <w:pPr>
              <w:keepNext/>
              <w:spacing w:after="0"/>
              <w:rPr>
                <w:rFonts w:asciiTheme="minorBidi" w:hAnsiTheme="minorBidi"/>
              </w:rPr>
            </w:pPr>
            <w:r>
              <w:rPr>
                <w:sz w:val="20"/>
              </w:rPr>
              <w:t>Conditional alternative</w:t>
            </w:r>
          </w:p>
        </w:tc>
      </w:tr>
      <w:tr w:rsidR="002B318F" w:rsidRPr="00474B2E" w14:paraId="70F13EFE" w14:textId="77777777" w:rsidTr="00474B2E">
        <w:trPr>
          <w:cantSplit/>
        </w:trPr>
        <w:tc>
          <w:tcPr>
            <w:tcW w:w="1800" w:type="dxa"/>
          </w:tcPr>
          <w:p w14:paraId="72E7732C" w14:textId="77777777" w:rsidR="002B318F" w:rsidRPr="00474B2E" w:rsidRDefault="00FC6B1B">
            <w:pPr>
              <w:spacing w:after="0"/>
              <w:rPr>
                <w:rFonts w:asciiTheme="minorBidi" w:hAnsiTheme="minorBidi"/>
              </w:rPr>
            </w:pPr>
            <w:r>
              <w:rPr>
                <w:sz w:val="20"/>
              </w:rPr>
              <w:t>Integrated cloud ERP</w:t>
            </w:r>
          </w:p>
        </w:tc>
        <w:tc>
          <w:tcPr>
            <w:tcW w:w="2376" w:type="dxa"/>
          </w:tcPr>
          <w:p w14:paraId="343A5E4A" w14:textId="77777777" w:rsidR="002B318F" w:rsidRPr="00474B2E" w:rsidRDefault="00FC6B1B">
            <w:pPr>
              <w:spacing w:after="0"/>
              <w:rPr>
                <w:rFonts w:asciiTheme="minorBidi" w:hAnsiTheme="minorBidi"/>
              </w:rPr>
            </w:pPr>
            <w:r>
              <w:rPr>
                <w:sz w:val="20"/>
              </w:rPr>
              <w:t>Integrated, scalable workflows</w:t>
            </w:r>
          </w:p>
        </w:tc>
        <w:tc>
          <w:tcPr>
            <w:tcW w:w="3096" w:type="dxa"/>
          </w:tcPr>
          <w:p w14:paraId="3E4007BD" w14:textId="77777777" w:rsidR="002B318F" w:rsidRPr="00474B2E" w:rsidRDefault="00FC6B1B">
            <w:pPr>
              <w:spacing w:after="0"/>
              <w:rPr>
                <w:rFonts w:asciiTheme="minorBidi" w:hAnsiTheme="minorBidi"/>
              </w:rPr>
            </w:pPr>
            <w:r>
              <w:rPr>
                <w:sz w:val="20"/>
              </w:rPr>
              <w:t>Greater implementation effort</w:t>
            </w:r>
          </w:p>
        </w:tc>
        <w:tc>
          <w:tcPr>
            <w:tcW w:w="2475" w:type="dxa"/>
          </w:tcPr>
          <w:p w14:paraId="3975A2BF" w14:textId="77777777" w:rsidR="002B318F" w:rsidRPr="00474B2E" w:rsidRDefault="00FC6B1B">
            <w:pPr>
              <w:spacing w:after="0"/>
              <w:rPr>
                <w:rFonts w:asciiTheme="minorBidi" w:hAnsiTheme="minorBidi"/>
              </w:rPr>
            </w:pPr>
            <w:r>
              <w:rPr>
                <w:sz w:val="20"/>
              </w:rPr>
              <w:t>Recommend with phased governance</w:t>
            </w:r>
          </w:p>
        </w:tc>
      </w:tr>
    </w:tbl>
    <w:p w14:paraId="720A8CA8" w14:textId="77777777" w:rsidR="002B318F" w:rsidRPr="00474B2E" w:rsidRDefault="002B318F">
      <w:pPr>
        <w:spacing w:after="40"/>
        <w:rPr>
          <w:rFonts w:asciiTheme="minorBidi" w:hAnsiTheme="minorBidi"/>
        </w:rPr>
      </w:pPr>
    </w:p>
    <w:p w14:paraId="19C308F0" w14:textId="77777777" w:rsidR="002B318F" w:rsidRPr="00474B2E" w:rsidRDefault="00FC6B1B" w:rsidP="00474B2E">
      <w:pPr>
        <w:pStyle w:val="Heading1"/>
      </w:pPr>
      <w:bookmarkStart w:id="5" w:name="_Toc235546533"/>
      <w:r w:rsidRPr="00474B2E">
        <w:rPr>
          <w:rFonts w:ascii="Arial" w:eastAsia="Arial" w:hAnsi="Arial"/>
        </w:rPr>
        <w:t>3. Recommended Solution</w:t>
      </w:r>
      <w:bookmarkEnd w:id="5"/>
    </w:p>
    <w:p w14:paraId="6A3A950F" w14:textId="77777777" w:rsidR="002B318F" w:rsidRPr="00474B2E" w:rsidRDefault="00FC6B1B" w:rsidP="00474B2E">
      <w:pPr>
        <w:pStyle w:val="Heading2"/>
      </w:pPr>
      <w:bookmarkStart w:id="6" w:name="_Toc235546534"/>
      <w:r w:rsidRPr="00474B2E">
        <w:rPr>
          <w:rFonts w:ascii="Arial" w:eastAsia="Arial" w:hAnsi="Arial"/>
        </w:rPr>
        <w:t>3.1 Modular Cloud ERP and Omnichannel Operations</w:t>
      </w:r>
      <w:bookmarkEnd w:id="6"/>
    </w:p>
    <w:p w14:paraId="38B12524" w14:textId="77777777" w:rsidR="00474B2E" w:rsidRPr="00474B2E" w:rsidRDefault="00474B2E" w:rsidP="00474B2E">
      <w:pPr>
        <w:jc w:val="both"/>
        <w:rPr>
          <w:rFonts w:asciiTheme="minorBidi" w:hAnsiTheme="minorBidi"/>
        </w:rPr>
      </w:pPr>
      <w:r>
        <w:rPr>
          <w:rFonts w:asciiTheme="minorBidi" w:hAnsiTheme="minorBidi"/>
        </w:rPr>
        <w:t>Maldiva should procure a modular cloud ERP platform based on common product, location, supplier, customer and transaction records. Standard application programming interfaces should connect point of sale, e-commerce, purchasing, perpetual inventory, inter-store transfers, returns, order orchestration and finance. Each authorised transaction would update one controlled record. For example, an online order would verify available-to-promise stock, select an appropriate fulfilment location, generate picking activity and post the financial effect without duplicate entry. The shared data model would also support consistent financial reconciliation, responsibility tracking and real-time management reporting across stores and digital channels.</w:t>
      </w:r>
    </w:p>
    <w:p w14:paraId="03BC72DB" w14:textId="7EEA9517" w:rsidR="002B318F" w:rsidRPr="00474B2E" w:rsidRDefault="00474B2E" w:rsidP="00474B2E">
      <w:pPr>
        <w:jc w:val="both"/>
        <w:rPr>
          <w:rFonts w:asciiTheme="minorBidi" w:hAnsiTheme="minorBidi"/>
        </w:rPr>
      </w:pPr>
      <w:r>
        <w:rPr>
          <w:rFonts w:asciiTheme="minorBidi" w:hAnsiTheme="minorBidi"/>
        </w:rPr>
        <w:t>Barcodes should record receipts, sales, transfers, returns and write-offs. Replenishment should initially use transparent rules based on demand, lead time, safety stock and service level, followed by advanced forecasting when data quality is stable. This sequencing avoids automating unreliable historical patterns. Cloud deployment supports additional stores and transaction volumes without major local infrastructure investment, but Maldiva should restrict customisation, negotiate data-portability and exit clauses, and document interfaces to reduce technical debt and vendor lock-in. Scalability should be verified through volume testing, service-level commitments and projected five-year subscription costs rather than accepted from vendor claims.</w:t>
      </w:r>
    </w:p>
    <w:p w14:paraId="6F8EEF68" w14:textId="77777777" w:rsidR="002B318F" w:rsidRPr="00474B2E" w:rsidRDefault="00FC6B1B" w:rsidP="00474B2E">
      <w:pPr>
        <w:pStyle w:val="Heading2"/>
      </w:pPr>
      <w:bookmarkStart w:id="7" w:name="_Toc235546535"/>
      <w:r w:rsidRPr="00474B2E">
        <w:rPr>
          <w:rFonts w:ascii="Arial" w:eastAsia="Arial" w:hAnsi="Arial"/>
        </w:rPr>
        <w:t>3.2 CRM, Business Intelligence and Data Governance</w:t>
      </w:r>
      <w:bookmarkEnd w:id="7"/>
    </w:p>
    <w:p w14:paraId="026C1C22" w14:textId="70BCD14B" w:rsidR="00474B2E" w:rsidRPr="00474B2E" w:rsidRDefault="00474B2E" w:rsidP="00474B2E">
      <w:pPr>
        <w:jc w:val="both"/>
        <w:rPr>
          <w:rFonts w:asciiTheme="minorBidi" w:hAnsiTheme="minorBidi"/>
        </w:rPr>
      </w:pPr>
      <w:r>
        <w:rPr>
          <w:rFonts w:asciiTheme="minorBidi" w:hAnsiTheme="minorBidi"/>
        </w:rPr>
        <w:t xml:space="preserve">Within an integrated CRM, consent, purchases, returns, service cases and campaign responses should be connected to a governed customer profile. Customer-service employees would access a complete history, while marketing could segment customers by relationship recency, product interest and service status. Personalisation should not become unrestricted targeting; it should balance value creation, communication, distribution, data management and customer protection (Hossain, Akter and Yanamandram, 2020). Customers who withhold marketing consent must retain equivalent service, while campaign evaluation should include margin, complaints and opt-outs alongside response rates. </w:t>
      </w:r>
      <w:r>
        <w:rPr>
          <w:rFonts w:asciiTheme="minorBidi" w:hAnsiTheme="minorBidi"/>
        </w:rPr>
        <w:lastRenderedPageBreak/>
        <w:t>Segmentation rules should be documented and periodically reviewed to prevent inaccurate or discriminatory treatment.</w:t>
      </w:r>
    </w:p>
    <w:p w14:paraId="1F9EF179" w14:textId="56AE54A7" w:rsidR="002B318F" w:rsidRPr="00474B2E" w:rsidRDefault="00474B2E" w:rsidP="00474B2E">
      <w:pPr>
        <w:jc w:val="both"/>
        <w:rPr>
          <w:rFonts w:asciiTheme="minorBidi" w:hAnsiTheme="minorBidi"/>
        </w:rPr>
      </w:pPr>
      <w:r>
        <w:rPr>
          <w:rFonts w:asciiTheme="minorBidi" w:hAnsiTheme="minorBidi"/>
        </w:rPr>
        <w:t>The BI layer should provide role-specific, exception-oriented dashboards. Store managers require stock accuracy, unfulfilled orders, returns and local sales; buyers require lead-time variance, stock cover and forecast error; executives require gross margin, working capital, channel profitability and customer satisfaction. Data owners should approve definitions and quality thresholds for products, customers, suppliers and finance. Automated lineage and validation should be introduced gradually because operational data governance is strongest when lifecycle controls are embedded in daily integration (Nadal et al., 2022).</w:t>
      </w:r>
    </w:p>
    <w:p w14:paraId="2FA25FA9" w14:textId="77777777" w:rsidR="002B318F" w:rsidRPr="00474B2E" w:rsidRDefault="00FC6B1B" w:rsidP="00474B2E">
      <w:pPr>
        <w:pStyle w:val="Heading2"/>
      </w:pPr>
      <w:bookmarkStart w:id="8" w:name="_Toc235546536"/>
      <w:r w:rsidRPr="00474B2E">
        <w:rPr>
          <w:rFonts w:ascii="Arial" w:eastAsia="Arial" w:hAnsi="Arial"/>
        </w:rPr>
        <w:t>3.3 Security, Ethics, Sustainability and Business Value</w:t>
      </w:r>
      <w:bookmarkEnd w:id="8"/>
    </w:p>
    <w:p w14:paraId="40845DAA" w14:textId="1C1E0DDB" w:rsidR="00474B2E" w:rsidRPr="00474B2E" w:rsidRDefault="00474B2E" w:rsidP="00474B2E">
      <w:pPr>
        <w:jc w:val="both"/>
        <w:rPr>
          <w:rFonts w:asciiTheme="minorBidi" w:hAnsiTheme="minorBidi"/>
        </w:rPr>
      </w:pPr>
      <w:r>
        <w:rPr>
          <w:rFonts w:asciiTheme="minorBidi" w:hAnsiTheme="minorBidi"/>
        </w:rPr>
        <w:t>Required security controls include role-based access, multi-factor authentication for privileged accounts, encryption, logging, tested backups, vulnerability management and periodic access reviews. Before migration, a data protection impact assessment should define lawful purposes, data minimisation, retention, data-subject rights and incident responsibilities. Ethical control extends beyond formal compliance by applying shared values to data capture, automated decisions, impact review and system refinement (Lobschat et al., 2021). Forecasts and customer segments should therefore be explainable, monitored for error and open to human challenge. Customer-data access should be restricted by role, reviewed regularly and withdrawn promptly when responsibilities change.</w:t>
      </w:r>
    </w:p>
    <w:p w14:paraId="4AA37B12" w14:textId="310A14E1" w:rsidR="002B318F" w:rsidRPr="00474B2E" w:rsidRDefault="00474B2E" w:rsidP="00474B2E">
      <w:pPr>
        <w:jc w:val="both"/>
        <w:rPr>
          <w:rFonts w:asciiTheme="minorBidi" w:hAnsiTheme="minorBidi"/>
        </w:rPr>
      </w:pPr>
      <w:r>
        <w:rPr>
          <w:rFonts w:asciiTheme="minorBidi" w:hAnsiTheme="minorBidi"/>
        </w:rPr>
        <w:t>Sustainability should influence vendor selection and system operation. Maldiva should require energy and carbon reporting, minimise unnecessary data retention, extend device life and dispose of replaced equipment responsibly. Improved stock visibility can reduce emergency transfers, avoid excess inventory and streamline fulfilment. Nevertheless, benefits must be evidenced. The business case should compare subscription, integration, migration, training, support and exit costs against fewer refunds, lower inventory holdings, reduced manual work and recovered sales. Approval should depend on a documented return-on-investment model and sensitivity analysis for lower-than-expected benefits.</w:t>
      </w:r>
    </w:p>
    <w:p w14:paraId="7CB54844" w14:textId="77777777" w:rsidR="002B318F" w:rsidRPr="00474B2E" w:rsidRDefault="00FC6B1B" w:rsidP="00474B2E">
      <w:pPr>
        <w:pStyle w:val="Heading2"/>
      </w:pPr>
      <w:bookmarkStart w:id="9" w:name="_Toc235546537"/>
      <w:r w:rsidRPr="00474B2E">
        <w:rPr>
          <w:rFonts w:ascii="Arial" w:eastAsia="Arial" w:hAnsi="Arial"/>
        </w:rPr>
        <w:t>3.4 Limitations and Decision Boundaries</w:t>
      </w:r>
      <w:bookmarkEnd w:id="9"/>
    </w:p>
    <w:p w14:paraId="51A24AAB" w14:textId="1D304B2F" w:rsidR="002B318F" w:rsidRPr="00474B2E" w:rsidRDefault="00474B2E">
      <w:pPr>
        <w:jc w:val="both"/>
        <w:rPr>
          <w:rFonts w:asciiTheme="minorBidi" w:hAnsiTheme="minorBidi"/>
        </w:rPr>
      </w:pPr>
      <w:r>
        <w:rPr>
          <w:rFonts w:asciiTheme="minorBidi" w:hAnsiTheme="minorBidi"/>
        </w:rPr>
        <w:t xml:space="preserve">The recommendation has important limitations. ERP integration cannot correct stock records when employees bypass scanning, while forecasting cannot eliminate uncertainty arising from promotions, supplier delays or product obsolescence. Customer matching may generate false duplicates, and a cloud outage could affect every store simultaneously. Maldiva should therefore retain cycle counting, exception review, supplier escalation and tested offline procedures. Automated replenishment should operate within value and quantity limits, with buyer approval for unusual decisions. CRM segments require clear justification and procedures for correcting inaccurate profiles. These controls recognise </w:t>
      </w:r>
      <w:r>
        <w:rPr>
          <w:rFonts w:asciiTheme="minorBidi" w:hAnsiTheme="minorBidi"/>
        </w:rPr>
        <w:lastRenderedPageBreak/>
        <w:t>that information quality depends on both system design and human practice. These limitations also justify managerial override and avoidance of fully autonomous decisions during early deployment.</w:t>
      </w:r>
    </w:p>
    <w:p w14:paraId="5A176699" w14:textId="77777777" w:rsidR="002B318F" w:rsidRPr="00474B2E" w:rsidRDefault="00FC6B1B" w:rsidP="00474B2E">
      <w:pPr>
        <w:pStyle w:val="Heading1"/>
      </w:pPr>
      <w:bookmarkStart w:id="10" w:name="_Toc235546538"/>
      <w:r w:rsidRPr="00474B2E">
        <w:rPr>
          <w:rFonts w:ascii="Arial" w:eastAsia="Arial" w:hAnsi="Arial"/>
        </w:rPr>
        <w:t>4. Implementation Plan</w:t>
      </w:r>
      <w:bookmarkEnd w:id="10"/>
    </w:p>
    <w:p w14:paraId="4EC7EBAD" w14:textId="77777777" w:rsidR="002B318F" w:rsidRPr="00474B2E" w:rsidRDefault="00FC6B1B" w:rsidP="00474B2E">
      <w:pPr>
        <w:pStyle w:val="Heading2"/>
      </w:pPr>
      <w:bookmarkStart w:id="11" w:name="_Toc235546539"/>
      <w:r w:rsidRPr="00474B2E">
        <w:rPr>
          <w:rFonts w:ascii="Arial" w:eastAsia="Arial" w:hAnsi="Arial"/>
        </w:rPr>
        <w:t>4.1 Governance and Phased Delivery</w:t>
      </w:r>
      <w:bookmarkEnd w:id="11"/>
    </w:p>
    <w:p w14:paraId="66A91B7F" w14:textId="02C64A43" w:rsidR="002B318F" w:rsidRPr="00474B2E" w:rsidRDefault="00474B2E">
      <w:pPr>
        <w:jc w:val="both"/>
        <w:rPr>
          <w:rFonts w:asciiTheme="minorBidi" w:hAnsiTheme="minorBidi"/>
        </w:rPr>
      </w:pPr>
      <w:r>
        <w:rPr>
          <w:rFonts w:asciiTheme="minorBidi" w:hAnsiTheme="minorBidi"/>
        </w:rPr>
        <w:t>The CEO should sponsor the programme, supported by a steering group representing stores, e-commerce, finance, marketing, customer service, IT and data protection. Top-management support, disciplined project management and user capability are consistently associated with ERP implementation success (Idilbi and Abu-Shanab, 2022). Phase one should map processes, establish performance baselines, define minimum viable scope and assess vendors through scripted retail scenarios. Phase two should configure standard workflows, cleanse master data and design integrations. Phase three should pilot e-commerce and three representative stores before four controlled rollout waves. Each gate should require reconciled inventory and finance, acceptable response times, no critical security defects and trained users. A formal change-control process should prevent optional features from delaying the operational core.</w:t>
      </w:r>
    </w:p>
    <w:p w14:paraId="0090B434" w14:textId="77777777" w:rsidR="002B318F" w:rsidRPr="00474B2E" w:rsidRDefault="00FC6B1B" w:rsidP="00474B2E">
      <w:pPr>
        <w:pStyle w:val="Heading2"/>
      </w:pPr>
      <w:bookmarkStart w:id="12" w:name="_Toc235546540"/>
      <w:r w:rsidRPr="00474B2E">
        <w:rPr>
          <w:rFonts w:ascii="Arial" w:eastAsia="Arial" w:hAnsi="Arial"/>
        </w:rPr>
        <w:t>4.2 Change, Risk and Benefits Realisation</w:t>
      </w:r>
      <w:bookmarkEnd w:id="12"/>
    </w:p>
    <w:p w14:paraId="68FA214B" w14:textId="77777777" w:rsidR="00474B2E" w:rsidRPr="00474B2E" w:rsidRDefault="00474B2E" w:rsidP="00474B2E">
      <w:pPr>
        <w:jc w:val="both"/>
        <w:rPr>
          <w:rFonts w:asciiTheme="minorBidi" w:hAnsiTheme="minorBidi"/>
        </w:rPr>
      </w:pPr>
      <w:r>
        <w:rPr>
          <w:rFonts w:asciiTheme="minorBidi" w:hAnsiTheme="minorBidi"/>
        </w:rPr>
        <w:t>Training must be role- and scenario-based. Super-users should practise stock receipt, partial fulfilment, transfers, returns, failed payments and complaint escalation in a sandbox, followed by on-floor support. Communication should explain changes in responsibilities and performance measures because resistance may reflect workload, control or job-redesign concerns. Testing must cover the complete order-to-cash and return-to-refund processes, supported by repeated migration rehearsals, rollback plans and temporary continuity procedures. Training completion should be assessed through practical competency tests rather than attendance records.</w:t>
      </w:r>
    </w:p>
    <w:p w14:paraId="0C71DC77" w14:textId="4FA480DD" w:rsidR="002B318F" w:rsidRPr="00474B2E" w:rsidRDefault="00474B2E" w:rsidP="00474B2E">
      <w:pPr>
        <w:jc w:val="both"/>
        <w:rPr>
          <w:rFonts w:asciiTheme="minorBidi" w:hAnsiTheme="minorBidi"/>
        </w:rPr>
      </w:pPr>
      <w:r>
        <w:rPr>
          <w:rFonts w:asciiTheme="minorBidi" w:hAnsiTheme="minorBidi"/>
        </w:rPr>
        <w:t>Principal risks include poor data, scope creep, excessive customisation, interface failure, cyber incidents, weak adoption and vendor dependency. Controls should include a design authority, named issue owners, independent security testing, contractual service levels and documented exit arrangements. Benefits should be assigned to accountable managers and compared with pre-implementation baselines for stock accuracy, online cancellations, fulfilment time, inventory days, refund value, forecast error, complaint-resolution time, reporting time, availability and active use. Technical go-live does not complete digital transformation because successful change also reshapes structures and performance measures (Verhoef et al., 2021). Risk owners should report status and residual exposure at every steering-group meeting.</w:t>
      </w:r>
    </w:p>
    <w:p w14:paraId="072384AB" w14:textId="77777777" w:rsidR="002B318F" w:rsidRPr="00474B2E" w:rsidRDefault="00FC6B1B" w:rsidP="00474B2E">
      <w:pPr>
        <w:pStyle w:val="Heading2"/>
      </w:pPr>
      <w:bookmarkStart w:id="13" w:name="_Toc235546541"/>
      <w:r w:rsidRPr="00474B2E">
        <w:rPr>
          <w:rFonts w:ascii="Arial" w:eastAsia="Arial" w:hAnsi="Arial"/>
        </w:rPr>
        <w:lastRenderedPageBreak/>
        <w:t>4.3 Review and Continuous Improvement</w:t>
      </w:r>
      <w:bookmarkEnd w:id="13"/>
    </w:p>
    <w:p w14:paraId="78A559E0" w14:textId="49FAC140" w:rsidR="002B318F" w:rsidRPr="00474B2E" w:rsidRDefault="00474B2E">
      <w:pPr>
        <w:jc w:val="both"/>
        <w:rPr>
          <w:rFonts w:asciiTheme="minorBidi" w:hAnsiTheme="minorBidi"/>
        </w:rPr>
      </w:pPr>
      <w:r>
        <w:rPr>
          <w:rFonts w:asciiTheme="minorBidi" w:hAnsiTheme="minorBidi"/>
        </w:rPr>
        <w:t>The steering group should compare actual results with baseline performance 30, 90 and 180 days after each rollout wave and examine intended and unintended effects. For example, a lower cancellation rate accompanied by excessive transfer costs would require fulfilment rules to be adjusted rather than the rollout being declared successful. User feedback, access exceptions, data-quality defects and support demand should be assessed alongside financial outcomes. Enhancements should enter a prioritised backlog according to business value, risk and compatibility with standard upgrades. This review cycle allows Maldiva to redesign or remove functions that do not deliver measurable value while preserving resilience as channels and product categories expand. Benefits that fail to materialise should trigger corrective action rather than retrospective reclassification of targets.</w:t>
      </w:r>
    </w:p>
    <w:p w14:paraId="7A75EAB2" w14:textId="77777777" w:rsidR="002B318F" w:rsidRPr="00474B2E" w:rsidRDefault="00FC6B1B" w:rsidP="00474B2E">
      <w:pPr>
        <w:pStyle w:val="Heading1"/>
      </w:pPr>
      <w:bookmarkStart w:id="14" w:name="_Toc235546542"/>
      <w:r w:rsidRPr="00474B2E">
        <w:rPr>
          <w:rFonts w:ascii="Arial" w:eastAsia="Arial" w:hAnsi="Arial"/>
        </w:rPr>
        <w:t>5. Conclusion</w:t>
      </w:r>
      <w:bookmarkEnd w:id="14"/>
    </w:p>
    <w:p w14:paraId="18B9A67A" w14:textId="310E8737" w:rsidR="002B318F" w:rsidRPr="00474B2E" w:rsidRDefault="00474B2E">
      <w:pPr>
        <w:jc w:val="both"/>
        <w:rPr>
          <w:rFonts w:asciiTheme="minorBidi" w:hAnsiTheme="minorBidi"/>
        </w:rPr>
      </w:pPr>
      <w:r>
        <w:rPr>
          <w:rFonts w:asciiTheme="minorBidi" w:hAnsiTheme="minorBidi"/>
        </w:rPr>
        <w:t>Maldiva's difficulties reflect outdated software, fragmented processes, unreliable data and weak governance. Patching current tools would preserve these causes, while separate specialist applications would add integration burden. A phased modular cloud ERP offers the strongest fit for growth, coordination and security by integrating omnichannel transactions, CRM, BI and finance. Its success depends on process consistency, clean data, privacy-conscious design, disciplined change management and accountable benefit ownership. A pilot and gated rollout should therefore be used to improve stock reliability, fulfilment, customer service, decision speed and organisational accountability.</w:t>
      </w:r>
    </w:p>
    <w:p w14:paraId="25345AE2" w14:textId="77777777" w:rsidR="002B318F" w:rsidRPr="00474B2E" w:rsidRDefault="002B318F">
      <w:pPr>
        <w:spacing w:before="200" w:after="0"/>
        <w:rPr>
          <w:rFonts w:asciiTheme="minorBidi" w:hAnsiTheme="minorBidi"/>
        </w:rPr>
      </w:pPr>
    </w:p>
    <w:p w14:paraId="06870FAD" w14:textId="77777777" w:rsidR="00474B2E" w:rsidRDefault="00474B2E">
      <w:pPr>
        <w:spacing w:after="200" w:line="276" w:lineRule="auto"/>
        <w:rPr>
          <w:rFonts w:asciiTheme="minorBidi" w:eastAsiaTheme="majorEastAsia" w:hAnsiTheme="minorBidi"/>
          <w:b/>
          <w:bCs/>
        </w:rPr>
      </w:pPr>
      <w:r>
        <w:br w:type="page"/>
      </w:r>
    </w:p>
    <w:p w14:paraId="648F4B4B" w14:textId="1566097F" w:rsidR="002B318F" w:rsidRPr="00474B2E" w:rsidRDefault="00FC6B1B" w:rsidP="00474B2E">
      <w:pPr>
        <w:pStyle w:val="Heading1"/>
      </w:pPr>
      <w:bookmarkStart w:id="15" w:name="_Toc235546543"/>
      <w:r w:rsidRPr="00474B2E">
        <w:rPr>
          <w:rFonts w:ascii="Arial" w:eastAsia="Arial" w:hAnsi="Arial"/>
        </w:rPr>
        <w:lastRenderedPageBreak/>
        <w:t>References</w:t>
      </w:r>
      <w:bookmarkEnd w:id="15"/>
    </w:p>
    <w:p w14:paraId="6848691D" w14:textId="1CDB5727" w:rsidR="002B318F" w:rsidRPr="00474B2E" w:rsidRDefault="00474B2E" w:rsidP="00474B2E">
      <w:pPr>
        <w:spacing w:after="80"/>
        <w:ind w:left="432" w:hanging="432"/>
        <w:rPr>
          <w:rFonts w:asciiTheme="minorBidi" w:hAnsiTheme="minorBidi"/>
        </w:rPr>
      </w:pPr>
      <w:r>
        <w:t xml:space="preserve">Bijmolt, T.H.A., Broekhuis, M., de Leeuw, S., Hirche, C., Rooderkerk, R.P., Sousa, R. and Zhu, S.X. (2021) ‘Challenges at the marketing–operations interface in omni-channel retail environments’, </w:t>
      </w:r>
      <w:r>
        <w:rPr>
          <w:i/>
        </w:rPr>
        <w:t>Journal of Business Research</w:t>
      </w:r>
      <w:r>
        <w:t>, 122, pp. 864–874. doi:10.1016/j.jbusres.2019.11.034.</w:t>
      </w:r>
    </w:p>
    <w:p w14:paraId="3CF57AD1" w14:textId="655541C3" w:rsidR="002B318F" w:rsidRPr="00474B2E" w:rsidRDefault="00474B2E" w:rsidP="00474B2E">
      <w:pPr>
        <w:spacing w:after="80"/>
        <w:ind w:left="432" w:hanging="432"/>
        <w:rPr>
          <w:rFonts w:asciiTheme="minorBidi" w:hAnsiTheme="minorBidi"/>
        </w:rPr>
      </w:pPr>
      <w:r>
        <w:t xml:space="preserve">Bu, F., Wang, N., Jiang, B. and Liang, H. (2020) ‘Privacy by Design implementation: Information system engineers’ perspective’, </w:t>
      </w:r>
      <w:r>
        <w:rPr>
          <w:i/>
        </w:rPr>
        <w:t>International Journal of Information Management</w:t>
      </w:r>
      <w:r>
        <w:t>, 53, 102124. doi:10.1016/j.ijinfomgt.2020.102124.</w:t>
      </w:r>
    </w:p>
    <w:p w14:paraId="30757261" w14:textId="7A17136C" w:rsidR="002B318F" w:rsidRPr="00474B2E" w:rsidRDefault="00474B2E" w:rsidP="00474B2E">
      <w:pPr>
        <w:spacing w:after="80"/>
        <w:ind w:left="432" w:hanging="432"/>
        <w:rPr>
          <w:rFonts w:asciiTheme="minorBidi" w:hAnsiTheme="minorBidi"/>
        </w:rPr>
      </w:pPr>
      <w:r>
        <w:t xml:space="preserve">Hossain, M.A., Akter, S. and Yanamandram, V. (2020) ‘Revisiting customer analytics capability for data-driven retailing’, </w:t>
      </w:r>
      <w:r>
        <w:rPr>
          <w:i/>
        </w:rPr>
        <w:t>Journal of Retailing and Consumer Services</w:t>
      </w:r>
      <w:r>
        <w:t>, 56, 102187. doi:10.1016/j.jretconser.2020.102187.</w:t>
      </w:r>
    </w:p>
    <w:p w14:paraId="24B1AD89" w14:textId="3F348150" w:rsidR="002B318F" w:rsidRPr="00474B2E" w:rsidRDefault="00474B2E" w:rsidP="00474B2E">
      <w:pPr>
        <w:spacing w:after="80"/>
        <w:ind w:left="432" w:hanging="432"/>
        <w:rPr>
          <w:rFonts w:asciiTheme="minorBidi" w:hAnsiTheme="minorBidi"/>
        </w:rPr>
      </w:pPr>
      <w:r>
        <w:t xml:space="preserve">Hübner, A., Hense, J. and Dethlefs, C. (2022) ‘The revival of retail stores via omnichannel operations: A literature review and research framework’, </w:t>
      </w:r>
      <w:r>
        <w:rPr>
          <w:i/>
        </w:rPr>
        <w:t>European Journal of Operational Research</w:t>
      </w:r>
      <w:r>
        <w:t>, 302(3), pp. 799–818. doi:10.1016/j.ejor.2021.12.021.</w:t>
      </w:r>
    </w:p>
    <w:p w14:paraId="4F5B2062" w14:textId="716DD382" w:rsidR="002B318F" w:rsidRPr="00474B2E" w:rsidRDefault="00474B2E" w:rsidP="00474B2E">
      <w:pPr>
        <w:spacing w:after="80"/>
        <w:ind w:left="432" w:hanging="432"/>
        <w:rPr>
          <w:rFonts w:asciiTheme="minorBidi" w:hAnsiTheme="minorBidi"/>
        </w:rPr>
      </w:pPr>
      <w:r>
        <w:t xml:space="preserve">Idilbi, M. and Abu-Shanab, E.A. (2022) ‘Critical success factors for ERP implementation: Two directions focusing on employee perceptions in Qatar’, </w:t>
      </w:r>
      <w:r>
        <w:rPr>
          <w:i/>
        </w:rPr>
        <w:t>International Journal of Technology and Human Interaction</w:t>
      </w:r>
      <w:r>
        <w:t>, 18(1), pp. 1–22.</w:t>
      </w:r>
    </w:p>
    <w:p w14:paraId="75F6319B" w14:textId="77777777" w:rsidR="002B318F" w:rsidRPr="00474B2E" w:rsidRDefault="00FC6B1B">
      <w:pPr>
        <w:spacing w:after="80"/>
        <w:ind w:left="432" w:hanging="432"/>
        <w:rPr>
          <w:rFonts w:asciiTheme="minorBidi" w:hAnsiTheme="minorBidi"/>
        </w:rPr>
      </w:pPr>
      <w:r>
        <w:t xml:space="preserve">Laudon, K.C. and Laudon, J.P. (2022) </w:t>
      </w:r>
      <w:r>
        <w:rPr>
          <w:i/>
        </w:rPr>
        <w:t>Management Information Systems: Managing the Digital Firm</w:t>
      </w:r>
      <w:r>
        <w:t>. 17th edn. Harlow: Pearson.</w:t>
      </w:r>
    </w:p>
    <w:p w14:paraId="00D9F7A1" w14:textId="300463DB" w:rsidR="002B318F" w:rsidRPr="00474B2E" w:rsidRDefault="00474B2E" w:rsidP="00474B2E">
      <w:pPr>
        <w:spacing w:after="80"/>
        <w:ind w:left="432" w:hanging="432"/>
        <w:rPr>
          <w:rFonts w:asciiTheme="minorBidi" w:hAnsiTheme="minorBidi"/>
        </w:rPr>
      </w:pPr>
      <w:r>
        <w:t xml:space="preserve">Lobschat, L., Mueller, B., Eggers, F., Brandimarte, L., Diefenbach, S., Kroschke, M. and Wirtz, J. (2021) ‘Corporate digital responsibility’, </w:t>
      </w:r>
      <w:r>
        <w:rPr>
          <w:i/>
        </w:rPr>
        <w:t>Journal of Business Research</w:t>
      </w:r>
      <w:r>
        <w:t>, 122, pp. 875–888. doi:10.1016/j.jbusres.2019.10.006.</w:t>
      </w:r>
    </w:p>
    <w:p w14:paraId="44FD99C1" w14:textId="1EF029AB" w:rsidR="002B318F" w:rsidRPr="00474B2E" w:rsidRDefault="00474B2E" w:rsidP="00474B2E">
      <w:pPr>
        <w:spacing w:after="80"/>
        <w:ind w:left="432" w:hanging="432"/>
        <w:rPr>
          <w:rFonts w:asciiTheme="minorBidi" w:hAnsiTheme="minorBidi"/>
        </w:rPr>
      </w:pPr>
      <w:r>
        <w:t xml:space="preserve">Martins, E.J. and Belfo, F.P. (2023) ‘Major concerns about Enterprise Resource Planning (ERP) systems: A systematic review of a decade of research (2011–2021)’, </w:t>
      </w:r>
      <w:r>
        <w:rPr>
          <w:i/>
        </w:rPr>
        <w:t>Procedia Computer Science</w:t>
      </w:r>
      <w:r>
        <w:t>, 219, pp. 378–387. doi:10.1016/j.procs.2023.01.303.</w:t>
      </w:r>
    </w:p>
    <w:p w14:paraId="500058C8" w14:textId="3D7BFAC3" w:rsidR="002B318F" w:rsidRPr="00474B2E" w:rsidRDefault="00474B2E" w:rsidP="00474B2E">
      <w:pPr>
        <w:spacing w:after="80"/>
        <w:ind w:left="432" w:hanging="432"/>
        <w:rPr>
          <w:rFonts w:asciiTheme="minorBidi" w:hAnsiTheme="minorBidi"/>
        </w:rPr>
      </w:pPr>
      <w:r>
        <w:t xml:space="preserve">Mikalef, P., Krogstie, J., Pappas, I.O. and Pavlou, P.A. (2020a) ‘Exploring the relationship between big data analytics capability and competitive performance: The mediating roles of dynamic and operational capabilities’, </w:t>
      </w:r>
      <w:r>
        <w:rPr>
          <w:i/>
        </w:rPr>
        <w:t>Information &amp; Management</w:t>
      </w:r>
      <w:r>
        <w:t>, 57(2), 103169. doi:10.1016/j.im.2019.05.004.</w:t>
      </w:r>
    </w:p>
    <w:p w14:paraId="385AC387" w14:textId="7AF6DBD5" w:rsidR="002B318F" w:rsidRPr="00474B2E" w:rsidRDefault="00474B2E" w:rsidP="00474B2E">
      <w:pPr>
        <w:spacing w:after="80"/>
        <w:ind w:left="432" w:hanging="432"/>
        <w:rPr>
          <w:rFonts w:asciiTheme="minorBidi" w:hAnsiTheme="minorBidi"/>
        </w:rPr>
      </w:pPr>
      <w:r>
        <w:t xml:space="preserve">Mikalef, P., Boura, M., Lekakos, G. and Krogstie, J. (2020b) ‘The role of information governance in big data analytics driven innovation’, </w:t>
      </w:r>
      <w:r>
        <w:rPr>
          <w:i/>
        </w:rPr>
        <w:t>Information &amp; Management</w:t>
      </w:r>
      <w:r>
        <w:t>, 57(7), 103361. doi:10.1016/j.im.2020.103361.</w:t>
      </w:r>
    </w:p>
    <w:p w14:paraId="0D0BE7D7" w14:textId="77777777" w:rsidR="002B318F" w:rsidRPr="00474B2E" w:rsidRDefault="00FC6B1B">
      <w:pPr>
        <w:keepNext/>
        <w:spacing w:after="80"/>
        <w:ind w:left="432" w:hanging="432"/>
        <w:rPr>
          <w:rFonts w:asciiTheme="minorBidi" w:hAnsiTheme="minorBidi"/>
        </w:rPr>
      </w:pPr>
      <w:r>
        <w:lastRenderedPageBreak/>
        <w:t xml:space="preserve">Nadal, S., Jovanovic, P., Bilalli, B. and Romero, O. (2022) ‘Operationalizing and automating data governance’, </w:t>
      </w:r>
      <w:r>
        <w:rPr>
          <w:i/>
        </w:rPr>
        <w:t>Journal of Big Data</w:t>
      </w:r>
      <w:r>
        <w:t>, 9, 117. doi:10.1186/s40537-022-00673-5.</w:t>
      </w:r>
    </w:p>
    <w:p w14:paraId="1CC9D5C2" w14:textId="02BE3266" w:rsidR="002B318F" w:rsidRPr="00474B2E" w:rsidRDefault="00474B2E" w:rsidP="00474B2E">
      <w:pPr>
        <w:spacing w:after="80"/>
        <w:ind w:left="432" w:hanging="432"/>
        <w:rPr>
          <w:rFonts w:asciiTheme="minorBidi" w:hAnsiTheme="minorBidi"/>
        </w:rPr>
      </w:pPr>
      <w:r>
        <w:t xml:space="preserve">Verhoef, P.C., Broekhuizen, T., Bart, Y., Bhattacharya, A., Dong, J.Q., Fabian, N. and Haenlein, M. (2021) ‘Digital transformation: A multidisciplinary reflection and research agenda’, </w:t>
      </w:r>
      <w:r>
        <w:rPr>
          <w:i/>
        </w:rPr>
        <w:t>Journal of Business Research</w:t>
      </w:r>
      <w:r>
        <w:t>, 122, pp. 889–901. doi:10.1016/j.jbusres.2019.09.022.</w:t>
      </w:r>
    </w:p>
    <w:sectPr w:rsidR="002B318F" w:rsidRPr="00474B2E" w:rsidSect="00034616">
      <w:headerReference w:type="default" r:id="rId9"/>
      <w:footerReference w:type="default" r:id="rId10"/>
      <w:pgSz w:w="12240" w:h="15840"/>
      <w:pgMar w:top="1080" w:right="1224" w:bottom="1008" w:left="1224" w:header="360" w:footer="43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B4036" w14:textId="77777777" w:rsidR="00974E56" w:rsidRPr="00474B2E" w:rsidRDefault="00974E56">
      <w:pPr>
        <w:spacing w:after="0" w:line="240" w:lineRule="auto"/>
      </w:pPr>
      <w:r w:rsidRPr="00474B2E">
        <w:separator/>
      </w:r>
    </w:p>
  </w:endnote>
  <w:endnote w:type="continuationSeparator" w:id="0">
    <w:p w14:paraId="42B32B42" w14:textId="77777777" w:rsidR="00974E56" w:rsidRPr="00474B2E" w:rsidRDefault="00974E56">
      <w:pPr>
        <w:spacing w:after="0" w:line="240" w:lineRule="auto"/>
      </w:pPr>
      <w:r w:rsidRPr="00474B2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8717690"/>
      <w:docPartObj>
        <w:docPartGallery w:val="Page Numbers (Bottom of Page)"/>
        <w:docPartUnique/>
      </w:docPartObj>
    </w:sdtPr>
    <w:sdtEndPr>
      <w:rPr>
        <w:noProof/>
      </w:rPr>
    </w:sdtEndPr>
    <w:sdtContent>
      <w:p w14:paraId="6508A5AE" w14:textId="70DFBD5F" w:rsidR="00E81231" w:rsidRDefault="00E812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67E7B8" w14:textId="3FAF082D" w:rsidR="002B318F" w:rsidRPr="00474B2E" w:rsidRDefault="002B318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8112C" w14:textId="77777777" w:rsidR="00974E56" w:rsidRPr="00474B2E" w:rsidRDefault="00974E56">
      <w:pPr>
        <w:spacing w:after="0" w:line="240" w:lineRule="auto"/>
      </w:pPr>
      <w:r w:rsidRPr="00474B2E">
        <w:separator/>
      </w:r>
    </w:p>
  </w:footnote>
  <w:footnote w:type="continuationSeparator" w:id="0">
    <w:p w14:paraId="3EF18661" w14:textId="77777777" w:rsidR="00974E56" w:rsidRPr="00474B2E" w:rsidRDefault="00974E56">
      <w:pPr>
        <w:spacing w:after="0" w:line="240" w:lineRule="auto"/>
      </w:pPr>
      <w:r w:rsidRPr="00474B2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7D09B" w14:textId="04032235" w:rsidR="002B318F" w:rsidRPr="00474B2E" w:rsidRDefault="002B318F" w:rsidP="00474B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2123501">
    <w:abstractNumId w:val="8"/>
  </w:num>
  <w:num w:numId="2" w16cid:durableId="285309098">
    <w:abstractNumId w:val="6"/>
  </w:num>
  <w:num w:numId="3" w16cid:durableId="406146058">
    <w:abstractNumId w:val="5"/>
  </w:num>
  <w:num w:numId="4" w16cid:durableId="430904259">
    <w:abstractNumId w:val="4"/>
  </w:num>
  <w:num w:numId="5" w16cid:durableId="1807702849">
    <w:abstractNumId w:val="7"/>
  </w:num>
  <w:num w:numId="6" w16cid:durableId="1237745213">
    <w:abstractNumId w:val="3"/>
  </w:num>
  <w:num w:numId="7" w16cid:durableId="652639230">
    <w:abstractNumId w:val="2"/>
  </w:num>
  <w:num w:numId="8" w16cid:durableId="237902534">
    <w:abstractNumId w:val="1"/>
  </w:num>
  <w:num w:numId="9" w16cid:durableId="986462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84221"/>
    <w:rsid w:val="00193C44"/>
    <w:rsid w:val="001D6AAE"/>
    <w:rsid w:val="00272EC3"/>
    <w:rsid w:val="0029639D"/>
    <w:rsid w:val="002B318F"/>
    <w:rsid w:val="00326F90"/>
    <w:rsid w:val="00396C50"/>
    <w:rsid w:val="00474B2E"/>
    <w:rsid w:val="004771AD"/>
    <w:rsid w:val="004B0785"/>
    <w:rsid w:val="008958B8"/>
    <w:rsid w:val="008A38D3"/>
    <w:rsid w:val="00974E56"/>
    <w:rsid w:val="00AA1D8D"/>
    <w:rsid w:val="00AD105F"/>
    <w:rsid w:val="00B47730"/>
    <w:rsid w:val="00CB0664"/>
    <w:rsid w:val="00E81231"/>
    <w:rsid w:val="00FC693F"/>
    <w:rsid w:val="00FC6B1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E65814"/>
  <w14:defaultImageDpi w14:val="300"/>
  <w15:docId w15:val="{056F0FD0-17AC-4E69-A581-90A5F19BA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lang w:val="en-GB"/>
    </w:rPr>
  </w:style>
  <w:style w:type="paragraph" w:styleId="Heading1">
    <w:name w:val="heading 1"/>
    <w:basedOn w:val="Normal"/>
    <w:next w:val="Normal"/>
    <w:link w:val="Heading1Char"/>
    <w:uiPriority w:val="9"/>
    <w:qFormat/>
    <w:rsid w:val="00474B2E"/>
    <w:pPr>
      <w:keepNext/>
      <w:keepLines/>
      <w:spacing w:before="240" w:after="100"/>
      <w:outlineLvl w:val="0"/>
    </w:pPr>
    <w:rPr>
      <w:rFonts w:asciiTheme="minorBidi" w:eastAsiaTheme="majorEastAsia" w:hAnsiTheme="minorBidi"/>
      <w:b/>
      <w:bCs/>
    </w:rPr>
  </w:style>
  <w:style w:type="paragraph" w:styleId="Heading2">
    <w:name w:val="heading 2"/>
    <w:basedOn w:val="Normal"/>
    <w:next w:val="Normal"/>
    <w:link w:val="Heading2Char"/>
    <w:uiPriority w:val="9"/>
    <w:unhideWhenUsed/>
    <w:qFormat/>
    <w:rsid w:val="00474B2E"/>
    <w:pPr>
      <w:keepNext/>
      <w:keepLines/>
      <w:spacing w:before="180" w:after="80"/>
      <w:outlineLvl w:val="1"/>
    </w:pPr>
    <w:rPr>
      <w:rFonts w:asciiTheme="minorBidi" w:eastAsiaTheme="majorEastAsia" w:hAnsiTheme="minorBidi"/>
      <w:b/>
      <w:bCs/>
      <w:i/>
      <w:iCs/>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474B2E"/>
    <w:rPr>
      <w:rFonts w:asciiTheme="minorBidi" w:eastAsiaTheme="majorEastAsia" w:hAnsiTheme="minorBidi"/>
      <w:b/>
      <w:bCs/>
    </w:rPr>
  </w:style>
  <w:style w:type="character" w:customStyle="1" w:styleId="Heading2Char">
    <w:name w:val="Heading 2 Char"/>
    <w:basedOn w:val="DefaultParagraphFont"/>
    <w:link w:val="Heading2"/>
    <w:uiPriority w:val="9"/>
    <w:rsid w:val="00474B2E"/>
    <w:rPr>
      <w:rFonts w:asciiTheme="minorBidi" w:eastAsiaTheme="majorEastAsia" w:hAnsiTheme="minorBidi"/>
      <w:b/>
      <w:bCs/>
      <w:i/>
      <w:iCs/>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60" w:line="240" w:lineRule="auto"/>
      <w:contextualSpacing/>
    </w:pPr>
    <w:rPr>
      <w:rFonts w:asciiTheme="majorHAnsi" w:eastAsiaTheme="majorEastAsia" w:hAnsiTheme="majorHAnsi" w:cstheme="majorBidi"/>
      <w:b/>
      <w:color w:val="17365D"/>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Paragraph">
    <w:name w:val="Table Paragraph"/>
    <w:basedOn w:val="Normal"/>
    <w:uiPriority w:val="1"/>
    <w:qFormat/>
    <w:rsid w:val="00474B2E"/>
    <w:pPr>
      <w:widowControl w:val="0"/>
      <w:autoSpaceDE w:val="0"/>
      <w:autoSpaceDN w:val="0"/>
      <w:spacing w:after="0" w:line="240" w:lineRule="auto"/>
    </w:pPr>
    <w:rPr>
      <w:rFonts w:cs="Arial"/>
    </w:rPr>
  </w:style>
  <w:style w:type="paragraph" w:styleId="TOC2">
    <w:name w:val="toc 2"/>
    <w:basedOn w:val="Normal"/>
    <w:next w:val="Normal"/>
    <w:autoRedefine/>
    <w:uiPriority w:val="39"/>
    <w:unhideWhenUsed/>
    <w:rsid w:val="00E81231"/>
    <w:pPr>
      <w:spacing w:after="100"/>
      <w:ind w:left="220"/>
    </w:pPr>
  </w:style>
  <w:style w:type="paragraph" w:styleId="TOC1">
    <w:name w:val="toc 1"/>
    <w:basedOn w:val="Normal"/>
    <w:next w:val="Normal"/>
    <w:autoRedefine/>
    <w:uiPriority w:val="39"/>
    <w:unhideWhenUsed/>
    <w:rsid w:val="00E81231"/>
    <w:pPr>
      <w:spacing w:after="100"/>
    </w:pPr>
  </w:style>
  <w:style w:type="character" w:styleId="Hyperlink">
    <w:name w:val="Hyperlink"/>
    <w:basedOn w:val="DefaultParagraphFont"/>
    <w:uiPriority w:val="99"/>
    <w:unhideWhenUsed/>
    <w:rsid w:val="00E812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3005</Words>
  <Characters>17134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20099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Systems Improvements - Maldiva Ltd.</dc:title>
  <dc:subject>LCLM 5004 Managing Business Information</dc:subject>
  <dc:creator>Student</dc:creator>
  <cp:keywords>ERP, CRM, business intelligence, information systems, Maldiva Ltd.</cp:keywords>
  <dc:description>generated by python-docx</dc:description>
  <cp:lastModifiedBy>01-134222-134</cp:lastModifiedBy>
  <cp:revision>3</cp:revision>
  <dcterms:created xsi:type="dcterms:W3CDTF">2026-07-21T12:29:00Z</dcterms:created>
  <dcterms:modified xsi:type="dcterms:W3CDTF">2026-07-21T12:56:00Z</dcterms:modified>
  <cp:category/>
</cp:coreProperties>
</file>