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C01C5" w:rsidRDefault="00AC01C5" w:rsidP="00D87C0E">
      <w:pPr>
        <w:pStyle w:val="Heading1"/>
        <w:spacing w:after="240"/>
      </w:pPr>
      <w:r>
        <w:t>R</w:t>
      </w:r>
      <w:r w:rsidRPr="00AC01C5">
        <w:t>eport’ template document.</w:t>
      </w:r>
    </w:p>
    <w:p w:rsidR="00AC01C5" w:rsidRDefault="00AC01C5" w:rsidP="00D87C0E">
      <w:pPr>
        <w:spacing w:after="240"/>
        <w:ind w:left="432"/>
        <w:rPr>
          <w:rFonts w:ascii="Segoe UI" w:hAnsi="Segoe UI" w:cs="Segoe UI"/>
          <w:color w:val="1C1917"/>
          <w:sz w:val="27"/>
          <w:szCs w:val="27"/>
          <w:shd w:val="clear" w:color="auto" w:fill="FFFFFF"/>
        </w:rPr>
      </w:pPr>
      <w:r>
        <w:rPr>
          <w:rFonts w:ascii="Segoe UI" w:hAnsi="Segoe UI" w:cs="Segoe UI"/>
          <w:color w:val="1C1917"/>
          <w:sz w:val="27"/>
          <w:szCs w:val="27"/>
          <w:shd w:val="clear" w:color="auto" w:fill="FFFFFF"/>
        </w:rPr>
        <w:t>Here is a report template document</w:t>
      </w:r>
    </w:p>
    <w:p w:rsidR="00B9744B" w:rsidRDefault="00B9744B" w:rsidP="00D87C0E">
      <w:pPr>
        <w:pStyle w:val="Heading2"/>
        <w:spacing w:after="240"/>
        <w:rPr>
          <w:shd w:val="clear" w:color="auto" w:fill="FFFFFF"/>
        </w:rPr>
      </w:pPr>
      <w:r>
        <w:rPr>
          <w:shd w:val="clear" w:color="auto" w:fill="FFFFFF"/>
        </w:rPr>
        <w:t>Headings</w:t>
      </w:r>
    </w:p>
    <w:p w:rsidR="00D87C0E" w:rsidRDefault="00D87C0E" w:rsidP="0013271C">
      <w:pPr>
        <w:ind w:firstLine="576"/>
      </w:pPr>
      <w:r w:rsidRPr="00D87C0E">
        <w:t xml:space="preserve">When making a report, headings are an important way to keep things in order. They divide information into parts that make sense and set up a clear order of ideas </w:t>
      </w:r>
      <w:r w:rsidRPr="0013271C">
        <w:rPr>
          <w:b/>
        </w:rPr>
        <w:t>(</w:t>
      </w:r>
      <w:proofErr w:type="spellStart"/>
      <w:r w:rsidRPr="0013271C">
        <w:rPr>
          <w:b/>
        </w:rPr>
        <w:t>Lannon</w:t>
      </w:r>
      <w:proofErr w:type="spellEnd"/>
      <w:r w:rsidRPr="0013271C">
        <w:rPr>
          <w:b/>
        </w:rPr>
        <w:t>, 2014)</w:t>
      </w:r>
      <w:r w:rsidRPr="00D87C0E">
        <w:t>.</w:t>
      </w:r>
    </w:p>
    <w:p w:rsidR="00D87C0E" w:rsidRDefault="00D87C0E" w:rsidP="0013271C">
      <w:r w:rsidRPr="0013271C">
        <w:rPr>
          <w:b/>
        </w:rPr>
        <w:t>Highlight key points</w:t>
      </w:r>
      <w:r w:rsidR="005E75E4">
        <w:t>:</w:t>
      </w:r>
      <w:r w:rsidRPr="00D87C0E">
        <w:t xml:space="preserve"> The wording of headings summarizes the main idea or focus of each section. Readers can preview content to determine relevance. Strong headi</w:t>
      </w:r>
      <w:r w:rsidR="005E75E4">
        <w:t>ngs are descriptive yet concise.</w:t>
      </w:r>
    </w:p>
    <w:p w:rsidR="0013271C" w:rsidRDefault="00EC7D79" w:rsidP="0013271C">
      <w:pPr>
        <w:rPr>
          <w:shd w:val="clear" w:color="auto" w:fill="FFFFFF"/>
        </w:rPr>
      </w:pPr>
      <w:r>
        <w:rPr>
          <w:shd w:val="clear" w:color="auto" w:fill="FFFFFF"/>
        </w:rPr>
        <w:t>E</w:t>
      </w:r>
      <w:r w:rsidR="0013271C" w:rsidRPr="0013271C">
        <w:rPr>
          <w:shd w:val="clear" w:color="auto" w:fill="FFFFFF"/>
        </w:rPr>
        <w:t>ffective headings provide an at-a-glance outline. They reveal the structure, highlight essential concepts, enhance readability, ease navigation, and facilitate skimming. Headings transform long stretches of complex writing into manageable chunks.</w:t>
      </w:r>
    </w:p>
    <w:p w:rsidR="00EC7D79" w:rsidRDefault="00EC7D79" w:rsidP="0084056B">
      <w:pPr>
        <w:pStyle w:val="Heading2"/>
        <w:spacing w:after="240"/>
      </w:pPr>
      <w:r>
        <w:t>Sub headings</w:t>
      </w:r>
    </w:p>
    <w:p w:rsidR="00B9744B" w:rsidRDefault="0084056B" w:rsidP="0084056B">
      <w:pPr>
        <w:spacing w:after="240"/>
        <w:ind w:firstLine="432"/>
      </w:pPr>
      <w:r>
        <w:t>S</w:t>
      </w:r>
      <w:r w:rsidRPr="0084056B">
        <w:t>ub-headings contribute to the report's clarity and effectiveness by providing a finer level of detail and organization beneath the main headings.</w:t>
      </w:r>
      <w:r>
        <w:t xml:space="preserve"> </w:t>
      </w:r>
      <w:r w:rsidRPr="0084056B">
        <w:t xml:space="preserve">Subheadings allow readers to scan through the report in search of specific information, and they provide a better roadmap of the structure of the report, which improves both reading and navigation </w:t>
      </w:r>
      <w:r w:rsidRPr="00446622">
        <w:rPr>
          <w:b/>
        </w:rPr>
        <w:t>(</w:t>
      </w:r>
      <w:proofErr w:type="spellStart"/>
      <w:r w:rsidRPr="00446622">
        <w:rPr>
          <w:b/>
        </w:rPr>
        <w:t>Wheildon</w:t>
      </w:r>
      <w:proofErr w:type="spellEnd"/>
      <w:r w:rsidRPr="00446622">
        <w:rPr>
          <w:b/>
        </w:rPr>
        <w:t>, 1995)</w:t>
      </w:r>
      <w:r w:rsidRPr="0084056B">
        <w:t xml:space="preserve">. Subheadings also help to </w:t>
      </w:r>
      <w:proofErr w:type="spellStart"/>
      <w:r w:rsidRPr="0084056B">
        <w:t>organise</w:t>
      </w:r>
      <w:proofErr w:type="spellEnd"/>
      <w:r w:rsidRPr="0084056B">
        <w:t xml:space="preserve"> the material that is presented in the report.</w:t>
      </w:r>
    </w:p>
    <w:p w:rsidR="00E50501" w:rsidRDefault="008915F9" w:rsidP="008915F9">
      <w:r>
        <w:t>S</w:t>
      </w:r>
      <w:r w:rsidRPr="008915F9">
        <w:t xml:space="preserve">ubheadings give minor assistance. Hierarchical material helps readers understand the writer's thought process. Subheadings simplify long reports by breaking down difficult arguments or exchanges. A detailed roadmap may aid readers in complex scientific, technological, or academic pursuits. </w:t>
      </w:r>
    </w:p>
    <w:p w:rsidR="00E50501" w:rsidRDefault="00E50501" w:rsidP="00E50501">
      <w:pPr>
        <w:pStyle w:val="Heading2"/>
        <w:spacing w:after="240"/>
      </w:pPr>
      <w:r>
        <w:t>Conclusion</w:t>
      </w:r>
    </w:p>
    <w:p w:rsidR="00E50501" w:rsidRDefault="00E50501" w:rsidP="00E50501">
      <w:pPr>
        <w:spacing w:after="240"/>
        <w:ind w:firstLine="432"/>
        <w:rPr>
          <w:shd w:val="clear" w:color="auto" w:fill="FFFFFF"/>
        </w:rPr>
      </w:pPr>
      <w:r w:rsidRPr="00E50501">
        <w:rPr>
          <w:shd w:val="clear" w:color="auto" w:fill="FFFFFF"/>
        </w:rPr>
        <w:t xml:space="preserve">The conclusion summarizes the key points and provides closure to the report. It restates the most important findings and recommendations. The conclusion indicates any need for future work related to the research or investigation </w:t>
      </w:r>
      <w:r w:rsidRPr="00E50501">
        <w:rPr>
          <w:b/>
          <w:shd w:val="clear" w:color="auto" w:fill="FFFFFF"/>
        </w:rPr>
        <w:t>(Young, 2019)</w:t>
      </w:r>
      <w:r w:rsidRPr="00E50501">
        <w:rPr>
          <w:shd w:val="clear" w:color="auto" w:fill="FFFFFF"/>
        </w:rPr>
        <w:t>.</w:t>
      </w:r>
    </w:p>
    <w:p w:rsidR="008915F9" w:rsidRDefault="008915F9" w:rsidP="008915F9">
      <w:pPr>
        <w:spacing w:after="240"/>
      </w:pPr>
      <w:r>
        <w:t xml:space="preserve">In a conclusion, an overview of the portfolio is presented, in which the most significant topics are </w:t>
      </w:r>
      <w:proofErr w:type="spellStart"/>
      <w:r>
        <w:t>emphasised</w:t>
      </w:r>
      <w:proofErr w:type="spellEnd"/>
      <w:r>
        <w:t>, and future objectives are described.  The significance of a conclusion is heightened by the fact that it enables one to reflect on past experiences and plots a path for one's continued growth in the years to come.</w:t>
      </w:r>
    </w:p>
    <w:p w:rsidR="008B67E8" w:rsidRDefault="008B67E8" w:rsidP="008B67E8">
      <w:pPr>
        <w:pStyle w:val="Heading2"/>
        <w:spacing w:after="240"/>
      </w:pPr>
      <w:r>
        <w:t>Ref</w:t>
      </w:r>
      <w:r w:rsidR="00321297">
        <w:t>e</w:t>
      </w:r>
      <w:r>
        <w:t>rences</w:t>
      </w:r>
    </w:p>
    <w:p w:rsidR="008B67E8" w:rsidRPr="008B67E8" w:rsidRDefault="008B67E8" w:rsidP="008B67E8">
      <w:pPr>
        <w:spacing w:after="240"/>
        <w:ind w:firstLine="432"/>
      </w:pPr>
      <w:r>
        <w:rPr>
          <w:shd w:val="clear" w:color="auto" w:fill="FFFFFF"/>
        </w:rPr>
        <w:t>The references list all sources cited in the report using a consistent for</w:t>
      </w:r>
      <w:r>
        <w:rPr>
          <w:shd w:val="clear" w:color="auto" w:fill="FFFFFF"/>
        </w:rPr>
        <w:t>matting style such as Harvard Style</w:t>
      </w:r>
      <w:r>
        <w:rPr>
          <w:shd w:val="clear" w:color="auto" w:fill="FFFFFF"/>
        </w:rPr>
        <w:t xml:space="preserve">. This </w:t>
      </w:r>
      <w:r w:rsidR="00321297">
        <w:rPr>
          <w:shd w:val="clear" w:color="auto" w:fill="FFFFFF"/>
        </w:rPr>
        <w:t xml:space="preserve">will </w:t>
      </w:r>
      <w:proofErr w:type="gramStart"/>
      <w:r>
        <w:rPr>
          <w:shd w:val="clear" w:color="auto" w:fill="FFFFFF"/>
        </w:rPr>
        <w:t>allows</w:t>
      </w:r>
      <w:proofErr w:type="gramEnd"/>
      <w:r>
        <w:rPr>
          <w:shd w:val="clear" w:color="auto" w:fill="FFFFFF"/>
        </w:rPr>
        <w:t xml:space="preserve"> readers to trace and validate the information presented in the report. Citing sources adds credibility and prevents plagiarism. Readers can consult the original sources for further information. References demonstrate academic integrity.</w:t>
      </w:r>
    </w:p>
    <w:p w:rsidR="00694692" w:rsidRDefault="00694692" w:rsidP="00AC01C5">
      <w:pPr>
        <w:pStyle w:val="Heading1"/>
      </w:pPr>
      <w:r w:rsidRPr="00AC01C5">
        <w:lastRenderedPageBreak/>
        <w:t>Academic</w:t>
      </w:r>
      <w:r w:rsidRPr="00FB5377">
        <w:t xml:space="preserve"> Writing</w:t>
      </w:r>
    </w:p>
    <w:p w:rsidR="00EB02D0" w:rsidRPr="00EB02D0" w:rsidRDefault="00EB02D0" w:rsidP="00226AB6">
      <w:pPr>
        <w:spacing w:after="240"/>
        <w:ind w:firstLine="360"/>
        <w:rPr>
          <w:shd w:val="clear" w:color="auto" w:fill="FFFFFF"/>
        </w:rPr>
      </w:pPr>
      <w:r w:rsidRPr="00EB02D0">
        <w:rPr>
          <w:shd w:val="clear" w:color="auto" w:fill="FFFFFF"/>
        </w:rPr>
        <w:t xml:space="preserve">Academic writing is a type of writing that experts use to describe the intellectual limits of their fields and their specific areas of knowledge </w:t>
      </w:r>
      <w:r w:rsidRPr="00EB02D0">
        <w:rPr>
          <w:b/>
          <w:shd w:val="clear" w:color="auto" w:fill="FFFFFF"/>
        </w:rPr>
        <w:t>(Murray &amp; Moore, 2006)</w:t>
      </w:r>
      <w:r w:rsidRPr="00EB02D0">
        <w:rPr>
          <w:shd w:val="clear" w:color="auto" w:fill="FFFFFF"/>
        </w:rPr>
        <w:t xml:space="preserve"> It is distinguished by arguments supported by facts, careful word choice, logical </w:t>
      </w:r>
      <w:proofErr w:type="spellStart"/>
      <w:r w:rsidRPr="00EB02D0">
        <w:rPr>
          <w:shd w:val="clear" w:color="auto" w:fill="FFFFFF"/>
        </w:rPr>
        <w:t>organisation</w:t>
      </w:r>
      <w:proofErr w:type="spellEnd"/>
      <w:r w:rsidRPr="00EB02D0">
        <w:rPr>
          <w:shd w:val="clear" w:color="auto" w:fill="FFFFFF"/>
        </w:rPr>
        <w:t>, and a tone that is devoid of any personal expression.</w:t>
      </w:r>
    </w:p>
    <w:p w:rsidR="00EB02D0" w:rsidRDefault="00C56AB1" w:rsidP="00226AB6">
      <w:pPr>
        <w:pStyle w:val="Heading2"/>
        <w:spacing w:after="240"/>
      </w:pPr>
      <w:r>
        <w:t>Importance of Academic Writing</w:t>
      </w:r>
    </w:p>
    <w:p w:rsidR="00B857C2" w:rsidRDefault="006429FF" w:rsidP="00226AB6">
      <w:pPr>
        <w:spacing w:after="240"/>
        <w:ind w:firstLine="576"/>
      </w:pPr>
      <w:r w:rsidRPr="006429FF">
        <w:t>A</w:t>
      </w:r>
      <w:bookmarkStart w:id="0" w:name="_GoBack"/>
      <w:r w:rsidRPr="006429FF">
        <w:t>cademic disciplines use academic writing as a tool for knowledge production, codification, transmission, evaluation, renov</w:t>
      </w:r>
      <w:r w:rsidR="00226AB6">
        <w:t xml:space="preserve">ation, teaching, and learning. </w:t>
      </w:r>
      <w:r w:rsidR="00B857C2" w:rsidRPr="00B857C2">
        <w:t>Being able to write in an academic style is essential to disciplinary learning and critical for academic success. Control over academic writing gives you capital, power, and agency in knowledge building, identify formation, disciplinary practices, social posi</w:t>
      </w:r>
      <w:r w:rsidR="007757AC">
        <w:t xml:space="preserve">tioning, and career advancement </w:t>
      </w:r>
      <w:r w:rsidR="007757AC" w:rsidRPr="007757AC">
        <w:rPr>
          <w:b/>
        </w:rPr>
        <w:t>(</w:t>
      </w:r>
      <w:r w:rsidR="007757AC">
        <w:rPr>
          <w:b/>
          <w:i/>
          <w:iCs/>
        </w:rPr>
        <w:t xml:space="preserve">What is academic writing? </w:t>
      </w:r>
      <w:r w:rsidR="007757AC" w:rsidRPr="007757AC">
        <w:rPr>
          <w:b/>
          <w:i/>
          <w:iCs/>
        </w:rPr>
        <w:t>and other burning questions about it)</w:t>
      </w:r>
      <w:r w:rsidR="007757AC">
        <w:t>.</w:t>
      </w:r>
    </w:p>
    <w:p w:rsidR="007757AC" w:rsidRDefault="003D138D" w:rsidP="007757AC">
      <w:pPr>
        <w:spacing w:after="240"/>
      </w:pPr>
      <w:r>
        <w:t>I</w:t>
      </w:r>
      <w:r w:rsidR="007E41D4" w:rsidRPr="007E41D4">
        <w:t xml:space="preserve">t enables authors to clearly communicate complicated concepts to other people </w:t>
      </w:r>
      <w:r w:rsidR="007E41D4" w:rsidRPr="007E41D4">
        <w:rPr>
          <w:b/>
        </w:rPr>
        <w:t>(Sword, 2012)</w:t>
      </w:r>
      <w:r w:rsidR="007E41D4" w:rsidRPr="007E41D4">
        <w:t xml:space="preserve">. Writers are required to compile information from a variety of sources, </w:t>
      </w:r>
      <w:proofErr w:type="spellStart"/>
      <w:r w:rsidR="007E41D4" w:rsidRPr="007E41D4">
        <w:t>analyse</w:t>
      </w:r>
      <w:proofErr w:type="spellEnd"/>
      <w:r w:rsidR="007E41D4" w:rsidRPr="007E41D4">
        <w:t xml:space="preserve"> the interrelationships of various concepts, and present arguments that are logical. This level of critical thinking is essential for driving progress and innovation in virtually every professional field there is. Writing for academic purposes provides a platform for the dissemination of novel perspectives or findings that contribute to the advancement of knowledge.</w:t>
      </w:r>
    </w:p>
    <w:p w:rsidR="008931B0" w:rsidRPr="008931B0" w:rsidRDefault="008931B0" w:rsidP="008931B0">
      <w:r w:rsidRPr="008931B0">
        <w:t xml:space="preserve">Academic writing is the starting point for the development of skills that are applicable to other contexts. </w:t>
      </w:r>
      <w:r w:rsidRPr="008931B0">
        <w:rPr>
          <w:b/>
        </w:rPr>
        <w:t>According to Murray and Moore (2006)</w:t>
      </w:r>
      <w:r w:rsidRPr="008931B0">
        <w:t>, writers who want to be taken seriously in the academic world need to polish their research, analytical, and writing abilities. This is because academic writing requires a high level of critical thinking and analysis. They are charged for producing narratives that are consistent, undertaking source analysis, and drawing conceptual connections. Students that possess these skills are more well equipped for future jobs, engaged citizenship, and learning that will continue throughout their life. Writing academically is in and of itself a skill-building activity, therefore just the act of writing academically is beneficial.</w:t>
      </w:r>
    </w:p>
    <w:bookmarkEnd w:id="0"/>
    <w:p w:rsidR="003D138D" w:rsidRDefault="003D138D" w:rsidP="007757AC">
      <w:pPr>
        <w:spacing w:after="240"/>
      </w:pPr>
    </w:p>
    <w:p w:rsidR="003D138D" w:rsidRPr="00B857C2" w:rsidRDefault="003D138D" w:rsidP="007757AC">
      <w:pPr>
        <w:spacing w:after="240"/>
      </w:pPr>
    </w:p>
    <w:p w:rsidR="00C56AB1" w:rsidRDefault="00C56AB1" w:rsidP="00CF3A9B"/>
    <w:p w:rsidR="00CF3A9B" w:rsidRDefault="00CF3A9B" w:rsidP="00CF3A9B"/>
    <w:p w:rsidR="00CF3A9B" w:rsidRDefault="00CF3A9B" w:rsidP="00CF3A9B"/>
    <w:p w:rsidR="00EC7D79" w:rsidRPr="00EC7D79" w:rsidRDefault="00CF3A9B" w:rsidP="00EC7D79">
      <w:pPr>
        <w:pStyle w:val="Heading1"/>
      </w:pPr>
      <w:r>
        <w:t>References</w:t>
      </w:r>
    </w:p>
    <w:p w:rsidR="00CF3A9B" w:rsidRPr="00CF3A9B" w:rsidRDefault="00CF3A9B" w:rsidP="006A63AF"/>
    <w:p w:rsidR="00CF3A9B" w:rsidRPr="00EC7D79" w:rsidRDefault="00CF3A9B" w:rsidP="006A63AF">
      <w:pPr>
        <w:pStyle w:val="ListParagraph"/>
        <w:numPr>
          <w:ilvl w:val="0"/>
          <w:numId w:val="7"/>
        </w:numPr>
        <w:rPr>
          <w:rFonts w:ascii="Times New Roman" w:hAnsi="Times New Roman"/>
        </w:rPr>
      </w:pPr>
      <w:r>
        <w:t xml:space="preserve">Murray, R. and Moore, S. (2009) </w:t>
      </w:r>
      <w:r w:rsidRPr="006A63AF">
        <w:rPr>
          <w:i/>
          <w:iCs/>
        </w:rPr>
        <w:t>The handbook of academic writing a fresh approach</w:t>
      </w:r>
      <w:r>
        <w:t xml:space="preserve">. Maidenhead: Open University Press. </w:t>
      </w:r>
    </w:p>
    <w:p w:rsidR="00EC7D79" w:rsidRPr="00EC7D79" w:rsidRDefault="00EC7D79" w:rsidP="00EC7D79">
      <w:pPr>
        <w:pStyle w:val="ListParagraph"/>
        <w:ind w:left="432"/>
        <w:rPr>
          <w:rFonts w:ascii="Times New Roman" w:hAnsi="Times New Roman"/>
        </w:rPr>
      </w:pPr>
    </w:p>
    <w:p w:rsidR="00EC7D79" w:rsidRPr="00393EEB" w:rsidRDefault="00EC7D79" w:rsidP="00EC7D79">
      <w:pPr>
        <w:pStyle w:val="ListParagraph"/>
        <w:numPr>
          <w:ilvl w:val="0"/>
          <w:numId w:val="7"/>
        </w:numPr>
        <w:rPr>
          <w:rFonts w:cs="Arial"/>
        </w:rPr>
      </w:pPr>
      <w:proofErr w:type="spellStart"/>
      <w:r w:rsidRPr="00EC7D79">
        <w:rPr>
          <w:rFonts w:cs="Arial"/>
          <w:color w:val="1C1917"/>
          <w:shd w:val="clear" w:color="auto" w:fill="FFFFFF"/>
        </w:rPr>
        <w:t>Lannon</w:t>
      </w:r>
      <w:proofErr w:type="spellEnd"/>
      <w:r w:rsidRPr="00EC7D79">
        <w:rPr>
          <w:rFonts w:cs="Arial"/>
          <w:color w:val="1C1917"/>
          <w:shd w:val="clear" w:color="auto" w:fill="FFFFFF"/>
        </w:rPr>
        <w:t>, J. M. (2014). Technical communication (13th ed.). Pearson.</w:t>
      </w:r>
    </w:p>
    <w:p w:rsidR="00393EEB" w:rsidRPr="00393EEB" w:rsidRDefault="00393EEB" w:rsidP="00393EEB">
      <w:pPr>
        <w:pStyle w:val="ListParagraph"/>
        <w:rPr>
          <w:rFonts w:cs="Arial"/>
        </w:rPr>
      </w:pPr>
    </w:p>
    <w:p w:rsidR="00393EEB" w:rsidRPr="00393EEB" w:rsidRDefault="00393EEB" w:rsidP="00393EEB">
      <w:pPr>
        <w:pStyle w:val="ListParagraph"/>
        <w:numPr>
          <w:ilvl w:val="0"/>
          <w:numId w:val="7"/>
        </w:numPr>
        <w:rPr>
          <w:rFonts w:cs="Times New Roman"/>
        </w:rPr>
      </w:pPr>
      <w:proofErr w:type="spellStart"/>
      <w:r>
        <w:t>Wheildon</w:t>
      </w:r>
      <w:proofErr w:type="spellEnd"/>
      <w:r>
        <w:t xml:space="preserve">, C. and Warwick, M. (1995) Type &amp; layout: How typography and design can get your message across-- or get in the way. Berkeley, CA: </w:t>
      </w:r>
      <w:proofErr w:type="spellStart"/>
      <w:r>
        <w:t>Strathmoor</w:t>
      </w:r>
      <w:proofErr w:type="spellEnd"/>
      <w:r>
        <w:t xml:space="preserve"> Press. </w:t>
      </w:r>
    </w:p>
    <w:p w:rsidR="006A63AF" w:rsidRPr="006A63AF" w:rsidRDefault="006A63AF" w:rsidP="006A63AF">
      <w:pPr>
        <w:pStyle w:val="ListParagraph"/>
        <w:ind w:left="432"/>
        <w:rPr>
          <w:rFonts w:ascii="Times New Roman" w:hAnsi="Times New Roman"/>
        </w:rPr>
      </w:pPr>
    </w:p>
    <w:p w:rsidR="006A63AF" w:rsidRDefault="007757AC" w:rsidP="006A63AF">
      <w:pPr>
        <w:pStyle w:val="ListParagraph"/>
        <w:numPr>
          <w:ilvl w:val="0"/>
          <w:numId w:val="7"/>
        </w:numPr>
      </w:pPr>
      <w:r w:rsidRPr="006A63AF">
        <w:rPr>
          <w:i/>
          <w:iCs/>
        </w:rPr>
        <w:t>What is academic writing? (and other burning questions about it)</w:t>
      </w:r>
      <w:r>
        <w:t xml:space="preserve">. Available at: https://www.routledge.com/blog/article/what-is-academic-writing-and-other-burning-questions-about-it (Accessed: 30 August 2023). </w:t>
      </w:r>
    </w:p>
    <w:p w:rsidR="006A63AF" w:rsidRPr="006A63AF" w:rsidRDefault="006A63AF" w:rsidP="006A63AF">
      <w:pPr>
        <w:pStyle w:val="ListParagraph"/>
        <w:ind w:left="432"/>
      </w:pPr>
    </w:p>
    <w:p w:rsidR="00824974" w:rsidRPr="003D138D" w:rsidRDefault="006A63AF" w:rsidP="006A63AF">
      <w:pPr>
        <w:pStyle w:val="ListParagraph"/>
        <w:numPr>
          <w:ilvl w:val="0"/>
          <w:numId w:val="7"/>
        </w:numPr>
        <w:rPr>
          <w:sz w:val="24"/>
          <w:szCs w:val="24"/>
        </w:rPr>
      </w:pPr>
      <w:r w:rsidRPr="006A63AF">
        <w:t>Sword, H. (2012). </w:t>
      </w:r>
      <w:r w:rsidRPr="006A63AF">
        <w:rPr>
          <w:i/>
          <w:iCs/>
        </w:rPr>
        <w:t>Stylish Academic Writing</w:t>
      </w:r>
      <w:r w:rsidRPr="006A63AF">
        <w:t>. Harvard University Press.</w:t>
      </w:r>
    </w:p>
    <w:p w:rsidR="003D138D" w:rsidRPr="003D138D" w:rsidRDefault="003D138D" w:rsidP="003D138D">
      <w:pPr>
        <w:pStyle w:val="ListParagraph"/>
        <w:rPr>
          <w:sz w:val="24"/>
          <w:szCs w:val="24"/>
        </w:rPr>
      </w:pPr>
    </w:p>
    <w:p w:rsidR="003D138D" w:rsidRPr="00325FFD" w:rsidRDefault="00325FFD" w:rsidP="00325FFD">
      <w:pPr>
        <w:pStyle w:val="NormalWeb"/>
        <w:numPr>
          <w:ilvl w:val="0"/>
          <w:numId w:val="7"/>
        </w:numPr>
      </w:pPr>
      <w:r>
        <w:t xml:space="preserve">Murray, R. and Moore, S. (2009a) </w:t>
      </w:r>
      <w:r>
        <w:rPr>
          <w:i/>
          <w:iCs/>
        </w:rPr>
        <w:t>The handbook of academic writing a fresh approach</w:t>
      </w:r>
      <w:r>
        <w:t xml:space="preserve">. Maidenhead: Open University Press. </w:t>
      </w:r>
    </w:p>
    <w:p w:rsidR="00CF3A9B" w:rsidRPr="00CF3A9B" w:rsidRDefault="00CF3A9B" w:rsidP="007757AC"/>
    <w:sectPr w:rsidR="00CF3A9B" w:rsidRPr="00CF3A9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983B41"/>
    <w:multiLevelType w:val="multilevel"/>
    <w:tmpl w:val="C9847D8E"/>
    <w:lvl w:ilvl="0">
      <w:start w:val="1"/>
      <w:numFmt w:val="bullet"/>
      <w:lvlText w:val=""/>
      <w:lvlJc w:val="left"/>
      <w:pPr>
        <w:ind w:left="432" w:hanging="432"/>
      </w:pPr>
      <w:rPr>
        <w:rFonts w:ascii="Symbol" w:hAnsi="Symbol" w:hint="default"/>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8714A2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3E4D615B"/>
    <w:multiLevelType w:val="multilevel"/>
    <w:tmpl w:val="C9847D8E"/>
    <w:lvl w:ilvl="0">
      <w:start w:val="1"/>
      <w:numFmt w:val="bullet"/>
      <w:lvlText w:val=""/>
      <w:lvlJc w:val="left"/>
      <w:pPr>
        <w:ind w:left="432" w:hanging="432"/>
      </w:pPr>
      <w:rPr>
        <w:rFonts w:ascii="Symbol" w:hAnsi="Symbol" w:hint="default"/>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462427E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639462B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75865E91"/>
    <w:multiLevelType w:val="hybridMultilevel"/>
    <w:tmpl w:val="AA005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975969"/>
    <w:multiLevelType w:val="multilevel"/>
    <w:tmpl w:val="C9847D8E"/>
    <w:lvl w:ilvl="0">
      <w:start w:val="1"/>
      <w:numFmt w:val="bullet"/>
      <w:lvlText w:val=""/>
      <w:lvlJc w:val="left"/>
      <w:pPr>
        <w:ind w:left="432" w:hanging="432"/>
      </w:pPr>
      <w:rPr>
        <w:rFonts w:ascii="Symbol" w:hAnsi="Symbol" w:hint="default"/>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3"/>
  </w:num>
  <w:num w:numId="2">
    <w:abstractNumId w:val="4"/>
  </w:num>
  <w:num w:numId="3">
    <w:abstractNumId w:val="1"/>
  </w:num>
  <w:num w:numId="4">
    <w:abstractNumId w:val="5"/>
  </w:num>
  <w:num w:numId="5">
    <w:abstractNumId w:val="0"/>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4692"/>
    <w:rsid w:val="0013271C"/>
    <w:rsid w:val="001C1012"/>
    <w:rsid w:val="001F1961"/>
    <w:rsid w:val="00226AB6"/>
    <w:rsid w:val="00313317"/>
    <w:rsid w:val="00321297"/>
    <w:rsid w:val="00325FFD"/>
    <w:rsid w:val="00393EEB"/>
    <w:rsid w:val="003D138D"/>
    <w:rsid w:val="00446622"/>
    <w:rsid w:val="005E75E4"/>
    <w:rsid w:val="006429FF"/>
    <w:rsid w:val="00694692"/>
    <w:rsid w:val="006A63AF"/>
    <w:rsid w:val="007757AC"/>
    <w:rsid w:val="007E41D4"/>
    <w:rsid w:val="00824974"/>
    <w:rsid w:val="0084056B"/>
    <w:rsid w:val="008915F9"/>
    <w:rsid w:val="008931B0"/>
    <w:rsid w:val="008B67E8"/>
    <w:rsid w:val="00A22698"/>
    <w:rsid w:val="00AC01C5"/>
    <w:rsid w:val="00B857C2"/>
    <w:rsid w:val="00B9744B"/>
    <w:rsid w:val="00C56AB1"/>
    <w:rsid w:val="00CF3A9B"/>
    <w:rsid w:val="00D73C31"/>
    <w:rsid w:val="00D87C0E"/>
    <w:rsid w:val="00E50501"/>
    <w:rsid w:val="00EB02D0"/>
    <w:rsid w:val="00EC7D79"/>
    <w:rsid w:val="00FB53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FE3D3"/>
  <w15:chartTrackingRefBased/>
  <w15:docId w15:val="{C35B4849-2DF7-42D3-8C34-21C7E1A48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B5377"/>
    <w:rPr>
      <w:rFonts w:ascii="Arial" w:hAnsi="Arial"/>
    </w:rPr>
  </w:style>
  <w:style w:type="paragraph" w:styleId="Heading1">
    <w:name w:val="heading 1"/>
    <w:basedOn w:val="Normal"/>
    <w:next w:val="Normal"/>
    <w:link w:val="Heading1Char"/>
    <w:uiPriority w:val="9"/>
    <w:qFormat/>
    <w:rsid w:val="00FB5377"/>
    <w:pPr>
      <w:keepNext/>
      <w:keepLines/>
      <w:numPr>
        <w:numId w:val="3"/>
      </w:numPr>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C56AB1"/>
    <w:pPr>
      <w:keepNext/>
      <w:keepLines/>
      <w:numPr>
        <w:ilvl w:val="1"/>
        <w:numId w:val="3"/>
      </w:numPr>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semiHidden/>
    <w:unhideWhenUsed/>
    <w:qFormat/>
    <w:rsid w:val="00EB02D0"/>
    <w:pPr>
      <w:keepNext/>
      <w:keepLines/>
      <w:numPr>
        <w:ilvl w:val="2"/>
        <w:numId w:val="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B02D0"/>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B02D0"/>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B02D0"/>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B02D0"/>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B02D0"/>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B02D0"/>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5377"/>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rsid w:val="00C56AB1"/>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semiHidden/>
    <w:rsid w:val="00EB02D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B02D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B02D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B02D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B02D0"/>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B02D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B02D0"/>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EB02D0"/>
    <w:pPr>
      <w:ind w:left="720"/>
      <w:contextualSpacing/>
    </w:pPr>
  </w:style>
  <w:style w:type="paragraph" w:styleId="NormalWeb">
    <w:name w:val="Normal (Web)"/>
    <w:basedOn w:val="Normal"/>
    <w:uiPriority w:val="99"/>
    <w:unhideWhenUsed/>
    <w:rsid w:val="00CF3A9B"/>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308241">
      <w:bodyDiv w:val="1"/>
      <w:marLeft w:val="0"/>
      <w:marRight w:val="0"/>
      <w:marTop w:val="0"/>
      <w:marBottom w:val="0"/>
      <w:divBdr>
        <w:top w:val="none" w:sz="0" w:space="0" w:color="auto"/>
        <w:left w:val="none" w:sz="0" w:space="0" w:color="auto"/>
        <w:bottom w:val="none" w:sz="0" w:space="0" w:color="auto"/>
        <w:right w:val="none" w:sz="0" w:space="0" w:color="auto"/>
      </w:divBdr>
    </w:div>
    <w:div w:id="364915566">
      <w:bodyDiv w:val="1"/>
      <w:marLeft w:val="0"/>
      <w:marRight w:val="0"/>
      <w:marTop w:val="0"/>
      <w:marBottom w:val="0"/>
      <w:divBdr>
        <w:top w:val="none" w:sz="0" w:space="0" w:color="auto"/>
        <w:left w:val="none" w:sz="0" w:space="0" w:color="auto"/>
        <w:bottom w:val="none" w:sz="0" w:space="0" w:color="auto"/>
        <w:right w:val="none" w:sz="0" w:space="0" w:color="auto"/>
      </w:divBdr>
    </w:div>
    <w:div w:id="471873102">
      <w:bodyDiv w:val="1"/>
      <w:marLeft w:val="0"/>
      <w:marRight w:val="0"/>
      <w:marTop w:val="0"/>
      <w:marBottom w:val="0"/>
      <w:divBdr>
        <w:top w:val="none" w:sz="0" w:space="0" w:color="auto"/>
        <w:left w:val="none" w:sz="0" w:space="0" w:color="auto"/>
        <w:bottom w:val="none" w:sz="0" w:space="0" w:color="auto"/>
        <w:right w:val="none" w:sz="0" w:space="0" w:color="auto"/>
      </w:divBdr>
    </w:div>
    <w:div w:id="1116295784">
      <w:bodyDiv w:val="1"/>
      <w:marLeft w:val="0"/>
      <w:marRight w:val="0"/>
      <w:marTop w:val="0"/>
      <w:marBottom w:val="0"/>
      <w:divBdr>
        <w:top w:val="none" w:sz="0" w:space="0" w:color="auto"/>
        <w:left w:val="none" w:sz="0" w:space="0" w:color="auto"/>
        <w:bottom w:val="none" w:sz="0" w:space="0" w:color="auto"/>
        <w:right w:val="none" w:sz="0" w:space="0" w:color="auto"/>
      </w:divBdr>
    </w:div>
    <w:div w:id="1448767635">
      <w:bodyDiv w:val="1"/>
      <w:marLeft w:val="0"/>
      <w:marRight w:val="0"/>
      <w:marTop w:val="0"/>
      <w:marBottom w:val="0"/>
      <w:divBdr>
        <w:top w:val="none" w:sz="0" w:space="0" w:color="auto"/>
        <w:left w:val="none" w:sz="0" w:space="0" w:color="auto"/>
        <w:bottom w:val="none" w:sz="0" w:space="0" w:color="auto"/>
        <w:right w:val="none" w:sz="0" w:space="0" w:color="auto"/>
      </w:divBdr>
    </w:div>
    <w:div w:id="1804152077">
      <w:bodyDiv w:val="1"/>
      <w:marLeft w:val="0"/>
      <w:marRight w:val="0"/>
      <w:marTop w:val="0"/>
      <w:marBottom w:val="0"/>
      <w:divBdr>
        <w:top w:val="none" w:sz="0" w:space="0" w:color="auto"/>
        <w:left w:val="none" w:sz="0" w:space="0" w:color="auto"/>
        <w:bottom w:val="none" w:sz="0" w:space="0" w:color="auto"/>
        <w:right w:val="none" w:sz="0" w:space="0" w:color="auto"/>
      </w:divBdr>
    </w:div>
    <w:div w:id="2098941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799</Words>
  <Characters>4556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cp:revision>
  <dcterms:created xsi:type="dcterms:W3CDTF">2023-08-30T20:55:00Z</dcterms:created>
  <dcterms:modified xsi:type="dcterms:W3CDTF">2023-08-30T20:55:00Z</dcterms:modified>
</cp:coreProperties>
</file>