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mc:Ignorable="w14 wp14">
  <w:body>
    <w:p xmlns:wp14="http://schemas.microsoft.com/office/word/2010/wordml" w:rsidR="007F68BE" w:rsidRDefault="007F68BE" w14:paraId="672A6659" wp14:textId="77777777">
      <w:pPr>
        <w:jc w:val="center"/>
        <w:rPr>
          <w:rFonts w:ascii="Arial" w:hAnsi="Arial" w:eastAsia="Arial" w:cs="Arial"/>
          <w:b/>
          <w:bCs/>
          <w:sz w:val="28"/>
          <w:szCs w:val="28"/>
        </w:rPr>
      </w:pPr>
    </w:p>
    <w:p xmlns:wp14="http://schemas.microsoft.com/office/word/2010/wordml" w:rsidR="007F68BE" w:rsidRDefault="007F68BE" w14:paraId="0A37501D" wp14:textId="77777777">
      <w:pPr>
        <w:spacing w:line="259" w:lineRule="auto"/>
        <w:jc w:val="center"/>
        <w:rPr>
          <w:rFonts w:ascii="Arial" w:hAnsi="Arial" w:eastAsia="Arial" w:cs="Arial"/>
          <w:b/>
          <w:bCs/>
          <w:sz w:val="28"/>
          <w:szCs w:val="28"/>
        </w:rPr>
      </w:pPr>
    </w:p>
    <w:p xmlns:wp14="http://schemas.microsoft.com/office/word/2010/wordml" w:rsidR="007F68BE" w:rsidRDefault="007F68BE" w14:paraId="5DAB6C7B" wp14:textId="77777777">
      <w:pPr>
        <w:spacing w:line="259" w:lineRule="auto"/>
        <w:jc w:val="center"/>
        <w:rPr>
          <w:rFonts w:ascii="Arial" w:hAnsi="Arial" w:eastAsia="Arial" w:cs="Arial"/>
          <w:b/>
          <w:bCs/>
          <w:sz w:val="28"/>
          <w:szCs w:val="28"/>
        </w:rPr>
      </w:pPr>
    </w:p>
    <w:p xmlns:wp14="http://schemas.microsoft.com/office/word/2010/wordml" w:rsidR="007F68BE" w:rsidRDefault="007F68BE" w14:paraId="02EB378F" wp14:textId="77777777">
      <w:pPr>
        <w:spacing w:line="259" w:lineRule="auto"/>
        <w:jc w:val="center"/>
        <w:rPr>
          <w:rFonts w:ascii="Arial" w:hAnsi="Arial" w:eastAsia="Arial" w:cs="Arial"/>
          <w:b/>
          <w:bCs/>
          <w:sz w:val="28"/>
          <w:szCs w:val="28"/>
        </w:rPr>
      </w:pPr>
    </w:p>
    <w:p xmlns:wp14="http://schemas.microsoft.com/office/word/2010/wordml" w:rsidR="007F68BE" w:rsidRDefault="00353AB6" w14:paraId="35E39712" wp14:textId="77777777">
      <w:pPr>
        <w:spacing w:line="259" w:lineRule="auto"/>
        <w:jc w:val="center"/>
        <w:rPr>
          <w:rFonts w:ascii="Arial" w:hAnsi="Arial" w:eastAsia="Arial" w:cs="Arial"/>
          <w:sz w:val="28"/>
          <w:szCs w:val="28"/>
        </w:rPr>
      </w:pPr>
      <w:r>
        <w:rPr>
          <w:rFonts w:ascii="Arial" w:hAnsi="Arial" w:eastAsia="Arial" w:cs="Arial"/>
          <w:b/>
          <w:bCs/>
          <w:sz w:val="28"/>
          <w:szCs w:val="28"/>
        </w:rPr>
        <w:t xml:space="preserve">Module Title: </w:t>
      </w:r>
      <w:r>
        <w:rPr>
          <w:rFonts w:ascii="Arial" w:hAnsi="Arial" w:eastAsia="Arial" w:cs="Arial"/>
          <w:sz w:val="28"/>
          <w:szCs w:val="28"/>
        </w:rPr>
        <w:t>Developing and Managing Individuals and Teams</w:t>
      </w:r>
    </w:p>
    <w:p xmlns:wp14="http://schemas.microsoft.com/office/word/2010/wordml" w:rsidR="007F68BE" w:rsidRDefault="00353AB6" w14:paraId="447023EC" wp14:textId="77777777">
      <w:pPr>
        <w:spacing w:line="259" w:lineRule="auto"/>
        <w:jc w:val="center"/>
        <w:rPr>
          <w:rFonts w:ascii="Arial" w:hAnsi="Arial" w:eastAsia="Arial" w:cs="Arial"/>
          <w:sz w:val="28"/>
          <w:szCs w:val="28"/>
        </w:rPr>
      </w:pPr>
      <w:r>
        <w:rPr>
          <w:rFonts w:ascii="Arial" w:hAnsi="Arial" w:eastAsia="Arial" w:cs="Arial"/>
          <w:b/>
          <w:bCs/>
          <w:sz w:val="28"/>
          <w:szCs w:val="28"/>
        </w:rPr>
        <w:t xml:space="preserve">Code: </w:t>
      </w:r>
      <w:r>
        <w:rPr>
          <w:rFonts w:ascii="Arial" w:hAnsi="Arial" w:eastAsia="Arial" w:cs="Arial"/>
          <w:sz w:val="28"/>
          <w:szCs w:val="28"/>
        </w:rPr>
        <w:t>LCLM5002</w:t>
      </w:r>
    </w:p>
    <w:p xmlns:wp14="http://schemas.microsoft.com/office/word/2010/wordml" w:rsidR="007F68BE" w:rsidRDefault="007F68BE" w14:paraId="6A05A809" wp14:textId="77777777">
      <w:pPr>
        <w:spacing w:line="259" w:lineRule="auto"/>
        <w:jc w:val="center"/>
        <w:rPr>
          <w:rFonts w:ascii="Arial" w:hAnsi="Arial" w:eastAsia="Arial" w:cs="Arial"/>
          <w:sz w:val="28"/>
          <w:szCs w:val="28"/>
        </w:rPr>
      </w:pPr>
    </w:p>
    <w:p xmlns:wp14="http://schemas.microsoft.com/office/word/2010/wordml" w:rsidR="007F68BE" w:rsidRDefault="007F68BE" w14:paraId="5A39BBE3" wp14:textId="77777777">
      <w:pPr>
        <w:spacing w:line="259" w:lineRule="auto"/>
        <w:jc w:val="center"/>
        <w:rPr>
          <w:rFonts w:ascii="Arial" w:hAnsi="Arial" w:eastAsia="Arial" w:cs="Arial"/>
          <w:sz w:val="28"/>
          <w:szCs w:val="28"/>
        </w:rPr>
      </w:pPr>
    </w:p>
    <w:p xmlns:wp14="http://schemas.microsoft.com/office/word/2010/wordml" w:rsidR="007F68BE" w:rsidRDefault="007F68BE" w14:paraId="41C8F396" wp14:textId="77777777">
      <w:pPr>
        <w:spacing w:line="259" w:lineRule="auto"/>
        <w:jc w:val="center"/>
        <w:rPr>
          <w:rFonts w:ascii="Arial" w:hAnsi="Arial" w:eastAsia="Arial" w:cs="Arial"/>
          <w:sz w:val="28"/>
          <w:szCs w:val="28"/>
        </w:rPr>
      </w:pPr>
    </w:p>
    <w:p xmlns:wp14="http://schemas.microsoft.com/office/word/2010/wordml" w:rsidR="007F68BE" w:rsidRDefault="007F68BE" w14:paraId="72A3D3EC" wp14:textId="77777777">
      <w:pPr>
        <w:spacing w:line="259" w:lineRule="auto"/>
        <w:jc w:val="center"/>
        <w:rPr>
          <w:rFonts w:ascii="Arial" w:hAnsi="Arial" w:eastAsia="Arial" w:cs="Arial"/>
          <w:sz w:val="28"/>
          <w:szCs w:val="28"/>
        </w:rPr>
      </w:pPr>
    </w:p>
    <w:p xmlns:wp14="http://schemas.microsoft.com/office/word/2010/wordml" w:rsidR="007F68BE" w:rsidRDefault="00353AB6" w14:paraId="382E3B85" wp14:textId="76387986">
      <w:pPr>
        <w:jc w:val="center"/>
        <w:rPr>
          <w:rFonts w:ascii="Arial" w:hAnsi="Arial" w:eastAsia="Arial" w:cs="Arial"/>
          <w:b w:val="1"/>
          <w:bCs w:val="1"/>
        </w:rPr>
      </w:pPr>
      <w:r w:rsidRPr="781067CC" w:rsidR="00353AB6">
        <w:rPr>
          <w:rFonts w:ascii="Arial" w:hAnsi="Arial" w:eastAsia="Arial" w:cs="Arial"/>
          <w:b w:val="1"/>
          <w:bCs w:val="1"/>
        </w:rPr>
        <w:t>Student Name:</w:t>
      </w:r>
      <w:r w:rsidRPr="781067CC" w:rsidR="2BE46675">
        <w:rPr>
          <w:rFonts w:ascii="Arial" w:hAnsi="Arial" w:eastAsia="Arial" w:cs="Arial"/>
          <w:b w:val="1"/>
          <w:bCs w:val="1"/>
        </w:rPr>
        <w:t xml:space="preserve"> Catalin-Constantin Avram</w:t>
      </w:r>
    </w:p>
    <w:p xmlns:wp14="http://schemas.microsoft.com/office/word/2010/wordml" w:rsidR="007F68BE" w:rsidRDefault="00537AAC" w14:paraId="19E6BE64" wp14:textId="4201CF2E">
      <w:pPr>
        <w:jc w:val="center"/>
        <w:rPr>
          <w:rFonts w:ascii="Arial" w:hAnsi="Arial" w:eastAsia="Arial" w:cs="Arial"/>
          <w:b w:val="1"/>
          <w:bCs w:val="1"/>
        </w:rPr>
      </w:pPr>
      <w:r w:rsidRPr="781067CC" w:rsidR="00537AAC">
        <w:rPr>
          <w:rFonts w:ascii="Arial" w:hAnsi="Arial" w:eastAsia="Arial" w:cs="Arial"/>
          <w:b w:val="1"/>
          <w:bCs w:val="1"/>
        </w:rPr>
        <w:t xml:space="preserve">Student </w:t>
      </w:r>
      <w:r w:rsidRPr="781067CC" w:rsidR="00353AB6">
        <w:rPr>
          <w:rFonts w:ascii="Arial" w:hAnsi="Arial" w:eastAsia="Arial" w:cs="Arial"/>
          <w:b w:val="1"/>
          <w:bCs w:val="1"/>
        </w:rPr>
        <w:t xml:space="preserve">ID: </w:t>
      </w:r>
      <w:r w:rsidRPr="781067CC" w:rsidR="20625702">
        <w:rPr>
          <w:rFonts w:ascii="Arial" w:hAnsi="Arial" w:eastAsia="Arial" w:cs="Arial"/>
          <w:b w:val="1"/>
          <w:bCs w:val="1"/>
        </w:rPr>
        <w:t>2422877</w:t>
      </w:r>
    </w:p>
    <w:p xmlns:wp14="http://schemas.microsoft.com/office/word/2010/wordml" w:rsidR="007F68BE" w:rsidRDefault="007F68BE" w14:paraId="0D0B940D" wp14:textId="77777777">
      <w:pPr>
        <w:jc w:val="center"/>
        <w:rPr>
          <w:rFonts w:ascii="Arial" w:hAnsi="Arial" w:eastAsia="Arial" w:cs="Arial"/>
          <w:b/>
          <w:bCs/>
        </w:rPr>
      </w:pPr>
    </w:p>
    <w:p xmlns:wp14="http://schemas.microsoft.com/office/word/2010/wordml" w:rsidR="007F68BE" w:rsidRDefault="007F68BE" w14:paraId="0E27B00A" wp14:textId="77777777">
      <w:pPr>
        <w:jc w:val="center"/>
        <w:rPr>
          <w:rFonts w:ascii="Arial" w:hAnsi="Arial" w:eastAsia="Arial" w:cs="Arial"/>
          <w:b/>
          <w:bCs/>
        </w:rPr>
      </w:pPr>
    </w:p>
    <w:p xmlns:wp14="http://schemas.microsoft.com/office/word/2010/wordml" w:rsidR="007F68BE" w:rsidRDefault="007F68BE" w14:paraId="60061E4C" wp14:textId="77777777">
      <w:pPr>
        <w:jc w:val="center"/>
        <w:rPr>
          <w:rFonts w:ascii="Arial" w:hAnsi="Arial" w:eastAsia="Arial" w:cs="Arial"/>
          <w:b/>
          <w:bCs/>
        </w:rPr>
      </w:pPr>
    </w:p>
    <w:p xmlns:wp14="http://schemas.microsoft.com/office/word/2010/wordml" w:rsidR="007F68BE" w:rsidRDefault="007F68BE" w14:paraId="44EAFD9C" wp14:textId="77777777">
      <w:pPr>
        <w:jc w:val="center"/>
        <w:rPr>
          <w:rFonts w:ascii="Arial" w:hAnsi="Arial" w:eastAsia="Arial" w:cs="Arial"/>
          <w:b/>
          <w:bCs/>
        </w:rPr>
      </w:pPr>
    </w:p>
    <w:p xmlns:wp14="http://schemas.microsoft.com/office/word/2010/wordml" w:rsidR="007F68BE" w:rsidRDefault="00353AB6" w14:paraId="4830F165" wp14:textId="77777777">
      <w:pPr>
        <w:jc w:val="center"/>
        <w:rPr>
          <w:rFonts w:ascii="Arial" w:hAnsi="Arial" w:eastAsia="Arial" w:cs="Arial"/>
          <w:b/>
          <w:bCs/>
        </w:rPr>
      </w:pPr>
      <w:r>
        <w:rPr>
          <w:rFonts w:ascii="Arial" w:hAnsi="Arial" w:eastAsia="Arial" w:cs="Arial"/>
          <w:b/>
          <w:bCs/>
        </w:rPr>
        <w:t>Word Count: 2</w:t>
      </w:r>
      <w:r w:rsidR="00283A2A">
        <w:rPr>
          <w:rFonts w:ascii="Arial" w:hAnsi="Arial" w:eastAsia="Arial" w:cs="Arial"/>
          <w:b/>
          <w:bCs/>
        </w:rPr>
        <w:t>068</w:t>
      </w:r>
    </w:p>
    <w:p xmlns:wp14="http://schemas.microsoft.com/office/word/2010/wordml" w:rsidR="007F68BE" w:rsidRDefault="00353AB6" w14:paraId="4B94D5A5" wp14:textId="77777777">
      <w:pPr>
        <w:jc w:val="center"/>
        <w:rPr>
          <w:rFonts w:ascii="Arial" w:hAnsi="Arial" w:eastAsia="Arial" w:cs="Arial"/>
        </w:rPr>
      </w:pPr>
      <w:r>
        <w:br w:type="page"/>
      </w:r>
    </w:p>
    <w:p xmlns:wp14="http://schemas.microsoft.com/office/word/2010/wordml" w:rsidR="007F68BE" w:rsidRDefault="00353AB6" w14:paraId="22E0FC93" wp14:textId="77777777">
      <w:pPr>
        <w:keepNext/>
        <w:keepLines/>
        <w:pBdr>
          <w:top w:val="nil"/>
          <w:left w:val="nil"/>
          <w:bottom w:val="nil"/>
          <w:right w:val="nil"/>
          <w:between w:val="nil"/>
        </w:pBdr>
        <w:spacing w:before="240" w:after="0" w:line="259" w:lineRule="auto"/>
        <w:jc w:val="center"/>
        <w:rPr>
          <w:rFonts w:ascii="Arial" w:hAnsi="Arial" w:eastAsia="Arial" w:cs="Arial"/>
          <w:b/>
          <w:bCs/>
          <w:color w:val="2F5496"/>
          <w:sz w:val="32"/>
          <w:szCs w:val="32"/>
        </w:rPr>
      </w:pPr>
      <w:r>
        <w:rPr>
          <w:rFonts w:ascii="Arial" w:hAnsi="Arial" w:eastAsia="Arial" w:cs="Arial"/>
          <w:b/>
          <w:bCs/>
          <w:color w:val="2F5496"/>
          <w:sz w:val="32"/>
          <w:szCs w:val="32"/>
        </w:rPr>
        <w:t>Table of Contents</w:t>
      </w:r>
    </w:p>
    <w:sdt>
      <w:sdtPr>
        <w:id w:val="781398150"/>
        <w:docPartObj>
          <w:docPartGallery w:val="Table of Contents"/>
          <w:docPartUnique/>
        </w:docPartObj>
      </w:sdtPr>
      <w:sdtContent>
        <w:p xmlns:wp14="http://schemas.microsoft.com/office/word/2010/wordml" w:rsidR="007F68BE" w:rsidRDefault="00711118" w14:paraId="7789F852" wp14:textId="77777777">
          <w:pPr>
            <w:pBdr>
              <w:top w:val="nil"/>
              <w:left w:val="nil"/>
              <w:bottom w:val="nil"/>
              <w:right w:val="nil"/>
              <w:between w:val="nil"/>
            </w:pBdr>
            <w:tabs>
              <w:tab w:val="right" w:leader="dot" w:pos="9350"/>
            </w:tabs>
            <w:spacing w:after="100"/>
            <w:rPr>
              <w:rFonts w:ascii="Arial" w:hAnsi="Arial" w:eastAsia="Arial" w:cs="Arial"/>
              <w:color w:val="000000"/>
              <w:sz w:val="22"/>
              <w:szCs w:val="22"/>
            </w:rPr>
          </w:pPr>
          <w:r>
            <w:fldChar w:fldCharType="begin"/>
          </w:r>
          <w:r w:rsidR="00353AB6">
            <w:instrText xml:space="preserve"> TOC \h \u \z \t "Heading 1,1,Heading 2,2,Heading 3,3,"</w:instrText>
          </w:r>
          <w:r>
            <w:fldChar w:fldCharType="separate"/>
          </w:r>
          <w:hyperlink w:anchor="_heading=h.jqyklcsngh8b">
            <w:r w:rsidR="00353AB6">
              <w:rPr>
                <w:rFonts w:ascii="Arial" w:hAnsi="Arial" w:eastAsia="Arial" w:cs="Arial"/>
                <w:color w:val="000000"/>
              </w:rPr>
              <w:t>1. Introduction</w:t>
            </w:r>
            <w:r w:rsidR="00353AB6">
              <w:rPr>
                <w:rFonts w:ascii="Arial" w:hAnsi="Arial" w:eastAsia="Arial" w:cs="Arial"/>
                <w:color w:val="000000"/>
              </w:rPr>
              <w:tab/>
            </w:r>
            <w:r w:rsidR="00353AB6">
              <w:rPr>
                <w:rFonts w:ascii="Arial" w:hAnsi="Arial" w:eastAsia="Arial" w:cs="Arial"/>
                <w:color w:val="000000"/>
              </w:rPr>
              <w:t>3</w:t>
            </w:r>
          </w:hyperlink>
        </w:p>
        <w:p xmlns:wp14="http://schemas.microsoft.com/office/word/2010/wordml" w:rsidR="007F68BE" w:rsidRDefault="00711118" w14:paraId="02ABCCB1" wp14:textId="77777777">
          <w:pPr>
            <w:pBdr>
              <w:top w:val="nil"/>
              <w:left w:val="nil"/>
              <w:bottom w:val="nil"/>
              <w:right w:val="nil"/>
              <w:between w:val="nil"/>
            </w:pBdr>
            <w:tabs>
              <w:tab w:val="right" w:leader="dot" w:pos="9350"/>
            </w:tabs>
            <w:spacing w:after="100"/>
            <w:rPr>
              <w:rFonts w:ascii="Arial" w:hAnsi="Arial" w:eastAsia="Arial" w:cs="Arial"/>
              <w:color w:val="000000"/>
              <w:sz w:val="22"/>
              <w:szCs w:val="22"/>
            </w:rPr>
          </w:pPr>
          <w:hyperlink w:anchor="_heading=h.2naaitlqitsg">
            <w:r w:rsidR="00353AB6">
              <w:rPr>
                <w:rFonts w:ascii="Arial" w:hAnsi="Arial" w:eastAsia="Arial" w:cs="Arial"/>
                <w:color w:val="000000"/>
              </w:rPr>
              <w:t>2. Explanation of Key Factors</w:t>
            </w:r>
            <w:r w:rsidR="00353AB6">
              <w:rPr>
                <w:rFonts w:ascii="Arial" w:hAnsi="Arial" w:eastAsia="Arial" w:cs="Arial"/>
                <w:color w:val="000000"/>
              </w:rPr>
              <w:tab/>
            </w:r>
            <w:r w:rsidR="00353AB6">
              <w:rPr>
                <w:rFonts w:ascii="Arial" w:hAnsi="Arial" w:eastAsia="Arial" w:cs="Arial"/>
                <w:color w:val="000000"/>
              </w:rPr>
              <w:t>4</w:t>
            </w:r>
          </w:hyperlink>
        </w:p>
        <w:p xmlns:wp14="http://schemas.microsoft.com/office/word/2010/wordml" w:rsidR="007F68BE" w:rsidRDefault="00711118" w14:paraId="386C6451" wp14:textId="77777777">
          <w:pPr>
            <w:pBdr>
              <w:top w:val="nil"/>
              <w:left w:val="nil"/>
              <w:bottom w:val="nil"/>
              <w:right w:val="nil"/>
              <w:between w:val="nil"/>
            </w:pBdr>
            <w:tabs>
              <w:tab w:val="right" w:leader="dot" w:pos="9350"/>
            </w:tabs>
            <w:spacing w:after="100"/>
            <w:ind w:left="240"/>
            <w:rPr>
              <w:rFonts w:ascii="Arial" w:hAnsi="Arial" w:eastAsia="Arial" w:cs="Arial"/>
              <w:color w:val="000000"/>
              <w:sz w:val="22"/>
              <w:szCs w:val="22"/>
            </w:rPr>
          </w:pPr>
          <w:hyperlink w:anchor="_heading=h.ha6bvv92m8lm">
            <w:r w:rsidR="00353AB6">
              <w:rPr>
                <w:rFonts w:ascii="Arial" w:hAnsi="Arial" w:eastAsia="Arial" w:cs="Arial"/>
                <w:color w:val="000000"/>
              </w:rPr>
              <w:t>2.1 Adapting to Technological Advancements</w:t>
            </w:r>
            <w:r w:rsidR="00353AB6">
              <w:rPr>
                <w:rFonts w:ascii="Arial" w:hAnsi="Arial" w:eastAsia="Arial" w:cs="Arial"/>
                <w:color w:val="000000"/>
              </w:rPr>
              <w:tab/>
            </w:r>
            <w:r w:rsidR="00353AB6">
              <w:rPr>
                <w:rFonts w:ascii="Arial" w:hAnsi="Arial" w:eastAsia="Arial" w:cs="Arial"/>
                <w:color w:val="000000"/>
              </w:rPr>
              <w:t>4</w:t>
            </w:r>
          </w:hyperlink>
        </w:p>
        <w:p xmlns:wp14="http://schemas.microsoft.com/office/word/2010/wordml" w:rsidR="007F68BE" w:rsidRDefault="00711118" w14:paraId="407AA4A5" wp14:textId="77777777">
          <w:pPr>
            <w:pBdr>
              <w:top w:val="nil"/>
              <w:left w:val="nil"/>
              <w:bottom w:val="nil"/>
              <w:right w:val="nil"/>
              <w:between w:val="nil"/>
            </w:pBdr>
            <w:tabs>
              <w:tab w:val="right" w:leader="dot" w:pos="9350"/>
            </w:tabs>
            <w:spacing w:after="100"/>
            <w:ind w:left="240"/>
            <w:rPr>
              <w:rFonts w:ascii="Arial" w:hAnsi="Arial" w:eastAsia="Arial" w:cs="Arial"/>
              <w:color w:val="000000"/>
              <w:sz w:val="22"/>
              <w:szCs w:val="22"/>
            </w:rPr>
          </w:pPr>
          <w:hyperlink w:anchor="_heading=h.poyqcttf1u7n">
            <w:r w:rsidR="00353AB6">
              <w:rPr>
                <w:rFonts w:ascii="Arial" w:hAnsi="Arial" w:eastAsia="Arial" w:cs="Arial"/>
                <w:color w:val="000000"/>
              </w:rPr>
              <w:t>2.2 Talent Acquisition and Retention</w:t>
            </w:r>
            <w:r w:rsidR="00353AB6">
              <w:rPr>
                <w:rFonts w:ascii="Arial" w:hAnsi="Arial" w:eastAsia="Arial" w:cs="Arial"/>
                <w:color w:val="000000"/>
              </w:rPr>
              <w:tab/>
            </w:r>
            <w:r w:rsidR="00353AB6">
              <w:rPr>
                <w:rFonts w:ascii="Arial" w:hAnsi="Arial" w:eastAsia="Arial" w:cs="Arial"/>
                <w:color w:val="000000"/>
              </w:rPr>
              <w:t>4</w:t>
            </w:r>
          </w:hyperlink>
        </w:p>
        <w:p xmlns:wp14="http://schemas.microsoft.com/office/word/2010/wordml" w:rsidR="007F68BE" w:rsidRDefault="00711118" w14:paraId="431C1FCA" wp14:textId="77777777">
          <w:pPr>
            <w:pBdr>
              <w:top w:val="nil"/>
              <w:left w:val="nil"/>
              <w:bottom w:val="nil"/>
              <w:right w:val="nil"/>
              <w:between w:val="nil"/>
            </w:pBdr>
            <w:tabs>
              <w:tab w:val="right" w:leader="dot" w:pos="9350"/>
            </w:tabs>
            <w:spacing w:after="100"/>
            <w:ind w:left="240"/>
            <w:rPr>
              <w:rFonts w:ascii="Arial" w:hAnsi="Arial" w:eastAsia="Arial" w:cs="Arial"/>
              <w:color w:val="000000"/>
              <w:sz w:val="22"/>
              <w:szCs w:val="22"/>
            </w:rPr>
          </w:pPr>
          <w:hyperlink w:anchor="_heading=h.9i3ugy56y3go">
            <w:r w:rsidR="00353AB6">
              <w:rPr>
                <w:rFonts w:ascii="Arial" w:hAnsi="Arial" w:eastAsia="Arial" w:cs="Arial"/>
                <w:color w:val="000000"/>
              </w:rPr>
              <w:t>2.3 Diversity, Equity, and Inclusion (DEI)</w:t>
            </w:r>
            <w:r w:rsidR="00353AB6">
              <w:rPr>
                <w:rFonts w:ascii="Arial" w:hAnsi="Arial" w:eastAsia="Arial" w:cs="Arial"/>
                <w:color w:val="000000"/>
              </w:rPr>
              <w:tab/>
            </w:r>
            <w:r w:rsidR="00353AB6">
              <w:rPr>
                <w:rFonts w:ascii="Arial" w:hAnsi="Arial" w:eastAsia="Arial" w:cs="Arial"/>
                <w:color w:val="000000"/>
              </w:rPr>
              <w:t>5</w:t>
            </w:r>
          </w:hyperlink>
        </w:p>
        <w:p xmlns:wp14="http://schemas.microsoft.com/office/word/2010/wordml" w:rsidR="007F68BE" w:rsidRDefault="00711118" w14:paraId="2341A085" wp14:textId="77777777">
          <w:pPr>
            <w:pBdr>
              <w:top w:val="nil"/>
              <w:left w:val="nil"/>
              <w:bottom w:val="nil"/>
              <w:right w:val="nil"/>
              <w:between w:val="nil"/>
            </w:pBdr>
            <w:tabs>
              <w:tab w:val="right" w:leader="dot" w:pos="9350"/>
            </w:tabs>
            <w:spacing w:after="100"/>
            <w:rPr>
              <w:rFonts w:ascii="Arial" w:hAnsi="Arial" w:eastAsia="Arial" w:cs="Arial"/>
              <w:color w:val="000000"/>
              <w:sz w:val="22"/>
              <w:szCs w:val="22"/>
            </w:rPr>
          </w:pPr>
          <w:hyperlink w:anchor="_heading=h.487g42vrkr8z">
            <w:r w:rsidR="00353AB6">
              <w:rPr>
                <w:rFonts w:ascii="Arial" w:hAnsi="Arial" w:eastAsia="Arial" w:cs="Arial"/>
                <w:color w:val="000000"/>
              </w:rPr>
              <w:t>3. Evaluation of Contemporary HR Practices</w:t>
            </w:r>
            <w:r w:rsidR="00353AB6">
              <w:rPr>
                <w:rFonts w:ascii="Arial" w:hAnsi="Arial" w:eastAsia="Arial" w:cs="Arial"/>
                <w:color w:val="000000"/>
              </w:rPr>
              <w:tab/>
            </w:r>
            <w:r w:rsidR="00353AB6">
              <w:rPr>
                <w:rFonts w:ascii="Arial" w:hAnsi="Arial" w:eastAsia="Arial" w:cs="Arial"/>
                <w:color w:val="000000"/>
              </w:rPr>
              <w:t>5</w:t>
            </w:r>
          </w:hyperlink>
        </w:p>
        <w:p xmlns:wp14="http://schemas.microsoft.com/office/word/2010/wordml" w:rsidR="007F68BE" w:rsidRDefault="00711118" w14:paraId="2633A7F1" wp14:textId="77777777">
          <w:pPr>
            <w:pBdr>
              <w:top w:val="nil"/>
              <w:left w:val="nil"/>
              <w:bottom w:val="nil"/>
              <w:right w:val="nil"/>
              <w:between w:val="nil"/>
            </w:pBdr>
            <w:tabs>
              <w:tab w:val="right" w:leader="dot" w:pos="9350"/>
            </w:tabs>
            <w:spacing w:after="100"/>
            <w:ind w:left="240"/>
            <w:rPr>
              <w:rFonts w:ascii="Arial" w:hAnsi="Arial" w:eastAsia="Arial" w:cs="Arial"/>
              <w:color w:val="000000"/>
              <w:sz w:val="22"/>
              <w:szCs w:val="22"/>
            </w:rPr>
          </w:pPr>
          <w:hyperlink w:anchor="_heading=h.n5hadv35upa6">
            <w:r w:rsidR="00353AB6">
              <w:rPr>
                <w:rFonts w:ascii="Arial" w:hAnsi="Arial" w:eastAsia="Arial" w:cs="Arial"/>
                <w:color w:val="000000"/>
              </w:rPr>
              <w:t>3.1 Digital HR Systems and Workforce Analytics</w:t>
            </w:r>
            <w:r w:rsidR="00353AB6">
              <w:rPr>
                <w:rFonts w:ascii="Arial" w:hAnsi="Arial" w:eastAsia="Arial" w:cs="Arial"/>
                <w:color w:val="000000"/>
              </w:rPr>
              <w:tab/>
            </w:r>
            <w:r w:rsidR="00353AB6">
              <w:rPr>
                <w:rFonts w:ascii="Arial" w:hAnsi="Arial" w:eastAsia="Arial" w:cs="Arial"/>
                <w:color w:val="000000"/>
              </w:rPr>
              <w:t>5</w:t>
            </w:r>
          </w:hyperlink>
        </w:p>
        <w:p xmlns:wp14="http://schemas.microsoft.com/office/word/2010/wordml" w:rsidR="007F68BE" w:rsidRDefault="00711118" w14:paraId="7064E5B8" wp14:textId="77777777">
          <w:pPr>
            <w:pBdr>
              <w:top w:val="nil"/>
              <w:left w:val="nil"/>
              <w:bottom w:val="nil"/>
              <w:right w:val="nil"/>
              <w:between w:val="nil"/>
            </w:pBdr>
            <w:tabs>
              <w:tab w:val="right" w:leader="dot" w:pos="9350"/>
            </w:tabs>
            <w:spacing w:after="100"/>
            <w:ind w:left="240"/>
            <w:rPr>
              <w:rFonts w:ascii="Arial" w:hAnsi="Arial" w:eastAsia="Arial" w:cs="Arial"/>
              <w:color w:val="000000"/>
              <w:sz w:val="22"/>
              <w:szCs w:val="22"/>
            </w:rPr>
          </w:pPr>
          <w:hyperlink w:anchor="_heading=h.ruib16sbjrsi">
            <w:r w:rsidR="00353AB6">
              <w:rPr>
                <w:rFonts w:ascii="Arial" w:hAnsi="Arial" w:eastAsia="Arial" w:cs="Arial"/>
                <w:color w:val="000000"/>
              </w:rPr>
              <w:t>3.2 Talent Strategies (Employer Branding and Retention)</w:t>
            </w:r>
            <w:r w:rsidR="00353AB6">
              <w:rPr>
                <w:rFonts w:ascii="Arial" w:hAnsi="Arial" w:eastAsia="Arial" w:cs="Arial"/>
                <w:color w:val="000000"/>
              </w:rPr>
              <w:tab/>
            </w:r>
            <w:r w:rsidR="00353AB6">
              <w:rPr>
                <w:rFonts w:ascii="Arial" w:hAnsi="Arial" w:eastAsia="Arial" w:cs="Arial"/>
                <w:color w:val="000000"/>
              </w:rPr>
              <w:t>6</w:t>
            </w:r>
          </w:hyperlink>
        </w:p>
        <w:p xmlns:wp14="http://schemas.microsoft.com/office/word/2010/wordml" w:rsidR="007F68BE" w:rsidRDefault="00711118" w14:paraId="676E9999" wp14:textId="77777777">
          <w:pPr>
            <w:pBdr>
              <w:top w:val="nil"/>
              <w:left w:val="nil"/>
              <w:bottom w:val="nil"/>
              <w:right w:val="nil"/>
              <w:between w:val="nil"/>
            </w:pBdr>
            <w:tabs>
              <w:tab w:val="right" w:leader="dot" w:pos="9350"/>
            </w:tabs>
            <w:spacing w:after="100"/>
            <w:ind w:left="240"/>
            <w:rPr>
              <w:rFonts w:ascii="Arial" w:hAnsi="Arial" w:eastAsia="Arial" w:cs="Arial"/>
              <w:color w:val="000000"/>
              <w:sz w:val="22"/>
              <w:szCs w:val="22"/>
            </w:rPr>
          </w:pPr>
          <w:hyperlink w:anchor="_heading=h.mp8ne71ombks">
            <w:r w:rsidR="00353AB6">
              <w:rPr>
                <w:rFonts w:ascii="Arial" w:hAnsi="Arial" w:eastAsia="Arial" w:cs="Arial"/>
                <w:color w:val="000000"/>
              </w:rPr>
              <w:t>3.3 Diversity, Equity, and Inclusion (DEI) Practices</w:t>
            </w:r>
            <w:r w:rsidR="00353AB6">
              <w:rPr>
                <w:rFonts w:ascii="Arial" w:hAnsi="Arial" w:eastAsia="Arial" w:cs="Arial"/>
                <w:color w:val="000000"/>
              </w:rPr>
              <w:tab/>
            </w:r>
            <w:r w:rsidR="00353AB6">
              <w:rPr>
                <w:rFonts w:ascii="Arial" w:hAnsi="Arial" w:eastAsia="Arial" w:cs="Arial"/>
                <w:color w:val="000000"/>
              </w:rPr>
              <w:t>6</w:t>
            </w:r>
          </w:hyperlink>
        </w:p>
        <w:p xmlns:wp14="http://schemas.microsoft.com/office/word/2010/wordml" w:rsidR="007F68BE" w:rsidRDefault="00711118" w14:paraId="250EBFBC" wp14:textId="77777777">
          <w:pPr>
            <w:pBdr>
              <w:top w:val="nil"/>
              <w:left w:val="nil"/>
              <w:bottom w:val="nil"/>
              <w:right w:val="nil"/>
              <w:between w:val="nil"/>
            </w:pBdr>
            <w:tabs>
              <w:tab w:val="right" w:leader="dot" w:pos="9350"/>
            </w:tabs>
            <w:spacing w:after="100"/>
            <w:rPr>
              <w:rFonts w:ascii="Arial" w:hAnsi="Arial" w:eastAsia="Arial" w:cs="Arial"/>
              <w:color w:val="000000"/>
              <w:sz w:val="22"/>
              <w:szCs w:val="22"/>
            </w:rPr>
          </w:pPr>
          <w:hyperlink w:anchor="_heading=h.onhk8m6vfpdq">
            <w:r w:rsidR="00353AB6">
              <w:rPr>
                <w:rFonts w:ascii="Arial" w:hAnsi="Arial" w:eastAsia="Arial" w:cs="Arial"/>
                <w:color w:val="000000"/>
              </w:rPr>
              <w:t>4. Critical Evaluation of Managerial Implementation</w:t>
            </w:r>
            <w:r w:rsidR="00353AB6">
              <w:rPr>
                <w:rFonts w:ascii="Arial" w:hAnsi="Arial" w:eastAsia="Arial" w:cs="Arial"/>
                <w:color w:val="000000"/>
              </w:rPr>
              <w:tab/>
            </w:r>
            <w:r w:rsidR="00353AB6">
              <w:rPr>
                <w:rFonts w:ascii="Arial" w:hAnsi="Arial" w:eastAsia="Arial" w:cs="Arial"/>
                <w:color w:val="000000"/>
              </w:rPr>
              <w:t>7</w:t>
            </w:r>
          </w:hyperlink>
        </w:p>
        <w:p xmlns:wp14="http://schemas.microsoft.com/office/word/2010/wordml" w:rsidR="007F68BE" w:rsidRDefault="00711118" w14:paraId="3C8457D1" wp14:textId="77777777">
          <w:pPr>
            <w:pBdr>
              <w:top w:val="nil"/>
              <w:left w:val="nil"/>
              <w:bottom w:val="nil"/>
              <w:right w:val="nil"/>
              <w:between w:val="nil"/>
            </w:pBdr>
            <w:tabs>
              <w:tab w:val="right" w:leader="dot" w:pos="9350"/>
            </w:tabs>
            <w:spacing w:after="100"/>
            <w:rPr>
              <w:rFonts w:ascii="Arial" w:hAnsi="Arial" w:eastAsia="Arial" w:cs="Arial"/>
              <w:color w:val="000000"/>
              <w:sz w:val="22"/>
              <w:szCs w:val="22"/>
            </w:rPr>
          </w:pPr>
          <w:hyperlink w:anchor="_heading=h.4cn5prj0qr6g">
            <w:r w:rsidR="00353AB6">
              <w:rPr>
                <w:rFonts w:ascii="Arial" w:hAnsi="Arial" w:eastAsia="Arial" w:cs="Arial"/>
                <w:color w:val="000000"/>
              </w:rPr>
              <w:t>5. Conclusion and Recommendations</w:t>
            </w:r>
            <w:r w:rsidR="00353AB6">
              <w:rPr>
                <w:rFonts w:ascii="Arial" w:hAnsi="Arial" w:eastAsia="Arial" w:cs="Arial"/>
                <w:color w:val="000000"/>
              </w:rPr>
              <w:tab/>
            </w:r>
            <w:r w:rsidR="00353AB6">
              <w:rPr>
                <w:rFonts w:ascii="Arial" w:hAnsi="Arial" w:eastAsia="Arial" w:cs="Arial"/>
                <w:color w:val="000000"/>
              </w:rPr>
              <w:t>8</w:t>
            </w:r>
          </w:hyperlink>
        </w:p>
        <w:p xmlns:wp14="http://schemas.microsoft.com/office/word/2010/wordml" w:rsidR="007F68BE" w:rsidRDefault="00711118" w14:paraId="479E71A1" wp14:textId="77777777">
          <w:pPr>
            <w:pBdr>
              <w:top w:val="nil"/>
              <w:left w:val="nil"/>
              <w:bottom w:val="nil"/>
              <w:right w:val="nil"/>
              <w:between w:val="nil"/>
            </w:pBdr>
            <w:tabs>
              <w:tab w:val="right" w:leader="dot" w:pos="9350"/>
            </w:tabs>
            <w:spacing w:after="100"/>
            <w:rPr>
              <w:rFonts w:ascii="Arial" w:hAnsi="Arial" w:eastAsia="Arial" w:cs="Arial"/>
              <w:color w:val="000000"/>
              <w:sz w:val="22"/>
              <w:szCs w:val="22"/>
            </w:rPr>
          </w:pPr>
          <w:hyperlink w:anchor="_heading=h.mgcsf3ss21nr">
            <w:r w:rsidR="00353AB6">
              <w:rPr>
                <w:rFonts w:ascii="Arial" w:hAnsi="Arial" w:eastAsia="Arial" w:cs="Arial"/>
                <w:color w:val="000000"/>
              </w:rPr>
              <w:t>Reference List</w:t>
            </w:r>
            <w:r w:rsidR="00353AB6">
              <w:rPr>
                <w:rFonts w:ascii="Arial" w:hAnsi="Arial" w:eastAsia="Arial" w:cs="Arial"/>
                <w:color w:val="000000"/>
              </w:rPr>
              <w:tab/>
            </w:r>
            <w:r w:rsidR="00353AB6">
              <w:rPr>
                <w:rFonts w:ascii="Arial" w:hAnsi="Arial" w:eastAsia="Arial" w:cs="Arial"/>
                <w:color w:val="000000"/>
              </w:rPr>
              <w:t>9</w:t>
            </w:r>
          </w:hyperlink>
        </w:p>
        <w:p xmlns:wp14="http://schemas.microsoft.com/office/word/2010/wordml" w:rsidR="007F68BE" w:rsidRDefault="00711118" w14:paraId="3DEEC669" wp14:textId="77777777">
          <w:pPr>
            <w:rPr>
              <w:rFonts w:ascii="Arial" w:hAnsi="Arial" w:eastAsia="Arial" w:cs="Arial"/>
            </w:rPr>
          </w:pPr>
          <w:r>
            <w:fldChar w:fldCharType="end"/>
          </w:r>
        </w:p>
      </w:sdtContent>
    </w:sdt>
    <w:p xmlns:wp14="http://schemas.microsoft.com/office/word/2010/wordml" w:rsidR="007F68BE" w:rsidRDefault="007F68BE" w14:paraId="3656B9AB" wp14:textId="77777777">
      <w:pPr>
        <w:rPr>
          <w:rFonts w:ascii="Arial" w:hAnsi="Arial" w:eastAsia="Arial" w:cs="Arial"/>
        </w:rPr>
      </w:pPr>
    </w:p>
    <w:p xmlns:wp14="http://schemas.microsoft.com/office/word/2010/wordml" w:rsidR="007F68BE" w:rsidRDefault="00353AB6" w14:paraId="45FB0818" wp14:textId="77777777">
      <w:pPr>
        <w:spacing w:line="259" w:lineRule="auto"/>
        <w:jc w:val="left"/>
        <w:rPr>
          <w:rFonts w:ascii="Arial" w:hAnsi="Arial" w:eastAsia="Arial" w:cs="Arial"/>
          <w:b/>
          <w:bCs/>
          <w:sz w:val="28"/>
          <w:szCs w:val="28"/>
        </w:rPr>
      </w:pPr>
      <w:r>
        <w:br w:type="page"/>
      </w:r>
    </w:p>
    <w:p xmlns:wp14="http://schemas.microsoft.com/office/word/2010/wordml" w:rsidR="007F68BE" w:rsidRDefault="00353AB6" w14:paraId="32A36C38" wp14:textId="77777777">
      <w:pPr>
        <w:pStyle w:val="Titre1"/>
        <w:rPr>
          <w:rFonts w:ascii="Arial" w:hAnsi="Arial" w:eastAsia="Arial" w:cs="Arial"/>
        </w:rPr>
      </w:pPr>
      <w:bookmarkStart w:name="_heading=h.jqyklcsngh8b" w:colFirst="0" w:colLast="0" w:id="0"/>
      <w:bookmarkEnd w:id="0"/>
      <w:r>
        <w:rPr>
          <w:rFonts w:ascii="Arial" w:hAnsi="Arial" w:eastAsia="Arial" w:cs="Arial"/>
        </w:rPr>
        <w:t>1. Introduction</w:t>
      </w:r>
    </w:p>
    <w:p xmlns:wp14="http://schemas.microsoft.com/office/word/2010/wordml" w:rsidR="007F68BE" w:rsidRDefault="00353AB6" w14:paraId="48512232" wp14:textId="77777777">
      <w:pPr>
        <w:rPr>
          <w:rFonts w:ascii="Arial" w:hAnsi="Arial" w:eastAsia="Arial" w:cs="Arial"/>
          <w:color w:val="000000"/>
          <w:sz w:val="22"/>
          <w:szCs w:val="22"/>
        </w:rPr>
      </w:pPr>
      <w:r>
        <w:rPr>
          <w:rFonts w:ascii="Arial" w:hAnsi="Arial" w:eastAsia="Arial" w:cs="Arial"/>
          <w:color w:val="000000"/>
          <w:sz w:val="22"/>
          <w:szCs w:val="22"/>
        </w:rPr>
        <w:t>HR teams are facing a lot of challenges nowadays, including the ability to keep up with the latest tech, the scarcity of skilled professionals globally, as well as a more diverse and inclusive culture as a priority. The lack of up-to-date HR strategies will impact an organisation's capability for engagement and competitiveness, in addition to the lack of consistency in the long term (CIPD, 2023). This is certainly impacting retail, which is undergoing digitalisation and consumer behaviour change.</w:t>
      </w:r>
    </w:p>
    <w:p xmlns:wp14="http://schemas.microsoft.com/office/word/2010/wordml" w:rsidR="007F68BE" w:rsidRDefault="00353AB6" w14:paraId="049F31CB" wp14:textId="77777777">
      <w:pPr>
        <w:jc w:val="center"/>
        <w:rPr>
          <w:rFonts w:ascii="Arial" w:hAnsi="Arial" w:eastAsia="Arial" w:cs="Arial"/>
          <w:color w:val="000000"/>
          <w:sz w:val="22"/>
          <w:szCs w:val="22"/>
        </w:rPr>
      </w:pPr>
      <w:r>
        <w:rPr>
          <w:rFonts w:ascii="Arial" w:hAnsi="Arial" w:eastAsia="Arial" w:cs="Arial"/>
          <w:noProof/>
          <w:lang w:val="fr-FR" w:eastAsia="fr-FR"/>
        </w:rPr>
        <w:drawing>
          <wp:inline xmlns:wp14="http://schemas.microsoft.com/office/word/2010/wordprocessingDrawing" distT="0" distB="0" distL="0" distR="0" wp14:anchorId="69D60CE0" wp14:editId="7777777">
            <wp:extent cx="5943600" cy="4457700"/>
            <wp:effectExtent l="0" t="0" r="0" b="0"/>
            <wp:docPr id="1" name="image1.jpg" descr="New Look | LinkedIn"/>
            <wp:cNvGraphicFramePr/>
            <a:graphic xmlns:a="http://schemas.openxmlformats.org/drawingml/2006/main">
              <a:graphicData uri="http://schemas.openxmlformats.org/drawingml/2006/picture">
                <pic:pic xmlns:pic="http://schemas.openxmlformats.org/drawingml/2006/picture">
                  <pic:nvPicPr>
                    <pic:cNvPr id="0" name="image1.jpg" descr="New Look | LinkedIn"/>
                    <pic:cNvPicPr preferRelativeResize="0"/>
                  </pic:nvPicPr>
                  <pic:blipFill>
                    <a:blip r:embed="rId7"/>
                    <a:srcRect/>
                    <a:stretch>
                      <a:fillRect/>
                    </a:stretch>
                  </pic:blipFill>
                  <pic:spPr>
                    <a:xfrm>
                      <a:off x="0" y="0"/>
                      <a:ext cx="5943600" cy="4457700"/>
                    </a:xfrm>
                    <a:prstGeom prst="rect">
                      <a:avLst/>
                    </a:prstGeom>
                    <a:ln/>
                  </pic:spPr>
                </pic:pic>
              </a:graphicData>
            </a:graphic>
          </wp:inline>
        </w:drawing>
      </w:r>
    </w:p>
    <w:p xmlns:wp14="http://schemas.microsoft.com/office/word/2010/wordml" w:rsidR="007F68BE" w:rsidRDefault="00353AB6" w14:paraId="75B8F6F6" wp14:textId="77777777">
      <w:pPr>
        <w:jc w:val="center"/>
        <w:rPr>
          <w:rFonts w:ascii="Arial" w:hAnsi="Arial" w:eastAsia="Arial" w:cs="Arial"/>
          <w:color w:val="000000"/>
          <w:sz w:val="22"/>
          <w:szCs w:val="22"/>
        </w:rPr>
      </w:pPr>
      <w:r>
        <w:rPr>
          <w:rFonts w:ascii="Arial" w:hAnsi="Arial" w:eastAsia="Arial" w:cs="Arial"/>
          <w:color w:val="000000"/>
          <w:sz w:val="22"/>
          <w:szCs w:val="22"/>
        </w:rPr>
        <w:t>Figure: New Look Outlet (New Look, 2026)</w:t>
      </w:r>
    </w:p>
    <w:p xmlns:wp14="http://schemas.microsoft.com/office/word/2010/wordml" w:rsidR="007F68BE" w:rsidRDefault="00353AB6" w14:paraId="38CDCD72" wp14:textId="77777777">
      <w:pPr>
        <w:rPr>
          <w:rFonts w:ascii="Arial" w:hAnsi="Arial" w:eastAsia="Arial" w:cs="Arial"/>
          <w:sz w:val="22"/>
          <w:szCs w:val="22"/>
        </w:rPr>
      </w:pPr>
      <w:r>
        <w:rPr>
          <w:rFonts w:ascii="Arial" w:hAnsi="Arial" w:eastAsia="Arial" w:cs="Arial"/>
          <w:sz w:val="22"/>
          <w:szCs w:val="22"/>
        </w:rPr>
        <w:t xml:space="preserve">It's in the middle of this for a big retailer of clothing on the high street and online, New Look, UK. It's a tough employment market with an increasing number of people who want their workplace to be an open and accepting place, and great employees are hard to come by, much less keep (New Look, 2026). </w:t>
      </w:r>
    </w:p>
    <w:p xmlns:wp14="http://schemas.microsoft.com/office/word/2010/wordml" w:rsidR="007F68BE" w:rsidRDefault="00353AB6" w14:paraId="35CE5356" wp14:textId="77777777">
      <w:pPr>
        <w:rPr>
          <w:rFonts w:ascii="Arial" w:hAnsi="Arial" w:eastAsia="Arial" w:cs="Arial"/>
          <w:sz w:val="22"/>
          <w:szCs w:val="22"/>
        </w:rPr>
      </w:pPr>
      <w:r>
        <w:rPr>
          <w:rFonts w:ascii="Arial" w:hAnsi="Arial" w:eastAsia="Arial" w:cs="Arial"/>
          <w:sz w:val="22"/>
          <w:szCs w:val="22"/>
        </w:rPr>
        <w:t>In this report, three challenges</w:t>
      </w:r>
      <w:r w:rsidR="002449B2">
        <w:rPr>
          <w:rFonts w:ascii="Arial" w:hAnsi="Arial" w:eastAsia="Arial" w:cs="Arial"/>
          <w:sz w:val="22"/>
          <w:szCs w:val="22"/>
        </w:rPr>
        <w:t xml:space="preserve"> has been pointed out</w:t>
      </w:r>
      <w:r>
        <w:rPr>
          <w:rFonts w:ascii="Arial" w:hAnsi="Arial" w:eastAsia="Arial" w:cs="Arial"/>
          <w:sz w:val="22"/>
          <w:szCs w:val="22"/>
        </w:rPr>
        <w:t xml:space="preserve"> that New Look is dealing with to meet technology, hire and retain talent and fulfil diversity, equity and inclusion (DEI). It considers the effect that each one has on the effectiveness of the organisation, the engagement of staff and the future of the organisation.</w:t>
      </w:r>
    </w:p>
    <w:p xmlns:wp14="http://schemas.microsoft.com/office/word/2010/wordml" w:rsidR="007F68BE" w:rsidRDefault="00353AB6" w14:paraId="1A537423" wp14:textId="77777777">
      <w:pPr>
        <w:pStyle w:val="Titre1"/>
        <w:rPr>
          <w:rFonts w:ascii="Arial" w:hAnsi="Arial" w:eastAsia="Arial" w:cs="Arial"/>
        </w:rPr>
      </w:pPr>
      <w:bookmarkStart w:name="_heading=h.2naaitlqitsg" w:colFirst="0" w:colLast="0" w:id="1"/>
      <w:bookmarkEnd w:id="1"/>
      <w:r>
        <w:rPr>
          <w:rFonts w:ascii="Arial" w:hAnsi="Arial" w:eastAsia="Arial" w:cs="Arial"/>
        </w:rPr>
        <w:t>2. Explanation of Key Factors</w:t>
      </w:r>
    </w:p>
    <w:p xmlns:wp14="http://schemas.microsoft.com/office/word/2010/wordml" w:rsidR="007F68BE" w:rsidRDefault="00353AB6" w14:paraId="19B2FC00" wp14:textId="77777777">
      <w:pPr>
        <w:pStyle w:val="Titre2"/>
        <w:rPr>
          <w:rFonts w:ascii="Arial" w:hAnsi="Arial" w:eastAsia="Arial" w:cs="Arial"/>
        </w:rPr>
      </w:pPr>
      <w:bookmarkStart w:name="_heading=h.ha6bvv92m8lm" w:colFirst="0" w:colLast="0" w:id="2"/>
      <w:bookmarkEnd w:id="2"/>
      <w:r>
        <w:rPr>
          <w:rFonts w:ascii="Arial" w:hAnsi="Arial" w:eastAsia="Arial" w:cs="Arial"/>
        </w:rPr>
        <w:t xml:space="preserve">2.1 Adapting to Technological Advancements </w:t>
      </w:r>
    </w:p>
    <w:p xmlns:wp14="http://schemas.microsoft.com/office/word/2010/wordml" w:rsidR="007F68BE" w:rsidRDefault="00353AB6" w14:paraId="3617F318" wp14:textId="77777777">
      <w:pPr>
        <w:rPr>
          <w:rFonts w:ascii="Arial" w:hAnsi="Arial" w:eastAsia="Arial" w:cs="Arial"/>
          <w:sz w:val="22"/>
          <w:szCs w:val="22"/>
        </w:rPr>
      </w:pPr>
      <w:r>
        <w:rPr>
          <w:rFonts w:ascii="Arial" w:hAnsi="Arial" w:eastAsia="Arial" w:cs="Arial"/>
          <w:sz w:val="22"/>
          <w:szCs w:val="22"/>
        </w:rPr>
        <w:t>In fact, alongside e-commerce, data analytics and automation, many new homes, including New Look, are transforming the way businesses sell, and companies need to connect brick-and-mortar and computer-based enterprises if they are to stay in the competition. (Brynjolfsson and McAfee, 2017) Such a change might actually present real challenges for HR.</w:t>
      </w:r>
    </w:p>
    <w:p xmlns:wp14="http://schemas.microsoft.com/office/word/2010/wordml" w:rsidR="007F68BE" w:rsidRDefault="00353AB6" w14:paraId="0C0AF3E4" wp14:textId="77777777">
      <w:pPr>
        <w:rPr>
          <w:rFonts w:ascii="Arial" w:hAnsi="Arial" w:eastAsia="Arial" w:cs="Arial"/>
          <w:sz w:val="22"/>
          <w:szCs w:val="22"/>
        </w:rPr>
      </w:pPr>
      <w:r>
        <w:rPr>
          <w:rFonts w:ascii="Arial" w:hAnsi="Arial" w:eastAsia="Arial" w:cs="Arial"/>
          <w:sz w:val="22"/>
          <w:szCs w:val="22"/>
        </w:rPr>
        <w:t xml:space="preserve">One thing that has been noticed in particular is a lack of skills. People who worked in traditional brick-and-mortar stores have not been prepared for digital days: how to work with data, conduct digital marketing campaigns, and how to use CRM systems (Autor, 2015). </w:t>
      </w:r>
    </w:p>
    <w:p xmlns:wp14="http://schemas.microsoft.com/office/word/2010/wordml" w:rsidR="007F68BE" w:rsidRDefault="00353AB6" w14:paraId="33FBFC04" wp14:textId="77777777">
      <w:pPr>
        <w:rPr>
          <w:rFonts w:ascii="Arial" w:hAnsi="Arial" w:eastAsia="Arial" w:cs="Arial"/>
          <w:sz w:val="22"/>
          <w:szCs w:val="22"/>
        </w:rPr>
      </w:pPr>
      <w:r>
        <w:rPr>
          <w:rFonts w:ascii="Arial" w:hAnsi="Arial" w:eastAsia="Arial" w:cs="Arial"/>
          <w:sz w:val="22"/>
          <w:szCs w:val="22"/>
        </w:rPr>
        <w:t>It isn't simply about the abilities. For some, digital tools can enhance productivity and let them know they have the skills to use them. Without proper training and without feeling obliged to apply systems that they do not know, Team Members' morale drops, and stress levels increase (2019 Vial). HR must facilitate a more appropriate pace of technological change in line with workforce readiness, which is a challenge as well as a technical challenge.</w:t>
      </w:r>
    </w:p>
    <w:p xmlns:wp14="http://schemas.microsoft.com/office/word/2010/wordml" w:rsidR="007F68BE" w:rsidRDefault="00353AB6" w14:paraId="35BA753D" wp14:textId="77777777">
      <w:pPr>
        <w:pStyle w:val="Titre2"/>
        <w:rPr>
          <w:rFonts w:ascii="Arial" w:hAnsi="Arial" w:eastAsia="Arial" w:cs="Arial"/>
        </w:rPr>
      </w:pPr>
      <w:bookmarkStart w:name="_heading=h.poyqcttf1u7n" w:colFirst="0" w:colLast="0" w:id="3"/>
      <w:bookmarkEnd w:id="3"/>
      <w:r>
        <w:rPr>
          <w:rFonts w:ascii="Arial" w:hAnsi="Arial" w:eastAsia="Arial" w:cs="Arial"/>
        </w:rPr>
        <w:t>2.2 Talent Acquisition and Retention</w:t>
      </w:r>
    </w:p>
    <w:p xmlns:wp14="http://schemas.microsoft.com/office/word/2010/wordml" w:rsidR="007F68BE" w:rsidRDefault="00353AB6" w14:paraId="527B78B5" wp14:textId="77777777">
      <w:pPr>
        <w:rPr>
          <w:rFonts w:ascii="Arial" w:hAnsi="Arial" w:eastAsia="Arial" w:cs="Arial"/>
          <w:sz w:val="22"/>
          <w:szCs w:val="22"/>
        </w:rPr>
      </w:pPr>
      <w:r>
        <w:rPr>
          <w:rFonts w:ascii="Arial" w:hAnsi="Arial" w:eastAsia="Arial" w:cs="Arial"/>
          <w:sz w:val="22"/>
          <w:szCs w:val="22"/>
        </w:rPr>
        <w:t>In the UK, demand for skilled workers in the retail industry, specifically Digital, Supply Chain and Customer Experience, is very high. But it's not just New Look that has a turnover problem; it's also one of the highest in the retailing sector (CIPD, 2022).</w:t>
      </w:r>
    </w:p>
    <w:p xmlns:wp14="http://schemas.microsoft.com/office/word/2010/wordml" w:rsidR="007F68BE" w:rsidRDefault="00353AB6" w14:paraId="613ACDCC" wp14:textId="77777777">
      <w:pPr>
        <w:rPr>
          <w:rFonts w:ascii="Arial" w:hAnsi="Arial" w:eastAsia="Arial" w:cs="Arial"/>
          <w:sz w:val="22"/>
          <w:szCs w:val="22"/>
        </w:rPr>
      </w:pPr>
      <w:r>
        <w:rPr>
          <w:rFonts w:ascii="Arial" w:hAnsi="Arial" w:eastAsia="Arial" w:cs="Arial"/>
          <w:sz w:val="22"/>
          <w:szCs w:val="22"/>
        </w:rPr>
        <w:t>Turnover comes at a very high price in many aspects. There are instances where the organisation has a problem building up accumulated knowledge due to the continuous cycles of recruitment and training (Hom et al., 2017). But the size of the digital savvy, analytical talent pool, which makes it even harder to find people to join New Look's expanding online operation.</w:t>
      </w:r>
    </w:p>
    <w:p xmlns:wp14="http://schemas.microsoft.com/office/word/2010/wordml" w:rsidR="007F68BE" w:rsidRDefault="00353AB6" w14:paraId="17145855" wp14:textId="77777777">
      <w:pPr>
        <w:rPr>
          <w:rFonts w:ascii="Arial" w:hAnsi="Arial" w:eastAsia="Arial" w:cs="Arial"/>
          <w:sz w:val="22"/>
          <w:szCs w:val="22"/>
        </w:rPr>
      </w:pPr>
      <w:r>
        <w:rPr>
          <w:rFonts w:ascii="Arial" w:hAnsi="Arial" w:eastAsia="Arial" w:cs="Arial"/>
          <w:sz w:val="22"/>
          <w:szCs w:val="22"/>
        </w:rPr>
        <w:t xml:space="preserve">The implications of poor impacts on the retention are far-reaching. As staff continue to retire, or staff members leave due to other factors, team cohesion, morale goes down, and relationships with regular customers fall apart (Boxall and Purcell, 2016). Today's employees are looking for more than a pay cheque too. In their search for work, they are looking for jobs that 'make </w:t>
      </w:r>
      <w:r>
        <w:rPr>
          <w:rFonts w:ascii="Arial" w:hAnsi="Arial" w:eastAsia="Arial" w:cs="Arial"/>
          <w:sz w:val="22"/>
          <w:szCs w:val="22"/>
        </w:rPr>
        <w:t>sense', growth and reasonable relationships, both in the workplace and in their leisure activities. Those that aren't doing this are in a constant battle to keep their employees as productive as they can be, and it's crucial that they pay it adequate attention, as much as they pay them their regular HR jobs.</w:t>
      </w:r>
    </w:p>
    <w:p xmlns:wp14="http://schemas.microsoft.com/office/word/2010/wordml" w:rsidR="007F68BE" w:rsidRDefault="00353AB6" w14:paraId="2F4CE578" wp14:textId="77777777">
      <w:pPr>
        <w:pStyle w:val="Titre2"/>
        <w:rPr>
          <w:rFonts w:ascii="Arial" w:hAnsi="Arial" w:eastAsia="Arial" w:cs="Arial"/>
        </w:rPr>
      </w:pPr>
      <w:bookmarkStart w:name="_heading=h.9i3ugy56y3go" w:colFirst="0" w:colLast="0" w:id="4"/>
      <w:bookmarkEnd w:id="4"/>
      <w:r>
        <w:rPr>
          <w:rFonts w:ascii="Arial" w:hAnsi="Arial" w:eastAsia="Arial" w:cs="Arial"/>
        </w:rPr>
        <w:t>2.3 Diversity, Equity, and Inclusion (DEI)</w:t>
      </w:r>
    </w:p>
    <w:p xmlns:wp14="http://schemas.microsoft.com/office/word/2010/wordml" w:rsidR="007F68BE" w:rsidRDefault="00353AB6" w14:paraId="0E29C27E" wp14:textId="77777777">
      <w:pPr>
        <w:rPr>
          <w:rFonts w:ascii="Arial" w:hAnsi="Arial" w:eastAsia="Arial" w:cs="Arial"/>
          <w:sz w:val="22"/>
          <w:szCs w:val="22"/>
        </w:rPr>
      </w:pPr>
      <w:r>
        <w:rPr>
          <w:rFonts w:ascii="Arial" w:hAnsi="Arial" w:eastAsia="Arial" w:cs="Arial"/>
          <w:sz w:val="22"/>
          <w:szCs w:val="22"/>
        </w:rPr>
        <w:t>DEI is a buzzy topic and most frequently discussed by customer-facing companies (like retailers). A diversified workforce with an understanding of and relationship with a wider customer base, coupled with the creativity and decision-making edge it provides, benefits a business such as New Look (Shore et al., 2018).</w:t>
      </w:r>
    </w:p>
    <w:p xmlns:wp14="http://schemas.microsoft.com/office/word/2010/wordml" w:rsidR="007F68BE" w:rsidRDefault="00711118" w14:paraId="7D93C8F4" wp14:textId="77777777">
      <w:pPr>
        <w:rPr>
          <w:rFonts w:ascii="Arial" w:hAnsi="Arial" w:eastAsia="Arial" w:cs="Arial"/>
          <w:sz w:val="22"/>
          <w:szCs w:val="22"/>
        </w:rPr>
      </w:pPr>
      <w:sdt>
        <w:sdtPr>
          <w:tag w:val="goog_rdk_1"/>
          <w:id w:val="-1830986195"/>
        </w:sdtPr>
        <w:sdtContent/>
      </w:sdt>
      <w:r w:rsidR="002449B2">
        <w:rPr>
          <w:rFonts w:ascii="Arial" w:hAnsi="Arial" w:eastAsia="Arial" w:cs="Arial"/>
          <w:sz w:val="22"/>
          <w:szCs w:val="22"/>
        </w:rPr>
        <w:t>I</w:t>
      </w:r>
      <w:r w:rsidR="00353AB6">
        <w:rPr>
          <w:rFonts w:ascii="Arial" w:hAnsi="Arial" w:eastAsia="Arial" w:cs="Arial"/>
          <w:sz w:val="22"/>
          <w:szCs w:val="22"/>
        </w:rPr>
        <w:t xml:space="preserve">f the workforce on the front line is diverse, then there will be less diversity at the management and leadership level. </w:t>
      </w:r>
      <w:r w:rsidRPr="002449B2" w:rsidR="002449B2">
        <w:rPr>
          <w:rFonts w:ascii="Arial" w:hAnsi="Arial" w:eastAsia="Arial" w:cs="Arial"/>
          <w:sz w:val="22"/>
          <w:szCs w:val="22"/>
        </w:rPr>
        <w:t>However</w:t>
      </w:r>
      <w:r w:rsidR="002449B2">
        <w:rPr>
          <w:rFonts w:ascii="Arial" w:hAnsi="Arial" w:eastAsia="Arial" w:cs="Arial"/>
          <w:sz w:val="22"/>
          <w:szCs w:val="22"/>
        </w:rPr>
        <w:t>, i</w:t>
      </w:r>
      <w:r w:rsidR="00353AB6">
        <w:rPr>
          <w:rFonts w:ascii="Arial" w:hAnsi="Arial" w:eastAsia="Arial" w:cs="Arial"/>
          <w:sz w:val="22"/>
          <w:szCs w:val="22"/>
        </w:rPr>
        <w:t xml:space="preserve">ncorporating diversity among the workforce </w:t>
      </w:r>
      <w:sdt>
        <w:sdtPr>
          <w:tag w:val="goog_rdk_2"/>
          <w:id w:val="1692719459"/>
        </w:sdtPr>
        <w:sdtContent/>
      </w:sdt>
      <w:r w:rsidR="00353AB6">
        <w:rPr>
          <w:rFonts w:ascii="Arial" w:hAnsi="Arial" w:eastAsia="Arial" w:cs="Arial"/>
          <w:sz w:val="22"/>
          <w:szCs w:val="22"/>
        </w:rPr>
        <w:t>is only thestarting point. Building a culture where people feel valued and respected, and like they can contribute, takes effort (Roberson, 2019).</w:t>
      </w:r>
    </w:p>
    <w:p xmlns:wp14="http://schemas.microsoft.com/office/word/2010/wordml" w:rsidR="007F68BE" w:rsidRDefault="00353AB6" w14:paraId="519E89A6" wp14:textId="77777777">
      <w:pPr>
        <w:rPr>
          <w:rFonts w:ascii="Arial" w:hAnsi="Arial" w:eastAsia="Arial" w:cs="Arial"/>
          <w:sz w:val="22"/>
          <w:szCs w:val="22"/>
        </w:rPr>
      </w:pPr>
      <w:r>
        <w:rPr>
          <w:rFonts w:ascii="Arial" w:hAnsi="Arial" w:eastAsia="Arial" w:cs="Arial"/>
          <w:sz w:val="22"/>
          <w:szCs w:val="22"/>
        </w:rPr>
        <w:t>Success will be rewarded. Positive outcomes of inclusive workplaces include higher levels of job satisfaction, job engagement and lower turnover (Mor Barak, 2017). DEI also has an impact on the external perception of a brand and is a big deal in the retail world, where perceptions reflect in sales. But it is also a fact that the opposite is true. The lack of progress in DEI can lead to reputational and performance problems identified by visible failures. That is how to make DEI an integral component of HR strategy, and ensure business protection on both fronts.</w:t>
      </w:r>
    </w:p>
    <w:p xmlns:wp14="http://schemas.microsoft.com/office/word/2010/wordml" w:rsidR="007F68BE" w:rsidRDefault="00353AB6" w14:paraId="31186809" wp14:textId="77777777">
      <w:pPr>
        <w:pStyle w:val="Titre1"/>
        <w:rPr>
          <w:rFonts w:ascii="Arial" w:hAnsi="Arial" w:eastAsia="Arial" w:cs="Arial"/>
        </w:rPr>
      </w:pPr>
      <w:bookmarkStart w:name="_heading=h.487g42vrkr8z" w:colFirst="0" w:colLast="0" w:id="5"/>
      <w:bookmarkEnd w:id="5"/>
      <w:r>
        <w:rPr>
          <w:rFonts w:ascii="Arial" w:hAnsi="Arial" w:eastAsia="Arial" w:cs="Arial"/>
        </w:rPr>
        <w:t>3. Evaluation of Contemporary HR Practices</w:t>
      </w:r>
    </w:p>
    <w:p xmlns:wp14="http://schemas.microsoft.com/office/word/2010/wordml" w:rsidR="007F68BE" w:rsidRDefault="00353AB6" w14:paraId="5E2EBDEF" wp14:textId="77777777">
      <w:pPr>
        <w:pStyle w:val="Titre2"/>
        <w:rPr>
          <w:rFonts w:ascii="Arial" w:hAnsi="Arial" w:eastAsia="Arial" w:cs="Arial"/>
        </w:rPr>
      </w:pPr>
      <w:bookmarkStart w:name="_heading=h.n5hadv35upa6" w:colFirst="0" w:colLast="0" w:id="6"/>
      <w:bookmarkEnd w:id="6"/>
      <w:r>
        <w:rPr>
          <w:rFonts w:ascii="Arial" w:hAnsi="Arial" w:eastAsia="Arial" w:cs="Arial"/>
        </w:rPr>
        <w:t>3.1 Digital HR Systems and Workforce Analytics</w:t>
      </w:r>
    </w:p>
    <w:p xmlns:wp14="http://schemas.microsoft.com/office/word/2010/wordml" w:rsidR="007F68BE" w:rsidRDefault="00353AB6" w14:paraId="76CB35A9" wp14:textId="77777777">
      <w:pPr>
        <w:rPr>
          <w:rFonts w:ascii="Arial" w:hAnsi="Arial" w:eastAsia="Arial" w:cs="Arial"/>
          <w:sz w:val="22"/>
          <w:szCs w:val="22"/>
        </w:rPr>
      </w:pPr>
      <w:r>
        <w:rPr>
          <w:rFonts w:ascii="Arial" w:hAnsi="Arial" w:eastAsia="Arial" w:cs="Arial"/>
          <w:sz w:val="22"/>
          <w:szCs w:val="22"/>
        </w:rPr>
        <w:t xml:space="preserve">In fact, digital HR solutions and HR analytics are no longer a choice for New Look and other businesses that are reliant on the tools to perform more efficiently and accurately. The HR recruitment process has been made more efficient and effective through the use of Human Resource Information Systems (HRIS), AI-powered recruitment platforms and data analytics software, which allow HR staff to monitor and track their efforts to ensure the right people are being hired and retained (Marler and Boudreau, 2017). </w:t>
      </w:r>
    </w:p>
    <w:p xmlns:wp14="http://schemas.microsoft.com/office/word/2010/wordml" w:rsidR="007F68BE" w:rsidRDefault="00353AB6" w14:paraId="224D7736" wp14:textId="77777777">
      <w:pPr>
        <w:rPr>
          <w:rFonts w:ascii="Arial" w:hAnsi="Arial" w:eastAsia="Arial" w:cs="Arial"/>
          <w:sz w:val="22"/>
          <w:szCs w:val="22"/>
        </w:rPr>
      </w:pPr>
      <w:r>
        <w:rPr>
          <w:rFonts w:ascii="Arial" w:hAnsi="Arial" w:eastAsia="Arial" w:cs="Arial"/>
          <w:sz w:val="22"/>
          <w:szCs w:val="22"/>
        </w:rPr>
        <w:t xml:space="preserve">Another aspect of the advantages that automation can bring to HR roles is giving them the opportunity to focus on more strategic tasks, like those associated with talent development (Stone et al., 2015). Workforce Analytics can be used to gain insights into performance and </w:t>
      </w:r>
      <w:r>
        <w:rPr>
          <w:rFonts w:ascii="Arial" w:hAnsi="Arial" w:eastAsia="Arial" w:cs="Arial"/>
          <w:sz w:val="22"/>
          <w:szCs w:val="22"/>
        </w:rPr>
        <w:t>turnover trends as well as recruitment outcomes and support informed decisions on where to invest resources.</w:t>
      </w:r>
    </w:p>
    <w:p xmlns:wp14="http://schemas.microsoft.com/office/word/2010/wordml" w:rsidR="007F68BE" w:rsidRDefault="00353AB6" w14:paraId="526650F5" wp14:textId="77777777">
      <w:pPr>
        <w:rPr>
          <w:rFonts w:ascii="Arial" w:hAnsi="Arial" w:eastAsia="Arial" w:cs="Arial"/>
          <w:sz w:val="22"/>
          <w:szCs w:val="22"/>
        </w:rPr>
      </w:pPr>
      <w:r>
        <w:rPr>
          <w:rFonts w:ascii="Arial" w:hAnsi="Arial" w:eastAsia="Arial" w:cs="Arial"/>
          <w:sz w:val="22"/>
          <w:szCs w:val="22"/>
        </w:rPr>
        <w:t>Of course, they are very real, just not necessarily the persons portrayed in these drawings. State-of-the-art HR Technology is costly, and budgets are already strained enough with acquisition and maintenance of such technology (Bondarouk and Ruël, 2013). This resistance can undermine engagement and slow the potential of the technology to be effective (Vial, 2019).</w:t>
      </w:r>
    </w:p>
    <w:p xmlns:wp14="http://schemas.microsoft.com/office/word/2010/wordml" w:rsidR="007F68BE" w:rsidRDefault="00353AB6" w14:paraId="1BDD93CF" wp14:textId="77777777">
      <w:pPr>
        <w:pStyle w:val="Titre2"/>
        <w:rPr>
          <w:rFonts w:ascii="Arial" w:hAnsi="Arial" w:eastAsia="Arial" w:cs="Arial"/>
        </w:rPr>
      </w:pPr>
      <w:bookmarkStart w:name="_heading=h.ruib16sbjrsi" w:colFirst="0" w:colLast="0" w:id="7"/>
      <w:bookmarkEnd w:id="7"/>
      <w:r>
        <w:rPr>
          <w:rFonts w:ascii="Arial" w:hAnsi="Arial" w:eastAsia="Arial" w:cs="Arial"/>
        </w:rPr>
        <w:t xml:space="preserve"> 3.2 Talent Strategies (Employer Branding and Retention)</w:t>
      </w:r>
    </w:p>
    <w:p xmlns:wp14="http://schemas.microsoft.com/office/word/2010/wordml" w:rsidR="007F68BE" w:rsidRDefault="00353AB6" w14:paraId="5CC4689E" wp14:textId="77777777">
      <w:pPr>
        <w:rPr>
          <w:rFonts w:ascii="Arial" w:hAnsi="Arial" w:eastAsia="Arial" w:cs="Arial"/>
          <w:sz w:val="22"/>
          <w:szCs w:val="22"/>
        </w:rPr>
      </w:pPr>
      <w:r>
        <w:rPr>
          <w:rFonts w:ascii="Arial" w:hAnsi="Arial" w:eastAsia="Arial" w:cs="Arial"/>
          <w:sz w:val="22"/>
          <w:szCs w:val="22"/>
        </w:rPr>
        <w:t>With the current retail landscape, New Look has to look to hire top talent to their squad, and a solid talent strategy is essential. One of the key parts of this relates to ‘employer branding '; the appearance that a company has is the sort of person that applies to them. Strong brands are well communicated, live and communicate brand values and culture; these are the strong candidates (Backhaus and Tikoo, 2004). New Look's branding as an employer that is both employee-focused and dynamic further enhances their place in the talent market.</w:t>
      </w:r>
    </w:p>
    <w:p xmlns:wp14="http://schemas.microsoft.com/office/word/2010/wordml" w:rsidR="007F68BE" w:rsidRDefault="00353AB6" w14:paraId="0CDF14C3" wp14:textId="77777777">
      <w:pPr>
        <w:rPr>
          <w:rFonts w:ascii="Arial" w:hAnsi="Arial" w:eastAsia="Arial" w:cs="Arial"/>
          <w:sz w:val="22"/>
          <w:szCs w:val="22"/>
        </w:rPr>
      </w:pPr>
      <w:r>
        <w:rPr>
          <w:rFonts w:ascii="Arial" w:hAnsi="Arial" w:eastAsia="Arial" w:cs="Arial"/>
          <w:sz w:val="22"/>
          <w:szCs w:val="22"/>
        </w:rPr>
        <w:t xml:space="preserve">There are other sets of levers in play which help to create retention: training, career progression, reward. Educational practices that are continuous create opportunities for employees to learn new skills, adjust to change and increase their satisfaction with and commitment to work (Noe et al., 2017). Promotion and mentoring are clearly outlined and known to people, making it worthwhile to stay. </w:t>
      </w:r>
    </w:p>
    <w:p xmlns:wp14="http://schemas.microsoft.com/office/word/2010/wordml" w:rsidR="007F68BE" w:rsidRDefault="00711118" w14:paraId="2DE0720E" wp14:textId="77777777">
      <w:pPr>
        <w:rPr>
          <w:rFonts w:ascii="Arial" w:hAnsi="Arial" w:eastAsia="Arial" w:cs="Arial"/>
          <w:sz w:val="22"/>
          <w:szCs w:val="22"/>
        </w:rPr>
      </w:pPr>
      <w:sdt>
        <w:sdtPr>
          <w:tag w:val="goog_rdk_4"/>
          <w:id w:val="697526129"/>
        </w:sdtPr>
        <w:sdtContent/>
      </w:sdt>
      <w:r w:rsidR="00353AB6">
        <w:rPr>
          <w:rFonts w:ascii="Arial" w:hAnsi="Arial" w:eastAsia="Arial" w:cs="Arial"/>
          <w:sz w:val="22"/>
          <w:szCs w:val="22"/>
        </w:rPr>
        <w:t xml:space="preserve">However, attracting employees to an organisation is only possible when an employee's experience of the organisation is aligned with the organisation's promised brand (Edwards, 2010). Training programmes also come with a high cost and are not guaranteed to improve retention, with staff leaving the newly acquired skills to take up different work types (Boxall and Purcell, 2016). </w:t>
      </w:r>
    </w:p>
    <w:p xmlns:wp14="http://schemas.microsoft.com/office/word/2010/wordml" w:rsidR="007F68BE" w:rsidRDefault="00353AB6" w14:paraId="2A6912D5" wp14:textId="77777777">
      <w:pPr>
        <w:pStyle w:val="Titre2"/>
        <w:rPr>
          <w:rFonts w:ascii="Arial" w:hAnsi="Arial" w:eastAsia="Arial" w:cs="Arial"/>
        </w:rPr>
      </w:pPr>
      <w:bookmarkStart w:name="_heading=h.mp8ne71ombks" w:colFirst="0" w:colLast="0" w:id="8"/>
      <w:bookmarkEnd w:id="8"/>
      <w:r>
        <w:rPr>
          <w:rFonts w:ascii="Arial" w:hAnsi="Arial" w:eastAsia="Arial" w:cs="Arial"/>
        </w:rPr>
        <w:t>3.3 Diversity, Equity, and Inclusion (DEI) Practices</w:t>
      </w:r>
    </w:p>
    <w:p xmlns:wp14="http://schemas.microsoft.com/office/word/2010/wordml" w:rsidR="007F68BE" w:rsidRDefault="00353AB6" w14:paraId="02715DC0" wp14:textId="77777777">
      <w:pPr>
        <w:rPr>
          <w:rFonts w:ascii="Arial" w:hAnsi="Arial" w:eastAsia="Arial" w:cs="Arial"/>
          <w:sz w:val="22"/>
          <w:szCs w:val="22"/>
        </w:rPr>
      </w:pPr>
      <w:r>
        <w:rPr>
          <w:rFonts w:ascii="Arial" w:hAnsi="Arial" w:eastAsia="Arial" w:cs="Arial"/>
          <w:sz w:val="22"/>
          <w:szCs w:val="22"/>
        </w:rPr>
        <w:t xml:space="preserve">DEI is not a tangential concern anymore; it's a key aspect of good HR. To avoid bias, avoid using a job description that may inadvertently discriminate against certain candidates, put together a diverse interviewing panel, and have an inclusive recruitment process (Roberson, 2019). Diversity policies and leadership development policies and programmes also help to verify this. </w:t>
      </w:r>
    </w:p>
    <w:p xmlns:wp14="http://schemas.microsoft.com/office/word/2010/wordml" w:rsidR="007F68BE" w:rsidRDefault="00711118" w14:paraId="526FCCD7" wp14:textId="77777777">
      <w:pPr>
        <w:rPr>
          <w:rFonts w:ascii="Arial" w:hAnsi="Arial" w:eastAsia="Arial" w:cs="Arial"/>
          <w:sz w:val="22"/>
          <w:szCs w:val="22"/>
        </w:rPr>
      </w:pPr>
      <w:sdt>
        <w:sdtPr>
          <w:tag w:val="goog_rdk_5"/>
          <w:id w:val="-654738685"/>
        </w:sdtPr>
        <w:sdtContent/>
      </w:sdt>
      <w:r w:rsidR="00353AB6">
        <w:rPr>
          <w:rFonts w:ascii="Arial" w:hAnsi="Arial" w:eastAsia="Arial" w:cs="Arial"/>
          <w:sz w:val="22"/>
          <w:szCs w:val="22"/>
        </w:rPr>
        <w:t xml:space="preserve">Diverse teams perform better as a whole team and are more creative (Ioannis et al., 2020). Mor Barak (2017) found that pro-employee perceptions of having a voice are significantly higher in </w:t>
      </w:r>
      <w:r w:rsidR="00353AB6">
        <w:rPr>
          <w:rFonts w:ascii="Arial" w:hAnsi="Arial" w:eastAsia="Arial" w:cs="Arial"/>
          <w:sz w:val="22"/>
          <w:szCs w:val="22"/>
        </w:rPr>
        <w:t>inclusive workplaces, which also see higher levels of satisfaction and engagement and higher levels of retention amongst employees.</w:t>
      </w:r>
    </w:p>
    <w:p xmlns:wp14="http://schemas.microsoft.com/office/word/2010/wordml" w:rsidR="007F68BE" w:rsidRDefault="00353AB6" w14:paraId="7F343B7D" wp14:textId="77777777">
      <w:pPr>
        <w:rPr>
          <w:rFonts w:ascii="Arial" w:hAnsi="Arial" w:eastAsia="Arial" w:cs="Arial"/>
          <w:sz w:val="22"/>
          <w:szCs w:val="22"/>
        </w:rPr>
      </w:pPr>
      <w:r>
        <w:rPr>
          <w:rFonts w:ascii="Arial" w:hAnsi="Arial" w:eastAsia="Arial" w:cs="Arial"/>
          <w:sz w:val="22"/>
          <w:szCs w:val="22"/>
        </w:rPr>
        <w:t xml:space="preserve">Such gaps appear to be in implementation. Although some organisations have policies to implement diversity, they fail to implement it the correct way and so don't result in real change (Ahmed, 2012). Resistance and unconscious bias from many sources and a lack of accountability at the highest level around inclusive practice can also create an enabling environment for science to be more exclusive. </w:t>
      </w:r>
    </w:p>
    <w:p xmlns:wp14="http://schemas.microsoft.com/office/word/2010/wordml" w:rsidR="007F68BE" w:rsidRDefault="00353AB6" w14:paraId="30188951" wp14:textId="77777777">
      <w:pPr>
        <w:pStyle w:val="Titre1"/>
        <w:rPr>
          <w:rFonts w:ascii="Arial" w:hAnsi="Arial" w:eastAsia="Arial" w:cs="Arial"/>
        </w:rPr>
      </w:pPr>
      <w:bookmarkStart w:name="_heading=h.onhk8m6vfpdq" w:colFirst="0" w:colLast="0" w:id="9"/>
      <w:bookmarkEnd w:id="9"/>
      <w:r>
        <w:rPr>
          <w:rFonts w:ascii="Arial" w:hAnsi="Arial" w:eastAsia="Arial" w:cs="Arial"/>
        </w:rPr>
        <w:t>4. Critical Evaluation of Managerial Implementation</w:t>
      </w:r>
    </w:p>
    <w:p xmlns:wp14="http://schemas.microsoft.com/office/word/2010/wordml" w:rsidR="007F68BE" w:rsidRDefault="00353AB6" w14:paraId="1664C53B" wp14:textId="77777777">
      <w:pPr>
        <w:rPr>
          <w:rFonts w:ascii="Arial" w:hAnsi="Arial" w:eastAsia="Arial" w:cs="Arial"/>
          <w:sz w:val="22"/>
          <w:szCs w:val="22"/>
        </w:rPr>
      </w:pPr>
      <w:r>
        <w:rPr>
          <w:rFonts w:ascii="Arial" w:hAnsi="Arial" w:eastAsia="Arial" w:cs="Arial"/>
          <w:sz w:val="22"/>
          <w:szCs w:val="22"/>
        </w:rPr>
        <w:t>As in any organisation, the role of the departmental managers is crucial in determining the effectiveness of HR practices in place, this time in New Look. It is their job to give HR strategy flesh on the bones on the shop floor and ensure that the people performing on the shop floor are reflecting the organisation's performance and ambition. They are effective for the following reasons: holding each other accountable, exchanging information, monitoring progress, nurturing the culture, and dealing with issues that may always come up.</w:t>
      </w:r>
    </w:p>
    <w:p xmlns:wp14="http://schemas.microsoft.com/office/word/2010/wordml" w:rsidR="007F68BE" w:rsidRDefault="00353AB6" w14:paraId="6836F9BD" wp14:textId="77777777">
      <w:pPr>
        <w:rPr>
          <w:rFonts w:ascii="Arial" w:hAnsi="Arial" w:eastAsia="Arial" w:cs="Arial"/>
          <w:sz w:val="22"/>
          <w:szCs w:val="22"/>
        </w:rPr>
      </w:pPr>
      <w:r>
        <w:rPr>
          <w:rFonts w:ascii="Arial" w:hAnsi="Arial" w:eastAsia="Arial" w:cs="Arial"/>
          <w:sz w:val="22"/>
          <w:szCs w:val="22"/>
        </w:rPr>
        <w:t xml:space="preserve">Having a leader who champions and adopts a digital transformation or a DEI strategy creates a part of the culture, instead of a "bottleneck" that sits on a shelf (Ulrich et al. 2013). Resistance is minimised with explicit support of managers for change, and high accountability environments tend to use employees as allies with the change; managers in low accountability environments tend to implement HR practices inconsistently (New Look, 2026). </w:t>
      </w:r>
    </w:p>
    <w:p xmlns:wp14="http://schemas.microsoft.com/office/word/2010/wordml" w:rsidR="007F68BE" w:rsidRDefault="00711118" w14:paraId="7CB2877D" wp14:textId="77777777">
      <w:pPr>
        <w:rPr>
          <w:rFonts w:ascii="Arial" w:hAnsi="Arial" w:eastAsia="Arial" w:cs="Arial"/>
          <w:sz w:val="22"/>
          <w:szCs w:val="22"/>
        </w:rPr>
      </w:pPr>
      <w:sdt>
        <w:sdtPr>
          <w:tag w:val="goog_rdk_6"/>
          <w:id w:val="801072696"/>
        </w:sdtPr>
        <w:sdtContent/>
      </w:sdt>
      <w:r w:rsidR="00353AB6">
        <w:rPr>
          <w:rFonts w:ascii="Arial" w:hAnsi="Arial" w:eastAsia="Arial" w:cs="Arial"/>
          <w:sz w:val="22"/>
          <w:szCs w:val="22"/>
        </w:rPr>
        <w:t>Communication to this end is vital and aids trust building (Men, 2014). To make managers aware of the intent and benefits of a new technology and/or diversity policy, not to the organisation, but to the staff. It is an effective way to get staff involved in decision-making, which can lead to more involvement and ownership of staff. If there are several stores and one is a large organisation, it can be difficult to achieve consistency across all stores.</w:t>
      </w:r>
    </w:p>
    <w:p xmlns:wp14="http://schemas.microsoft.com/office/word/2010/wordml" w:rsidR="007F68BE" w:rsidRDefault="00711118" w14:paraId="74E1D667" wp14:textId="77777777">
      <w:pPr>
        <w:rPr>
          <w:rFonts w:ascii="Arial" w:hAnsi="Arial" w:eastAsia="Arial" w:cs="Arial"/>
          <w:sz w:val="22"/>
          <w:szCs w:val="22"/>
        </w:rPr>
      </w:pPr>
      <w:sdt>
        <w:sdtPr>
          <w:tag w:val="goog_rdk_7"/>
          <w:id w:val="-1141869033"/>
        </w:sdtPr>
        <w:sdtContent/>
      </w:sdt>
      <w:r w:rsidR="00353AB6">
        <w:rPr>
          <w:rFonts w:ascii="Arial" w:hAnsi="Arial" w:eastAsia="Arial" w:cs="Arial"/>
          <w:sz w:val="22"/>
          <w:szCs w:val="22"/>
        </w:rPr>
        <w:t>Turnover, engagement scores, training outcomes and more can be measured, giving managers the tools to assess the effectiveness of the training initiatives and make the appropriate changes (Becker and Huselid, 2006). The risk is to become obsessed with numbers instead of focusing on morale and culture, which are more of a hidden sort and which allow a measure of performance to give us only as much information.</w:t>
      </w:r>
    </w:p>
    <w:p xmlns:wp14="http://schemas.microsoft.com/office/word/2010/wordml" w:rsidR="007F68BE" w:rsidRDefault="00353AB6" w14:paraId="5D7C81D6" wp14:textId="77777777">
      <w:pPr>
        <w:rPr>
          <w:rFonts w:ascii="Arial" w:hAnsi="Arial" w:eastAsia="Arial" w:cs="Arial"/>
          <w:sz w:val="22"/>
          <w:szCs w:val="22"/>
        </w:rPr>
      </w:pPr>
      <w:r>
        <w:rPr>
          <w:rFonts w:ascii="Arial" w:hAnsi="Arial" w:eastAsia="Arial" w:cs="Arial"/>
          <w:sz w:val="22"/>
          <w:szCs w:val="22"/>
        </w:rPr>
        <w:t xml:space="preserve">This is all based on culture. New systems and DEI efforts need to be designed into an environment that is open to new ideas, allows for cross-collaboration, and promotes continuous </w:t>
      </w:r>
      <w:r>
        <w:rPr>
          <w:rFonts w:ascii="Arial" w:hAnsi="Arial" w:eastAsia="Arial" w:cs="Arial"/>
          <w:sz w:val="22"/>
          <w:szCs w:val="22"/>
        </w:rPr>
        <w:t>learning, as this is what will help them gain traction (Schein, 2010). But it takes time to change the culture and isn't going to happen without some push-back, particularly in retail, where there are known routines that are hard to change and where employees aren't too enthusiastic about handing over their old ways for new ones.</w:t>
      </w:r>
    </w:p>
    <w:p xmlns:wp14="http://schemas.microsoft.com/office/word/2010/wordml" w:rsidR="007F68BE" w:rsidRDefault="00353AB6" w14:paraId="15C21EDB" wp14:textId="77777777">
      <w:pPr>
        <w:rPr>
          <w:rFonts w:ascii="Arial" w:hAnsi="Arial" w:eastAsia="Arial" w:cs="Arial"/>
          <w:sz w:val="22"/>
          <w:szCs w:val="22"/>
        </w:rPr>
      </w:pPr>
      <w:r>
        <w:rPr>
          <w:rFonts w:ascii="Arial" w:hAnsi="Arial" w:eastAsia="Arial" w:cs="Arial"/>
          <w:sz w:val="22"/>
          <w:szCs w:val="22"/>
        </w:rPr>
        <w:t xml:space="preserve">Some barriers come up in many different situations. The reluctance to make a change is likely the largest, stemming in part from fears related to job security, or the fear of not seeing a new system successfully work (Kotter, 1996). </w:t>
      </w:r>
    </w:p>
    <w:p xmlns:wp14="http://schemas.microsoft.com/office/word/2010/wordml" w:rsidR="007F68BE" w:rsidRDefault="00353AB6" w14:paraId="70A01411" wp14:textId="77777777">
      <w:pPr>
        <w:rPr>
          <w:rFonts w:ascii="Arial" w:hAnsi="Arial" w:eastAsia="Arial" w:cs="Arial"/>
          <w:sz w:val="22"/>
          <w:szCs w:val="22"/>
        </w:rPr>
      </w:pPr>
      <w:r>
        <w:rPr>
          <w:rFonts w:ascii="Arial" w:hAnsi="Arial" w:eastAsia="Arial" w:cs="Arial"/>
          <w:sz w:val="22"/>
          <w:szCs w:val="22"/>
        </w:rPr>
        <w:t>It is obvious that there is a need for a combination of solutions to address these obstacles: training to build up the skills that managers and workers need (Hiatt, 2006); a structured change management process, with clear communication, visible leadership and a staged approach to the rollout; and sufficient resources to ensure the changes made are sustained over the long-term. Implementation of HR strategies, and whether or not they are successful, will depend on the successes of managers.</w:t>
      </w:r>
    </w:p>
    <w:p xmlns:wp14="http://schemas.microsoft.com/office/word/2010/wordml" w:rsidR="007F68BE" w:rsidRDefault="00353AB6" w14:paraId="0DE5D68B" wp14:textId="77777777">
      <w:pPr>
        <w:pStyle w:val="Titre1"/>
        <w:rPr>
          <w:rFonts w:ascii="Arial" w:hAnsi="Arial" w:eastAsia="Arial" w:cs="Arial"/>
        </w:rPr>
      </w:pPr>
      <w:bookmarkStart w:name="_heading=h.4cn5prj0qr6g" w:colFirst="0" w:colLast="0" w:id="10"/>
      <w:bookmarkEnd w:id="10"/>
      <w:r>
        <w:rPr>
          <w:rFonts w:ascii="Arial" w:hAnsi="Arial" w:eastAsia="Arial" w:cs="Arial"/>
        </w:rPr>
        <w:t>5. Conclusion and Recommendations</w:t>
      </w:r>
    </w:p>
    <w:p xmlns:wp14="http://schemas.microsoft.com/office/word/2010/wordml" w:rsidR="007F68BE" w:rsidRDefault="00353AB6" w14:paraId="424FD779" wp14:textId="77777777">
      <w:pPr>
        <w:rPr>
          <w:rFonts w:ascii="Arial" w:hAnsi="Arial" w:eastAsia="Arial" w:cs="Arial"/>
          <w:sz w:val="22"/>
          <w:szCs w:val="22"/>
        </w:rPr>
      </w:pPr>
      <w:r>
        <w:rPr>
          <w:rFonts w:ascii="Arial" w:hAnsi="Arial" w:eastAsia="Arial" w:cs="Arial"/>
          <w:sz w:val="22"/>
          <w:szCs w:val="22"/>
        </w:rPr>
        <w:t xml:space="preserve">The main HR challenges New Look is facing are threefold: to keep pace with the rapid pace of technological change; to encourage limited talent and to ensure that it becomes part of the organisation's culture and DNA to truly embrace Diversity, Equity and Inclusion (DEI). But all of these ideas digital HR, talent plans, diversity, equity, and inclusion (DEI) programs and initiatives fall flat if they are not carried out and backed by managers who are genuinely invested. </w:t>
      </w:r>
    </w:p>
    <w:p xmlns:wp14="http://schemas.microsoft.com/office/word/2010/wordml" w:rsidR="007F68BE" w:rsidRDefault="00353AB6" w14:paraId="62F9E33B" wp14:textId="77777777">
      <w:pPr>
        <w:rPr>
          <w:rFonts w:ascii="Arial" w:hAnsi="Arial" w:eastAsia="Arial" w:cs="Arial"/>
          <w:sz w:val="22"/>
          <w:szCs w:val="22"/>
        </w:rPr>
      </w:pPr>
      <w:r>
        <w:rPr>
          <w:rFonts w:ascii="Arial" w:hAnsi="Arial" w:eastAsia="Arial" w:cs="Arial"/>
          <w:sz w:val="22"/>
          <w:szCs w:val="22"/>
        </w:rPr>
        <w:t>New Look should create a better and more efficient Digital HR solution to make better decisions and be more efficient. Creating an employer's brand is a better bet to attract and retain a higher-quality staff. DEI efforts should not stop at the policy, but continue and be scaled up to shift the culture. Finally, but importantly, leaders need to have good leadership and change management skills in order to carry out the strategies.</w:t>
      </w:r>
    </w:p>
    <w:p xmlns:wp14="http://schemas.microsoft.com/office/word/2010/wordml" w:rsidR="007F68BE" w:rsidRDefault="007F68BE" w14:paraId="53128261" wp14:textId="77777777">
      <w:pPr>
        <w:rPr>
          <w:rFonts w:ascii="Arial" w:hAnsi="Arial" w:eastAsia="Arial" w:cs="Arial"/>
          <w:sz w:val="22"/>
          <w:szCs w:val="22"/>
        </w:rPr>
      </w:pPr>
    </w:p>
    <w:p xmlns:wp14="http://schemas.microsoft.com/office/word/2010/wordml" w:rsidR="007F68BE" w:rsidRDefault="007F68BE" w14:paraId="62486C05" wp14:textId="77777777">
      <w:pPr>
        <w:rPr>
          <w:rFonts w:ascii="Arial" w:hAnsi="Arial" w:eastAsia="Arial" w:cs="Arial"/>
          <w:sz w:val="22"/>
          <w:szCs w:val="22"/>
        </w:rPr>
      </w:pPr>
    </w:p>
    <w:p xmlns:wp14="http://schemas.microsoft.com/office/word/2010/wordml" w:rsidR="007F68BE" w:rsidRDefault="007F68BE" w14:paraId="4101652C" wp14:textId="77777777">
      <w:pPr>
        <w:rPr>
          <w:rFonts w:ascii="Arial" w:hAnsi="Arial" w:eastAsia="Arial" w:cs="Arial"/>
          <w:sz w:val="22"/>
          <w:szCs w:val="22"/>
        </w:rPr>
      </w:pPr>
    </w:p>
    <w:p xmlns:wp14="http://schemas.microsoft.com/office/word/2010/wordml" w:rsidR="007F68BE" w:rsidRDefault="007F68BE" w14:paraId="4B99056E" wp14:textId="77777777">
      <w:pPr>
        <w:rPr>
          <w:rFonts w:ascii="Arial" w:hAnsi="Arial" w:eastAsia="Arial" w:cs="Arial"/>
          <w:b/>
          <w:bCs/>
          <w:sz w:val="22"/>
          <w:szCs w:val="22"/>
        </w:rPr>
      </w:pPr>
    </w:p>
    <w:p xmlns:wp14="http://schemas.microsoft.com/office/word/2010/wordml" w:rsidR="007F68BE" w:rsidRDefault="00353AB6" w14:paraId="3D94284D" wp14:textId="77777777">
      <w:pPr>
        <w:pStyle w:val="Titre1"/>
        <w:jc w:val="center"/>
        <w:rPr>
          <w:rFonts w:ascii="Arial" w:hAnsi="Arial" w:eastAsia="Arial" w:cs="Arial"/>
        </w:rPr>
      </w:pPr>
      <w:bookmarkStart w:name="_heading=h.mgcsf3ss21nr" w:colFirst="0" w:colLast="0" w:id="11"/>
      <w:bookmarkEnd w:id="11"/>
      <w:r>
        <w:rPr>
          <w:rFonts w:ascii="Arial" w:hAnsi="Arial" w:eastAsia="Arial" w:cs="Arial"/>
        </w:rPr>
        <w:t>Reference List</w:t>
      </w:r>
    </w:p>
    <w:p xmlns:wp14="http://schemas.microsoft.com/office/word/2010/wordml" w:rsidR="007F68BE" w:rsidRDefault="00353AB6" w14:paraId="272B0203" wp14:textId="77777777">
      <w:pPr>
        <w:rPr>
          <w:rFonts w:ascii="Arial" w:hAnsi="Arial" w:eastAsia="Arial" w:cs="Arial"/>
          <w:sz w:val="22"/>
          <w:szCs w:val="22"/>
        </w:rPr>
      </w:pPr>
      <w:r>
        <w:rPr>
          <w:rFonts w:ascii="Arial" w:hAnsi="Arial" w:eastAsia="Arial" w:cs="Arial"/>
          <w:sz w:val="22"/>
          <w:szCs w:val="22"/>
        </w:rPr>
        <w:t xml:space="preserve">Ahmed, S. (2012) </w:t>
      </w:r>
      <w:r>
        <w:rPr>
          <w:rFonts w:ascii="Arial" w:hAnsi="Arial" w:eastAsia="Arial" w:cs="Arial"/>
          <w:i/>
          <w:iCs/>
          <w:sz w:val="22"/>
          <w:szCs w:val="22"/>
        </w:rPr>
        <w:t>On Being Included: Racism and Diversity in Institutional Life</w:t>
      </w:r>
      <w:r>
        <w:rPr>
          <w:rFonts w:ascii="Arial" w:hAnsi="Arial" w:eastAsia="Arial" w:cs="Arial"/>
          <w:sz w:val="22"/>
          <w:szCs w:val="22"/>
        </w:rPr>
        <w:t>. Durham: Duke University Press.</w:t>
      </w:r>
    </w:p>
    <w:p xmlns:wp14="http://schemas.microsoft.com/office/word/2010/wordml" w:rsidR="007F68BE" w:rsidRDefault="00353AB6" w14:paraId="5AF06829" wp14:textId="77777777">
      <w:pPr>
        <w:rPr>
          <w:rFonts w:ascii="Arial" w:hAnsi="Arial" w:eastAsia="Arial" w:cs="Arial"/>
          <w:sz w:val="22"/>
          <w:szCs w:val="22"/>
        </w:rPr>
      </w:pPr>
      <w:r>
        <w:rPr>
          <w:rFonts w:ascii="Arial" w:hAnsi="Arial" w:eastAsia="Arial" w:cs="Arial"/>
          <w:sz w:val="22"/>
          <w:szCs w:val="22"/>
        </w:rPr>
        <w:t xml:space="preserve">Autor, D.H. (2015) ‘Why are there still so many jobs? The history and future of workplace automation’, </w:t>
      </w:r>
      <w:r>
        <w:rPr>
          <w:rFonts w:ascii="Arial" w:hAnsi="Arial" w:eastAsia="Arial" w:cs="Arial"/>
          <w:i/>
          <w:iCs/>
          <w:sz w:val="22"/>
          <w:szCs w:val="22"/>
        </w:rPr>
        <w:t>Journal of Economic Perspectives</w:t>
      </w:r>
      <w:r>
        <w:rPr>
          <w:rFonts w:ascii="Arial" w:hAnsi="Arial" w:eastAsia="Arial" w:cs="Arial"/>
          <w:sz w:val="22"/>
          <w:szCs w:val="22"/>
        </w:rPr>
        <w:t>, 29(3), pp. 3–30.</w:t>
      </w:r>
    </w:p>
    <w:p xmlns:wp14="http://schemas.microsoft.com/office/word/2010/wordml" w:rsidR="007F68BE" w:rsidRDefault="00353AB6" w14:paraId="5063D72E" wp14:textId="77777777">
      <w:pPr>
        <w:rPr>
          <w:rFonts w:ascii="Arial" w:hAnsi="Arial" w:eastAsia="Arial" w:cs="Arial"/>
          <w:sz w:val="22"/>
          <w:szCs w:val="22"/>
        </w:rPr>
      </w:pPr>
      <w:r>
        <w:rPr>
          <w:rFonts w:ascii="Arial" w:hAnsi="Arial" w:eastAsia="Arial" w:cs="Arial"/>
          <w:sz w:val="22"/>
          <w:szCs w:val="22"/>
        </w:rPr>
        <w:t xml:space="preserve">Backhaus, K. and Tikoo, S. (2004) ‘Conceptualizing and researching employer branding’, </w:t>
      </w:r>
      <w:r>
        <w:rPr>
          <w:rFonts w:ascii="Arial" w:hAnsi="Arial" w:eastAsia="Arial" w:cs="Arial"/>
          <w:i/>
          <w:iCs/>
          <w:sz w:val="22"/>
          <w:szCs w:val="22"/>
        </w:rPr>
        <w:t>Career Development International</w:t>
      </w:r>
      <w:r>
        <w:rPr>
          <w:rFonts w:ascii="Arial" w:hAnsi="Arial" w:eastAsia="Arial" w:cs="Arial"/>
          <w:sz w:val="22"/>
          <w:szCs w:val="22"/>
        </w:rPr>
        <w:t>, 9(5), pp. 501–517.</w:t>
      </w:r>
    </w:p>
    <w:p xmlns:wp14="http://schemas.microsoft.com/office/word/2010/wordml" w:rsidR="007F68BE" w:rsidRDefault="00353AB6" w14:paraId="16063D69" wp14:textId="77777777">
      <w:pPr>
        <w:rPr>
          <w:rFonts w:ascii="Arial" w:hAnsi="Arial" w:eastAsia="Arial" w:cs="Arial"/>
          <w:sz w:val="22"/>
          <w:szCs w:val="22"/>
        </w:rPr>
      </w:pPr>
      <w:r>
        <w:rPr>
          <w:rFonts w:ascii="Arial" w:hAnsi="Arial" w:eastAsia="Arial" w:cs="Arial"/>
          <w:sz w:val="22"/>
          <w:szCs w:val="22"/>
        </w:rPr>
        <w:t xml:space="preserve">Becker, B.E. and Huselid, M.A. (2006) ‘Strategic human resources management: Where do we go from here?’, </w:t>
      </w:r>
      <w:r>
        <w:rPr>
          <w:rFonts w:ascii="Arial" w:hAnsi="Arial" w:eastAsia="Arial" w:cs="Arial"/>
          <w:i/>
          <w:iCs/>
          <w:sz w:val="22"/>
          <w:szCs w:val="22"/>
        </w:rPr>
        <w:t>Journal of Management</w:t>
      </w:r>
      <w:r>
        <w:rPr>
          <w:rFonts w:ascii="Arial" w:hAnsi="Arial" w:eastAsia="Arial" w:cs="Arial"/>
          <w:sz w:val="22"/>
          <w:szCs w:val="22"/>
        </w:rPr>
        <w:t>, 32(6), pp. 898–925.</w:t>
      </w:r>
    </w:p>
    <w:p xmlns:wp14="http://schemas.microsoft.com/office/word/2010/wordml" w:rsidR="007F68BE" w:rsidRDefault="00353AB6" w14:paraId="7D2623FD" wp14:textId="77777777">
      <w:pPr>
        <w:rPr>
          <w:rFonts w:ascii="Arial" w:hAnsi="Arial" w:eastAsia="Arial" w:cs="Arial"/>
          <w:sz w:val="22"/>
          <w:szCs w:val="22"/>
        </w:rPr>
      </w:pPr>
      <w:r>
        <w:rPr>
          <w:rFonts w:ascii="Arial" w:hAnsi="Arial" w:eastAsia="Arial" w:cs="Arial"/>
          <w:sz w:val="22"/>
          <w:szCs w:val="22"/>
        </w:rPr>
        <w:t xml:space="preserve">Bondarouk, T. and Ruël, H. (2013) ‘The strategic value of e-HRM: Results from an exploratory study in a governmental organization’, </w:t>
      </w:r>
      <w:r>
        <w:rPr>
          <w:rFonts w:ascii="Arial" w:hAnsi="Arial" w:eastAsia="Arial" w:cs="Arial"/>
          <w:i/>
          <w:iCs/>
          <w:sz w:val="22"/>
          <w:szCs w:val="22"/>
        </w:rPr>
        <w:t>The International Journal of Human Resource Management</w:t>
      </w:r>
      <w:r>
        <w:rPr>
          <w:rFonts w:ascii="Arial" w:hAnsi="Arial" w:eastAsia="Arial" w:cs="Arial"/>
          <w:sz w:val="22"/>
          <w:szCs w:val="22"/>
        </w:rPr>
        <w:t>, 24(2), pp. 391–414.</w:t>
      </w:r>
    </w:p>
    <w:p xmlns:wp14="http://schemas.microsoft.com/office/word/2010/wordml" w:rsidR="007F68BE" w:rsidRDefault="00353AB6" w14:paraId="724D603C" wp14:textId="77777777">
      <w:pPr>
        <w:rPr>
          <w:rFonts w:ascii="Arial" w:hAnsi="Arial" w:eastAsia="Arial" w:cs="Arial"/>
          <w:sz w:val="22"/>
          <w:szCs w:val="22"/>
        </w:rPr>
      </w:pPr>
      <w:r>
        <w:rPr>
          <w:rFonts w:ascii="Arial" w:hAnsi="Arial" w:eastAsia="Arial" w:cs="Arial"/>
          <w:sz w:val="22"/>
          <w:szCs w:val="22"/>
        </w:rPr>
        <w:t xml:space="preserve">Boxall, P. and Purcell, J. (2016) </w:t>
      </w:r>
      <w:r>
        <w:rPr>
          <w:rFonts w:ascii="Arial" w:hAnsi="Arial" w:eastAsia="Arial" w:cs="Arial"/>
          <w:i/>
          <w:iCs/>
          <w:sz w:val="22"/>
          <w:szCs w:val="22"/>
        </w:rPr>
        <w:t>Strategy and Human Resource Management</w:t>
      </w:r>
      <w:r>
        <w:rPr>
          <w:rFonts w:ascii="Arial" w:hAnsi="Arial" w:eastAsia="Arial" w:cs="Arial"/>
          <w:sz w:val="22"/>
          <w:szCs w:val="22"/>
        </w:rPr>
        <w:t>. 4th edn. London: Palgrave Macmillan.</w:t>
      </w:r>
    </w:p>
    <w:p xmlns:wp14="http://schemas.microsoft.com/office/word/2010/wordml" w:rsidR="007F68BE" w:rsidRDefault="00353AB6" w14:paraId="4433BB0C" wp14:textId="77777777">
      <w:pPr>
        <w:rPr>
          <w:rFonts w:ascii="Arial" w:hAnsi="Arial" w:eastAsia="Arial" w:cs="Arial"/>
          <w:sz w:val="22"/>
          <w:szCs w:val="22"/>
        </w:rPr>
      </w:pPr>
      <w:r>
        <w:rPr>
          <w:rFonts w:ascii="Arial" w:hAnsi="Arial" w:eastAsia="Arial" w:cs="Arial"/>
          <w:sz w:val="22"/>
          <w:szCs w:val="22"/>
        </w:rPr>
        <w:t xml:space="preserve">Brynjolfsson, E. and McAfee, A. (2017) </w:t>
      </w:r>
      <w:r>
        <w:rPr>
          <w:rFonts w:ascii="Arial" w:hAnsi="Arial" w:eastAsia="Arial" w:cs="Arial"/>
          <w:i/>
          <w:iCs/>
          <w:sz w:val="22"/>
          <w:szCs w:val="22"/>
        </w:rPr>
        <w:t>The Business of Artificial Intelligence</w:t>
      </w:r>
      <w:r>
        <w:rPr>
          <w:rFonts w:ascii="Arial" w:hAnsi="Arial" w:eastAsia="Arial" w:cs="Arial"/>
          <w:sz w:val="22"/>
          <w:szCs w:val="22"/>
        </w:rPr>
        <w:t>. Boston: Harvard Business Review Press.</w:t>
      </w:r>
    </w:p>
    <w:p xmlns:wp14="http://schemas.microsoft.com/office/word/2010/wordml" w:rsidR="007F68BE" w:rsidRDefault="00353AB6" w14:paraId="1934EEC5" wp14:textId="77777777">
      <w:pPr>
        <w:rPr>
          <w:rFonts w:ascii="Arial" w:hAnsi="Arial" w:eastAsia="Arial" w:cs="Arial"/>
          <w:sz w:val="22"/>
          <w:szCs w:val="22"/>
        </w:rPr>
      </w:pPr>
      <w:r>
        <w:rPr>
          <w:rFonts w:ascii="Arial" w:hAnsi="Arial" w:eastAsia="Arial" w:cs="Arial"/>
          <w:sz w:val="22"/>
          <w:szCs w:val="22"/>
        </w:rPr>
        <w:t xml:space="preserve">CIPD (2022) </w:t>
      </w:r>
      <w:r>
        <w:rPr>
          <w:rFonts w:ascii="Arial" w:hAnsi="Arial" w:eastAsia="Arial" w:cs="Arial"/>
          <w:i/>
          <w:iCs/>
          <w:sz w:val="22"/>
          <w:szCs w:val="22"/>
        </w:rPr>
        <w:t>Labour Market Outlook</w:t>
      </w:r>
      <w:r>
        <w:rPr>
          <w:rFonts w:ascii="Arial" w:hAnsi="Arial" w:eastAsia="Arial" w:cs="Arial"/>
          <w:sz w:val="22"/>
          <w:szCs w:val="22"/>
        </w:rPr>
        <w:t>. London: Chartered Institute of Personnel and Development.</w:t>
      </w:r>
    </w:p>
    <w:p xmlns:wp14="http://schemas.microsoft.com/office/word/2010/wordml" w:rsidR="007F68BE" w:rsidRDefault="00353AB6" w14:paraId="50B8EF54" wp14:textId="77777777">
      <w:pPr>
        <w:rPr>
          <w:rFonts w:ascii="Arial" w:hAnsi="Arial" w:eastAsia="Arial" w:cs="Arial"/>
          <w:sz w:val="22"/>
          <w:szCs w:val="22"/>
        </w:rPr>
      </w:pPr>
      <w:r>
        <w:rPr>
          <w:rFonts w:ascii="Arial" w:hAnsi="Arial" w:eastAsia="Arial" w:cs="Arial"/>
          <w:sz w:val="22"/>
          <w:szCs w:val="22"/>
        </w:rPr>
        <w:t xml:space="preserve">CIPD (2023) </w:t>
      </w:r>
      <w:r>
        <w:rPr>
          <w:rFonts w:ascii="Arial" w:hAnsi="Arial" w:eastAsia="Arial" w:cs="Arial"/>
          <w:i/>
          <w:iCs/>
          <w:sz w:val="22"/>
          <w:szCs w:val="22"/>
        </w:rPr>
        <w:t>People Profession 2030: A Collective View of Future Trends</w:t>
      </w:r>
      <w:r>
        <w:rPr>
          <w:rFonts w:ascii="Arial" w:hAnsi="Arial" w:eastAsia="Arial" w:cs="Arial"/>
          <w:sz w:val="22"/>
          <w:szCs w:val="22"/>
        </w:rPr>
        <w:t>. London: Chartered Institute of Personnel and Development.</w:t>
      </w:r>
    </w:p>
    <w:p xmlns:wp14="http://schemas.microsoft.com/office/word/2010/wordml" w:rsidR="007F68BE" w:rsidRDefault="00353AB6" w14:paraId="03A46340" wp14:textId="77777777">
      <w:pPr>
        <w:rPr>
          <w:rFonts w:ascii="Arial" w:hAnsi="Arial" w:eastAsia="Arial" w:cs="Arial"/>
          <w:sz w:val="22"/>
          <w:szCs w:val="22"/>
        </w:rPr>
      </w:pPr>
      <w:r>
        <w:rPr>
          <w:rFonts w:ascii="Arial" w:hAnsi="Arial" w:eastAsia="Arial" w:cs="Arial"/>
          <w:sz w:val="22"/>
          <w:szCs w:val="22"/>
        </w:rPr>
        <w:t xml:space="preserve">Edwards, M.R. (2010) ‘An integrative review of employer branding and OB theory’, </w:t>
      </w:r>
      <w:r>
        <w:rPr>
          <w:rFonts w:ascii="Arial" w:hAnsi="Arial" w:eastAsia="Arial" w:cs="Arial"/>
          <w:i/>
          <w:iCs/>
          <w:sz w:val="22"/>
          <w:szCs w:val="22"/>
        </w:rPr>
        <w:t>Personnel Review</w:t>
      </w:r>
      <w:r>
        <w:rPr>
          <w:rFonts w:ascii="Arial" w:hAnsi="Arial" w:eastAsia="Arial" w:cs="Arial"/>
          <w:sz w:val="22"/>
          <w:szCs w:val="22"/>
        </w:rPr>
        <w:t>, 39(1), pp. 5–23.</w:t>
      </w:r>
    </w:p>
    <w:p xmlns:wp14="http://schemas.microsoft.com/office/word/2010/wordml" w:rsidR="007F68BE" w:rsidRDefault="00353AB6" w14:paraId="10A1C4C4" wp14:textId="77777777">
      <w:pPr>
        <w:rPr>
          <w:rFonts w:ascii="Arial" w:hAnsi="Arial" w:eastAsia="Arial" w:cs="Arial"/>
          <w:sz w:val="22"/>
          <w:szCs w:val="22"/>
        </w:rPr>
      </w:pPr>
      <w:r>
        <w:rPr>
          <w:rFonts w:ascii="Arial" w:hAnsi="Arial" w:eastAsia="Arial" w:cs="Arial"/>
          <w:sz w:val="22"/>
          <w:szCs w:val="22"/>
        </w:rPr>
        <w:t xml:space="preserve">Hiatt, J. (2006) </w:t>
      </w:r>
      <w:r>
        <w:rPr>
          <w:rFonts w:ascii="Arial" w:hAnsi="Arial" w:eastAsia="Arial" w:cs="Arial"/>
          <w:i/>
          <w:iCs/>
          <w:sz w:val="22"/>
          <w:szCs w:val="22"/>
        </w:rPr>
        <w:t>ADKAR: A Model for Change in Business, Government and Our Community</w:t>
      </w:r>
      <w:r>
        <w:rPr>
          <w:rFonts w:ascii="Arial" w:hAnsi="Arial" w:eastAsia="Arial" w:cs="Arial"/>
          <w:sz w:val="22"/>
          <w:szCs w:val="22"/>
        </w:rPr>
        <w:t>. Loveland, CO: Prosci Research.</w:t>
      </w:r>
    </w:p>
    <w:p xmlns:wp14="http://schemas.microsoft.com/office/word/2010/wordml" w:rsidR="007F68BE" w:rsidRDefault="00353AB6" w14:paraId="4D7E1040" wp14:textId="77777777">
      <w:pPr>
        <w:rPr>
          <w:rFonts w:ascii="Arial" w:hAnsi="Arial" w:eastAsia="Arial" w:cs="Arial"/>
          <w:sz w:val="22"/>
          <w:szCs w:val="22"/>
        </w:rPr>
      </w:pPr>
      <w:r>
        <w:rPr>
          <w:rFonts w:ascii="Arial" w:hAnsi="Arial" w:eastAsia="Arial" w:cs="Arial"/>
          <w:sz w:val="22"/>
          <w:szCs w:val="22"/>
        </w:rPr>
        <w:t xml:space="preserve">Hom, P.W., Lee, T.W., Shaw, J.D. and Hausknecht, J.P. (2017) ‘One hundred years of employee turnover theory and research’, </w:t>
      </w:r>
      <w:r>
        <w:rPr>
          <w:rFonts w:ascii="Arial" w:hAnsi="Arial" w:eastAsia="Arial" w:cs="Arial"/>
          <w:i/>
          <w:iCs/>
          <w:sz w:val="22"/>
          <w:szCs w:val="22"/>
        </w:rPr>
        <w:t>Journal of Applied Psychology</w:t>
      </w:r>
      <w:r>
        <w:rPr>
          <w:rFonts w:ascii="Arial" w:hAnsi="Arial" w:eastAsia="Arial" w:cs="Arial"/>
          <w:sz w:val="22"/>
          <w:szCs w:val="22"/>
        </w:rPr>
        <w:t>, 102(3), pp. 530–545.</w:t>
      </w:r>
    </w:p>
    <w:p xmlns:wp14="http://schemas.microsoft.com/office/word/2010/wordml" w:rsidR="007F68BE" w:rsidRDefault="00353AB6" w14:paraId="7D2EE09A" wp14:textId="77777777">
      <w:pPr>
        <w:rPr>
          <w:rFonts w:ascii="Arial" w:hAnsi="Arial" w:eastAsia="Arial" w:cs="Arial"/>
          <w:sz w:val="22"/>
          <w:szCs w:val="22"/>
        </w:rPr>
      </w:pPr>
      <w:r>
        <w:rPr>
          <w:rFonts w:ascii="Arial" w:hAnsi="Arial" w:eastAsia="Arial" w:cs="Arial"/>
          <w:sz w:val="22"/>
          <w:szCs w:val="22"/>
        </w:rPr>
        <w:t xml:space="preserve">Kotter, J.P. (1996) </w:t>
      </w:r>
      <w:r>
        <w:rPr>
          <w:rFonts w:ascii="Arial" w:hAnsi="Arial" w:eastAsia="Arial" w:cs="Arial"/>
          <w:i/>
          <w:iCs/>
          <w:sz w:val="22"/>
          <w:szCs w:val="22"/>
        </w:rPr>
        <w:t>Leading Change</w:t>
      </w:r>
      <w:r>
        <w:rPr>
          <w:rFonts w:ascii="Arial" w:hAnsi="Arial" w:eastAsia="Arial" w:cs="Arial"/>
          <w:sz w:val="22"/>
          <w:szCs w:val="22"/>
        </w:rPr>
        <w:t>. Boston: Harvard Business School Press.</w:t>
      </w:r>
    </w:p>
    <w:p xmlns:wp14="http://schemas.microsoft.com/office/word/2010/wordml" w:rsidR="007F68BE" w:rsidRDefault="00353AB6" w14:paraId="6AE2EA29" wp14:textId="77777777">
      <w:pPr>
        <w:rPr>
          <w:rFonts w:ascii="Arial" w:hAnsi="Arial" w:eastAsia="Arial" w:cs="Arial"/>
          <w:sz w:val="22"/>
          <w:szCs w:val="22"/>
        </w:rPr>
      </w:pPr>
      <w:r>
        <w:rPr>
          <w:rFonts w:ascii="Arial" w:hAnsi="Arial" w:eastAsia="Arial" w:cs="Arial"/>
          <w:sz w:val="22"/>
          <w:szCs w:val="22"/>
        </w:rPr>
        <w:t xml:space="preserve">Marler, J.H. and Boudreau, J.W. (2017) ‘An evidence-based review of HR analytics’, </w:t>
      </w:r>
      <w:r>
        <w:rPr>
          <w:rFonts w:ascii="Arial" w:hAnsi="Arial" w:eastAsia="Arial" w:cs="Arial"/>
          <w:i/>
          <w:iCs/>
          <w:sz w:val="22"/>
          <w:szCs w:val="22"/>
        </w:rPr>
        <w:t>The International Journal of Human Resource Management</w:t>
      </w:r>
      <w:r>
        <w:rPr>
          <w:rFonts w:ascii="Arial" w:hAnsi="Arial" w:eastAsia="Arial" w:cs="Arial"/>
          <w:sz w:val="22"/>
          <w:szCs w:val="22"/>
        </w:rPr>
        <w:t>, 28(1), pp. 3–26.</w:t>
      </w:r>
    </w:p>
    <w:p xmlns:wp14="http://schemas.microsoft.com/office/word/2010/wordml" w:rsidR="007F68BE" w:rsidRDefault="00353AB6" w14:paraId="42CDFEAC" wp14:textId="77777777">
      <w:pPr>
        <w:rPr>
          <w:rFonts w:ascii="Arial" w:hAnsi="Arial" w:eastAsia="Arial" w:cs="Arial"/>
          <w:sz w:val="22"/>
          <w:szCs w:val="22"/>
        </w:rPr>
      </w:pPr>
      <w:r>
        <w:rPr>
          <w:rFonts w:ascii="Arial" w:hAnsi="Arial" w:eastAsia="Arial" w:cs="Arial"/>
          <w:sz w:val="22"/>
          <w:szCs w:val="22"/>
        </w:rPr>
        <w:t xml:space="preserve">Men, L.R. (2014) ‘Strategic internal communication: Transformational leadership, communication channels, and employee satisfaction’, </w:t>
      </w:r>
      <w:r>
        <w:rPr>
          <w:rFonts w:ascii="Arial" w:hAnsi="Arial" w:eastAsia="Arial" w:cs="Arial"/>
          <w:i/>
          <w:iCs/>
          <w:sz w:val="22"/>
          <w:szCs w:val="22"/>
        </w:rPr>
        <w:t>Management Communication Quarterly</w:t>
      </w:r>
      <w:r>
        <w:rPr>
          <w:rFonts w:ascii="Arial" w:hAnsi="Arial" w:eastAsia="Arial" w:cs="Arial"/>
          <w:sz w:val="22"/>
          <w:szCs w:val="22"/>
        </w:rPr>
        <w:t>, 28(2), pp. 264–284.</w:t>
      </w:r>
    </w:p>
    <w:p xmlns:wp14="http://schemas.microsoft.com/office/word/2010/wordml" w:rsidR="007F68BE" w:rsidRDefault="00353AB6" w14:paraId="66690A47" wp14:textId="77777777">
      <w:pPr>
        <w:rPr>
          <w:rFonts w:ascii="Arial" w:hAnsi="Arial" w:eastAsia="Arial" w:cs="Arial"/>
          <w:sz w:val="22"/>
          <w:szCs w:val="22"/>
        </w:rPr>
      </w:pPr>
      <w:r>
        <w:rPr>
          <w:rFonts w:ascii="Arial" w:hAnsi="Arial" w:eastAsia="Arial" w:cs="Arial"/>
          <w:sz w:val="22"/>
          <w:szCs w:val="22"/>
        </w:rPr>
        <w:t xml:space="preserve">Mor Barak, M.E. (2017) </w:t>
      </w:r>
      <w:r>
        <w:rPr>
          <w:rFonts w:ascii="Arial" w:hAnsi="Arial" w:eastAsia="Arial" w:cs="Arial"/>
          <w:i/>
          <w:iCs/>
          <w:sz w:val="22"/>
          <w:szCs w:val="22"/>
        </w:rPr>
        <w:t>Managing Diversity: Toward a Globally Inclusive Workplace</w:t>
      </w:r>
      <w:r>
        <w:rPr>
          <w:rFonts w:ascii="Arial" w:hAnsi="Arial" w:eastAsia="Arial" w:cs="Arial"/>
          <w:sz w:val="22"/>
          <w:szCs w:val="22"/>
        </w:rPr>
        <w:t>. 4th edn. Thousand Oaks, CA: Sage.</w:t>
      </w:r>
    </w:p>
    <w:p xmlns:wp14="http://schemas.microsoft.com/office/word/2010/wordml" w:rsidR="007F68BE" w:rsidRDefault="00353AB6" w14:paraId="3BB61FC4" wp14:textId="77777777">
      <w:pPr>
        <w:rPr>
          <w:rFonts w:ascii="Arial" w:hAnsi="Arial" w:eastAsia="Arial" w:cs="Arial"/>
          <w:sz w:val="22"/>
          <w:szCs w:val="22"/>
        </w:rPr>
      </w:pPr>
      <w:r>
        <w:rPr>
          <w:rFonts w:ascii="Arial" w:hAnsi="Arial" w:eastAsia="Arial" w:cs="Arial"/>
          <w:sz w:val="22"/>
          <w:szCs w:val="22"/>
        </w:rPr>
        <w:t xml:space="preserve">New Look (2026) </w:t>
      </w:r>
      <w:r>
        <w:rPr>
          <w:rFonts w:ascii="Arial" w:hAnsi="Arial" w:eastAsia="Arial" w:cs="Arial"/>
          <w:i/>
          <w:iCs/>
          <w:sz w:val="22"/>
          <w:szCs w:val="22"/>
        </w:rPr>
        <w:t>New Look UK Official Website</w:t>
      </w:r>
      <w:r>
        <w:rPr>
          <w:rFonts w:ascii="Arial" w:hAnsi="Arial" w:eastAsia="Arial" w:cs="Arial"/>
          <w:sz w:val="22"/>
          <w:szCs w:val="22"/>
        </w:rPr>
        <w:t xml:space="preserve">. Available at: </w:t>
      </w:r>
      <w:hyperlink r:id="rId8">
        <w:r>
          <w:rPr>
            <w:rFonts w:ascii="Arial" w:hAnsi="Arial" w:eastAsia="Arial" w:cs="Arial"/>
            <w:color w:val="0563C1"/>
            <w:sz w:val="22"/>
            <w:szCs w:val="22"/>
            <w:u w:val="single"/>
          </w:rPr>
          <w:t>New Look UK</w:t>
        </w:r>
      </w:hyperlink>
      <w:r>
        <w:rPr>
          <w:rFonts w:ascii="Arial" w:hAnsi="Arial" w:eastAsia="Arial" w:cs="Arial"/>
          <w:sz w:val="22"/>
          <w:szCs w:val="22"/>
        </w:rPr>
        <w:t xml:space="preserve"> (Accessed: 12 July 2026).</w:t>
      </w:r>
    </w:p>
    <w:p xmlns:wp14="http://schemas.microsoft.com/office/word/2010/wordml" w:rsidR="007F68BE" w:rsidRDefault="00353AB6" w14:paraId="7744B803" wp14:textId="77777777">
      <w:pPr>
        <w:rPr>
          <w:rFonts w:ascii="Arial" w:hAnsi="Arial" w:eastAsia="Arial" w:cs="Arial"/>
          <w:sz w:val="22"/>
          <w:szCs w:val="22"/>
        </w:rPr>
      </w:pPr>
      <w:r>
        <w:rPr>
          <w:rFonts w:ascii="Arial" w:hAnsi="Arial" w:eastAsia="Arial" w:cs="Arial"/>
          <w:sz w:val="22"/>
          <w:szCs w:val="22"/>
        </w:rPr>
        <w:t xml:space="preserve">Noe, R.A., Hollenbeck, J.R., Gerhart, B. and Wright, P.M. (2017) </w:t>
      </w:r>
      <w:r>
        <w:rPr>
          <w:rFonts w:ascii="Arial" w:hAnsi="Arial" w:eastAsia="Arial" w:cs="Arial"/>
          <w:i/>
          <w:iCs/>
          <w:sz w:val="22"/>
          <w:szCs w:val="22"/>
        </w:rPr>
        <w:t>Human Resource Management: Gaining a Competitive Advantage</w:t>
      </w:r>
      <w:r>
        <w:rPr>
          <w:rFonts w:ascii="Arial" w:hAnsi="Arial" w:eastAsia="Arial" w:cs="Arial"/>
          <w:sz w:val="22"/>
          <w:szCs w:val="22"/>
        </w:rPr>
        <w:t>. 10th edn. New York: McGraw-Hill.</w:t>
      </w:r>
    </w:p>
    <w:p xmlns:wp14="http://schemas.microsoft.com/office/word/2010/wordml" w:rsidR="007F68BE" w:rsidRDefault="00353AB6" w14:paraId="4C8490E8" wp14:textId="77777777">
      <w:pPr>
        <w:rPr>
          <w:rFonts w:ascii="Arial" w:hAnsi="Arial" w:eastAsia="Arial" w:cs="Arial"/>
          <w:sz w:val="22"/>
          <w:szCs w:val="22"/>
        </w:rPr>
      </w:pPr>
      <w:r>
        <w:rPr>
          <w:rFonts w:ascii="Arial" w:hAnsi="Arial" w:eastAsia="Arial" w:cs="Arial"/>
          <w:sz w:val="22"/>
          <w:szCs w:val="22"/>
        </w:rPr>
        <w:t xml:space="preserve">Roberson, Q.M. (2019) ‘Diversity in the workplace: A review, synthesis, and future research agenda’, </w:t>
      </w:r>
      <w:r>
        <w:rPr>
          <w:rFonts w:ascii="Arial" w:hAnsi="Arial" w:eastAsia="Arial" w:cs="Arial"/>
          <w:i/>
          <w:iCs/>
          <w:sz w:val="22"/>
          <w:szCs w:val="22"/>
        </w:rPr>
        <w:t>Annual Review of Organizational Psychology and Organizational Behavior</w:t>
      </w:r>
      <w:r>
        <w:rPr>
          <w:rFonts w:ascii="Arial" w:hAnsi="Arial" w:eastAsia="Arial" w:cs="Arial"/>
          <w:sz w:val="22"/>
          <w:szCs w:val="22"/>
        </w:rPr>
        <w:t>, 6, pp. 69–88.</w:t>
      </w:r>
    </w:p>
    <w:p xmlns:wp14="http://schemas.microsoft.com/office/word/2010/wordml" w:rsidR="007F68BE" w:rsidRDefault="00353AB6" w14:paraId="00813592" wp14:textId="77777777">
      <w:pPr>
        <w:rPr>
          <w:rFonts w:ascii="Arial" w:hAnsi="Arial" w:eastAsia="Arial" w:cs="Arial"/>
          <w:sz w:val="22"/>
          <w:szCs w:val="22"/>
        </w:rPr>
      </w:pPr>
      <w:r>
        <w:rPr>
          <w:rFonts w:ascii="Arial" w:hAnsi="Arial" w:eastAsia="Arial" w:cs="Arial"/>
          <w:sz w:val="22"/>
          <w:szCs w:val="22"/>
        </w:rPr>
        <w:t xml:space="preserve">Schein, E.H. (2010) </w:t>
      </w:r>
      <w:r>
        <w:rPr>
          <w:rFonts w:ascii="Arial" w:hAnsi="Arial" w:eastAsia="Arial" w:cs="Arial"/>
          <w:i/>
          <w:iCs/>
          <w:sz w:val="22"/>
          <w:szCs w:val="22"/>
        </w:rPr>
        <w:t>Organizational Culture and Leadership</w:t>
      </w:r>
      <w:r>
        <w:rPr>
          <w:rFonts w:ascii="Arial" w:hAnsi="Arial" w:eastAsia="Arial" w:cs="Arial"/>
          <w:sz w:val="22"/>
          <w:szCs w:val="22"/>
        </w:rPr>
        <w:t>. 4th edn. San Francisco: Jossey-Bass.</w:t>
      </w:r>
    </w:p>
    <w:p xmlns:wp14="http://schemas.microsoft.com/office/word/2010/wordml" w:rsidR="007F68BE" w:rsidRDefault="00353AB6" w14:paraId="0392D226" wp14:textId="77777777">
      <w:pPr>
        <w:rPr>
          <w:rFonts w:ascii="Arial" w:hAnsi="Arial" w:eastAsia="Arial" w:cs="Arial"/>
          <w:sz w:val="22"/>
          <w:szCs w:val="22"/>
        </w:rPr>
      </w:pPr>
      <w:r>
        <w:rPr>
          <w:rFonts w:ascii="Arial" w:hAnsi="Arial" w:eastAsia="Arial" w:cs="Arial"/>
          <w:sz w:val="22"/>
          <w:szCs w:val="22"/>
        </w:rPr>
        <w:t xml:space="preserve">Shore, L.M., Cleveland, J.N. and Sanchez, D. (2018) ‘Inclusive workplaces: A review and model’, </w:t>
      </w:r>
      <w:r>
        <w:rPr>
          <w:rFonts w:ascii="Arial" w:hAnsi="Arial" w:eastAsia="Arial" w:cs="Arial"/>
          <w:i/>
          <w:iCs/>
          <w:sz w:val="22"/>
          <w:szCs w:val="22"/>
        </w:rPr>
        <w:t>Human Resource Management Review</w:t>
      </w:r>
      <w:r>
        <w:rPr>
          <w:rFonts w:ascii="Arial" w:hAnsi="Arial" w:eastAsia="Arial" w:cs="Arial"/>
          <w:sz w:val="22"/>
          <w:szCs w:val="22"/>
        </w:rPr>
        <w:t>, 28(2), pp. 176–189.</w:t>
      </w:r>
    </w:p>
    <w:p xmlns:wp14="http://schemas.microsoft.com/office/word/2010/wordml" w:rsidR="007F68BE" w:rsidRDefault="00353AB6" w14:paraId="543A186E" wp14:textId="77777777">
      <w:pPr>
        <w:rPr>
          <w:rFonts w:ascii="Arial" w:hAnsi="Arial" w:eastAsia="Arial" w:cs="Arial"/>
          <w:sz w:val="22"/>
          <w:szCs w:val="22"/>
        </w:rPr>
      </w:pPr>
      <w:r>
        <w:rPr>
          <w:rFonts w:ascii="Arial" w:hAnsi="Arial" w:eastAsia="Arial" w:cs="Arial"/>
          <w:sz w:val="22"/>
          <w:szCs w:val="22"/>
        </w:rPr>
        <w:t xml:space="preserve">Stone, D.L., Deadrick, D.L., Lukaszewski, K.M. and Johnson, R. (2015) ‘The influence of technology on the future of human resource management’, </w:t>
      </w:r>
      <w:r>
        <w:rPr>
          <w:rFonts w:ascii="Arial" w:hAnsi="Arial" w:eastAsia="Arial" w:cs="Arial"/>
          <w:i/>
          <w:iCs/>
          <w:sz w:val="22"/>
          <w:szCs w:val="22"/>
        </w:rPr>
        <w:t>Human Resource Management Review</w:t>
      </w:r>
      <w:r>
        <w:rPr>
          <w:rFonts w:ascii="Arial" w:hAnsi="Arial" w:eastAsia="Arial" w:cs="Arial"/>
          <w:sz w:val="22"/>
          <w:szCs w:val="22"/>
        </w:rPr>
        <w:t>, 25(2), pp. 216–231.</w:t>
      </w:r>
    </w:p>
    <w:p xmlns:wp14="http://schemas.microsoft.com/office/word/2010/wordml" w:rsidR="007F68BE" w:rsidRDefault="00353AB6" w14:paraId="73D33E0B" wp14:textId="77777777">
      <w:pPr>
        <w:rPr>
          <w:rFonts w:ascii="Arial" w:hAnsi="Arial" w:eastAsia="Arial" w:cs="Arial"/>
          <w:sz w:val="22"/>
          <w:szCs w:val="22"/>
        </w:rPr>
      </w:pPr>
      <w:r>
        <w:rPr>
          <w:rFonts w:ascii="Arial" w:hAnsi="Arial" w:eastAsia="Arial" w:cs="Arial"/>
          <w:sz w:val="22"/>
          <w:szCs w:val="22"/>
        </w:rPr>
        <w:t xml:space="preserve">Ulrich, D., Younger, J., Brockbank, W. and Ulrich, M. (2013) </w:t>
      </w:r>
      <w:r>
        <w:rPr>
          <w:rFonts w:ascii="Arial" w:hAnsi="Arial" w:eastAsia="Arial" w:cs="Arial"/>
          <w:i/>
          <w:iCs/>
          <w:sz w:val="22"/>
          <w:szCs w:val="22"/>
        </w:rPr>
        <w:t>HR Competencies: Mastery at the Intersection of People and Business</w:t>
      </w:r>
      <w:r>
        <w:rPr>
          <w:rFonts w:ascii="Arial" w:hAnsi="Arial" w:eastAsia="Arial" w:cs="Arial"/>
          <w:sz w:val="22"/>
          <w:szCs w:val="22"/>
        </w:rPr>
        <w:t>. Alexandria, VA: SHRM.</w:t>
      </w:r>
    </w:p>
    <w:p xmlns:wp14="http://schemas.microsoft.com/office/word/2010/wordml" w:rsidR="007F68BE" w:rsidRDefault="00353AB6" w14:paraId="3C9E3F34" wp14:textId="77777777">
      <w:pPr>
        <w:rPr>
          <w:rFonts w:ascii="Arial" w:hAnsi="Arial" w:eastAsia="Arial" w:cs="Arial"/>
          <w:sz w:val="22"/>
          <w:szCs w:val="22"/>
        </w:rPr>
      </w:pPr>
      <w:r>
        <w:rPr>
          <w:rFonts w:ascii="Arial" w:hAnsi="Arial" w:eastAsia="Arial" w:cs="Arial"/>
          <w:sz w:val="22"/>
          <w:szCs w:val="22"/>
        </w:rPr>
        <w:t xml:space="preserve">Vial, G. (2019) ‘Understanding digital transformation: A review and a research agenda’, </w:t>
      </w:r>
      <w:r>
        <w:rPr>
          <w:rFonts w:ascii="Arial" w:hAnsi="Arial" w:eastAsia="Arial" w:cs="Arial"/>
          <w:i/>
          <w:iCs/>
          <w:sz w:val="22"/>
          <w:szCs w:val="22"/>
        </w:rPr>
        <w:t>The Journal of Strategic Information Systems</w:t>
      </w:r>
      <w:r>
        <w:rPr>
          <w:rFonts w:ascii="Arial" w:hAnsi="Arial" w:eastAsia="Arial" w:cs="Arial"/>
          <w:sz w:val="22"/>
          <w:szCs w:val="22"/>
        </w:rPr>
        <w:t>, 28(2), pp. 118–144.</w:t>
      </w:r>
    </w:p>
    <w:p xmlns:wp14="http://schemas.microsoft.com/office/word/2010/wordml" w:rsidR="007F68BE" w:rsidRDefault="007F68BE" w14:paraId="1299C43A" wp14:textId="77777777">
      <w:pPr>
        <w:rPr>
          <w:rFonts w:ascii="Arial" w:hAnsi="Arial" w:eastAsia="Arial" w:cs="Arial"/>
        </w:rPr>
      </w:pPr>
    </w:p>
    <w:sectPr w:rsidR="007F68BE" w:rsidSect="00711118">
      <w:headerReference w:type="default" r:id="rId9"/>
      <w:pgSz w:w="12240" w:h="15840" w:orient="portrait"/>
      <w:pgMar w:top="1440" w:right="1440" w:bottom="1440" w:left="1440" w:header="720" w:footer="720" w:gutter="0"/>
      <w:pgNumType w:start="1"/>
      <w:cols w:space="72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400028" w:rsidRDefault="00400028" w14:paraId="4DDBEF00" wp14:textId="77777777">
      <w:pPr>
        <w:spacing w:after="0" w:line="240" w:lineRule="auto"/>
      </w:pPr>
      <w:r>
        <w:separator/>
      </w:r>
    </w:p>
  </w:endnote>
  <w:endnote w:type="continuationSeparator" w:id="1">
    <w:p xmlns:wp14="http://schemas.microsoft.com/office/word/2010/wordml" w:rsidR="00400028" w:rsidRDefault="00400028" w14:paraId="3461D779"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w:fontKey="{9E93A762-B0A4-463C-95F6-3BD376480709}" r:id="rId1"/>
  </w:font>
  <w:font w:name="Tahoma">
    <w:panose1 w:val="020B0604030504040204"/>
    <w:charset w:val="00"/>
    <w:family w:val="swiss"/>
    <w:pitch w:val="variable"/>
    <w:sig w:usb0="E1002EFF" w:usb1="C000605B" w:usb2="00000029" w:usb3="00000000" w:csb0="000101FF" w:csb1="00000000"/>
    <w:embedRegular w:fontKey="{69C62FF3-0430-4A2D-B5E7-86B2C4E59407}" r:id="rId2"/>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73CB681F-6394-4778-9E71-4D1843541BE2}" r:id="rId3"/>
  </w:font>
  <w:font w:name="Cambria">
    <w:panose1 w:val="02040503050406030204"/>
    <w:charset w:val="00"/>
    <w:family w:val="roman"/>
    <w:pitch w:val="variable"/>
    <w:sig w:usb0="E00006FF" w:usb1="420024FF" w:usb2="02000000" w:usb3="00000000" w:csb0="0000019F" w:csb1="00000000"/>
    <w:embedRegular w:fontKey="{6807411C-BB93-49A5-BA63-1B8702D5D46B}" r:id="rId4"/>
  </w:font>
</w:fonts>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400028" w:rsidRDefault="00400028" w14:paraId="3CF2D8B6" wp14:textId="77777777">
      <w:pPr>
        <w:spacing w:after="0" w:line="240" w:lineRule="auto"/>
      </w:pPr>
      <w:r>
        <w:separator/>
      </w:r>
    </w:p>
  </w:footnote>
  <w:footnote w:type="continuationSeparator" w:id="1">
    <w:p xmlns:wp14="http://schemas.microsoft.com/office/word/2010/wordml" w:rsidR="00400028" w:rsidRDefault="00400028" w14:paraId="0FB78278" wp14:textId="77777777">
      <w:pPr>
        <w:spacing w:after="0" w:line="240" w:lineRule="auto"/>
      </w:pPr>
      <w:r>
        <w:continuationSeparator/>
      </w:r>
    </w:p>
  </w:footnote>
</w:footnotes>
</file>

<file path=word/header1.xml><?xml version="1.0" encoding="utf-8"?>
<w:hd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p xmlns:wp14="http://schemas.microsoft.com/office/word/2010/wordml" w:rsidR="007F68BE" w:rsidRDefault="00711118" w14:paraId="6F5B4441" wp14:textId="77777777">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sidR="00353AB6">
      <w:rPr>
        <w:color w:val="000000"/>
      </w:rPr>
      <w:instrText>PAGE</w:instrText>
    </w:r>
    <w:r>
      <w:rPr>
        <w:color w:val="000000"/>
      </w:rPr>
      <w:fldChar w:fldCharType="separate"/>
    </w:r>
    <w:r w:rsidR="00537AAC">
      <w:rPr>
        <w:noProof/>
        <w:color w:val="000000"/>
      </w:rPr>
      <w:t>9</w:t>
    </w:r>
    <w:r>
      <w:rPr>
        <w:color w:val="000000"/>
      </w:rPr>
      <w:fldChar w:fldCharType="end"/>
    </w:r>
  </w:p>
  <w:p xmlns:wp14="http://schemas.microsoft.com/office/word/2010/wordml" w:rsidR="007F68BE" w:rsidRDefault="007F68BE" w14:paraId="1FC39945" wp14:textId="77777777">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60"/>
  <w:embedTrueTypeFonts/>
  <w:trackRevisions w:val="false"/>
  <w:defaultTabStop w:val="720"/>
  <w:hyphenationZone w:val="425"/>
  <w:characterSpacingControl w:val="doNotCompress"/>
  <w:footnotePr>
    <w:footnote w:id="0"/>
    <w:footnote w:id="1"/>
  </w:footnotePr>
  <w:endnotePr>
    <w:endnote w:id="0"/>
    <w:endnote w:id="1"/>
  </w:endnotePr>
  <w:compat/>
  <w:rsids>
    <w:rsidRoot w:val="007F68BE"/>
    <w:rsid w:val="002449B2"/>
    <w:rsid w:val="00283A2A"/>
    <w:rsid w:val="00353AB6"/>
    <w:rsid w:val="00400028"/>
    <w:rsid w:val="00537AAC"/>
    <w:rsid w:val="00711118"/>
    <w:rsid w:val="007F68BE"/>
    <w:rsid w:val="20625702"/>
    <w:rsid w:val="2BE46675"/>
    <w:rsid w:val="781067CC"/>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14FF475"/>
  <w15:docId w15:val="{853E0670-4747-4B1B-AB51-226821D11F19}"/>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imes New Roman" w:hAnsi="Times New Roman" w:eastAsia="Times New Roman" w:cs="Times New Roman"/>
        <w:sz w:val="24"/>
        <w:szCs w:val="24"/>
        <w:lang w:val="en-GB" w:eastAsia="en-US" w:bidi="ar-SA"/>
      </w:rPr>
    </w:rPrDefault>
    <w:pPrDefault>
      <w:pPr>
        <w:spacing w:after="160" w:line="360" w:lineRule="auto"/>
        <w:jc w:val="both"/>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11118"/>
  </w:style>
  <w:style w:type="paragraph" w:styleId="Titre1">
    <w:name w:val="heading 1"/>
    <w:basedOn w:val="Normal"/>
    <w:next w:val="Normal"/>
    <w:uiPriority w:val="9"/>
    <w:qFormat/>
    <w:rsid w:val="00711118"/>
    <w:pPr>
      <w:keepNext/>
      <w:keepLines/>
      <w:spacing w:before="240" w:after="0"/>
      <w:outlineLvl w:val="0"/>
    </w:pPr>
    <w:rPr>
      <w:color w:val="2F5496"/>
      <w:sz w:val="32"/>
      <w:szCs w:val="32"/>
    </w:rPr>
  </w:style>
  <w:style w:type="paragraph" w:styleId="Titre2">
    <w:name w:val="heading 2"/>
    <w:basedOn w:val="Normal"/>
    <w:next w:val="Normal"/>
    <w:uiPriority w:val="9"/>
    <w:unhideWhenUsed/>
    <w:qFormat/>
    <w:rsid w:val="00711118"/>
    <w:pPr>
      <w:keepNext/>
      <w:keepLines/>
      <w:spacing w:before="40" w:after="0"/>
      <w:outlineLvl w:val="1"/>
    </w:pPr>
    <w:rPr>
      <w:color w:val="2F5496"/>
      <w:sz w:val="26"/>
      <w:szCs w:val="26"/>
    </w:rPr>
  </w:style>
  <w:style w:type="paragraph" w:styleId="Titre3">
    <w:name w:val="heading 3"/>
    <w:basedOn w:val="Normal"/>
    <w:next w:val="Normal"/>
    <w:uiPriority w:val="9"/>
    <w:semiHidden/>
    <w:unhideWhenUsed/>
    <w:qFormat/>
    <w:rsid w:val="00711118"/>
    <w:pPr>
      <w:keepNext/>
      <w:keepLines/>
      <w:spacing w:before="280" w:after="80"/>
      <w:outlineLvl w:val="2"/>
    </w:pPr>
    <w:rPr>
      <w:b/>
      <w:bCs/>
      <w:sz w:val="28"/>
      <w:szCs w:val="28"/>
    </w:rPr>
  </w:style>
  <w:style w:type="paragraph" w:styleId="Titre4">
    <w:name w:val="heading 4"/>
    <w:basedOn w:val="Normal"/>
    <w:next w:val="Normal"/>
    <w:uiPriority w:val="9"/>
    <w:semiHidden/>
    <w:unhideWhenUsed/>
    <w:qFormat/>
    <w:rsid w:val="00711118"/>
    <w:pPr>
      <w:keepNext/>
      <w:keepLines/>
      <w:spacing w:before="240" w:after="40"/>
      <w:outlineLvl w:val="3"/>
    </w:pPr>
    <w:rPr>
      <w:b/>
      <w:bCs/>
    </w:rPr>
  </w:style>
  <w:style w:type="paragraph" w:styleId="Titre5">
    <w:name w:val="heading 5"/>
    <w:basedOn w:val="Normal"/>
    <w:next w:val="Normal"/>
    <w:uiPriority w:val="9"/>
    <w:semiHidden/>
    <w:unhideWhenUsed/>
    <w:qFormat/>
    <w:rsid w:val="00711118"/>
    <w:pPr>
      <w:keepNext/>
      <w:keepLines/>
      <w:spacing w:before="220" w:after="40"/>
      <w:outlineLvl w:val="4"/>
    </w:pPr>
    <w:rPr>
      <w:b/>
      <w:bCs/>
      <w:sz w:val="22"/>
      <w:szCs w:val="22"/>
    </w:rPr>
  </w:style>
  <w:style w:type="paragraph" w:styleId="Titre6">
    <w:name w:val="heading 6"/>
    <w:basedOn w:val="Normal"/>
    <w:next w:val="Normal"/>
    <w:uiPriority w:val="9"/>
    <w:semiHidden/>
    <w:unhideWhenUsed/>
    <w:qFormat/>
    <w:rsid w:val="00711118"/>
    <w:pPr>
      <w:keepNext/>
      <w:keepLines/>
      <w:spacing w:before="200" w:after="40"/>
      <w:outlineLvl w:val="5"/>
    </w:pPr>
    <w:rPr>
      <w:b/>
      <w:bCs/>
      <w:sz w:val="20"/>
      <w:szCs w:val="20"/>
    </w:rPr>
  </w:style>
  <w:style w:type="character" w:styleId="Policepardfaut" w:default="1">
    <w:name w:val="Default Paragraph Font"/>
    <w:uiPriority w:val="1"/>
    <w:semiHidden/>
    <w:unhideWhenUsed/>
  </w:style>
  <w:style w:type="table" w:styleId="TableauNormal" w:default="1">
    <w:name w:val="Normal Table"/>
    <w:uiPriority w:val="99"/>
    <w:semiHidden/>
    <w:unhideWhenUsed/>
    <w:qFormat/>
    <w:tblPr>
      <w:tblInd w:w="0" w:type="dxa"/>
      <w:tblCellMar>
        <w:top w:w="0" w:type="dxa"/>
        <w:left w:w="108" w:type="dxa"/>
        <w:bottom w:w="0" w:type="dxa"/>
        <w:right w:w="108" w:type="dxa"/>
      </w:tblCellMar>
    </w:tblPr>
  </w:style>
  <w:style w:type="numbering" w:styleId="Aucuneliste" w:default="1">
    <w:name w:val="No List"/>
    <w:uiPriority w:val="99"/>
    <w:semiHidden/>
    <w:unhideWhenUsed/>
  </w:style>
  <w:style w:type="table" w:styleId="TableNormal" w:customStyle="1">
    <w:name w:val="TableNormal"/>
    <w:rsid w:val="00711118"/>
    <w:tblPr>
      <w:tblCellMar>
        <w:top w:w="100" w:type="dxa"/>
        <w:left w:w="100" w:type="dxa"/>
        <w:bottom w:w="100" w:type="dxa"/>
        <w:right w:w="100" w:type="dxa"/>
      </w:tblCellMar>
    </w:tblPr>
  </w:style>
  <w:style w:type="paragraph" w:styleId="Titre">
    <w:name w:val="Title"/>
    <w:basedOn w:val="Normal"/>
    <w:next w:val="Normal"/>
    <w:uiPriority w:val="10"/>
    <w:qFormat/>
    <w:rsid w:val="00711118"/>
    <w:pPr>
      <w:keepNext/>
      <w:keepLines/>
      <w:spacing w:before="480" w:after="120"/>
    </w:pPr>
    <w:rPr>
      <w:b/>
      <w:bCs/>
      <w:sz w:val="72"/>
      <w:szCs w:val="72"/>
    </w:rPr>
  </w:style>
  <w:style w:type="paragraph" w:styleId="Sous-titre">
    <w:name w:val="Subtitle"/>
    <w:basedOn w:val="Normal"/>
    <w:next w:val="Normal"/>
    <w:uiPriority w:val="11"/>
    <w:qFormat/>
    <w:rsid w:val="00711118"/>
    <w:pPr>
      <w:keepNext/>
      <w:keepLines/>
      <w:spacing w:before="360" w:after="80"/>
    </w:pPr>
    <w:rPr>
      <w:rFonts w:ascii="Georgia" w:hAnsi="Georgia" w:eastAsia="Georgia" w:cs="Georgia"/>
      <w:i/>
      <w:iCs/>
      <w:color w:val="666666"/>
      <w:sz w:val="48"/>
      <w:szCs w:val="48"/>
    </w:rPr>
  </w:style>
  <w:style w:type="paragraph" w:styleId="Commentaire">
    <w:name w:val="annotation text"/>
    <w:basedOn w:val="Normal"/>
    <w:link w:val="CommentaireCar"/>
    <w:uiPriority w:val="99"/>
    <w:semiHidden/>
    <w:unhideWhenUsed/>
    <w:rsid w:val="00711118"/>
    <w:pPr>
      <w:spacing w:line="240" w:lineRule="auto"/>
    </w:pPr>
    <w:rPr>
      <w:sz w:val="20"/>
      <w:szCs w:val="20"/>
    </w:rPr>
  </w:style>
  <w:style w:type="character" w:styleId="CommentaireCar" w:customStyle="1">
    <w:name w:val="Commentaire Car"/>
    <w:basedOn w:val="Policepardfaut"/>
    <w:link w:val="Commentaire"/>
    <w:uiPriority w:val="99"/>
    <w:semiHidden/>
    <w:rsid w:val="00711118"/>
    <w:rPr>
      <w:sz w:val="20"/>
      <w:szCs w:val="20"/>
    </w:rPr>
  </w:style>
  <w:style w:type="character" w:styleId="Marquedecommentaire">
    <w:name w:val="annotation reference"/>
    <w:basedOn w:val="Policepardfaut"/>
    <w:uiPriority w:val="99"/>
    <w:semiHidden/>
    <w:unhideWhenUsed/>
    <w:rsid w:val="00711118"/>
    <w:rPr>
      <w:sz w:val="16"/>
      <w:szCs w:val="16"/>
    </w:rPr>
  </w:style>
  <w:style w:type="paragraph" w:styleId="Textedebulles">
    <w:name w:val="Balloon Text"/>
    <w:basedOn w:val="Normal"/>
    <w:link w:val="TextedebullesCar"/>
    <w:uiPriority w:val="99"/>
    <w:semiHidden/>
    <w:unhideWhenUsed/>
    <w:rsid w:val="00537AAC"/>
    <w:pPr>
      <w:spacing w:after="0" w:line="240" w:lineRule="auto"/>
    </w:pPr>
    <w:rPr>
      <w:rFonts w:ascii="Tahoma" w:hAnsi="Tahoma" w:cs="Tahoma"/>
      <w:sz w:val="16"/>
      <w:szCs w:val="16"/>
    </w:rPr>
  </w:style>
  <w:style w:type="character" w:styleId="TextedebullesCar" w:customStyle="1">
    <w:name w:val="Texte de bulles Car"/>
    <w:basedOn w:val="Policepardfaut"/>
    <w:link w:val="Textedebulles"/>
    <w:uiPriority w:val="99"/>
    <w:semiHidden/>
    <w:rsid w:val="00537AA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hyperlink" Target="https://www.newlook.com/uk?utm_source=chatgpt.com" TargetMode="External"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1.xml" Id="rId9"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WE6y+Qf/cRW2y+fy8M5EFcqgA==">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Catalin-Constantin Avram (2422877)</lastModifiedBy>
  <revision>5</revision>
  <dcterms:created xsi:type="dcterms:W3CDTF">2026-07-14T06:08:00.0000000Z</dcterms:created>
  <dcterms:modified xsi:type="dcterms:W3CDTF">2026-07-16T21:44:14.3934326Z</dcterms:modified>
</coreProperties>
</file>