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09510CE6" w:rsidR="00583D6E" w:rsidRPr="007F2BC2" w:rsidRDefault="00583D6E" w:rsidP="00583D6E">
      <w:pPr>
        <w:rPr>
          <w:rFonts w:asciiTheme="minorBidi" w:hAnsiTheme="minorBidi"/>
          <w:sz w:val="48"/>
          <w:szCs w:val="48"/>
        </w:rPr>
      </w:pPr>
      <w:r w:rsidRPr="00583D6E">
        <w:rPr>
          <w:rFonts w:asciiTheme="minorBidi" w:hAnsiTheme="minorBidi"/>
          <w:b/>
          <w:bCs/>
          <w:sz w:val="48"/>
          <w:szCs w:val="48"/>
        </w:rPr>
        <w:t>Student Name:</w:t>
      </w:r>
      <w:r w:rsidR="007F2BC2">
        <w:rPr>
          <w:rFonts w:asciiTheme="minorBidi" w:hAnsiTheme="minorBidi"/>
          <w:b/>
          <w:bCs/>
          <w:sz w:val="48"/>
          <w:szCs w:val="48"/>
        </w:rPr>
        <w:t xml:space="preserve"> </w:t>
      </w:r>
      <w:r w:rsidR="007F2BC2">
        <w:rPr>
          <w:rFonts w:asciiTheme="minorBidi" w:hAnsiTheme="minorBidi"/>
          <w:sz w:val="48"/>
          <w:szCs w:val="48"/>
        </w:rPr>
        <w:t>Daniela Ruiz</w:t>
      </w:r>
    </w:p>
    <w:p w14:paraId="2A5A039B" w14:textId="77777777" w:rsidR="00583D6E" w:rsidRPr="00583D6E" w:rsidRDefault="00583D6E" w:rsidP="00583D6E">
      <w:pPr>
        <w:rPr>
          <w:rFonts w:asciiTheme="minorBidi" w:hAnsiTheme="minorBidi"/>
          <w:b/>
          <w:bCs/>
          <w:sz w:val="48"/>
          <w:szCs w:val="48"/>
        </w:rPr>
      </w:pPr>
    </w:p>
    <w:p w14:paraId="3F49392F" w14:textId="157FA86F"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p>
    <w:p w14:paraId="482FED95" w14:textId="77777777" w:rsidR="00583D6E" w:rsidRPr="00583D6E" w:rsidRDefault="00583D6E" w:rsidP="00583D6E">
      <w:pPr>
        <w:rPr>
          <w:rFonts w:asciiTheme="minorBidi" w:hAnsiTheme="minorBidi"/>
          <w:b/>
          <w:bCs/>
          <w:sz w:val="48"/>
          <w:szCs w:val="48"/>
        </w:rPr>
      </w:pPr>
    </w:p>
    <w:p w14:paraId="1460B153" w14:textId="625AABF6" w:rsidR="00583D6E" w:rsidRPr="007F2BC2" w:rsidRDefault="00583D6E" w:rsidP="00583D6E">
      <w:pPr>
        <w:rPr>
          <w:rFonts w:asciiTheme="minorBidi" w:hAnsiTheme="minorBidi"/>
          <w:sz w:val="48"/>
          <w:szCs w:val="48"/>
        </w:rPr>
      </w:pPr>
      <w:r w:rsidRPr="00583D6E">
        <w:rPr>
          <w:rFonts w:asciiTheme="minorBidi" w:hAnsiTheme="minorBidi"/>
          <w:b/>
          <w:bCs/>
          <w:sz w:val="48"/>
          <w:szCs w:val="48"/>
        </w:rPr>
        <w:t>Lecturer:</w:t>
      </w:r>
      <w:r w:rsidR="007F2BC2">
        <w:rPr>
          <w:rFonts w:asciiTheme="minorBidi" w:hAnsiTheme="minorBidi"/>
          <w:b/>
          <w:bCs/>
          <w:sz w:val="48"/>
          <w:szCs w:val="48"/>
        </w:rPr>
        <w:t xml:space="preserve"> </w:t>
      </w:r>
      <w:r w:rsidR="007F2BC2">
        <w:rPr>
          <w:rFonts w:asciiTheme="minorBidi" w:hAnsiTheme="minorBidi"/>
          <w:sz w:val="48"/>
          <w:szCs w:val="48"/>
        </w:rPr>
        <w:t>Scott James</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59C537E0" w14:textId="77777777" w:rsidR="00583D6E" w:rsidRPr="009F24C9" w:rsidRDefault="00583D6E" w:rsidP="00583D6E">
      <w:pPr>
        <w:rPr>
          <w:rFonts w:ascii="Arial" w:hAnsi="Arial" w:cs="Arial"/>
        </w:rPr>
      </w:pPr>
      <w:r w:rsidRPr="009F24C9">
        <w:rPr>
          <w:rFonts w:ascii="Arial" w:hAnsi="Arial" w:cs="Arial"/>
          <w:i/>
          <w:iCs/>
        </w:rPr>
        <w:t>(This section is compulsory for all students.)</w:t>
      </w:r>
    </w:p>
    <w:p w14:paraId="7DFD7499" w14:textId="77777777" w:rsidR="00583D6E" w:rsidRPr="009F24C9" w:rsidRDefault="00583D6E" w:rsidP="00583D6E">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7F6F04D1" w14:textId="77777777" w:rsidR="00583D6E" w:rsidRPr="009F24C9" w:rsidRDefault="00583D6E" w:rsidP="00583D6E">
      <w:pPr>
        <w:rPr>
          <w:rFonts w:ascii="Arial" w:hAnsi="Arial" w:cs="Arial"/>
          <w:b/>
          <w:bCs/>
        </w:rPr>
      </w:pPr>
      <w:r w:rsidRPr="009F24C9">
        <w:rPr>
          <w:rFonts w:ascii="Arial" w:hAnsi="Arial" w:cs="Arial"/>
          <w:b/>
          <w:bCs/>
        </w:rPr>
        <w:t>Prompt(s) used (if applicable):</w:t>
      </w:r>
    </w:p>
    <w:p w14:paraId="6118D437" w14:textId="77777777" w:rsidR="00583D6E" w:rsidRPr="009F24C9" w:rsidRDefault="00583D6E" w:rsidP="00583D6E">
      <w:pPr>
        <w:numPr>
          <w:ilvl w:val="0"/>
          <w:numId w:val="1"/>
        </w:numPr>
        <w:rPr>
          <w:rFonts w:ascii="Arial" w:hAnsi="Arial" w:cs="Arial"/>
        </w:rPr>
      </w:pPr>
    </w:p>
    <w:p w14:paraId="1092196D" w14:textId="77777777" w:rsidR="00583D6E" w:rsidRPr="009F24C9" w:rsidRDefault="00583D6E" w:rsidP="00583D6E">
      <w:pPr>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0529FEEB" w14:textId="77777777" w:rsidR="00583D6E" w:rsidRPr="00583D6E" w:rsidRDefault="00583D6E" w:rsidP="00583D6E">
      <w:pPr>
        <w:rPr>
          <w:rFonts w:ascii="Arial" w:hAnsi="Arial" w:cs="Arial"/>
          <w:b/>
          <w:bCs/>
        </w:rPr>
      </w:pPr>
      <w:r w:rsidRPr="00583D6E">
        <w:rPr>
          <w:rFonts w:ascii="Arial" w:hAnsi="Arial" w:cs="Arial"/>
          <w:b/>
          <w:bCs/>
        </w:rPr>
        <w:lastRenderedPageBreak/>
        <w:t>Introduction (Approx. 150–200 words)</w:t>
      </w:r>
    </w:p>
    <w:p w14:paraId="09316D4A" w14:textId="77777777" w:rsidR="003B1203" w:rsidRDefault="003B1203" w:rsidP="003B1203">
      <w:pPr>
        <w:pStyle w:val="NormalWeb"/>
      </w:pPr>
      <w:r>
        <w:t>Professional career development is a continuous process that involves learning, self-awareness, reflection, and the development of skills required to achieve personal and professional goals. Reflective practice is an important tool because it enables individuals to evaluate their experiences, identify strengths and weaknesses, and make informed decisions about future development (Gibbs, 1988). Career development is not only concerned with obtaining employment but also with developing employability skills, adapting to change, and planning for long-term success (Robertson, Hooley and McCash, 2020).</w:t>
      </w:r>
    </w:p>
    <w:p w14:paraId="483A6A07" w14:textId="77777777" w:rsidR="003B1203" w:rsidRDefault="003B1203" w:rsidP="003B1203">
      <w:pPr>
        <w:pStyle w:val="NormalWeb"/>
      </w:pPr>
      <w:r>
        <w:t>This reflective essay examines my career journey to date and explores how the knowledge gained through the Professional Career Development module has influenced my future professional development. Throughout the module, I participated in several classroom activities and self-assessment exercises, including a SWOT analysis, Myers-Briggs Type Indicator (MBTI), Holland’s Career Theory assessment, and a learning styles questionnaire. These activities improved my self-awareness and provided valuable insight into my personal strengths, career interests, and learning preferences.</w:t>
      </w:r>
    </w:p>
    <w:p w14:paraId="04026696" w14:textId="77777777" w:rsidR="003B1203" w:rsidRDefault="003B1203" w:rsidP="003B1203">
      <w:pPr>
        <w:pStyle w:val="NormalWeb"/>
      </w:pPr>
      <w:r>
        <w:t>Using Gibbs’ Reflective Cycle (1988) as a framework, this essay reflects on my educational background, employment experiences, migration journey, and personal responsibilities. It also critically analyses how SWOT Analysis, Myers-Briggs Theory, and Holland’s Career Theory can support my future career planning. Furthermore, the essay explores how understanding my Activist learning profile and employability skills can help me achieve my long-term professional aspirations.</w:t>
      </w:r>
    </w:p>
    <w:p w14:paraId="63F9D8C0" w14:textId="77777777" w:rsidR="00583D6E" w:rsidRPr="00583D6E" w:rsidRDefault="00583D6E" w:rsidP="00583D6E">
      <w:pPr>
        <w:rPr>
          <w:rFonts w:ascii="Arial" w:hAnsi="Arial" w:cs="Arial"/>
          <w:b/>
          <w:bCs/>
        </w:rPr>
      </w:pPr>
      <w:r w:rsidRPr="00583D6E">
        <w:rPr>
          <w:rFonts w:ascii="Arial" w:hAnsi="Arial" w:cs="Arial"/>
          <w:b/>
          <w:bCs/>
        </w:rPr>
        <w:t>1. Description (What happened?)</w:t>
      </w:r>
    </w:p>
    <w:p w14:paraId="6B1FAAD9" w14:textId="77777777" w:rsidR="003B1203" w:rsidRDefault="003B1203" w:rsidP="003B1203">
      <w:pPr>
        <w:pStyle w:val="NormalWeb"/>
      </w:pPr>
      <w:r>
        <w:t>My career journey has involved significant educational, professional, and personal experiences that have shaped who I am today. I completed my secondary education in Venezuela and subsequently studied Journalism at university for one year. Although I did not complete the degree, the experience enhanced my communication skills and increased my interest in working with people.</w:t>
      </w:r>
    </w:p>
    <w:p w14:paraId="38EA3401" w14:textId="77777777" w:rsidR="003B1203" w:rsidRDefault="003B1203" w:rsidP="003B1203">
      <w:pPr>
        <w:pStyle w:val="NormalWeb"/>
      </w:pPr>
      <w:r>
        <w:t>Ten years ago, I emigrated from Venezuela to Cardiff in the United Kingdom in search of greater opportunities and stability. Moving to a new country required significant adjustment, particularly due to language and cultural differences. To improve my employability and integration into British society, I completed ESOL courses up to Entry Level 3 and achieved a Level 2 qualification in Mathematics. Lifelong learning is recognised as an important aspect of professional development because it allows individuals to adapt to changing career requirements (Gallagher, 2022).</w:t>
      </w:r>
    </w:p>
    <w:p w14:paraId="0BD9D6DE" w14:textId="77777777" w:rsidR="003B1203" w:rsidRDefault="003B1203" w:rsidP="003B1203">
      <w:pPr>
        <w:pStyle w:val="NormalWeb"/>
      </w:pPr>
      <w:r>
        <w:t>Alongside my studies, I gained employment at Bershka in Cardiff, where I currently work part-time in retail. During my time with the company, I progressed into positions of greater responsibility, including Key Holder and Visual Merchandiser. These roles involved opening and closing the store, supporting management, supervising operational activities, and maintaining visual merchandising standards.</w:t>
      </w:r>
    </w:p>
    <w:p w14:paraId="3F14C795" w14:textId="77777777" w:rsidR="003B1203" w:rsidRDefault="003B1203" w:rsidP="003B1203">
      <w:pPr>
        <w:pStyle w:val="NormalWeb"/>
      </w:pPr>
      <w:r>
        <w:t xml:space="preserve">In addition to my professional responsibilities, I am a single mother. Balancing childcare, employment, and education has become an important aspect of my life. More recently, I enrolled in the Professional Career Development module to improve my employability and </w:t>
      </w:r>
      <w:r>
        <w:lastRenderedPageBreak/>
        <w:t>gain a clearer understanding of my future career goals. My long-term ambition is to progress within Bershka or secure an office-based role that offers opportunities for professional growth and advancement.</w:t>
      </w:r>
    </w:p>
    <w:p w14:paraId="4E59B115" w14:textId="77777777" w:rsidR="00583D6E" w:rsidRPr="00583D6E" w:rsidRDefault="00583D6E" w:rsidP="00583D6E">
      <w:pPr>
        <w:rPr>
          <w:rFonts w:ascii="Arial" w:hAnsi="Arial" w:cs="Arial"/>
          <w:b/>
          <w:bCs/>
        </w:rPr>
      </w:pPr>
      <w:r w:rsidRPr="00583D6E">
        <w:rPr>
          <w:rFonts w:ascii="Arial" w:hAnsi="Arial" w:cs="Arial"/>
          <w:b/>
          <w:bCs/>
        </w:rPr>
        <w:t>2. Feelings (What were you thinking/feeling?)</w:t>
      </w:r>
    </w:p>
    <w:p w14:paraId="7E3ECD01" w14:textId="77777777" w:rsidR="00C8246A" w:rsidRDefault="00C8246A" w:rsidP="00C8246A">
      <w:pPr>
        <w:pStyle w:val="NormalWeb"/>
      </w:pPr>
      <w:r>
        <w:t>Reflecting on my career journey evokes a range of emotions, including pride, gratitude, uncertainty, and determination. When I first arrived in the United Kingdom, I felt overwhelmed by the challenges of adapting to a new environment. Limited English language skills affected my confidence, and I often questioned whether I would be able to achieve my professional goals. According to Bandura (1997), self-efficacy plays an important role in determining how individuals approach challenges and pursue opportunities. Looking back, I can recognise that my confidence gradually increased as I gained new skills and experiences.</w:t>
      </w:r>
    </w:p>
    <w:p w14:paraId="4A4BACFA" w14:textId="77777777" w:rsidR="00C8246A" w:rsidRDefault="00C8246A" w:rsidP="00C8246A">
      <w:pPr>
        <w:pStyle w:val="NormalWeb"/>
      </w:pPr>
      <w:r>
        <w:t>Working at Bershka significantly improved my self-esteem and professional confidence. Being promoted to Key Holder and Visual Merchandiser made me feel valued and trusted by my managers. These responsibilities demonstrated that my hard work and commitment were recognised, which motivated me to continue developing professionally. Achievement and recognition are important motivators that encourage individuals to strive for further success (Maslow, 1943).</w:t>
      </w:r>
    </w:p>
    <w:p w14:paraId="5437D833" w14:textId="77777777" w:rsidR="00C8246A" w:rsidRDefault="00C8246A" w:rsidP="00C8246A">
      <w:pPr>
        <w:pStyle w:val="NormalWeb"/>
      </w:pPr>
      <w:r>
        <w:t>At the same time, becoming a single mother introduced new challenges and responsibilities. There have been occasions when I felt overwhelmed trying to balance childcare, work, and education. Sometimes I questioned whether I had enough time and resources to pursue additional career opportunities. However, these experiences also strengthened my resilience and determination.</w:t>
      </w:r>
    </w:p>
    <w:p w14:paraId="7D6DED26" w14:textId="77777777" w:rsidR="00C8246A" w:rsidRDefault="00C8246A" w:rsidP="00C8246A">
      <w:pPr>
        <w:pStyle w:val="NormalWeb"/>
      </w:pPr>
      <w:r>
        <w:t>During the Professional Career Development module, I felt encouraged by the self-assessment activities. Discovering that I have an Activist learning style helped me understand why I enjoy participating in practical activities and learning through experience (Honey and Mumford, 1992). Furthermore, the results of my MBTI and Holland assessments increased my confidence because they confirmed that my skills and interests align with my future career aspirations. As a result, I now feel more optimistic and prepared to take the next steps in my professional development.</w:t>
      </w:r>
    </w:p>
    <w:p w14:paraId="2757AFC7" w14:textId="77777777" w:rsidR="00583D6E" w:rsidRPr="00583D6E" w:rsidRDefault="00583D6E" w:rsidP="00583D6E">
      <w:pPr>
        <w:rPr>
          <w:rFonts w:ascii="Arial" w:hAnsi="Arial" w:cs="Arial"/>
          <w:b/>
          <w:bCs/>
        </w:rPr>
      </w:pPr>
      <w:r w:rsidRPr="00583D6E">
        <w:rPr>
          <w:rFonts w:ascii="Arial" w:hAnsi="Arial" w:cs="Arial"/>
          <w:b/>
          <w:bCs/>
        </w:rPr>
        <w:t>3. Evaluation (What was good/bad?)</w:t>
      </w:r>
    </w:p>
    <w:p w14:paraId="735506D4" w14:textId="5CB5DD16" w:rsidR="00C8246A" w:rsidRDefault="00C8246A" w:rsidP="00C8246A">
      <w:pPr>
        <w:pStyle w:val="NormalWeb"/>
      </w:pPr>
      <w:r>
        <w:t>Several aspects of my career development have been positive and have contributed significantly to my personal growth. One major achievement has been successfully adapting to life in the United Kingdom. Learning English, completing qualifications, and establishing a career while raising a child demonstrate resilience, commitment, and determination. Resilience is recognised as an essential employability attribute because it enables individuals to overcome challenges and adapt to change (Yorke, 2006).</w:t>
      </w:r>
    </w:p>
    <w:p w14:paraId="1FF3E150" w14:textId="77777777" w:rsidR="00C8246A" w:rsidRDefault="00C8246A" w:rsidP="00C8246A">
      <w:pPr>
        <w:pStyle w:val="NormalWeb"/>
      </w:pPr>
      <w:r>
        <w:t>My progression within Bershka has also been a positive aspect of my career journey. Taking on Key Holder and Visual Merchandiser responsibilities allowed me to develop leadership, communication, organisation, and teamwork skills. These transferable skills are highly valued by employers and are considered essential for career progression (McQuaid and Lindsay, 2005).</w:t>
      </w:r>
    </w:p>
    <w:p w14:paraId="6A177BEC" w14:textId="77777777" w:rsidR="00C8246A" w:rsidRDefault="00C8246A" w:rsidP="00C8246A">
      <w:pPr>
        <w:pStyle w:val="NormalWeb"/>
      </w:pPr>
      <w:r>
        <w:lastRenderedPageBreak/>
        <w:t>The Professional Career Development module has further enhanced my self-awareness. Classroom activities such as the SWOT analysis encouraged me to reflect critically on my strengths and weaknesses. The module also introduced concepts such as employability skills, personal branding, networking, and SMART goal setting, all of which have broadened my understanding of professional development (Gorbatov, Khapova and Lysova, 2018).</w:t>
      </w:r>
    </w:p>
    <w:p w14:paraId="21F9FFFA" w14:textId="77777777" w:rsidR="00C8246A" w:rsidRDefault="00C8246A" w:rsidP="00C8246A">
      <w:pPr>
        <w:pStyle w:val="NormalWeb"/>
      </w:pPr>
      <w:r>
        <w:t>Despite these achievements, there have also been challenges. One significant challenge has been balancing work, education, and family responsibilities. Limited time can restrict opportunities for additional training and professional development. Another challenge is my lack of experience in office-based environments, which may create barriers when applying for administrative or managerial positions.</w:t>
      </w:r>
    </w:p>
    <w:p w14:paraId="0EDDDB3C" w14:textId="77777777" w:rsidR="00C8246A" w:rsidRDefault="00C8246A" w:rsidP="00C8246A">
      <w:pPr>
        <w:pStyle w:val="NormalWeb"/>
      </w:pPr>
      <w:r>
        <w:t>However, the module has encouraged me to adopt a growth mindset and view these challenges as opportunities for improvement rather than obstacles (Dweck, 2017). Through reflection, I have realised that professional development is a continuous process and that weaknesses can be addressed through learning, planning, and practical experience</w:t>
      </w:r>
    </w:p>
    <w:p w14:paraId="0025CF48" w14:textId="70305639" w:rsidR="00583D6E" w:rsidRPr="00583D6E" w:rsidRDefault="00583D6E" w:rsidP="00C8246A">
      <w:pPr>
        <w:rPr>
          <w:rFonts w:ascii="Arial" w:hAnsi="Arial" w:cs="Arial"/>
          <w:b/>
          <w:bCs/>
        </w:rPr>
      </w:pPr>
      <w:r w:rsidRPr="00583D6E">
        <w:rPr>
          <w:rFonts w:ascii="Arial" w:hAnsi="Arial" w:cs="Arial"/>
          <w:b/>
          <w:bCs/>
        </w:rPr>
        <w:t>4. Analysis (What does it mean?)</w:t>
      </w:r>
    </w:p>
    <w:p w14:paraId="5239D78C" w14:textId="77777777" w:rsidR="00C8246A" w:rsidRDefault="00C8246A" w:rsidP="00C8246A">
      <w:pPr>
        <w:pStyle w:val="NormalWeb"/>
      </w:pPr>
      <w:r>
        <w:t>The three models explored during this module provide valuable insights into my career journey and future professional development.</w:t>
      </w:r>
    </w:p>
    <w:p w14:paraId="100EF47F" w14:textId="77777777" w:rsidR="00C8246A" w:rsidRDefault="00C8246A" w:rsidP="00C8246A">
      <w:pPr>
        <w:pStyle w:val="NormalWeb"/>
      </w:pPr>
      <w:r>
        <w:t xml:space="preserve">Firstly, my </w:t>
      </w:r>
      <w:r>
        <w:rPr>
          <w:rStyle w:val="Strong"/>
          <w:rFonts w:eastAsiaTheme="majorEastAsia"/>
        </w:rPr>
        <w:t>SWOT analysis</w:t>
      </w:r>
      <w:r>
        <w:t xml:space="preserve"> helped me evaluate my current position realistically. SWOT analysis is an effective tool for identifying internal strengths and weaknesses alongside external opportunities and threats (Cottrell, 2021). My strengths include communication skills, leadership experience, resilience, adaptability, and organisational abilities. These strengths have been developed through my experiences as a migrant, employee, student, and parent.</w:t>
      </w:r>
    </w:p>
    <w:p w14:paraId="28C66F6D" w14:textId="77777777" w:rsidR="00C8246A" w:rsidRDefault="00C8246A" w:rsidP="00C8246A">
      <w:pPr>
        <w:pStyle w:val="NormalWeb"/>
      </w:pPr>
      <w:r>
        <w:t>My SWOT analysis also highlighted weaknesses, including limited office-based experience and occasional self-doubt regarding career progression. Recognising these weaknesses is beneficial because it allows me to create targeted development strategies. Opportunities include internal promotion within Bershka, further education, and networking opportunities developed through this module. Threats include competition within the labour market and balancing professional ambitions with family responsibilities.</w:t>
      </w:r>
    </w:p>
    <w:p w14:paraId="5FAD606B" w14:textId="77777777" w:rsidR="00C8246A" w:rsidRDefault="00C8246A" w:rsidP="00C8246A">
      <w:pPr>
        <w:pStyle w:val="NormalWeb"/>
      </w:pPr>
      <w:r>
        <w:t xml:space="preserve">Secondly, my </w:t>
      </w:r>
      <w:r>
        <w:rPr>
          <w:rStyle w:val="Strong"/>
          <w:rFonts w:eastAsiaTheme="majorEastAsia"/>
        </w:rPr>
        <w:t>Myers-Briggs Type Indicator result of ESTJ</w:t>
      </w:r>
      <w:r>
        <w:t xml:space="preserve"> provides further insight into my personality and work preferences. Myers et al. (1998) suggest that personality influences workplace behaviour and career satisfaction. ESTJs are often described as organised, practical, responsible, and goal-oriented individuals who enjoy structure and leadership. Reflecting on my experiences, this profile accurately describes many aspects of my professional behaviour. My enjoyment of Key Holder responsibilities and my desire to progress into management or office-based positions align strongly with ESTJ characteristics.</w:t>
      </w:r>
    </w:p>
    <w:p w14:paraId="1958CF13" w14:textId="77777777" w:rsidR="00C8246A" w:rsidRDefault="00C8246A" w:rsidP="00C8246A">
      <w:pPr>
        <w:pStyle w:val="NormalWeb"/>
      </w:pPr>
      <w:r>
        <w:t>The assessment also helped me understand why I prefer organised working environments with clear objectives and responsibilities. This self-awareness is valuable because it allows me to pursue roles that align with my personality and strengths, increasing the likelihood of long-term job satisfaction.</w:t>
      </w:r>
    </w:p>
    <w:p w14:paraId="7F0CDC72" w14:textId="77777777" w:rsidR="00C8246A" w:rsidRDefault="00C8246A" w:rsidP="00C8246A">
      <w:pPr>
        <w:pStyle w:val="NormalWeb"/>
      </w:pPr>
      <w:r>
        <w:lastRenderedPageBreak/>
        <w:t xml:space="preserve">Thirdly, </w:t>
      </w:r>
      <w:r>
        <w:rPr>
          <w:rStyle w:val="Strong"/>
          <w:rFonts w:eastAsiaTheme="majorEastAsia"/>
        </w:rPr>
        <w:t>Holland’s Career Theory</w:t>
      </w:r>
      <w:r>
        <w:t xml:space="preserve"> helped me understand the relationship between my interests and career aspirations. Holland (1997) argues that individuals are more likely to experience satisfaction when their personality is compatible with their work environment. My results indicated strong preferences for Helping, Organising, and Persuading activities, corresponding closely with Social, Conventional, and Enterprising personality types.</w:t>
      </w:r>
    </w:p>
    <w:p w14:paraId="2B720BBC" w14:textId="77777777" w:rsidR="00C8246A" w:rsidRDefault="00C8246A" w:rsidP="00C8246A">
      <w:pPr>
        <w:pStyle w:val="NormalWeb"/>
      </w:pPr>
      <w:r>
        <w:t>These findings explain why I enjoy working with people while also appreciating structure, organisation, and responsibility. Careers in administration, office management, human resources, customer relations, and team leadership appear particularly suitable because they combine interpersonal interaction with organisational tasks. Holland’s theory therefore supports my goal of progressing into an office-based role.</w:t>
      </w:r>
    </w:p>
    <w:p w14:paraId="5138EA9C" w14:textId="77777777" w:rsidR="00C8246A" w:rsidRDefault="00C8246A" w:rsidP="00C8246A">
      <w:pPr>
        <w:pStyle w:val="NormalWeb"/>
      </w:pPr>
      <w:r>
        <w:t>Furthermore, my Activist learning profile complements these findings. Activists learn most effectively through practical experiences, active participation, and problem-solving activities (Honey and Mumford, 1992). This explains why hands-on learning and workplace experience have played such important roles in my development. It also suggests that future professional development activities should include practical training, workshops, and experiential learning opportunities.</w:t>
      </w:r>
    </w:p>
    <w:p w14:paraId="0F8D4F2C" w14:textId="77777777" w:rsidR="00C8246A" w:rsidRDefault="00C8246A" w:rsidP="00C8246A">
      <w:pPr>
        <w:pStyle w:val="NormalWeb"/>
      </w:pPr>
      <w:r>
        <w:t>Overall, the combination of SWOT Analysis, Myers-Briggs Theory, and Holland’s Career Theory has provided a comprehensive understanding of my strengths, career preferences, and future development needs. These models have enabled me to make more informed decisions regarding my professional future.</w:t>
      </w:r>
    </w:p>
    <w:p w14:paraId="180849A3" w14:textId="77777777" w:rsidR="00984DAA" w:rsidRPr="00583D6E" w:rsidRDefault="00984DAA" w:rsidP="00984DAA">
      <w:pPr>
        <w:rPr>
          <w:rFonts w:ascii="Arial" w:hAnsi="Arial" w:cs="Arial"/>
        </w:rPr>
      </w:pPr>
    </w:p>
    <w:p w14:paraId="442ECC0C" w14:textId="06023B5F" w:rsidR="00583D6E" w:rsidRPr="00583D6E" w:rsidRDefault="00583D6E" w:rsidP="00583D6E">
      <w:pPr>
        <w:rPr>
          <w:rFonts w:ascii="Arial" w:hAnsi="Arial" w:cs="Arial"/>
          <w:b/>
          <w:bCs/>
        </w:rPr>
      </w:pPr>
      <w:r w:rsidRPr="00984DAA">
        <w:rPr>
          <w:rFonts w:ascii="Arial" w:hAnsi="Arial" w:cs="Arial"/>
          <w:b/>
          <w:bCs/>
        </w:rPr>
        <w:t xml:space="preserve">5. </w:t>
      </w:r>
      <w:r w:rsidRPr="00583D6E">
        <w:rPr>
          <w:rFonts w:ascii="Arial" w:hAnsi="Arial" w:cs="Arial"/>
          <w:b/>
          <w:bCs/>
        </w:rPr>
        <w:t>Conclusion (What have you learned?)</w:t>
      </w:r>
    </w:p>
    <w:p w14:paraId="66897471" w14:textId="77777777" w:rsidR="00C8246A" w:rsidRDefault="00C8246A" w:rsidP="00C8246A">
      <w:pPr>
        <w:pStyle w:val="NormalWeb"/>
      </w:pPr>
      <w:r>
        <w:t>This reflection has allowed me to critically examine my career journey and identify the experiences that have shaped my personal and professional development. My journey from Venezuela to the United Kingdom has required resilience, adaptability, and determination. Through education, employment, and personal responsibilities, I have developed valuable skills that can support my future career progression.</w:t>
      </w:r>
    </w:p>
    <w:p w14:paraId="42450085" w14:textId="77777777" w:rsidR="00C8246A" w:rsidRDefault="00C8246A" w:rsidP="00C8246A">
      <w:pPr>
        <w:pStyle w:val="NormalWeb"/>
      </w:pPr>
      <w:r>
        <w:t>The Professional Career Development module has significantly increased my self-awareness. Through SWOT analysis, I identified key strengths and areas for improvement. The Myers-Briggs assessment provided valuable insight into how my personality influences my professional preferences and behaviours. Holland’s Career Theory helped me recognise the importance of pursuing careers that align with my interests and values.</w:t>
      </w:r>
    </w:p>
    <w:p w14:paraId="6C31D69D" w14:textId="77777777" w:rsidR="00C8246A" w:rsidRDefault="00C8246A" w:rsidP="00C8246A">
      <w:pPr>
        <w:pStyle w:val="NormalWeb"/>
      </w:pPr>
      <w:r>
        <w:t>Additionally, understanding my Activist learning style has enabled me to appreciate how I learn most effectively and how I can continue developing professionally. Reflection has reinforced the importance of continuous learning, employability skills, networking, and personal branding in achieving long-term career success.</w:t>
      </w:r>
    </w:p>
    <w:p w14:paraId="4F033F3E" w14:textId="77777777" w:rsidR="00C8246A" w:rsidRDefault="00C8246A" w:rsidP="00C8246A">
      <w:pPr>
        <w:pStyle w:val="NormalWeb"/>
      </w:pPr>
      <w:r>
        <w:t>Overall, I now feel more confident about my future career direction. I recognise that professional development is a lifelong process that requires planning, adaptability, and commitment. By applying the knowledge gained through this module, I am better prepared to pursue opportunities that align with my strengths, personality, and career aspirations.</w:t>
      </w:r>
    </w:p>
    <w:p w14:paraId="22B2A319" w14:textId="53B10928" w:rsidR="00583D6E" w:rsidRPr="00984DAA" w:rsidRDefault="00583D6E" w:rsidP="00583D6E">
      <w:pPr>
        <w:rPr>
          <w:rFonts w:ascii="Arial" w:hAnsi="Arial" w:cs="Arial"/>
          <w:b/>
          <w:bCs/>
        </w:rPr>
      </w:pPr>
      <w:r w:rsidRPr="00984DAA">
        <w:rPr>
          <w:rFonts w:ascii="Arial" w:hAnsi="Arial" w:cs="Arial"/>
          <w:b/>
          <w:bCs/>
        </w:rPr>
        <w:lastRenderedPageBreak/>
        <w:t>6. Action Plan (What will you do next?)</w:t>
      </w:r>
    </w:p>
    <w:p w14:paraId="3A27BEC3" w14:textId="046443B3" w:rsidR="00583D6E" w:rsidRPr="00984DAA" w:rsidRDefault="00583D6E" w:rsidP="00583D6E">
      <w:pPr>
        <w:spacing w:before="100" w:beforeAutospacing="1" w:after="100" w:afterAutospacing="1" w:line="240" w:lineRule="auto"/>
        <w:rPr>
          <w:rFonts w:ascii="Arial" w:eastAsia="Times New Roman" w:hAnsi="Arial" w:cs="Arial"/>
          <w:kern w:val="0"/>
          <w14:ligatures w14:val="none"/>
        </w:rPr>
      </w:pPr>
    </w:p>
    <w:tbl>
      <w:tblPr>
        <w:tblStyle w:val="TableGrid"/>
        <w:tblW w:w="0" w:type="auto"/>
        <w:tblInd w:w="-5" w:type="dxa"/>
        <w:tblLook w:val="04A0" w:firstRow="1" w:lastRow="0" w:firstColumn="1" w:lastColumn="0" w:noHBand="0" w:noVBand="1"/>
      </w:tblPr>
      <w:tblGrid>
        <w:gridCol w:w="1674"/>
        <w:gridCol w:w="1689"/>
        <w:gridCol w:w="1610"/>
        <w:gridCol w:w="1465"/>
        <w:gridCol w:w="1583"/>
        <w:gridCol w:w="1000"/>
      </w:tblGrid>
      <w:tr w:rsidR="00967432" w:rsidRPr="00984DAA" w14:paraId="0BF3A393" w14:textId="77777777" w:rsidTr="0084025B">
        <w:tc>
          <w:tcPr>
            <w:tcW w:w="1673" w:type="dxa"/>
          </w:tcPr>
          <w:p w14:paraId="0A0277DA" w14:textId="5A2897A6" w:rsidR="00583D6E" w:rsidRPr="00984DAA" w:rsidRDefault="00583D6E" w:rsidP="00583D6E">
            <w:pPr>
              <w:jc w:val="center"/>
              <w:rPr>
                <w:rFonts w:ascii="Arial" w:hAnsi="Arial" w:cs="Arial"/>
                <w:b/>
                <w:bCs/>
              </w:rPr>
            </w:pPr>
            <w:r w:rsidRPr="00984DAA">
              <w:rPr>
                <w:rFonts w:ascii="Arial" w:hAnsi="Arial" w:cs="Arial"/>
                <w:b/>
                <w:bCs/>
              </w:rPr>
              <w:t>Goal</w:t>
            </w:r>
          </w:p>
        </w:tc>
        <w:tc>
          <w:tcPr>
            <w:tcW w:w="1688" w:type="dxa"/>
          </w:tcPr>
          <w:p w14:paraId="1BBC9567" w14:textId="6F6171AC" w:rsidR="00583D6E" w:rsidRPr="00984DAA" w:rsidRDefault="00583D6E" w:rsidP="00583D6E">
            <w:pPr>
              <w:jc w:val="center"/>
              <w:rPr>
                <w:rFonts w:ascii="Arial" w:hAnsi="Arial" w:cs="Arial"/>
                <w:b/>
                <w:bCs/>
              </w:rPr>
            </w:pPr>
            <w:r w:rsidRPr="00984DAA">
              <w:rPr>
                <w:rFonts w:ascii="Arial" w:hAnsi="Arial" w:cs="Arial"/>
                <w:b/>
                <w:bCs/>
              </w:rPr>
              <w:t>Specific Action</w:t>
            </w:r>
          </w:p>
        </w:tc>
        <w:tc>
          <w:tcPr>
            <w:tcW w:w="1609" w:type="dxa"/>
          </w:tcPr>
          <w:p w14:paraId="2CBC5487" w14:textId="23EFEC45" w:rsidR="00583D6E" w:rsidRPr="00984DAA" w:rsidRDefault="00583D6E" w:rsidP="00583D6E">
            <w:pPr>
              <w:jc w:val="center"/>
              <w:rPr>
                <w:rFonts w:ascii="Arial" w:hAnsi="Arial" w:cs="Arial"/>
                <w:b/>
                <w:bCs/>
              </w:rPr>
            </w:pPr>
            <w:r w:rsidRPr="00984DAA">
              <w:rPr>
                <w:rFonts w:ascii="Arial" w:hAnsi="Arial" w:cs="Arial"/>
                <w:b/>
                <w:bCs/>
              </w:rPr>
              <w:t>Measurable</w:t>
            </w:r>
          </w:p>
        </w:tc>
        <w:tc>
          <w:tcPr>
            <w:tcW w:w="1464" w:type="dxa"/>
          </w:tcPr>
          <w:p w14:paraId="50039D27" w14:textId="01BAB37D" w:rsidR="00583D6E" w:rsidRPr="00984DAA" w:rsidRDefault="00583D6E" w:rsidP="00583D6E">
            <w:pPr>
              <w:jc w:val="center"/>
              <w:rPr>
                <w:rFonts w:ascii="Arial" w:hAnsi="Arial" w:cs="Arial"/>
                <w:b/>
                <w:bCs/>
              </w:rPr>
            </w:pPr>
            <w:r w:rsidRPr="00984DAA">
              <w:rPr>
                <w:rFonts w:ascii="Arial" w:hAnsi="Arial" w:cs="Arial"/>
                <w:b/>
                <w:bCs/>
              </w:rPr>
              <w:t>Achievable</w:t>
            </w:r>
          </w:p>
        </w:tc>
        <w:tc>
          <w:tcPr>
            <w:tcW w:w="1582" w:type="dxa"/>
          </w:tcPr>
          <w:p w14:paraId="35B0C067" w14:textId="26FD8234" w:rsidR="00583D6E" w:rsidRPr="00984DAA" w:rsidRDefault="00583D6E" w:rsidP="00583D6E">
            <w:pPr>
              <w:jc w:val="center"/>
              <w:rPr>
                <w:rFonts w:ascii="Arial" w:hAnsi="Arial" w:cs="Arial"/>
                <w:b/>
                <w:bCs/>
              </w:rPr>
            </w:pPr>
            <w:r w:rsidRPr="00984DAA">
              <w:rPr>
                <w:rFonts w:ascii="Arial" w:hAnsi="Arial" w:cs="Arial"/>
                <w:b/>
                <w:bCs/>
              </w:rPr>
              <w:t>Relevant</w:t>
            </w:r>
          </w:p>
        </w:tc>
        <w:tc>
          <w:tcPr>
            <w:tcW w:w="1000" w:type="dxa"/>
          </w:tcPr>
          <w:p w14:paraId="58D20416" w14:textId="7FCD7733" w:rsidR="00583D6E" w:rsidRPr="00984DAA" w:rsidRDefault="00583D6E" w:rsidP="00583D6E">
            <w:pPr>
              <w:jc w:val="center"/>
              <w:rPr>
                <w:rFonts w:ascii="Arial" w:hAnsi="Arial" w:cs="Arial"/>
                <w:b/>
                <w:bCs/>
              </w:rPr>
            </w:pPr>
            <w:r w:rsidRPr="00984DAA">
              <w:rPr>
                <w:rFonts w:ascii="Arial" w:hAnsi="Arial" w:cs="Arial"/>
                <w:b/>
                <w:bCs/>
              </w:rPr>
              <w:t>Time-Bound</w:t>
            </w:r>
          </w:p>
        </w:tc>
      </w:tr>
      <w:tr w:rsidR="00967432" w:rsidRPr="00984DAA" w14:paraId="2D72F74A" w14:textId="77777777" w:rsidTr="0084025B">
        <w:tc>
          <w:tcPr>
            <w:tcW w:w="1673" w:type="dxa"/>
          </w:tcPr>
          <w:p w14:paraId="1CD7013E" w14:textId="08599EFC" w:rsidR="00583D6E" w:rsidRPr="00984DAA" w:rsidRDefault="00C8246A" w:rsidP="00583D6E">
            <w:pPr>
              <w:rPr>
                <w:rFonts w:ascii="Arial" w:hAnsi="Arial" w:cs="Arial"/>
              </w:rPr>
            </w:pPr>
            <w:r>
              <w:rPr>
                <w:rFonts w:ascii="Arial" w:hAnsi="Arial" w:cs="Arial"/>
              </w:rPr>
              <w:t>Gain office-based experience</w:t>
            </w:r>
          </w:p>
        </w:tc>
        <w:tc>
          <w:tcPr>
            <w:tcW w:w="1688" w:type="dxa"/>
          </w:tcPr>
          <w:p w14:paraId="7F575BE5" w14:textId="11E1750A" w:rsidR="00583D6E" w:rsidRPr="00984DAA" w:rsidRDefault="00C8246A" w:rsidP="00583D6E">
            <w:pPr>
              <w:rPr>
                <w:rFonts w:ascii="Arial" w:hAnsi="Arial" w:cs="Arial"/>
              </w:rPr>
            </w:pPr>
            <w:r>
              <w:rPr>
                <w:rFonts w:ascii="Arial" w:hAnsi="Arial" w:cs="Arial"/>
              </w:rPr>
              <w:t>Apply ffor internal administrative opportunities and job shadowing</w:t>
            </w:r>
          </w:p>
        </w:tc>
        <w:tc>
          <w:tcPr>
            <w:tcW w:w="1609" w:type="dxa"/>
          </w:tcPr>
          <w:p w14:paraId="556D5F1E" w14:textId="18A099CA" w:rsidR="00583D6E" w:rsidRPr="00984DAA" w:rsidRDefault="00C8246A" w:rsidP="00583D6E">
            <w:pPr>
              <w:rPr>
                <w:rFonts w:ascii="Arial" w:hAnsi="Arial" w:cs="Arial"/>
              </w:rPr>
            </w:pPr>
            <w:r>
              <w:rPr>
                <w:rFonts w:ascii="Arial" w:hAnsi="Arial" w:cs="Arial"/>
              </w:rPr>
              <w:t>Submit at least 5 applications</w:t>
            </w:r>
          </w:p>
        </w:tc>
        <w:tc>
          <w:tcPr>
            <w:tcW w:w="1464" w:type="dxa"/>
          </w:tcPr>
          <w:p w14:paraId="5FE6F6B6" w14:textId="741A435A" w:rsidR="00583D6E" w:rsidRPr="00984DAA" w:rsidRDefault="00C8246A" w:rsidP="00583D6E">
            <w:pPr>
              <w:rPr>
                <w:rFonts w:ascii="Arial" w:hAnsi="Arial" w:cs="Arial"/>
              </w:rPr>
            </w:pPr>
            <w:r>
              <w:rPr>
                <w:rFonts w:ascii="Arial" w:hAnsi="Arial" w:cs="Arial"/>
              </w:rPr>
              <w:t>Yes</w:t>
            </w:r>
          </w:p>
        </w:tc>
        <w:tc>
          <w:tcPr>
            <w:tcW w:w="1582" w:type="dxa"/>
          </w:tcPr>
          <w:p w14:paraId="3A9384C6" w14:textId="3D421377" w:rsidR="00583D6E" w:rsidRPr="00984DAA" w:rsidRDefault="00C8246A" w:rsidP="00583D6E">
            <w:pPr>
              <w:rPr>
                <w:rFonts w:ascii="Arial" w:hAnsi="Arial" w:cs="Arial"/>
              </w:rPr>
            </w:pPr>
            <w:r>
              <w:rPr>
                <w:rFonts w:ascii="Arial" w:hAnsi="Arial" w:cs="Arial"/>
              </w:rPr>
              <w:t>Supports future career goals</w:t>
            </w:r>
          </w:p>
        </w:tc>
        <w:tc>
          <w:tcPr>
            <w:tcW w:w="1000" w:type="dxa"/>
          </w:tcPr>
          <w:p w14:paraId="485985E8" w14:textId="760D696A" w:rsidR="00583D6E" w:rsidRPr="00984DAA" w:rsidRDefault="00C8246A" w:rsidP="00583D6E">
            <w:pPr>
              <w:rPr>
                <w:rFonts w:ascii="Arial" w:hAnsi="Arial" w:cs="Arial"/>
              </w:rPr>
            </w:pPr>
            <w:r>
              <w:rPr>
                <w:rFonts w:ascii="Arial" w:hAnsi="Arial" w:cs="Arial"/>
              </w:rPr>
              <w:t>Wit</w:t>
            </w:r>
            <w:r w:rsidR="00967432">
              <w:rPr>
                <w:rFonts w:ascii="Arial" w:hAnsi="Arial" w:cs="Arial"/>
              </w:rPr>
              <w:t>hin 12 month</w:t>
            </w:r>
          </w:p>
        </w:tc>
      </w:tr>
      <w:tr w:rsidR="00967432" w:rsidRPr="00984DAA" w14:paraId="5D14C63F" w14:textId="77777777" w:rsidTr="0084025B">
        <w:tc>
          <w:tcPr>
            <w:tcW w:w="1673" w:type="dxa"/>
          </w:tcPr>
          <w:p w14:paraId="4D660BBD" w14:textId="7823BED0" w:rsidR="00583D6E" w:rsidRPr="00984DAA" w:rsidRDefault="00967432" w:rsidP="00583D6E">
            <w:pPr>
              <w:rPr>
                <w:rFonts w:ascii="Arial" w:hAnsi="Arial" w:cs="Arial"/>
              </w:rPr>
            </w:pPr>
            <w:r>
              <w:rPr>
                <w:rFonts w:ascii="Arial" w:hAnsi="Arial" w:cs="Arial"/>
              </w:rPr>
              <w:t>Improve digital and administrative skills</w:t>
            </w:r>
          </w:p>
        </w:tc>
        <w:tc>
          <w:tcPr>
            <w:tcW w:w="1688" w:type="dxa"/>
          </w:tcPr>
          <w:p w14:paraId="5EDD2880" w14:textId="4D8A6673" w:rsidR="00583D6E" w:rsidRPr="00984DAA" w:rsidRDefault="00967432" w:rsidP="00583D6E">
            <w:pPr>
              <w:rPr>
                <w:rFonts w:ascii="Arial" w:hAnsi="Arial" w:cs="Arial"/>
              </w:rPr>
            </w:pPr>
            <w:r>
              <w:rPr>
                <w:rFonts w:ascii="Arial" w:hAnsi="Arial" w:cs="Arial"/>
              </w:rPr>
              <w:t>Complete Microsoft Office and administration courses</w:t>
            </w:r>
          </w:p>
        </w:tc>
        <w:tc>
          <w:tcPr>
            <w:tcW w:w="1609" w:type="dxa"/>
          </w:tcPr>
          <w:p w14:paraId="6567A458" w14:textId="00A3A65D" w:rsidR="00583D6E" w:rsidRPr="00984DAA" w:rsidRDefault="00967432" w:rsidP="00583D6E">
            <w:pPr>
              <w:rPr>
                <w:rFonts w:ascii="Arial" w:hAnsi="Arial" w:cs="Arial"/>
              </w:rPr>
            </w:pPr>
            <w:r>
              <w:rPr>
                <w:rFonts w:ascii="Arial" w:hAnsi="Arial" w:cs="Arial"/>
              </w:rPr>
              <w:t>Gain 3 certificates</w:t>
            </w:r>
          </w:p>
        </w:tc>
        <w:tc>
          <w:tcPr>
            <w:tcW w:w="1464" w:type="dxa"/>
          </w:tcPr>
          <w:p w14:paraId="5418A8BF" w14:textId="73C8890C" w:rsidR="00583D6E" w:rsidRPr="00984DAA" w:rsidRDefault="00967432" w:rsidP="00583D6E">
            <w:pPr>
              <w:rPr>
                <w:rFonts w:ascii="Arial" w:hAnsi="Arial" w:cs="Arial"/>
              </w:rPr>
            </w:pPr>
            <w:r>
              <w:rPr>
                <w:rFonts w:ascii="Arial" w:hAnsi="Arial" w:cs="Arial"/>
              </w:rPr>
              <w:t>Yes</w:t>
            </w:r>
          </w:p>
        </w:tc>
        <w:tc>
          <w:tcPr>
            <w:tcW w:w="1582" w:type="dxa"/>
          </w:tcPr>
          <w:p w14:paraId="510E8CFD" w14:textId="09BE102E" w:rsidR="00583D6E" w:rsidRPr="00984DAA" w:rsidRDefault="00967432" w:rsidP="00583D6E">
            <w:pPr>
              <w:rPr>
                <w:rFonts w:ascii="Arial" w:hAnsi="Arial" w:cs="Arial"/>
              </w:rPr>
            </w:pPr>
            <w:r>
              <w:rPr>
                <w:rFonts w:ascii="Arial" w:hAnsi="Arial" w:cs="Arial"/>
              </w:rPr>
              <w:t>Improves employability</w:t>
            </w:r>
          </w:p>
        </w:tc>
        <w:tc>
          <w:tcPr>
            <w:tcW w:w="1000" w:type="dxa"/>
          </w:tcPr>
          <w:p w14:paraId="3643AB70" w14:textId="3639E747" w:rsidR="00583D6E" w:rsidRPr="00984DAA" w:rsidRDefault="00967432" w:rsidP="00583D6E">
            <w:pPr>
              <w:rPr>
                <w:rFonts w:ascii="Arial" w:hAnsi="Arial" w:cs="Arial"/>
              </w:rPr>
            </w:pPr>
            <w:r>
              <w:rPr>
                <w:rFonts w:ascii="Arial" w:hAnsi="Arial" w:cs="Arial"/>
              </w:rPr>
              <w:t xml:space="preserve">Within 12 month </w:t>
            </w:r>
          </w:p>
        </w:tc>
      </w:tr>
      <w:tr w:rsidR="00967432" w:rsidRPr="00984DAA" w14:paraId="2D1CBDB5" w14:textId="77777777" w:rsidTr="0084025B">
        <w:tc>
          <w:tcPr>
            <w:tcW w:w="1673" w:type="dxa"/>
          </w:tcPr>
          <w:p w14:paraId="77E160FD" w14:textId="5B4AECED" w:rsidR="00967432" w:rsidRDefault="00967432" w:rsidP="00583D6E">
            <w:pPr>
              <w:rPr>
                <w:rFonts w:ascii="Arial" w:hAnsi="Arial" w:cs="Arial"/>
              </w:rPr>
            </w:pPr>
            <w:r>
              <w:rPr>
                <w:rFonts w:ascii="Arial" w:hAnsi="Arial" w:cs="Arial"/>
              </w:rPr>
              <w:t>Develop professional network</w:t>
            </w:r>
          </w:p>
        </w:tc>
        <w:tc>
          <w:tcPr>
            <w:tcW w:w="1688" w:type="dxa"/>
          </w:tcPr>
          <w:p w14:paraId="1C52CE3C" w14:textId="0B185D67" w:rsidR="00967432" w:rsidRDefault="00967432" w:rsidP="00583D6E">
            <w:pPr>
              <w:rPr>
                <w:rFonts w:ascii="Arial" w:hAnsi="Arial" w:cs="Arial"/>
              </w:rPr>
            </w:pPr>
            <w:r>
              <w:rPr>
                <w:rFonts w:ascii="Arial" w:hAnsi="Arial" w:cs="Arial"/>
              </w:rPr>
              <w:t>Create a Linkdln profile and attend networking events</w:t>
            </w:r>
          </w:p>
        </w:tc>
        <w:tc>
          <w:tcPr>
            <w:tcW w:w="1609" w:type="dxa"/>
          </w:tcPr>
          <w:p w14:paraId="2FBEA518" w14:textId="505505C5" w:rsidR="00967432" w:rsidRDefault="00967432" w:rsidP="00583D6E">
            <w:pPr>
              <w:rPr>
                <w:rFonts w:ascii="Arial" w:hAnsi="Arial" w:cs="Arial"/>
              </w:rPr>
            </w:pPr>
            <w:r>
              <w:rPr>
                <w:rFonts w:ascii="Arial" w:hAnsi="Arial" w:cs="Arial"/>
              </w:rPr>
              <w:t>Connect with 30 professionals</w:t>
            </w:r>
          </w:p>
        </w:tc>
        <w:tc>
          <w:tcPr>
            <w:tcW w:w="1464" w:type="dxa"/>
          </w:tcPr>
          <w:p w14:paraId="3FD066A1" w14:textId="2F564356" w:rsidR="00967432" w:rsidRDefault="00967432" w:rsidP="00583D6E">
            <w:pPr>
              <w:rPr>
                <w:rFonts w:ascii="Arial" w:hAnsi="Arial" w:cs="Arial"/>
              </w:rPr>
            </w:pPr>
            <w:r>
              <w:rPr>
                <w:rFonts w:ascii="Arial" w:hAnsi="Arial" w:cs="Arial"/>
              </w:rPr>
              <w:t xml:space="preserve">Yes </w:t>
            </w:r>
          </w:p>
        </w:tc>
        <w:tc>
          <w:tcPr>
            <w:tcW w:w="1582" w:type="dxa"/>
          </w:tcPr>
          <w:p w14:paraId="38FE1152" w14:textId="11463D8C" w:rsidR="00967432" w:rsidRDefault="00967432" w:rsidP="00583D6E">
            <w:pPr>
              <w:rPr>
                <w:rFonts w:ascii="Arial" w:hAnsi="Arial" w:cs="Arial"/>
              </w:rPr>
            </w:pPr>
            <w:r>
              <w:rPr>
                <w:rFonts w:ascii="Arial" w:hAnsi="Arial" w:cs="Arial"/>
              </w:rPr>
              <w:t>Supports career oppo</w:t>
            </w:r>
            <w:r>
              <w:rPr>
                <w:rFonts w:ascii="Arial" w:hAnsi="Arial" w:cs="Arial"/>
              </w:rPr>
              <w:t>rtunities</w:t>
            </w:r>
          </w:p>
        </w:tc>
        <w:tc>
          <w:tcPr>
            <w:tcW w:w="1000" w:type="dxa"/>
          </w:tcPr>
          <w:p w14:paraId="05EB40AC" w14:textId="053DEA00" w:rsidR="00967432" w:rsidRDefault="00967432" w:rsidP="00583D6E">
            <w:pPr>
              <w:rPr>
                <w:rFonts w:ascii="Arial" w:hAnsi="Arial" w:cs="Arial"/>
              </w:rPr>
            </w:pPr>
            <w:r>
              <w:rPr>
                <w:rFonts w:ascii="Arial" w:hAnsi="Arial" w:cs="Arial"/>
              </w:rPr>
              <w:t>Within 6 month</w:t>
            </w:r>
          </w:p>
        </w:tc>
      </w:tr>
      <w:tr w:rsidR="00967432" w:rsidRPr="00984DAA" w14:paraId="0FEAD4FD" w14:textId="77777777" w:rsidTr="0084025B">
        <w:tc>
          <w:tcPr>
            <w:tcW w:w="1673" w:type="dxa"/>
          </w:tcPr>
          <w:p w14:paraId="60DD0721" w14:textId="1AE00F11" w:rsidR="00967432" w:rsidRDefault="00967432" w:rsidP="00583D6E">
            <w:pPr>
              <w:rPr>
                <w:rFonts w:ascii="Arial" w:hAnsi="Arial" w:cs="Arial"/>
              </w:rPr>
            </w:pPr>
            <w:r>
              <w:rPr>
                <w:rFonts w:ascii="Arial" w:hAnsi="Arial" w:cs="Arial"/>
              </w:rPr>
              <w:t xml:space="preserve">Progress within Bershka </w:t>
            </w:r>
          </w:p>
        </w:tc>
        <w:tc>
          <w:tcPr>
            <w:tcW w:w="1688" w:type="dxa"/>
          </w:tcPr>
          <w:p w14:paraId="1A676E48" w14:textId="4CF0BB7F" w:rsidR="00967432" w:rsidRDefault="00967432" w:rsidP="00583D6E">
            <w:pPr>
              <w:rPr>
                <w:rFonts w:ascii="Arial" w:hAnsi="Arial" w:cs="Arial"/>
              </w:rPr>
            </w:pPr>
            <w:r>
              <w:rPr>
                <w:rFonts w:ascii="Arial" w:hAnsi="Arial" w:cs="Arial"/>
              </w:rPr>
              <w:t>Discuss promotion and development opportunities with management</w:t>
            </w:r>
          </w:p>
        </w:tc>
        <w:tc>
          <w:tcPr>
            <w:tcW w:w="1609" w:type="dxa"/>
          </w:tcPr>
          <w:p w14:paraId="0CFE8C36" w14:textId="2B216339" w:rsidR="00967432" w:rsidRDefault="00967432" w:rsidP="00583D6E">
            <w:pPr>
              <w:rPr>
                <w:rFonts w:ascii="Arial" w:hAnsi="Arial" w:cs="Arial"/>
              </w:rPr>
            </w:pPr>
            <w:r>
              <w:rPr>
                <w:rFonts w:ascii="Arial" w:hAnsi="Arial" w:cs="Arial"/>
              </w:rPr>
              <w:t xml:space="preserve">Attend development meetings </w:t>
            </w:r>
          </w:p>
        </w:tc>
        <w:tc>
          <w:tcPr>
            <w:tcW w:w="1464" w:type="dxa"/>
          </w:tcPr>
          <w:p w14:paraId="1C55B51B" w14:textId="6E867736" w:rsidR="00967432" w:rsidRDefault="00967432" w:rsidP="00583D6E">
            <w:pPr>
              <w:rPr>
                <w:rFonts w:ascii="Arial" w:hAnsi="Arial" w:cs="Arial"/>
              </w:rPr>
            </w:pPr>
            <w:r>
              <w:rPr>
                <w:rFonts w:ascii="Arial" w:hAnsi="Arial" w:cs="Arial"/>
              </w:rPr>
              <w:t>Yes</w:t>
            </w:r>
          </w:p>
        </w:tc>
        <w:tc>
          <w:tcPr>
            <w:tcW w:w="1582" w:type="dxa"/>
          </w:tcPr>
          <w:p w14:paraId="1F119D36" w14:textId="229215AC" w:rsidR="00967432" w:rsidRDefault="00967432" w:rsidP="00583D6E">
            <w:pPr>
              <w:rPr>
                <w:rFonts w:ascii="Arial" w:hAnsi="Arial" w:cs="Arial"/>
              </w:rPr>
            </w:pPr>
            <w:r>
              <w:t>Supports leadership ambitions</w:t>
            </w:r>
          </w:p>
        </w:tc>
        <w:tc>
          <w:tcPr>
            <w:tcW w:w="1000" w:type="dxa"/>
          </w:tcPr>
          <w:p w14:paraId="01C8D047" w14:textId="1DE78CCA" w:rsidR="00967432" w:rsidRDefault="00967432" w:rsidP="00583D6E">
            <w:pPr>
              <w:rPr>
                <w:rFonts w:ascii="Arial" w:hAnsi="Arial" w:cs="Arial"/>
              </w:rPr>
            </w:pPr>
            <w:r>
              <w:t>Within 6 months</w:t>
            </w:r>
          </w:p>
        </w:tc>
      </w:tr>
      <w:tr w:rsidR="00967432" w:rsidRPr="00984DAA" w14:paraId="5793A879" w14:textId="77777777" w:rsidTr="0084025B">
        <w:tc>
          <w:tcPr>
            <w:tcW w:w="1673" w:type="dxa"/>
          </w:tcPr>
          <w:p w14:paraId="31A633EC" w14:textId="16CB99D2" w:rsidR="00967432" w:rsidRDefault="00967432" w:rsidP="00583D6E">
            <w:pPr>
              <w:rPr>
                <w:rFonts w:ascii="Arial" w:hAnsi="Arial" w:cs="Arial"/>
              </w:rPr>
            </w:pPr>
            <w:r>
              <w:rPr>
                <w:rFonts w:ascii="Arial" w:hAnsi="Arial" w:cs="Arial"/>
              </w:rPr>
              <w:t xml:space="preserve">Enhance personal brand </w:t>
            </w:r>
          </w:p>
        </w:tc>
        <w:tc>
          <w:tcPr>
            <w:tcW w:w="1688" w:type="dxa"/>
          </w:tcPr>
          <w:p w14:paraId="5022C0AC" w14:textId="2ACD5B01" w:rsidR="00967432" w:rsidRDefault="00967432" w:rsidP="00583D6E">
            <w:pPr>
              <w:rPr>
                <w:rFonts w:ascii="Arial" w:hAnsi="Arial" w:cs="Arial"/>
              </w:rPr>
            </w:pPr>
            <w:r>
              <w:rPr>
                <w:rFonts w:ascii="Arial" w:hAnsi="Arial" w:cs="Arial"/>
              </w:rPr>
              <w:t xml:space="preserve">Improve professional online presence and CV </w:t>
            </w:r>
          </w:p>
        </w:tc>
        <w:tc>
          <w:tcPr>
            <w:tcW w:w="1609" w:type="dxa"/>
          </w:tcPr>
          <w:p w14:paraId="60465B74" w14:textId="45285C9D" w:rsidR="00967432" w:rsidRDefault="00967432" w:rsidP="00583D6E">
            <w:pPr>
              <w:rPr>
                <w:rFonts w:ascii="Arial" w:hAnsi="Arial" w:cs="Arial"/>
              </w:rPr>
            </w:pPr>
            <w:r>
              <w:t>Update LinkedIn and CV</w:t>
            </w:r>
          </w:p>
        </w:tc>
        <w:tc>
          <w:tcPr>
            <w:tcW w:w="1464" w:type="dxa"/>
          </w:tcPr>
          <w:p w14:paraId="062F4A3C" w14:textId="4718D400" w:rsidR="00967432" w:rsidRDefault="00967432" w:rsidP="00583D6E">
            <w:pPr>
              <w:rPr>
                <w:rFonts w:ascii="Arial" w:hAnsi="Arial" w:cs="Arial"/>
              </w:rPr>
            </w:pPr>
            <w:r>
              <w:rPr>
                <w:rFonts w:ascii="Arial" w:hAnsi="Arial" w:cs="Arial"/>
              </w:rPr>
              <w:t>Yes</w:t>
            </w:r>
          </w:p>
        </w:tc>
        <w:tc>
          <w:tcPr>
            <w:tcW w:w="1582" w:type="dxa"/>
          </w:tcPr>
          <w:p w14:paraId="5F3F9226" w14:textId="5F987AC2" w:rsidR="00967432" w:rsidRDefault="00967432" w:rsidP="00583D6E">
            <w:r>
              <w:t>Supports career transition</w:t>
            </w:r>
          </w:p>
        </w:tc>
        <w:tc>
          <w:tcPr>
            <w:tcW w:w="1000" w:type="dxa"/>
          </w:tcPr>
          <w:p w14:paraId="24D6980B" w14:textId="512752E3" w:rsidR="00967432" w:rsidRDefault="00967432" w:rsidP="00583D6E">
            <w:r>
              <w:t xml:space="preserve">Within 3 month </w:t>
            </w:r>
          </w:p>
        </w:tc>
      </w:tr>
    </w:tbl>
    <w:p w14:paraId="46B37784" w14:textId="77777777" w:rsidR="00583D6E" w:rsidRPr="00984DAA" w:rsidRDefault="00583D6E" w:rsidP="00583D6E">
      <w:pPr>
        <w:rPr>
          <w:rFonts w:ascii="Arial" w:hAnsi="Arial" w:cs="Arial"/>
        </w:rPr>
      </w:pPr>
    </w:p>
    <w:p w14:paraId="47362B20" w14:textId="2D553442" w:rsidR="00583D6E" w:rsidRPr="00984DAA" w:rsidRDefault="00583D6E" w:rsidP="00583D6E">
      <w:pPr>
        <w:rPr>
          <w:rFonts w:ascii="Arial" w:hAnsi="Arial" w:cs="Arial"/>
          <w:b/>
          <w:bCs/>
        </w:rPr>
      </w:pPr>
      <w:r w:rsidRPr="00984DAA">
        <w:rPr>
          <w:rFonts w:ascii="Arial" w:hAnsi="Arial" w:cs="Arial"/>
          <w:b/>
          <w:bCs/>
        </w:rPr>
        <w:t>Reference List</w:t>
      </w:r>
    </w:p>
    <w:p w14:paraId="7C059239" w14:textId="77777777" w:rsidR="00967432" w:rsidRDefault="00967432" w:rsidP="00967432">
      <w:pPr>
        <w:pStyle w:val="NormalWeb"/>
      </w:pPr>
      <w:r>
        <w:t xml:space="preserve">Bandura, A. (1997) </w:t>
      </w:r>
      <w:r>
        <w:rPr>
          <w:rStyle w:val="Emphasis"/>
          <w:rFonts w:eastAsiaTheme="majorEastAsia"/>
        </w:rPr>
        <w:t>Self-Efficacy: The Exercise of Control</w:t>
      </w:r>
      <w:r>
        <w:t>. New York: W.H. Freeman.</w:t>
      </w:r>
    </w:p>
    <w:p w14:paraId="7CC79F79" w14:textId="77777777" w:rsidR="00967432" w:rsidRDefault="00967432" w:rsidP="00967432">
      <w:pPr>
        <w:pStyle w:val="NormalWeb"/>
      </w:pPr>
      <w:r>
        <w:t xml:space="preserve">Cottrell, S. (2021) </w:t>
      </w:r>
      <w:r>
        <w:rPr>
          <w:rStyle w:val="Emphasis"/>
          <w:rFonts w:eastAsiaTheme="majorEastAsia"/>
        </w:rPr>
        <w:t>Skills for Success: Personal Development and Employability</w:t>
      </w:r>
      <w:r>
        <w:t>. 4th edn. London: Red Globe Press.</w:t>
      </w:r>
    </w:p>
    <w:p w14:paraId="113DCE16" w14:textId="77777777" w:rsidR="00967432" w:rsidRDefault="00967432" w:rsidP="00967432">
      <w:pPr>
        <w:pStyle w:val="NormalWeb"/>
      </w:pPr>
      <w:r>
        <w:t xml:space="preserve">Dweck, C.S. (2017) </w:t>
      </w:r>
      <w:r>
        <w:rPr>
          <w:rStyle w:val="Emphasis"/>
          <w:rFonts w:eastAsiaTheme="majorEastAsia"/>
        </w:rPr>
        <w:t>Mindset: Changing the Way You Think to Fulfil Your Potential</w:t>
      </w:r>
      <w:r>
        <w:t>. Updated edn. London: Robinson.</w:t>
      </w:r>
    </w:p>
    <w:p w14:paraId="0B17CF7A" w14:textId="77777777" w:rsidR="00967432" w:rsidRDefault="00967432" w:rsidP="00967432">
      <w:pPr>
        <w:pStyle w:val="NormalWeb"/>
      </w:pPr>
      <w:r>
        <w:t xml:space="preserve">Fournier, V. (1998) ‘Consumers and Their Brands: Developing Relationship Theory in Consumer Research’, </w:t>
      </w:r>
      <w:r>
        <w:rPr>
          <w:rStyle w:val="Emphasis"/>
          <w:rFonts w:eastAsiaTheme="majorEastAsia"/>
        </w:rPr>
        <w:t>Journal of Consumer Research</w:t>
      </w:r>
      <w:r>
        <w:t>, 24(4), pp. 343–373.</w:t>
      </w:r>
    </w:p>
    <w:p w14:paraId="2B7F389D" w14:textId="77777777" w:rsidR="00967432" w:rsidRDefault="00967432" w:rsidP="00967432">
      <w:pPr>
        <w:pStyle w:val="NormalWeb"/>
      </w:pPr>
      <w:r>
        <w:lastRenderedPageBreak/>
        <w:t xml:space="preserve">Gallagher, K. (2022) </w:t>
      </w:r>
      <w:r>
        <w:rPr>
          <w:rStyle w:val="Emphasis"/>
          <w:rFonts w:eastAsiaTheme="majorEastAsia"/>
        </w:rPr>
        <w:t>Essential Study and Employment Skills for Business and Management Students</w:t>
      </w:r>
      <w:r>
        <w:t>. 4th edn. Oxford: Oxford University Press.</w:t>
      </w:r>
    </w:p>
    <w:p w14:paraId="4AABA8D7" w14:textId="77777777" w:rsidR="00967432" w:rsidRDefault="00967432" w:rsidP="00967432">
      <w:pPr>
        <w:pStyle w:val="NormalWeb"/>
      </w:pPr>
      <w:r>
        <w:t xml:space="preserve">Gibbs, G. (1988) </w:t>
      </w:r>
      <w:r>
        <w:rPr>
          <w:rStyle w:val="Emphasis"/>
          <w:rFonts w:eastAsiaTheme="majorEastAsia"/>
        </w:rPr>
        <w:t>Learning by Doing: A Guide to Teaching and Learning Methods</w:t>
      </w:r>
      <w:r>
        <w:t>. Oxford: Oxford Polytechnic.</w:t>
      </w:r>
    </w:p>
    <w:p w14:paraId="367916B9" w14:textId="77777777" w:rsidR="00967432" w:rsidRDefault="00967432" w:rsidP="00967432">
      <w:pPr>
        <w:pStyle w:val="NormalWeb"/>
      </w:pPr>
      <w:r>
        <w:t xml:space="preserve">Gorbatov, S., Khapova, S.N. and Lysova, E.I. (2018) ‘Personal Branding: Interdisciplinary Systematic Review and Research Agenda’, </w:t>
      </w:r>
      <w:r>
        <w:rPr>
          <w:rStyle w:val="Emphasis"/>
          <w:rFonts w:eastAsiaTheme="majorEastAsia"/>
        </w:rPr>
        <w:t>Frontiers in Psychology</w:t>
      </w:r>
      <w:r>
        <w:t>, 9, pp. 1–17.</w:t>
      </w:r>
    </w:p>
    <w:p w14:paraId="5E699025" w14:textId="77777777" w:rsidR="00967432" w:rsidRDefault="00967432" w:rsidP="00967432">
      <w:pPr>
        <w:pStyle w:val="NormalWeb"/>
      </w:pPr>
      <w:r>
        <w:t xml:space="preserve">Holland, J.L. (1997) </w:t>
      </w:r>
      <w:r>
        <w:rPr>
          <w:rStyle w:val="Emphasis"/>
          <w:rFonts w:eastAsiaTheme="majorEastAsia"/>
        </w:rPr>
        <w:t>Making Vocational Choices: A Theory of Vocational Personalities and Work Environments</w:t>
      </w:r>
      <w:r>
        <w:t>. 3rd edn. Odessa, FL: Psychological Assessment Resources.</w:t>
      </w:r>
    </w:p>
    <w:p w14:paraId="12CBCC96" w14:textId="77777777" w:rsidR="00967432" w:rsidRDefault="00967432" w:rsidP="00967432">
      <w:pPr>
        <w:pStyle w:val="NormalWeb"/>
      </w:pPr>
      <w:r>
        <w:t xml:space="preserve">Honey, P. and Mumford, A. (1992) </w:t>
      </w:r>
      <w:r>
        <w:rPr>
          <w:rStyle w:val="Emphasis"/>
          <w:rFonts w:eastAsiaTheme="majorEastAsia"/>
        </w:rPr>
        <w:t>The Manual of Learning Styles</w:t>
      </w:r>
      <w:r>
        <w:t>. 3rd edn. Maidenhead: Peter Honey Publications.</w:t>
      </w:r>
    </w:p>
    <w:p w14:paraId="2F74549C" w14:textId="77777777" w:rsidR="00967432" w:rsidRDefault="00967432" w:rsidP="00967432">
      <w:pPr>
        <w:pStyle w:val="NormalWeb"/>
      </w:pPr>
      <w:r>
        <w:t xml:space="preserve">Maslow, A.H. (1943) ‘A Theory of Human Motivation’, </w:t>
      </w:r>
      <w:r>
        <w:rPr>
          <w:rStyle w:val="Emphasis"/>
          <w:rFonts w:eastAsiaTheme="majorEastAsia"/>
        </w:rPr>
        <w:t>Psychological Review</w:t>
      </w:r>
      <w:r>
        <w:t>, 50(4), pp. 370–396.</w:t>
      </w:r>
    </w:p>
    <w:p w14:paraId="1CDEAE67" w14:textId="77777777" w:rsidR="00967432" w:rsidRDefault="00967432" w:rsidP="00967432">
      <w:pPr>
        <w:pStyle w:val="NormalWeb"/>
      </w:pPr>
      <w:r>
        <w:t xml:space="preserve">McQuaid, R.W. and Lindsay, C. (2005) ‘The Concept of Employability’, </w:t>
      </w:r>
      <w:r>
        <w:rPr>
          <w:rStyle w:val="Emphasis"/>
          <w:rFonts w:eastAsiaTheme="majorEastAsia"/>
        </w:rPr>
        <w:t>Urban Studies</w:t>
      </w:r>
      <w:r>
        <w:t>, 42(2), pp. 197–219.</w:t>
      </w:r>
    </w:p>
    <w:p w14:paraId="25D57512" w14:textId="77777777" w:rsidR="00967432" w:rsidRDefault="00967432" w:rsidP="00967432">
      <w:pPr>
        <w:pStyle w:val="NormalWeb"/>
      </w:pPr>
      <w:r>
        <w:t xml:space="preserve">Myers, I.B., McCaulley, M.H., Quenk, N.L. and Hammer, A.L. (1998) </w:t>
      </w:r>
      <w:r>
        <w:rPr>
          <w:rStyle w:val="Emphasis"/>
          <w:rFonts w:eastAsiaTheme="majorEastAsia"/>
        </w:rPr>
        <w:t>MBTI Manual: A Guide to the Development and Use of the Myers-Briggs Type Indicator</w:t>
      </w:r>
      <w:r>
        <w:t>. Palo Alto: Consulting Psychologists Press.</w:t>
      </w:r>
    </w:p>
    <w:p w14:paraId="08F8EA3E" w14:textId="77777777" w:rsidR="00967432" w:rsidRDefault="00967432" w:rsidP="00967432">
      <w:pPr>
        <w:pStyle w:val="NormalWeb"/>
      </w:pPr>
      <w:r>
        <w:t xml:space="preserve">Pellegrino, J.W. and Hilton, M.L. (2013) </w:t>
      </w:r>
      <w:r>
        <w:rPr>
          <w:rStyle w:val="Emphasis"/>
          <w:rFonts w:eastAsiaTheme="majorEastAsia"/>
        </w:rPr>
        <w:t>Education for Life and Work: Developing Transferable Knowledge and Skills in the 21st Century</w:t>
      </w:r>
      <w:r>
        <w:t>. Washington, DC: National Academies Press.</w:t>
      </w:r>
    </w:p>
    <w:p w14:paraId="503EF090" w14:textId="77777777" w:rsidR="00967432" w:rsidRDefault="00967432" w:rsidP="00967432">
      <w:pPr>
        <w:pStyle w:val="NormalWeb"/>
      </w:pPr>
      <w:r>
        <w:t xml:space="preserve">Robertson, P.J., Hooley, T. and McCash, P. (eds.) (2020) </w:t>
      </w:r>
      <w:r>
        <w:rPr>
          <w:rStyle w:val="Emphasis"/>
          <w:rFonts w:eastAsiaTheme="majorEastAsia"/>
        </w:rPr>
        <w:t>The Oxford Handbook of Career Development</w:t>
      </w:r>
      <w:r>
        <w:t>. Oxford: Oxford University Press.</w:t>
      </w:r>
    </w:p>
    <w:p w14:paraId="199FAC51" w14:textId="77777777" w:rsidR="00967432" w:rsidRDefault="00967432" w:rsidP="00967432">
      <w:pPr>
        <w:pStyle w:val="NormalWeb"/>
      </w:pPr>
      <w:r>
        <w:t xml:space="preserve">Yorke, M. (2006) </w:t>
      </w:r>
      <w:r>
        <w:rPr>
          <w:rStyle w:val="Emphasis"/>
          <w:rFonts w:eastAsiaTheme="majorEastAsia"/>
        </w:rPr>
        <w:t>Employability in Higher Education: What It Is – What It Is Not</w:t>
      </w:r>
      <w:r>
        <w:t>. York: Higher Education Academy.</w:t>
      </w:r>
    </w:p>
    <w:p w14:paraId="01AB698C" w14:textId="1E733CA4" w:rsidR="00583D6E" w:rsidRPr="00984DAA" w:rsidRDefault="00FE49A2" w:rsidP="00967432">
      <w:pPr>
        <w:pStyle w:val="ListParagraph"/>
        <w:rPr>
          <w:rFonts w:ascii="Arial" w:hAnsi="Arial" w:cs="Arial"/>
        </w:rPr>
      </w:pPr>
      <w:r>
        <w:rPr>
          <w:rFonts w:ascii="Arial" w:hAnsi="Arial" w:cs="Arial"/>
        </w:rPr>
        <w:t>\</w:t>
      </w:r>
    </w:p>
    <w:sectPr w:rsidR="00583D6E"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170691"/>
    <w:rsid w:val="00223CC5"/>
    <w:rsid w:val="002424A7"/>
    <w:rsid w:val="003B1203"/>
    <w:rsid w:val="003F65F0"/>
    <w:rsid w:val="00583D6E"/>
    <w:rsid w:val="007F2BC2"/>
    <w:rsid w:val="0084025B"/>
    <w:rsid w:val="008575EE"/>
    <w:rsid w:val="008D43A2"/>
    <w:rsid w:val="00967432"/>
    <w:rsid w:val="00984DAA"/>
    <w:rsid w:val="009A41CE"/>
    <w:rsid w:val="00BA34E0"/>
    <w:rsid w:val="00C362AF"/>
    <w:rsid w:val="00C560BE"/>
    <w:rsid w:val="00C8246A"/>
    <w:rsid w:val="00D75C33"/>
    <w:rsid w:val="00FE49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674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Daniela Maldonado Ruiz (2428045)</cp:lastModifiedBy>
  <cp:revision>2</cp:revision>
  <dcterms:created xsi:type="dcterms:W3CDTF">2026-06-12T16:34:00Z</dcterms:created>
  <dcterms:modified xsi:type="dcterms:W3CDTF">2026-06-12T16:34:00Z</dcterms:modified>
</cp:coreProperties>
</file>