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2B4" w:rsidRPr="00290E2F" w:rsidRDefault="00290E2F">
      <w:pPr>
        <w:rPr>
          <w:sz w:val="24"/>
          <w:szCs w:val="24"/>
        </w:rPr>
      </w:pPr>
      <w:r w:rsidRPr="00290E2F">
        <w:rPr>
          <w:rStyle w:val="Hervorhebung"/>
          <w:sz w:val="24"/>
          <w:szCs w:val="24"/>
        </w:rPr>
        <w:t>Critically discuss whether Boudicca was just a literary invention. Does a critical analysis of ancient literary and archaeological sources allow us to demonstrate her existence and her alleged activities without any doubt?</w:t>
      </w:r>
    </w:p>
    <w:p w:rsidR="002C02B4" w:rsidRDefault="002C02B4"/>
    <w:p w:rsidR="009A1611" w:rsidRPr="001E01B7" w:rsidRDefault="009A1611">
      <w:r>
        <w:t>“..That deceitful lioness, who put to death the rulers they (the Romans) had left in Britain..”</w:t>
      </w:r>
      <w:r>
        <w:rPr>
          <w:rStyle w:val="Funotenzeichen"/>
        </w:rPr>
        <w:footnoteReference w:id="1"/>
      </w:r>
      <w:r>
        <w:t xml:space="preserve"> as quoted by Gildas</w:t>
      </w:r>
      <w:r w:rsidR="001E01B7">
        <w:t>,</w:t>
      </w:r>
      <w:r>
        <w:rPr>
          <w:rStyle w:val="Funotenzeichen"/>
        </w:rPr>
        <w:footnoteReference w:id="2"/>
      </w:r>
      <w:r w:rsidR="001E01B7">
        <w:t xml:space="preserve"> describes the vengeful queen of the </w:t>
      </w:r>
      <w:r w:rsidR="001E01B7" w:rsidRPr="007637D7">
        <w:rPr>
          <w:i/>
        </w:rPr>
        <w:t>Iceni</w:t>
      </w:r>
      <w:r w:rsidR="007637D7">
        <w:t xml:space="preserve">, </w:t>
      </w:r>
      <w:r w:rsidR="007637D7" w:rsidRPr="001E01B7">
        <w:t>not</w:t>
      </w:r>
      <w:r w:rsidR="007637D7">
        <w:t xml:space="preserve"> bowing to the Romans and instead leading her peoples to fight for their freedom.</w:t>
      </w:r>
      <w:r w:rsidR="001E01B7">
        <w:rPr>
          <w:rStyle w:val="Funotenzeichen"/>
        </w:rPr>
        <w:footnoteReference w:id="3"/>
      </w:r>
      <w:r w:rsidR="00930166">
        <w:t xml:space="preserve"> However, how much of such an idealized portrayal of the warrior queen might have been true, with the potential that she might have not even existed at all, will be the focus of this discussion. First, the main ancient literary sources will be critically evaluated, identifying bias and motives of the ancient authors, followed by a brief mentioning of the true meaning of Boudicca’name. Finally, any archaeological evidence that might prove or disprove her existence will be analysed.</w:t>
      </w:r>
      <w:r w:rsidR="00290E2F">
        <w:t xml:space="preserve"> </w:t>
      </w:r>
    </w:p>
    <w:p w:rsidR="00CB6FF0" w:rsidRDefault="00CB6FF0"/>
    <w:p w:rsidR="00CB6FF0" w:rsidRDefault="00CB6FF0">
      <w:r>
        <w:rPr>
          <w:noProof/>
          <w:lang w:val="de-DE" w:eastAsia="de-DE"/>
        </w:rPr>
        <w:drawing>
          <wp:inline distT="0" distB="0" distL="0" distR="0" wp14:anchorId="1F817704" wp14:editId="2B867681">
            <wp:extent cx="3383280" cy="4008120"/>
            <wp:effectExtent l="0" t="0" r="7620" b="0"/>
            <wp:docPr id="2" name="Bild 2" descr="boudicca-ic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udicca-icen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3280" cy="4008120"/>
                    </a:xfrm>
                    <a:prstGeom prst="rect">
                      <a:avLst/>
                    </a:prstGeom>
                    <a:noFill/>
                    <a:ln>
                      <a:noFill/>
                    </a:ln>
                  </pic:spPr>
                </pic:pic>
              </a:graphicData>
            </a:graphic>
          </wp:inline>
        </w:drawing>
      </w:r>
      <w:r>
        <w:t xml:space="preserve">fig.1, alleged </w:t>
      </w:r>
      <w:r w:rsidR="00B82D5F">
        <w:t>look-alike</w:t>
      </w:r>
      <w:r>
        <w:t xml:space="preserve"> of Bouddica</w:t>
      </w:r>
      <w:r>
        <w:rPr>
          <w:rStyle w:val="Funotenzeichen"/>
        </w:rPr>
        <w:footnoteReference w:id="4"/>
      </w:r>
    </w:p>
    <w:p w:rsidR="002C02B4" w:rsidRDefault="002C02B4"/>
    <w:p w:rsidR="00B87A80" w:rsidRDefault="00B87A80"/>
    <w:p w:rsidR="00290E2F" w:rsidRDefault="00290E2F"/>
    <w:p w:rsidR="00290E2F" w:rsidRDefault="00290E2F"/>
    <w:p w:rsidR="00B87A80" w:rsidRPr="00290E2F" w:rsidRDefault="00290E2F">
      <w:r w:rsidRPr="00290E2F">
        <w:lastRenderedPageBreak/>
        <w:t>Interestingly</w:t>
      </w:r>
      <w:r>
        <w:t>, many modern scholars seem not to question Bouddica’s existence and readily associate her with the events of the British revolt of A.D. 60/61</w:t>
      </w:r>
      <w:r>
        <w:rPr>
          <w:rStyle w:val="Funotenzeichen"/>
        </w:rPr>
        <w:footnoteReference w:id="5"/>
      </w:r>
      <w:r>
        <w:t>. However, only two ancient literary sou</w:t>
      </w:r>
      <w:r w:rsidR="00167520">
        <w:t>rces seem to mention her name directly, such being Tacitus</w:t>
      </w:r>
      <w:r w:rsidR="008F1470">
        <w:t xml:space="preserve">( A.D. 98-c.120 )  in his </w:t>
      </w:r>
      <w:r w:rsidR="008F1470">
        <w:rPr>
          <w:i/>
        </w:rPr>
        <w:t>Annales</w:t>
      </w:r>
      <w:r w:rsidR="00B503B5">
        <w:t>, book 14,</w:t>
      </w:r>
      <w:r w:rsidR="008F1470">
        <w:rPr>
          <w:rStyle w:val="Funotenzeichen"/>
          <w:i/>
        </w:rPr>
        <w:footnoteReference w:id="6"/>
      </w:r>
      <w:r w:rsidR="008F1470">
        <w:rPr>
          <w:i/>
        </w:rPr>
        <w:t xml:space="preserve"> </w:t>
      </w:r>
      <w:r w:rsidR="00B503B5">
        <w:t xml:space="preserve"> </w:t>
      </w:r>
      <w:r w:rsidR="008F1470">
        <w:t>and Cassius Dio</w:t>
      </w:r>
      <w:r w:rsidR="00B503B5">
        <w:t>,</w:t>
      </w:r>
      <w:r w:rsidR="00167520">
        <w:rPr>
          <w:rStyle w:val="Funotenzeichen"/>
        </w:rPr>
        <w:footnoteReference w:id="7"/>
      </w:r>
      <w:r w:rsidR="00167520">
        <w:t xml:space="preserve"> </w:t>
      </w:r>
      <w:r w:rsidR="008F1470">
        <w:t xml:space="preserve"> in his </w:t>
      </w:r>
      <w:r w:rsidR="00B503B5">
        <w:rPr>
          <w:i/>
        </w:rPr>
        <w:t>Roman History</w:t>
      </w:r>
      <w:r w:rsidR="00B503B5">
        <w:t>, book 62</w:t>
      </w:r>
      <w:r w:rsidR="008F1470">
        <w:rPr>
          <w:i/>
        </w:rPr>
        <w:t>.</w:t>
      </w:r>
      <w:r w:rsidR="008F1470">
        <w:rPr>
          <w:rStyle w:val="Funotenzeichen"/>
          <w:i/>
        </w:rPr>
        <w:footnoteReference w:id="8"/>
      </w:r>
      <w:r w:rsidR="008F1470">
        <w:rPr>
          <w:i/>
        </w:rPr>
        <w:t xml:space="preserve"> </w:t>
      </w:r>
      <w:r w:rsidR="00167520">
        <w:t>while Suetonius Tranquillus only mentions a woman without a name</w:t>
      </w:r>
      <w:r w:rsidR="00176A98">
        <w:t xml:space="preserve"> associated with the revolt</w:t>
      </w:r>
      <w:r w:rsidR="0001625F">
        <w:t xml:space="preserve"> in his </w:t>
      </w:r>
      <w:r w:rsidR="0001625F">
        <w:rPr>
          <w:i/>
        </w:rPr>
        <w:t>Lives of the twelve Caesars.</w:t>
      </w:r>
      <w:r w:rsidR="00167520">
        <w:rPr>
          <w:rStyle w:val="Funotenzeichen"/>
        </w:rPr>
        <w:footnoteReference w:id="9"/>
      </w:r>
    </w:p>
    <w:p w:rsidR="00516B60" w:rsidRDefault="00516B60">
      <w:r>
        <w:t xml:space="preserve">Tacitus was a Roman senator and consul who wrote his </w:t>
      </w:r>
      <w:r>
        <w:rPr>
          <w:i/>
        </w:rPr>
        <w:t xml:space="preserve">Annales </w:t>
      </w:r>
      <w:r>
        <w:t xml:space="preserve">just 50 years after </w:t>
      </w:r>
      <w:r w:rsidR="00176A98">
        <w:t xml:space="preserve">the </w:t>
      </w:r>
      <w:r>
        <w:t>revolt.</w:t>
      </w:r>
      <w:r>
        <w:rPr>
          <w:rStyle w:val="Funotenzeichen"/>
        </w:rPr>
        <w:footnoteReference w:id="10"/>
      </w:r>
      <w:r w:rsidR="00176A98">
        <w:t>He allegedly had</w:t>
      </w:r>
      <w:r>
        <w:t xml:space="preserve"> access to the Imperial archives and direct contact to Gnaeus Iulius Agricola,</w:t>
      </w:r>
      <w:r w:rsidR="008D05D4">
        <w:rPr>
          <w:rStyle w:val="Funotenzeichen"/>
        </w:rPr>
        <w:footnoteReference w:id="11"/>
      </w:r>
      <w:r>
        <w:t xml:space="preserve"> his father-in law and Governor of Britain in A.D 78</w:t>
      </w:r>
      <w:r w:rsidR="00176A98">
        <w:t>,</w:t>
      </w:r>
      <w:r w:rsidR="008D05D4">
        <w:t xml:space="preserve"> </w:t>
      </w:r>
      <w:r w:rsidR="00176A98">
        <w:t>who could</w:t>
      </w:r>
      <w:r>
        <w:t xml:space="preserve"> possibly</w:t>
      </w:r>
      <w:r w:rsidR="00176A98">
        <w:t xml:space="preserve"> have</w:t>
      </w:r>
      <w:r>
        <w:t xml:space="preserve"> provided him with an eyewitness-account of events, </w:t>
      </w:r>
      <w:r w:rsidR="00176A98">
        <w:t>making</w:t>
      </w:r>
      <w:r>
        <w:t xml:space="preserve"> Tacitus</w:t>
      </w:r>
      <w:r w:rsidR="00266E54">
        <w:t xml:space="preserve"> our source closest to the real events</w:t>
      </w:r>
      <w:r>
        <w:t>,</w:t>
      </w:r>
      <w:r>
        <w:rPr>
          <w:rStyle w:val="Funotenzeichen"/>
        </w:rPr>
        <w:footnoteReference w:id="12"/>
      </w:r>
      <w:r>
        <w:t>however, one should not abstain from criticising his motifs.</w:t>
      </w:r>
      <w:r w:rsidR="000644B9">
        <w:t xml:space="preserve"> From his writings it can be deduced that Tac</w:t>
      </w:r>
      <w:r w:rsidR="00266E54">
        <w:t>i</w:t>
      </w:r>
      <w:r w:rsidR="000644B9">
        <w:t>tus had</w:t>
      </w:r>
      <w:r w:rsidR="00266E54">
        <w:t xml:space="preserve"> his</w:t>
      </w:r>
      <w:r w:rsidR="000644B9">
        <w:t xml:space="preserve"> </w:t>
      </w:r>
      <w:r w:rsidR="00266E54">
        <w:t>biases</w:t>
      </w:r>
      <w:r w:rsidR="000644B9">
        <w:t xml:space="preserve"> and was especially critical about those he deemed bad emperors.</w:t>
      </w:r>
      <w:r w:rsidR="000644B9">
        <w:rPr>
          <w:rStyle w:val="Funotenzeichen"/>
        </w:rPr>
        <w:footnoteReference w:id="13"/>
      </w:r>
    </w:p>
    <w:p w:rsidR="00C06E83" w:rsidRDefault="00516B60">
      <w:r>
        <w:t>Boudicca</w:t>
      </w:r>
      <w:r w:rsidR="00535920">
        <w:t xml:space="preserve"> is first mentioned in The </w:t>
      </w:r>
      <w:r w:rsidR="00535920">
        <w:rPr>
          <w:i/>
        </w:rPr>
        <w:t xml:space="preserve">Annales </w:t>
      </w:r>
      <w:r w:rsidR="00535920">
        <w:t>book 14.31, as the victim of Roman governance, crying out for vengeance,</w:t>
      </w:r>
      <w:r w:rsidR="00535920">
        <w:rPr>
          <w:rStyle w:val="Funotenzeichen"/>
        </w:rPr>
        <w:footnoteReference w:id="14"/>
      </w:r>
      <w:r w:rsidR="005B712B">
        <w:t xml:space="preserve"> while </w:t>
      </w:r>
      <w:r w:rsidR="00535920">
        <w:t>interestingl</w:t>
      </w:r>
      <w:r w:rsidR="005B712B">
        <w:t>y all of the affected noblemen</w:t>
      </w:r>
      <w:r w:rsidR="00535920">
        <w:t xml:space="preserve"> of the </w:t>
      </w:r>
      <w:r w:rsidR="00535920">
        <w:rPr>
          <w:i/>
        </w:rPr>
        <w:t>Iceni</w:t>
      </w:r>
      <w:r w:rsidR="00535920">
        <w:t xml:space="preserve"> </w:t>
      </w:r>
      <w:r w:rsidR="005B712B">
        <w:t>collectively were described to have been</w:t>
      </w:r>
      <w:r w:rsidR="00535920">
        <w:t xml:space="preserve"> the driving force behind the resista</w:t>
      </w:r>
      <w:r w:rsidR="005B712B">
        <w:t xml:space="preserve">nce, rather than Boudicca alone </w:t>
      </w:r>
      <w:r w:rsidR="00535920">
        <w:t>initiating the rebellion.</w:t>
      </w:r>
      <w:r w:rsidR="00535920">
        <w:rPr>
          <w:rStyle w:val="Funotenzeichen"/>
        </w:rPr>
        <w:footnoteReference w:id="15"/>
      </w:r>
      <w:r w:rsidR="004D4ED4">
        <w:t xml:space="preserve"> In Chapt</w:t>
      </w:r>
      <w:r w:rsidR="005B712B">
        <w:t xml:space="preserve">er 32, Boudicca is again, not </w:t>
      </w:r>
      <w:r w:rsidR="004D4ED4">
        <w:t>named as leader,</w:t>
      </w:r>
      <w:r w:rsidR="005B712B">
        <w:t xml:space="preserve"> with the </w:t>
      </w:r>
      <w:r w:rsidR="004D4ED4">
        <w:t xml:space="preserve"> invasion of Camul</w:t>
      </w:r>
      <w:r w:rsidR="005B712B">
        <w:t xml:space="preserve">odunum being </w:t>
      </w:r>
      <w:r w:rsidR="0073630D">
        <w:t>portrait</w:t>
      </w:r>
      <w:r w:rsidR="004D4ED4">
        <w:t xml:space="preserve"> as a </w:t>
      </w:r>
      <w:r w:rsidR="005B712B">
        <w:t xml:space="preserve">rather </w:t>
      </w:r>
      <w:r w:rsidR="004D4ED4">
        <w:t>collective effort by the rebe</w:t>
      </w:r>
      <w:r w:rsidR="00B87A80">
        <w:t xml:space="preserve">ls, while on the opposing side, </w:t>
      </w:r>
      <w:r w:rsidR="004D4ED4">
        <w:t>the commanders are clearly named by Tacitus to have been Suetonius, not present at Camulodunum</w:t>
      </w:r>
      <w:r w:rsidR="005B712B">
        <w:t xml:space="preserve"> at the time</w:t>
      </w:r>
      <w:r w:rsidR="004D4ED4">
        <w:t>, and Petilius Cerialis, commander of the ninth legion.</w:t>
      </w:r>
      <w:r w:rsidR="004D4ED4">
        <w:rPr>
          <w:rStyle w:val="Funotenzeichen"/>
        </w:rPr>
        <w:footnoteReference w:id="16"/>
      </w:r>
      <w:r w:rsidR="00B87A80">
        <w:t xml:space="preserve"> </w:t>
      </w:r>
    </w:p>
    <w:p w:rsidR="005E1197" w:rsidRDefault="005E1197">
      <w:r>
        <w:t>Chapter 35 is all about Boudicca and her speech of vengeance being driven by emotion, dominated by the themes of personal loss and the resistance to her people’s loss of liberty.</w:t>
      </w:r>
      <w:r>
        <w:rPr>
          <w:rStyle w:val="Funotenzeichen"/>
        </w:rPr>
        <w:footnoteReference w:id="17"/>
      </w:r>
      <w:r w:rsidR="0092107F">
        <w:t xml:space="preserve"> Further, Boudicca mentions that the British people were costumed to be under female leadership, but usually not when fighting in the cause of vengeance.</w:t>
      </w:r>
      <w:r w:rsidR="0092107F">
        <w:rPr>
          <w:rStyle w:val="Funotenzeichen"/>
        </w:rPr>
        <w:footnoteReference w:id="18"/>
      </w:r>
      <w:r w:rsidR="0092107F">
        <w:t xml:space="preserve"> Making the case that her peoples are led by a woman into battle look advantageous and honourable.</w:t>
      </w:r>
      <w:r w:rsidR="0092107F">
        <w:rPr>
          <w:rStyle w:val="Funotenzeichen"/>
        </w:rPr>
        <w:footnoteReference w:id="19"/>
      </w:r>
      <w:r w:rsidR="0092107F">
        <w:t xml:space="preserve"> </w:t>
      </w:r>
      <w:r w:rsidR="00867CC9">
        <w:t xml:space="preserve">There have been various </w:t>
      </w:r>
      <w:r w:rsidR="00171F47">
        <w:t xml:space="preserve">records </w:t>
      </w:r>
      <w:r w:rsidR="00867CC9">
        <w:t>of British queens</w:t>
      </w:r>
      <w:r w:rsidR="00B12A27">
        <w:t xml:space="preserve"> during the Roman occu</w:t>
      </w:r>
      <w:r w:rsidR="00FF1FCC">
        <w:t>pation</w:t>
      </w:r>
      <w:r w:rsidR="009C10B2">
        <w:t xml:space="preserve"> that would confirm Tacitus’ claim</w:t>
      </w:r>
      <w:r w:rsidR="00FF1FCC">
        <w:t>, such as of Cartimandua who</w:t>
      </w:r>
      <w:r w:rsidR="00B12A27">
        <w:t xml:space="preserve"> did not join Boudicca in the rebellion but stayed faithful to Rome</w:t>
      </w:r>
      <w:r w:rsidR="00171F47">
        <w:t>.</w:t>
      </w:r>
      <w:r w:rsidR="00B12A27">
        <w:rPr>
          <w:rStyle w:val="Funotenzeichen"/>
        </w:rPr>
        <w:footnoteReference w:id="20"/>
      </w:r>
      <w:r w:rsidR="00B12A27">
        <w:t xml:space="preserve"> </w:t>
      </w:r>
      <w:r w:rsidR="00171F47">
        <w:t xml:space="preserve"> According to Bulst, chosing queens as local ruler was a particularly British phenomena among the European celtic speaking peoples, with only Ireland following a similar pattern later, making the existence of Boudicca more likely.</w:t>
      </w:r>
      <w:r w:rsidR="00171F47">
        <w:rPr>
          <w:rStyle w:val="Funotenzeichen"/>
        </w:rPr>
        <w:footnoteReference w:id="21"/>
      </w:r>
    </w:p>
    <w:p w:rsidR="005E458F" w:rsidRPr="001F0348" w:rsidRDefault="005E458F">
      <w:r w:rsidRPr="001F0348">
        <w:t>Chapter 34  and 36 present an interesting concept which Tacitus seems to follow, in which he presents the Roman forces as organized, disciplined and trained, while Boudicca and her forces are described as being the complete opposite, rather chaotic and emotional.</w:t>
      </w:r>
      <w:r w:rsidR="0092107F" w:rsidRPr="001F0348">
        <w:rPr>
          <w:rStyle w:val="Funotenzeichen"/>
        </w:rPr>
        <w:footnoteReference w:id="22"/>
      </w:r>
      <w:r w:rsidR="0087674E" w:rsidRPr="001F0348">
        <w:t xml:space="preserve"> </w:t>
      </w:r>
      <w:r w:rsidR="00A319E1" w:rsidRPr="001F0348">
        <w:t xml:space="preserve">Boudicca not being </w:t>
      </w:r>
      <w:r w:rsidR="00A319E1" w:rsidRPr="001F0348">
        <w:lastRenderedPageBreak/>
        <w:t>mentioned in some of Tacitus’ chapters seems to have been substituted with the presence of women in some kind, such as their fury in battle,</w:t>
      </w:r>
      <w:r w:rsidR="00A319E1" w:rsidRPr="001F0348">
        <w:rPr>
          <w:rStyle w:val="Funotenzeichen"/>
        </w:rPr>
        <w:footnoteReference w:id="23"/>
      </w:r>
      <w:r w:rsidR="00A319E1" w:rsidRPr="001F0348">
        <w:t xml:space="preserve"> or with a collective term for all of the rebels, such a ‘the enemy’,</w:t>
      </w:r>
      <w:r w:rsidR="00A319E1" w:rsidRPr="001F0348">
        <w:rPr>
          <w:rStyle w:val="Funotenzeichen"/>
        </w:rPr>
        <w:footnoteReference w:id="24"/>
      </w:r>
      <w:r w:rsidR="00A319E1" w:rsidRPr="001F0348">
        <w:t xml:space="preserve"> therefore associating the female with the enemies side.</w:t>
      </w:r>
      <w:r w:rsidR="00E1661A">
        <w:t xml:space="preserve"> </w:t>
      </w:r>
      <w:r w:rsidR="00E77601" w:rsidRPr="001F0348">
        <w:t xml:space="preserve">Roberts argues that Tacitues pursuded the aim of showing Romes methods of suppression and their obsession of a moral crusade opposing the so called </w:t>
      </w:r>
      <w:r w:rsidR="00E77601" w:rsidRPr="001F0348">
        <w:rPr>
          <w:i/>
        </w:rPr>
        <w:t>saevae superstitiones.</w:t>
      </w:r>
      <w:r w:rsidR="00E77601" w:rsidRPr="001F0348">
        <w:rPr>
          <w:rStyle w:val="Funotenzeichen"/>
          <w:i/>
        </w:rPr>
        <w:footnoteReference w:id="25"/>
      </w:r>
      <w:r w:rsidR="00E77601" w:rsidRPr="001F0348">
        <w:rPr>
          <w:i/>
        </w:rPr>
        <w:t xml:space="preserve"> </w:t>
      </w:r>
      <w:r w:rsidR="00E77601" w:rsidRPr="001F0348">
        <w:t>Tacitus presents the Roman forces as the defenders of civilization, opposing any disorganization and unreasonable superstition.</w:t>
      </w:r>
      <w:r w:rsidR="00E77601" w:rsidRPr="001F0348">
        <w:rPr>
          <w:rStyle w:val="Funotenzeichen"/>
        </w:rPr>
        <w:footnoteReference w:id="26"/>
      </w:r>
      <w:r w:rsidR="00EE5B10" w:rsidRPr="001F0348">
        <w:t xml:space="preserve"> Suetonius speech to his troops in chapter 36 clearly uses the presence of women in the opposing forces as a booster of the Roman strength, feminizing the British and therefore weakening their forces in Roman terms.</w:t>
      </w:r>
      <w:r w:rsidR="00EE5B10" w:rsidRPr="001F0348">
        <w:rPr>
          <w:rStyle w:val="Funotenzeichen"/>
        </w:rPr>
        <w:footnoteReference w:id="27"/>
      </w:r>
    </w:p>
    <w:p w:rsidR="005E458F" w:rsidRPr="001F0348" w:rsidRDefault="005D6557">
      <w:r w:rsidRPr="001F0348">
        <w:t>Roman virtue is victorious in battle, comparative to the representation in Republican days, conveyed through Tacitus’ words in his 37</w:t>
      </w:r>
      <w:r w:rsidRPr="001F0348">
        <w:rPr>
          <w:vertAlign w:val="superscript"/>
        </w:rPr>
        <w:t>th</w:t>
      </w:r>
      <w:r w:rsidRPr="001F0348">
        <w:t xml:space="preserve"> chapter.</w:t>
      </w:r>
      <w:r w:rsidRPr="001F0348">
        <w:rPr>
          <w:rStyle w:val="Funotenzeichen"/>
        </w:rPr>
        <w:footnoteReference w:id="28"/>
      </w:r>
    </w:p>
    <w:p w:rsidR="0092107F" w:rsidRDefault="005D6557">
      <w:r>
        <w:t>A</w:t>
      </w:r>
      <w:r w:rsidR="0087674E">
        <w:t>fter having lost the battle, Boudicca kills herself with Poison</w:t>
      </w:r>
      <w:r w:rsidR="00514BC4">
        <w:t>.</w:t>
      </w:r>
      <w:r w:rsidR="0087674E">
        <w:rPr>
          <w:rStyle w:val="Funotenzeichen"/>
        </w:rPr>
        <w:footnoteReference w:id="29"/>
      </w:r>
      <w:r>
        <w:t>This represents itself as</w:t>
      </w:r>
      <w:r w:rsidR="00514BC4">
        <w:t xml:space="preserve"> an</w:t>
      </w:r>
      <w:r w:rsidR="0087674E">
        <w:t xml:space="preserve"> interesting choice of death, as Tacitus must have been familiar with the famous death of Queen Cleopatra</w:t>
      </w:r>
      <w:r w:rsidR="00514BC4">
        <w:t xml:space="preserve"> through</w:t>
      </w:r>
      <w:r w:rsidR="0087674E">
        <w:t xml:space="preserve"> the means of poison</w:t>
      </w:r>
      <w:r w:rsidR="00514BC4">
        <w:rPr>
          <w:rStyle w:val="Funotenzeichen"/>
        </w:rPr>
        <w:footnoteReference w:id="30"/>
      </w:r>
      <w:r w:rsidR="00514BC4">
        <w:t xml:space="preserve"> and in any case that he would have invented the character of Boudicca, might have been influenced by the familiar story of this other warrior queen.</w:t>
      </w:r>
      <w:r w:rsidR="00514BC4">
        <w:rPr>
          <w:rStyle w:val="Funotenzeichen"/>
        </w:rPr>
        <w:footnoteReference w:id="31"/>
      </w:r>
      <w:r w:rsidR="0087674E">
        <w:t xml:space="preserve"> </w:t>
      </w:r>
      <w:r w:rsidR="000E782D">
        <w:t>Many parallels can be seen between these two strong queens, as a quote allegedly coming from Cleopatra herself conveyed through Livy states: “ I will not be triumphed over!”.</w:t>
      </w:r>
      <w:r w:rsidR="000E782D">
        <w:rPr>
          <w:rStyle w:val="Funotenzeichen"/>
        </w:rPr>
        <w:footnoteReference w:id="32"/>
      </w:r>
    </w:p>
    <w:p w:rsidR="009267AB" w:rsidRDefault="00F64EF6">
      <w:r>
        <w:t>From</w:t>
      </w:r>
      <w:r w:rsidR="009C10B2">
        <w:t xml:space="preserve"> the</w:t>
      </w:r>
      <w:r>
        <w:t xml:space="preserve"> Chapter</w:t>
      </w:r>
      <w:r w:rsidR="009C10B2">
        <w:t>s</w:t>
      </w:r>
      <w:r>
        <w:t xml:space="preserve"> 31-39</w:t>
      </w:r>
      <w:r w:rsidR="009C10B2">
        <w:t xml:space="preserve"> of the</w:t>
      </w:r>
      <w:r>
        <w:t xml:space="preserve"> </w:t>
      </w:r>
      <w:r>
        <w:rPr>
          <w:i/>
        </w:rPr>
        <w:t>Annales</w:t>
      </w:r>
      <w:r>
        <w:t>, her name is mentioned only in three chapters out of ten concerning the rebellion, while the main leader of the opposing Roman forces, Suetonius</w:t>
      </w:r>
      <w:r w:rsidR="00FF4909">
        <w:t xml:space="preserve"> Paulinus</w:t>
      </w:r>
      <w:r w:rsidR="00FF4909">
        <w:rPr>
          <w:rStyle w:val="Funotenzeichen"/>
        </w:rPr>
        <w:footnoteReference w:id="33"/>
      </w:r>
      <w:r>
        <w:t xml:space="preserve"> was named in </w:t>
      </w:r>
      <w:r w:rsidR="00B87315">
        <w:t>five of the ten chapters</w:t>
      </w:r>
      <w:r w:rsidR="009C10B2">
        <w:t>, perhaps merely the indication for the fact that Tacitus must have been more familiar with the Roman site, as he was a Roman himself with direct linkage to Agricola.</w:t>
      </w:r>
      <w:r w:rsidR="00B87315">
        <w:rPr>
          <w:rStyle w:val="Funotenzeichen"/>
        </w:rPr>
        <w:footnoteReference w:id="34"/>
      </w:r>
    </w:p>
    <w:p w:rsidR="005E458F" w:rsidRDefault="006079A9">
      <w:r>
        <w:t>Overall it still seems that Tacitus’ is sympathizing with the victims of Imperial oppression</w:t>
      </w:r>
      <w:r>
        <w:rPr>
          <w:rStyle w:val="Funotenzeichen"/>
        </w:rPr>
        <w:footnoteReference w:id="35"/>
      </w:r>
      <w:r>
        <w:t xml:space="preserve">, perhaps a hidden critique aimed at Nero specifically, as Boudicca is equating the latin </w:t>
      </w:r>
      <w:r>
        <w:rPr>
          <w:i/>
        </w:rPr>
        <w:t xml:space="preserve">vir </w:t>
      </w:r>
      <w:r>
        <w:t xml:space="preserve"> with </w:t>
      </w:r>
      <w:r>
        <w:rPr>
          <w:i/>
        </w:rPr>
        <w:t>servire</w:t>
      </w:r>
      <w:r>
        <w:t>, appearing also in a larger context in Neronian Rome, strengthening the perception that Tacitus’ seeks to carefully critique Nero, making him somewhat biased in his accounts, as him choosing a woman opposing the Roman forces under Emperor Nero could have merely been a try into ridiculing Nero.</w:t>
      </w:r>
      <w:r>
        <w:rPr>
          <w:rStyle w:val="Funotenzeichen"/>
        </w:rPr>
        <w:footnoteReference w:id="36"/>
      </w:r>
      <w:r>
        <w:t xml:space="preserve"> </w:t>
      </w:r>
    </w:p>
    <w:p w:rsidR="005E458F" w:rsidRDefault="005E458F"/>
    <w:p w:rsidR="005E458F" w:rsidRDefault="005E458F"/>
    <w:p w:rsidR="005E458F" w:rsidRDefault="005E458F"/>
    <w:p w:rsidR="00516B60" w:rsidRDefault="0060344F">
      <w:r>
        <w:lastRenderedPageBreak/>
        <w:t xml:space="preserve">Cassius Dio </w:t>
      </w:r>
      <w:r w:rsidR="007347C8">
        <w:t xml:space="preserve">on the other hand </w:t>
      </w:r>
      <w:r>
        <w:t>was a Greek historian who chose his sources rather uncritically, aiming to write enjoyable stories to be red</w:t>
      </w:r>
      <w:r w:rsidR="007347C8">
        <w:t xml:space="preserve"> to the aristocracy in</w:t>
      </w:r>
      <w:r>
        <w:t xml:space="preserve"> between the cou</w:t>
      </w:r>
      <w:r w:rsidR="007347C8">
        <w:t>rses of meals, a factor</w:t>
      </w:r>
      <w:r>
        <w:t xml:space="preserve"> which would probably</w:t>
      </w:r>
      <w:r w:rsidR="007347C8">
        <w:t xml:space="preserve"> have</w:t>
      </w:r>
      <w:r>
        <w:t xml:space="preserve"> remove</w:t>
      </w:r>
      <w:r w:rsidR="007347C8">
        <w:t>d</w:t>
      </w:r>
      <w:r>
        <w:t xml:space="preserve"> his accounts further from historical accuracy.</w:t>
      </w:r>
      <w:r>
        <w:rPr>
          <w:rStyle w:val="Funotenzeichen"/>
        </w:rPr>
        <w:footnoteReference w:id="37"/>
      </w:r>
      <w:r>
        <w:t xml:space="preserve"> </w:t>
      </w:r>
    </w:p>
    <w:p w:rsidR="00FC6D84" w:rsidRDefault="00AA1DDC">
      <w:r>
        <w:t xml:space="preserve">In book 62 of Cassius Dio’s </w:t>
      </w:r>
      <w:r>
        <w:rPr>
          <w:i/>
        </w:rPr>
        <w:t>Histories</w:t>
      </w:r>
      <w:r w:rsidR="00937CD0">
        <w:t>, Boudicca is not mentioned, while there is only a mentioning of an unnamed woman being</w:t>
      </w:r>
      <w:r w:rsidR="00B66EA3">
        <w:t xml:space="preserve"> responsible fo</w:t>
      </w:r>
      <w:r w:rsidR="00937CD0">
        <w:t>r the loss of Britain as a province to Rome,</w:t>
      </w:r>
      <w:r w:rsidR="00B66EA3">
        <w:t xml:space="preserve"> before</w:t>
      </w:r>
      <w:r w:rsidR="00937CD0">
        <w:t xml:space="preserve"> being  brought back into control</w:t>
      </w:r>
      <w:r w:rsidR="00B66EA3">
        <w:t>.</w:t>
      </w:r>
      <w:r w:rsidR="00B66EA3">
        <w:rPr>
          <w:rStyle w:val="Funotenzeichen"/>
        </w:rPr>
        <w:footnoteReference w:id="38"/>
      </w:r>
      <w:r w:rsidR="00B66EA3">
        <w:t xml:space="preserve"> Not having spo</w:t>
      </w:r>
      <w:r w:rsidR="00937CD0">
        <w:t xml:space="preserve">ken favourable about Nero </w:t>
      </w:r>
      <w:r w:rsidR="00B66EA3">
        <w:t xml:space="preserve"> in previous chapters of book 61</w:t>
      </w:r>
      <w:r w:rsidR="00937CD0">
        <w:t xml:space="preserve"> either</w:t>
      </w:r>
      <w:r w:rsidR="00B66EA3">
        <w:t>, Cassius D</w:t>
      </w:r>
      <w:r w:rsidR="00937CD0">
        <w:t>io indicates that such a loss of land at</w:t>
      </w:r>
      <w:r w:rsidR="00B66EA3">
        <w:t xml:space="preserve"> the hands of a woman were a great shame for Rome, at the time being ruled by Nero.</w:t>
      </w:r>
      <w:r w:rsidR="00B66EA3">
        <w:rPr>
          <w:rStyle w:val="Funotenzeichen"/>
        </w:rPr>
        <w:footnoteReference w:id="39"/>
      </w:r>
      <w:r w:rsidR="008514A0">
        <w:t xml:space="preserve">However, Boudicca, </w:t>
      </w:r>
      <w:r w:rsidR="0029792C">
        <w:t>spelled Buduica in his accounts, is mentioned in Chapter two as having been of great intelligence, noble ancestry and assuming the leadership of the revolt, even her looks and voice</w:t>
      </w:r>
      <w:r w:rsidR="00937CD0">
        <w:t xml:space="preserve"> were described, making her appear more real to the reader. </w:t>
      </w:r>
      <w:r w:rsidR="0029792C">
        <w:rPr>
          <w:rStyle w:val="Funotenzeichen"/>
        </w:rPr>
        <w:footnoteReference w:id="40"/>
      </w:r>
      <w:r w:rsidR="0029792C">
        <w:t xml:space="preserve"> </w:t>
      </w:r>
    </w:p>
    <w:p w:rsidR="00B87315" w:rsidRDefault="0029792C">
      <w:r>
        <w:t xml:space="preserve">Her speech in Chapter three appears to be much longer and elaborate than that recorded by Tacitus, and primarily focused on the issue of </w:t>
      </w:r>
      <w:r w:rsidR="00F25B42">
        <w:t xml:space="preserve">liberty and </w:t>
      </w:r>
      <w:r>
        <w:t>taxation.</w:t>
      </w:r>
      <w:r w:rsidR="00F25B42">
        <w:rPr>
          <w:rStyle w:val="Funotenzeichen"/>
        </w:rPr>
        <w:footnoteReference w:id="41"/>
      </w:r>
      <w:r w:rsidR="003F1642">
        <w:t xml:space="preserve"> </w:t>
      </w:r>
      <w:r w:rsidR="0060344F">
        <w:t>Such speeches would have been unrealistic before battle, where information had to be conveyed short</w:t>
      </w:r>
      <w:r w:rsidR="00937CD0">
        <w:t>ly</w:t>
      </w:r>
      <w:r w:rsidR="0060344F">
        <w:t xml:space="preserve"> and effectively, creating the feeling that Dio might have simply elaborated on the element of her speech in order to fit a set reading between courses.</w:t>
      </w:r>
      <w:r w:rsidR="0060344F">
        <w:rPr>
          <w:rStyle w:val="Funotenzeichen"/>
        </w:rPr>
        <w:footnoteReference w:id="42"/>
      </w:r>
      <w:r w:rsidR="0060344F">
        <w:t xml:space="preserve">  </w:t>
      </w:r>
    </w:p>
    <w:p w:rsidR="00937CD0" w:rsidRDefault="00A9567A">
      <w:r>
        <w:t>Chapter six see</w:t>
      </w:r>
      <w:r w:rsidR="00937CD0">
        <w:t>s Boudicca engaging</w:t>
      </w:r>
      <w:r>
        <w:t xml:space="preserve"> in a ritual and addressing a native deity, however it seems c</w:t>
      </w:r>
      <w:r w:rsidR="00937CD0">
        <w:t>o</w:t>
      </w:r>
      <w:r>
        <w:t>urious that she should have been familiar with Egyptian and Assyrian culture, or even aware of their ex</w:t>
      </w:r>
      <w:r w:rsidR="00486942">
        <w:t>istence</w:t>
      </w:r>
      <w:r w:rsidR="00937CD0">
        <w:t>.</w:t>
      </w:r>
      <w:r w:rsidR="00486942">
        <w:rPr>
          <w:rStyle w:val="Funotenzeichen"/>
        </w:rPr>
        <w:footnoteReference w:id="43"/>
      </w:r>
      <w:r w:rsidR="00486942">
        <w:t xml:space="preserve"> </w:t>
      </w:r>
    </w:p>
    <w:p w:rsidR="000207D3" w:rsidRDefault="00486942">
      <w:r>
        <w:t>Dio could have been influenced by Tacitus’ records, as he lived much later than Tacitus</w:t>
      </w:r>
      <w:r>
        <w:rPr>
          <w:rStyle w:val="Funotenzeichen"/>
        </w:rPr>
        <w:footnoteReference w:id="44"/>
      </w:r>
      <w:r>
        <w:t xml:space="preserve"> </w:t>
      </w:r>
      <w:r w:rsidR="00937CD0">
        <w:t xml:space="preserve"> with</w:t>
      </w:r>
      <w:r w:rsidR="00BD114B">
        <w:t xml:space="preserve"> both records display</w:t>
      </w:r>
      <w:r w:rsidR="00937CD0">
        <w:t xml:space="preserve">ing a </w:t>
      </w:r>
      <w:r w:rsidR="00BD114B">
        <w:t>certain simi</w:t>
      </w:r>
      <w:r w:rsidR="00937CD0">
        <w:t xml:space="preserve">larity, making Tacitus record somewhat more </w:t>
      </w:r>
      <w:r w:rsidR="00FC2A32">
        <w:t>accurate</w:t>
      </w:r>
      <w:r w:rsidR="00937CD0">
        <w:t>.</w:t>
      </w:r>
      <w:r w:rsidR="00BD114B">
        <w:rPr>
          <w:rStyle w:val="Funotenzeichen"/>
        </w:rPr>
        <w:footnoteReference w:id="45"/>
      </w:r>
    </w:p>
    <w:p w:rsidR="00486942" w:rsidRDefault="00146F0E">
      <w:r>
        <w:t>As Boudicca is female, the deity she speaks to also appears to be female, as well as a so called Domitia-Nero, who she said was reigning over the Romans</w:t>
      </w:r>
      <w:r>
        <w:rPr>
          <w:rStyle w:val="Funotenzeichen"/>
        </w:rPr>
        <w:footnoteReference w:id="46"/>
      </w:r>
      <w:r>
        <w:t>, perhaps Dio sought to effeminate Nero, making him not even seem women</w:t>
      </w:r>
      <w:r w:rsidR="00FC2A32">
        <w:t>ly</w:t>
      </w:r>
      <w:r>
        <w:t xml:space="preserve"> enough in Boudicca’s eyes</w:t>
      </w:r>
      <w:r w:rsidR="00FC2A32">
        <w:t xml:space="preserve">, therefore suggesting Cassius Dio could have also been tempted to boost the existence of a Boudicca in order to critique Nero. </w:t>
      </w:r>
      <w:r>
        <w:rPr>
          <w:rStyle w:val="Funotenzeichen"/>
        </w:rPr>
        <w:footnoteReference w:id="47"/>
      </w:r>
      <w:r>
        <w:t xml:space="preserve"> </w:t>
      </w:r>
      <w:r w:rsidR="00C77EB9">
        <w:t>Chapters seven and eight see Boudicca as the leader in Battle, giving the order to fight and, common to Tacitus, riding a chariot.</w:t>
      </w:r>
      <w:r w:rsidR="00C77EB9">
        <w:rPr>
          <w:rStyle w:val="Funotenzeichen"/>
        </w:rPr>
        <w:footnoteReference w:id="48"/>
      </w:r>
    </w:p>
    <w:p w:rsidR="003358FF" w:rsidRDefault="003358FF">
      <w:r>
        <w:t>Chapter twelve sees her fall sick, not because she was defeated, but rather with the British defeat</w:t>
      </w:r>
      <w:r w:rsidR="008E6AD6">
        <w:t xml:space="preserve"> immediately</w:t>
      </w:r>
      <w:r>
        <w:t xml:space="preserve"> following her death, portraying her</w:t>
      </w:r>
      <w:r w:rsidR="008E6AD6">
        <w:t xml:space="preserve"> presence</w:t>
      </w:r>
      <w:r>
        <w:t xml:space="preserve"> to be </w:t>
      </w:r>
      <w:r w:rsidR="008E6AD6">
        <w:t>crucial</w:t>
      </w:r>
      <w:r>
        <w:t xml:space="preserve"> for the rebellion</w:t>
      </w:r>
      <w:r w:rsidR="008E6AD6">
        <w:t>.</w:t>
      </w:r>
      <w:r>
        <w:rPr>
          <w:rStyle w:val="Funotenzeichen"/>
        </w:rPr>
        <w:footnoteReference w:id="49"/>
      </w:r>
      <w:r w:rsidR="008E6AD6">
        <w:t xml:space="preserve"> </w:t>
      </w:r>
      <w:r w:rsidR="001E01B7">
        <w:t>Boudicca then rec</w:t>
      </w:r>
      <w:r w:rsidR="00FC2A32">
        <w:t xml:space="preserve">eived a lavish burial, with any possible </w:t>
      </w:r>
      <w:r w:rsidR="001E01B7">
        <w:t xml:space="preserve">archaeological </w:t>
      </w:r>
      <w:r w:rsidR="00FC2A32">
        <w:t>evidence regarding such addressed in the archaeological section of the essay</w:t>
      </w:r>
      <w:r w:rsidR="001E01B7">
        <w:t>.</w:t>
      </w:r>
      <w:r w:rsidR="001E01B7">
        <w:rPr>
          <w:rStyle w:val="Funotenzeichen"/>
        </w:rPr>
        <w:footnoteReference w:id="50"/>
      </w:r>
    </w:p>
    <w:p w:rsidR="00EB11AB" w:rsidRDefault="00925431">
      <w:r>
        <w:lastRenderedPageBreak/>
        <w:t>Being the descendent</w:t>
      </w:r>
      <w:r w:rsidR="0049778A">
        <w:t xml:space="preserve"> of</w:t>
      </w:r>
      <w:r w:rsidR="00EB11AB">
        <w:t xml:space="preserve"> a previous ruler, even if claimed, was a significant attribute of a native British ruler to have,</w:t>
      </w:r>
      <w:r w:rsidR="00EB11AB">
        <w:rPr>
          <w:rStyle w:val="Funotenzeichen"/>
        </w:rPr>
        <w:footnoteReference w:id="51"/>
      </w:r>
      <w:r w:rsidR="00EB11AB">
        <w:t>and given that Prasutagus named his two daughters besides Nero as his heirs</w:t>
      </w:r>
      <w:r>
        <w:t>, who according to Tacitus were no children anymore,</w:t>
      </w:r>
      <w:r>
        <w:rPr>
          <w:rStyle w:val="Funotenzeichen"/>
        </w:rPr>
        <w:footnoteReference w:id="52"/>
      </w:r>
      <w:r w:rsidR="00EB11AB">
        <w:t xml:space="preserve"> </w:t>
      </w:r>
      <w:r>
        <w:t>while not mentioning Boudicca in his will</w:t>
      </w:r>
      <w:r w:rsidR="00EB11AB">
        <w:t>,</w:t>
      </w:r>
      <w:r w:rsidR="00EB11AB">
        <w:rPr>
          <w:rStyle w:val="Funotenzeichen"/>
        </w:rPr>
        <w:footnoteReference w:id="53"/>
      </w:r>
      <w:r w:rsidR="00EB11AB">
        <w:t xml:space="preserve"> makes one wonder if the </w:t>
      </w:r>
      <w:r w:rsidR="00EB11AB" w:rsidRPr="00EB11AB">
        <w:rPr>
          <w:i/>
        </w:rPr>
        <w:t>Iceni</w:t>
      </w:r>
      <w:r w:rsidR="00EB11AB">
        <w:t xml:space="preserve"> would have truly accepted Boudicca as their</w:t>
      </w:r>
      <w:r>
        <w:t xml:space="preserve"> righteous</w:t>
      </w:r>
      <w:r w:rsidR="00EB11AB">
        <w:t xml:space="preserve"> ruler.</w:t>
      </w:r>
    </w:p>
    <w:p w:rsidR="00B416F1" w:rsidRDefault="00B416F1">
      <w:r>
        <w:t>Further, her name itself can shed light on the matter of her existence, as Boudicca</w:t>
      </w:r>
      <w:r>
        <w:rPr>
          <w:rStyle w:val="Funotenzeichen"/>
        </w:rPr>
        <w:footnoteReference w:id="54"/>
      </w:r>
      <w:r>
        <w:t xml:space="preserve"> or Buduica</w:t>
      </w:r>
      <w:r>
        <w:rPr>
          <w:rStyle w:val="Funotenzeichen"/>
        </w:rPr>
        <w:footnoteReference w:id="55"/>
      </w:r>
      <w:r>
        <w:t xml:space="preserve"> might be the latin version for the celtic word ‘Buddig’, translating as ‘the victorious’</w:t>
      </w:r>
      <w:r w:rsidR="00AC3B85">
        <w:t xml:space="preserve">, representing an attribute, rather than a real name, even perhaps just a title. </w:t>
      </w:r>
      <w:r>
        <w:rPr>
          <w:rStyle w:val="Funotenzeichen"/>
        </w:rPr>
        <w:footnoteReference w:id="56"/>
      </w:r>
    </w:p>
    <w:p w:rsidR="00A27744" w:rsidRDefault="00A27744">
      <w:r>
        <w:t>Concerning</w:t>
      </w:r>
      <w:r w:rsidR="0049778A">
        <w:t xml:space="preserve"> the </w:t>
      </w:r>
      <w:r>
        <w:t>archaeological evidence, there has been much uncovered to prove that a rebellion</w:t>
      </w:r>
      <w:r w:rsidR="0049778A">
        <w:t xml:space="preserve"> indeed </w:t>
      </w:r>
      <w:r>
        <w:t xml:space="preserve"> has taken place and that places such as Colchester, London and St.Albans were destroyed in the process, </w:t>
      </w:r>
      <w:r w:rsidR="00303E21">
        <w:rPr>
          <w:rStyle w:val="Funotenzeichen"/>
        </w:rPr>
        <w:footnoteReference w:id="57"/>
      </w:r>
      <w:r w:rsidR="0049778A">
        <w:t xml:space="preserve"> with </w:t>
      </w:r>
      <w:r w:rsidR="00303E21">
        <w:t xml:space="preserve">the </w:t>
      </w:r>
      <w:r w:rsidR="0049778A">
        <w:t xml:space="preserve">movement of Roman forces being </w:t>
      </w:r>
      <w:r w:rsidR="00303E21">
        <w:t>tracked down via archaeology.</w:t>
      </w:r>
      <w:r w:rsidR="00303E21">
        <w:rPr>
          <w:rStyle w:val="Funotenzeichen"/>
        </w:rPr>
        <w:footnoteReference w:id="58"/>
      </w:r>
      <w:r>
        <w:t xml:space="preserve"> </w:t>
      </w:r>
      <w:r w:rsidR="0049778A">
        <w:t>H</w:t>
      </w:r>
      <w:r>
        <w:t>owever</w:t>
      </w:r>
      <w:r w:rsidR="0049778A">
        <w:t>,</w:t>
      </w:r>
      <w:r>
        <w:t xml:space="preserve"> when trying to find evidence for the existence of Boudicca in connection with the revolt, a burial, inscription with her name or coin would be required evidence.</w:t>
      </w:r>
      <w:r w:rsidR="00212618">
        <w:t xml:space="preserve"> </w:t>
      </w:r>
    </w:p>
    <w:p w:rsidR="00212618" w:rsidRDefault="00212618">
      <w:r w:rsidRPr="00212618">
        <w:rPr>
          <w:i/>
        </w:rPr>
        <w:t>Icenian</w:t>
      </w:r>
      <w:r>
        <w:t xml:space="preserve"> coinage was distinctive in that it often had a boar-like, sometimes horse-like looking animal as motif</w:t>
      </w:r>
      <w:r>
        <w:rPr>
          <w:rStyle w:val="Funotenzeichen"/>
        </w:rPr>
        <w:footnoteReference w:id="59"/>
      </w:r>
      <w:r>
        <w:t xml:space="preserve"> sometimes with the imprint of </w:t>
      </w:r>
      <w:r>
        <w:rPr>
          <w:i/>
        </w:rPr>
        <w:t xml:space="preserve">ECENI </w:t>
      </w:r>
      <w:r>
        <w:t>, with</w:t>
      </w:r>
      <w:r w:rsidR="0049778A">
        <w:t xml:space="preserve"> the</w:t>
      </w:r>
      <w:r>
        <w:t xml:space="preserve"> abbreviations of kings being known on </w:t>
      </w:r>
      <w:r w:rsidR="00B5327A">
        <w:rPr>
          <w:i/>
        </w:rPr>
        <w:t>I</w:t>
      </w:r>
      <w:r w:rsidRPr="00B5327A">
        <w:rPr>
          <w:i/>
        </w:rPr>
        <w:t>cenian</w:t>
      </w:r>
      <w:r>
        <w:t xml:space="preserve"> coinage as well.</w:t>
      </w:r>
      <w:r>
        <w:rPr>
          <w:rStyle w:val="Funotenzeichen"/>
        </w:rPr>
        <w:footnoteReference w:id="60"/>
      </w:r>
      <w:r w:rsidR="00B5327A">
        <w:t xml:space="preserve"> </w:t>
      </w:r>
      <w:r w:rsidR="00940A3D">
        <w:t xml:space="preserve">Evidence exists of one coin minted likely during Prasutagus’ reign, as a possible misspelling of </w:t>
      </w:r>
      <w:r w:rsidR="00940A3D">
        <w:rPr>
          <w:i/>
        </w:rPr>
        <w:t xml:space="preserve">presto </w:t>
      </w:r>
      <w:r w:rsidR="00940A3D">
        <w:t xml:space="preserve">changed into </w:t>
      </w:r>
      <w:r w:rsidR="00940A3D">
        <w:rPr>
          <w:i/>
        </w:rPr>
        <w:t xml:space="preserve">ppasto, </w:t>
      </w:r>
      <w:r w:rsidR="00940A3D">
        <w:t xml:space="preserve">with the coin reading </w:t>
      </w:r>
      <w:r w:rsidR="00940A3D">
        <w:rPr>
          <w:i/>
        </w:rPr>
        <w:t>svbIppasto</w:t>
      </w:r>
      <w:r w:rsidR="0049778A">
        <w:t xml:space="preserve"> as a result.</w:t>
      </w:r>
      <w:r w:rsidR="0049778A">
        <w:rPr>
          <w:rStyle w:val="Funotenzeichen"/>
        </w:rPr>
        <w:footnoteReference w:id="61"/>
      </w:r>
      <w:r w:rsidR="0049778A">
        <w:t xml:space="preserve"> If we can assume this to be a </w:t>
      </w:r>
      <w:r w:rsidR="00940A3D">
        <w:t>misspelling,</w:t>
      </w:r>
      <w:r w:rsidR="0049778A">
        <w:t xml:space="preserve"> the text would have</w:t>
      </w:r>
      <w:r w:rsidR="00940A3D">
        <w:t xml:space="preserve"> translates as ‘ under Prasutagus’</w:t>
      </w:r>
      <w:r w:rsidR="005E540D">
        <w:t>, an exciting find that could prove</w:t>
      </w:r>
      <w:r w:rsidR="0049778A">
        <w:t xml:space="preserve"> at least</w:t>
      </w:r>
      <w:r w:rsidR="005E540D">
        <w:t xml:space="preserve"> the existence of Prasutagus.</w:t>
      </w:r>
      <w:r w:rsidR="005E540D">
        <w:rPr>
          <w:rStyle w:val="Funotenzeichen"/>
        </w:rPr>
        <w:footnoteReference w:id="62"/>
      </w:r>
      <w:r w:rsidR="00940A3D">
        <w:t xml:space="preserve"> </w:t>
      </w:r>
      <w:r w:rsidR="005E540D">
        <w:t>Given that Tacitus knew of Prasutagus,</w:t>
      </w:r>
      <w:r w:rsidR="005E540D">
        <w:rPr>
          <w:rStyle w:val="Funotenzeichen"/>
        </w:rPr>
        <w:footnoteReference w:id="63"/>
      </w:r>
      <w:r w:rsidR="005E540D">
        <w:t xml:space="preserve"> he could have well known of the kings wife, if indeed she would have been such an interesting persona.</w:t>
      </w:r>
    </w:p>
    <w:p w:rsidR="00FC6D84" w:rsidRDefault="00FC6D84">
      <w:r>
        <w:t>When describing Boudicca, Cassius Dio also mentioned her wearing a large necklace of gold,</w:t>
      </w:r>
      <w:r>
        <w:rPr>
          <w:rStyle w:val="Funotenzeichen"/>
        </w:rPr>
        <w:footnoteReference w:id="64"/>
      </w:r>
      <w:r>
        <w:t xml:space="preserve"> perhaps similar to a torc found in Norfolk, Snettisham.</w:t>
      </w:r>
      <w:r>
        <w:rPr>
          <w:rStyle w:val="Funotenzeichen"/>
        </w:rPr>
        <w:footnoteReference w:id="65"/>
      </w:r>
      <w:r w:rsidR="0046723F">
        <w:t xml:space="preserve"> However, this torc </w:t>
      </w:r>
      <w:r w:rsidR="000D74C3">
        <w:t>shown in figure 2</w:t>
      </w:r>
      <w:r w:rsidR="008E6AD6">
        <w:t>.</w:t>
      </w:r>
      <w:r w:rsidR="0046723F">
        <w:t>has been</w:t>
      </w:r>
      <w:r w:rsidR="00B30AF7">
        <w:t xml:space="preserve"> found to date to</w:t>
      </w:r>
      <w:r>
        <w:t xml:space="preserve"> 150-50 B.C.</w:t>
      </w:r>
      <w:r>
        <w:rPr>
          <w:rStyle w:val="Funotenzeichen"/>
        </w:rPr>
        <w:footnoteReference w:id="66"/>
      </w:r>
    </w:p>
    <w:p w:rsidR="008E6AD6" w:rsidRDefault="008E6AD6">
      <w:r>
        <w:rPr>
          <w:noProof/>
          <w:lang w:val="de-DE" w:eastAsia="de-DE"/>
        </w:rPr>
        <w:lastRenderedPageBreak/>
        <w:drawing>
          <wp:inline distT="0" distB="0" distL="0" distR="0" wp14:anchorId="778F48C6" wp14:editId="6E128712">
            <wp:extent cx="2369820" cy="1845965"/>
            <wp:effectExtent l="0" t="0" r="0" b="1905"/>
            <wp:docPr id="1" name="Bild 1" descr="Image result for snettisham to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nettisham tor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8602" cy="1852806"/>
                    </a:xfrm>
                    <a:prstGeom prst="rect">
                      <a:avLst/>
                    </a:prstGeom>
                    <a:noFill/>
                    <a:ln>
                      <a:noFill/>
                    </a:ln>
                  </pic:spPr>
                </pic:pic>
              </a:graphicData>
            </a:graphic>
          </wp:inline>
        </w:drawing>
      </w:r>
      <w:r w:rsidR="000D74C3">
        <w:t>figure 2</w:t>
      </w:r>
      <w:r>
        <w:t>.</w:t>
      </w:r>
      <w:r>
        <w:rPr>
          <w:rStyle w:val="Funotenzeichen"/>
        </w:rPr>
        <w:footnoteReference w:id="67"/>
      </w:r>
    </w:p>
    <w:p w:rsidR="008E6AD6" w:rsidRDefault="003D1580">
      <w:r>
        <w:t>Regarding Boudicca’s remains, it would have been very likely according to Hingley, that if she died in battle, her remains would have been cleared away like the rest of the dead.</w:t>
      </w:r>
      <w:r>
        <w:rPr>
          <w:rStyle w:val="Funotenzeichen"/>
        </w:rPr>
        <w:footnoteReference w:id="68"/>
      </w:r>
      <w:r>
        <w:t xml:space="preserve"> Even if that would not have been the case and she received a </w:t>
      </w:r>
      <w:r w:rsidR="00242D77">
        <w:t>queen’s</w:t>
      </w:r>
      <w:r>
        <w:t xml:space="preserve"> burial, it would be difficult for modern day archaeology to identify her with certainty.</w:t>
      </w:r>
      <w:r>
        <w:rPr>
          <w:rStyle w:val="Funotenzeichen"/>
        </w:rPr>
        <w:footnoteReference w:id="69"/>
      </w:r>
    </w:p>
    <w:p w:rsidR="000644B9" w:rsidRDefault="00F271BB">
      <w:r>
        <w:t>However, as a</w:t>
      </w:r>
      <w:r w:rsidR="000644B9">
        <w:t>rchaeological publications</w:t>
      </w:r>
      <w:r>
        <w:t xml:space="preserve"> are often</w:t>
      </w:r>
      <w:r w:rsidR="000644B9">
        <w:t xml:space="preserve"> lagging behind the c</w:t>
      </w:r>
      <w:r>
        <w:t xml:space="preserve">arried out fieldwork, </w:t>
      </w:r>
      <w:r w:rsidR="000644B9">
        <w:t>so called grey literature</w:t>
      </w:r>
      <w:r>
        <w:t xml:space="preserve"> of yet unpublished excavations,</w:t>
      </w:r>
      <w:r w:rsidR="000644B9">
        <w:rPr>
          <w:rStyle w:val="Funotenzeichen"/>
        </w:rPr>
        <w:footnoteReference w:id="70"/>
      </w:r>
      <w:r>
        <w:t xml:space="preserve"> might or might not provide</w:t>
      </w:r>
      <w:r w:rsidR="000644B9">
        <w:t xml:space="preserve"> further evidence </w:t>
      </w:r>
      <w:r>
        <w:t>for Boudicca</w:t>
      </w:r>
      <w:r w:rsidR="00242D77">
        <w:t>’</w:t>
      </w:r>
      <w:r>
        <w:t>s existence in the near future</w:t>
      </w:r>
      <w:r w:rsidR="000644B9">
        <w:t>.</w:t>
      </w:r>
    </w:p>
    <w:p w:rsidR="009267AB" w:rsidRDefault="009267AB"/>
    <w:p w:rsidR="005E1197" w:rsidRDefault="00647859">
      <w:r>
        <w:t>Conclusively it can be said that only two of our ancient literary sources mention Boudicca at all,</w:t>
      </w:r>
      <w:r>
        <w:rPr>
          <w:rStyle w:val="Funotenzeichen"/>
        </w:rPr>
        <w:footnoteReference w:id="71"/>
      </w:r>
      <w:r>
        <w:t xml:space="preserve"> with Tacitus having been  closest to the events,</w:t>
      </w:r>
      <w:r>
        <w:rPr>
          <w:rStyle w:val="Funotenzeichen"/>
        </w:rPr>
        <w:footnoteReference w:id="72"/>
      </w:r>
      <w:r>
        <w:t xml:space="preserve"> allegedly being biased against the Emperor Nero.</w:t>
      </w:r>
      <w:r>
        <w:rPr>
          <w:rStyle w:val="Funotenzeichen"/>
        </w:rPr>
        <w:footnoteReference w:id="73"/>
      </w:r>
      <w:r>
        <w:t xml:space="preserve"> Examples of other British queens during the Roman period exist, such as Cartimandua,</w:t>
      </w:r>
      <w:r>
        <w:rPr>
          <w:rStyle w:val="Funotenzeichen"/>
        </w:rPr>
        <w:footnoteReference w:id="74"/>
      </w:r>
      <w:r>
        <w:t>with the phenomen of celtic queens being closely associated with Britain,</w:t>
      </w:r>
      <w:r>
        <w:rPr>
          <w:rStyle w:val="Funotenzeichen"/>
        </w:rPr>
        <w:footnoteReference w:id="75"/>
      </w:r>
      <w:r>
        <w:t>however Tacitus motif at criticizing Nero could have easily led to him inventing Boudicca as a female opposition,</w:t>
      </w:r>
      <w:r>
        <w:rPr>
          <w:rStyle w:val="Funotenzeichen"/>
        </w:rPr>
        <w:footnoteReference w:id="76"/>
      </w:r>
      <w:r>
        <w:t>possibly drawing his inspiration for her character from Cleopatra.</w:t>
      </w:r>
      <w:r>
        <w:rPr>
          <w:rStyle w:val="Funotenzeichen"/>
        </w:rPr>
        <w:footnoteReference w:id="77"/>
      </w:r>
      <w:r>
        <w:t>Cassius Dio was similarly biased against Nero,</w:t>
      </w:r>
      <w:r>
        <w:rPr>
          <w:rStyle w:val="Funotenzeichen"/>
        </w:rPr>
        <w:footnoteReference w:id="78"/>
      </w:r>
      <w:r>
        <w:t>and archaeological evidence does not confirm her existence,</w:t>
      </w:r>
      <w:r>
        <w:rPr>
          <w:rStyle w:val="Funotenzeichen"/>
        </w:rPr>
        <w:footnoteReference w:id="79"/>
      </w:r>
      <w:r>
        <w:t xml:space="preserve"> with her name merely representing a title or attribute. </w:t>
      </w:r>
      <w:r>
        <w:rPr>
          <w:rStyle w:val="Funotenzeichen"/>
        </w:rPr>
        <w:footnoteReference w:id="80"/>
      </w:r>
    </w:p>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p w:rsidR="00A65089" w:rsidRDefault="00A65089" w:rsidP="00A65089">
      <w:pPr>
        <w:jc w:val="center"/>
      </w:pPr>
      <w:r>
        <w:t>Bibliography</w:t>
      </w:r>
    </w:p>
    <w:p w:rsidR="00A65089" w:rsidRDefault="00A65089" w:rsidP="00A65089">
      <w:pPr>
        <w:jc w:val="center"/>
      </w:pPr>
    </w:p>
    <w:p w:rsidR="00A65089" w:rsidRDefault="00A65089" w:rsidP="00A65089">
      <w:pPr>
        <w:jc w:val="center"/>
      </w:pPr>
      <w:r>
        <w:t>Primary Sources</w:t>
      </w:r>
    </w:p>
    <w:p w:rsidR="00A65089" w:rsidRDefault="00A65089" w:rsidP="00A65089">
      <w:pPr>
        <w:jc w:val="center"/>
      </w:pPr>
    </w:p>
    <w:p w:rsidR="00A65089" w:rsidRDefault="00A65089" w:rsidP="00A65089">
      <w:r>
        <w:t xml:space="preserve">Cassius Dio, </w:t>
      </w:r>
      <w:r>
        <w:rPr>
          <w:i/>
        </w:rPr>
        <w:t>Roman History.</w:t>
      </w:r>
      <w:r>
        <w:t>The Loeb Classical Library edition (trans).1925: Harvard University Press.</w:t>
      </w:r>
    </w:p>
    <w:p w:rsidR="00A65089" w:rsidRDefault="00A65089" w:rsidP="00A65089">
      <w:pPr>
        <w:rPr>
          <w:rStyle w:val="Hervorhebung"/>
          <w:i w:val="0"/>
        </w:rPr>
      </w:pPr>
      <w:r>
        <w:t>Livy,</w:t>
      </w:r>
      <w:r w:rsidRPr="00DA0E9A">
        <w:rPr>
          <w:rStyle w:val="Funotentext"/>
        </w:rPr>
        <w:t xml:space="preserve"> </w:t>
      </w:r>
      <w:r>
        <w:rPr>
          <w:rStyle w:val="Hervorhebung"/>
        </w:rPr>
        <w:t>Ab Urbe Condita.</w:t>
      </w:r>
      <w:r>
        <w:rPr>
          <w:rStyle w:val="Hervorhebung"/>
          <w:i w:val="0"/>
        </w:rPr>
        <w:t xml:space="preserve"> Susan Radcliffe (trans). 2017. Oxford: Oxford University Press.</w:t>
      </w:r>
    </w:p>
    <w:p w:rsidR="00A65089" w:rsidRDefault="00A65089" w:rsidP="00A65089">
      <w:r>
        <w:rPr>
          <w:rStyle w:val="Hervorhebung"/>
          <w:i w:val="0"/>
        </w:rPr>
        <w:t xml:space="preserve">Suetonius Tranquillus, </w:t>
      </w:r>
      <w:r>
        <w:rPr>
          <w:i/>
        </w:rPr>
        <w:t>Lives of the twelve Caesars.</w:t>
      </w:r>
      <w:r w:rsidRPr="00DA0E9A">
        <w:t xml:space="preserve"> </w:t>
      </w:r>
      <w:r>
        <w:t>The Loeb Classical Library edition (trans).1925: Harvard University Press.</w:t>
      </w:r>
    </w:p>
    <w:p w:rsidR="00A65089" w:rsidRDefault="00A65089" w:rsidP="00A65089">
      <w:r>
        <w:t xml:space="preserve">Tacitus, </w:t>
      </w:r>
      <w:r>
        <w:rPr>
          <w:i/>
        </w:rPr>
        <w:t>The Annales.</w:t>
      </w:r>
      <w:r w:rsidRPr="00DA0E9A">
        <w:t xml:space="preserve"> </w:t>
      </w:r>
      <w:r>
        <w:t>The Loeb Classical Library edition (trans).1925: Harvard University Press.</w:t>
      </w:r>
    </w:p>
    <w:p w:rsidR="00A65089" w:rsidRDefault="00A65089" w:rsidP="00A65089"/>
    <w:p w:rsidR="00A65089" w:rsidRDefault="00A65089" w:rsidP="00A65089">
      <w:pPr>
        <w:jc w:val="center"/>
      </w:pPr>
      <w:r>
        <w:t>Modern Scholarship</w:t>
      </w:r>
    </w:p>
    <w:p w:rsidR="00A65089" w:rsidRDefault="00A65089" w:rsidP="00A65089">
      <w:pPr>
        <w:jc w:val="center"/>
      </w:pPr>
    </w:p>
    <w:p w:rsidR="00A65089" w:rsidRDefault="00A65089" w:rsidP="00A65089">
      <w:r>
        <w:t xml:space="preserve">Archaeology Magazine.’ Boudicca, Queen of the Iceni.’2017. </w:t>
      </w:r>
      <w:hyperlink r:id="rId9" w:history="1">
        <w:r w:rsidRPr="00D20DD5">
          <w:rPr>
            <w:rStyle w:val="Hyperlink"/>
          </w:rPr>
          <w:t>https://www.archaeology.org/issues/100-features/lost-tombs/1090-boudicca-celtic-roman-empire-kings-cross</w:t>
        </w:r>
      </w:hyperlink>
      <w:r>
        <w:t xml:space="preserve"> [ Accessed 15</w:t>
      </w:r>
      <w:r w:rsidRPr="00723CEA">
        <w:rPr>
          <w:vertAlign w:val="superscript"/>
        </w:rPr>
        <w:t>th</w:t>
      </w:r>
      <w:r>
        <w:t xml:space="preserve"> of December 2017].</w:t>
      </w:r>
    </w:p>
    <w:p w:rsidR="00A65089" w:rsidRDefault="00A65089" w:rsidP="00A65089">
      <w:r>
        <w:t xml:space="preserve">British Museum. ‘ The Snettisham Great Torc.’ 2017. </w:t>
      </w:r>
      <w:hyperlink r:id="rId10" w:history="1">
        <w:r w:rsidRPr="00D20DD5">
          <w:rPr>
            <w:rStyle w:val="Hyperlink"/>
          </w:rPr>
          <w:t>http://www.britishmuseum.org/research/collection_online/collection_object_details.aspx?objectId=828315&amp;partId=1</w:t>
        </w:r>
      </w:hyperlink>
      <w:r>
        <w:t xml:space="preserve"> [ Accessed 15</w:t>
      </w:r>
      <w:r w:rsidRPr="00723CEA">
        <w:rPr>
          <w:vertAlign w:val="superscript"/>
        </w:rPr>
        <w:t>th</w:t>
      </w:r>
      <w:r>
        <w:t xml:space="preserve"> of December 2017]</w:t>
      </w:r>
    </w:p>
    <w:p w:rsidR="00A65089" w:rsidRDefault="00A65089" w:rsidP="00A65089">
      <w:r>
        <w:t>Bulst, C.M.1961.</w:t>
      </w:r>
      <w:r w:rsidRPr="00723CEA">
        <w:rPr>
          <w:i/>
        </w:rPr>
        <w:t>The Revolt of Queen Boudicca in A.D.60</w:t>
      </w:r>
      <w:r>
        <w:t>.Franz-Steiner Verlag.</w:t>
      </w:r>
    </w:p>
    <w:p w:rsidR="00A65089" w:rsidRDefault="00A65089" w:rsidP="00A65089">
      <w:r>
        <w:t xml:space="preserve">Dudley,D. and Webster,G. 1962. </w:t>
      </w:r>
      <w:r>
        <w:rPr>
          <w:i/>
        </w:rPr>
        <w:t>The Rebellion of Boudicca.</w:t>
      </w:r>
      <w:r>
        <w:t>Chatham: Routledge.</w:t>
      </w:r>
    </w:p>
    <w:p w:rsidR="00A65089" w:rsidRDefault="00A65089" w:rsidP="00A65089">
      <w:r>
        <w:t>Jones,P. 2006.</w:t>
      </w:r>
      <w:r w:rsidRPr="00723CEA">
        <w:rPr>
          <w:i/>
        </w:rPr>
        <w:t>Cleopatra.</w:t>
      </w:r>
      <w:r>
        <w:t>Haus Publishing.</w:t>
      </w:r>
    </w:p>
    <w:p w:rsidR="00A65089" w:rsidRDefault="00A65089" w:rsidP="00A65089">
      <w:r>
        <w:t>Mattingly,D.2007.</w:t>
      </w:r>
      <w:r>
        <w:rPr>
          <w:i/>
        </w:rPr>
        <w:t>An Imperial Possession: Britain in the Roman Empire.</w:t>
      </w:r>
      <w:r>
        <w:t>London: Penguin books.</w:t>
      </w:r>
    </w:p>
    <w:p w:rsidR="00A65089" w:rsidRPr="00195DD4" w:rsidRDefault="00A65089" w:rsidP="00A65089">
      <w:r>
        <w:t>Roberts,M. 1988.</w:t>
      </w:r>
      <w:r>
        <w:rPr>
          <w:i/>
        </w:rPr>
        <w:t>The Revolt of Boudicca ( Tacitus, Annals 14.29-39) and the Assertation of Libertas in Neronian Rome.</w:t>
      </w:r>
      <w:r>
        <w:t>The Hopkins University Press.</w:t>
      </w:r>
    </w:p>
    <w:p w:rsidR="00A65089" w:rsidRDefault="00A65089" w:rsidP="00A65089">
      <w:r>
        <w:lastRenderedPageBreak/>
        <w:t xml:space="preserve">Salway,P.1993. </w:t>
      </w:r>
      <w:r>
        <w:rPr>
          <w:i/>
        </w:rPr>
        <w:t>A History of Roman Britain.</w:t>
      </w:r>
      <w:r>
        <w:t>Oxford: Oxford University Press.</w:t>
      </w:r>
    </w:p>
    <w:p w:rsidR="00A65089" w:rsidRDefault="00A65089" w:rsidP="00A65089">
      <w:r>
        <w:t>Todd,M.2007.</w:t>
      </w:r>
      <w:r>
        <w:rPr>
          <w:i/>
        </w:rPr>
        <w:t>A Companion to Roman Britain.</w:t>
      </w:r>
      <w:r>
        <w:t xml:space="preserve"> Malden: Blackwell publishing.</w:t>
      </w:r>
    </w:p>
    <w:p w:rsidR="00A65089" w:rsidRDefault="00A65089" w:rsidP="00A65089">
      <w:r>
        <w:t>Webster,G.1978.</w:t>
      </w:r>
      <w:r>
        <w:rPr>
          <w:i/>
        </w:rPr>
        <w:t>The Roman conquest of Britain:Boudica.</w:t>
      </w:r>
      <w:r>
        <w:t>Avon: The Bath Press.</w:t>
      </w:r>
    </w:p>
    <w:p w:rsidR="00A65089" w:rsidRPr="00C62114" w:rsidRDefault="00A65089" w:rsidP="00A65089">
      <w:r>
        <w:t>Williams, C.D.2009.</w:t>
      </w:r>
      <w:r>
        <w:rPr>
          <w:i/>
        </w:rPr>
        <w:t>Boudicca and her stories: Narrative Transformations of a warrior Queen.</w:t>
      </w:r>
      <w:r>
        <w:t>University Delaware Press.</w:t>
      </w:r>
    </w:p>
    <w:p w:rsidR="00A65089" w:rsidRPr="00535920" w:rsidRDefault="00A65089"/>
    <w:p w:rsidR="00C06E83" w:rsidRDefault="00C06E83">
      <w:pPr>
        <w:rPr>
          <w:color w:val="FF0000"/>
        </w:rPr>
      </w:pPr>
    </w:p>
    <w:p w:rsidR="00C06E83" w:rsidRPr="00C06E83" w:rsidRDefault="00C06E83"/>
    <w:sectPr w:rsidR="00C06E83" w:rsidRPr="00C06E8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5CD" w:rsidRDefault="00DB45CD" w:rsidP="00867FAD">
      <w:pPr>
        <w:spacing w:after="0" w:line="240" w:lineRule="auto"/>
      </w:pPr>
      <w:r>
        <w:separator/>
      </w:r>
    </w:p>
  </w:endnote>
  <w:endnote w:type="continuationSeparator" w:id="0">
    <w:p w:rsidR="00DB45CD" w:rsidRDefault="00DB45CD" w:rsidP="00867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5CD" w:rsidRDefault="00DB45CD" w:rsidP="00867FAD">
      <w:pPr>
        <w:spacing w:after="0" w:line="240" w:lineRule="auto"/>
      </w:pPr>
      <w:r>
        <w:separator/>
      </w:r>
    </w:p>
  </w:footnote>
  <w:footnote w:type="continuationSeparator" w:id="0">
    <w:p w:rsidR="00DB45CD" w:rsidRDefault="00DB45CD" w:rsidP="00867FAD">
      <w:pPr>
        <w:spacing w:after="0" w:line="240" w:lineRule="auto"/>
      </w:pPr>
      <w:r>
        <w:continuationSeparator/>
      </w:r>
    </w:p>
  </w:footnote>
  <w:footnote w:id="1">
    <w:p w:rsidR="00E1661A" w:rsidRPr="009A1611" w:rsidRDefault="00E1661A">
      <w:pPr>
        <w:pStyle w:val="Funotentext"/>
      </w:pPr>
      <w:r>
        <w:rPr>
          <w:rStyle w:val="Funotenzeichen"/>
        </w:rPr>
        <w:footnoteRef/>
      </w:r>
      <w:r>
        <w:t xml:space="preserve"> </w:t>
      </w:r>
      <w:r w:rsidRPr="009A1611">
        <w:t>Dudley and Webster 1962: 113</w:t>
      </w:r>
    </w:p>
  </w:footnote>
  <w:footnote w:id="2">
    <w:p w:rsidR="00E1661A" w:rsidRPr="009A1611" w:rsidRDefault="00E1661A">
      <w:pPr>
        <w:pStyle w:val="Funotentext"/>
      </w:pPr>
      <w:r>
        <w:rPr>
          <w:rStyle w:val="Funotenzeichen"/>
        </w:rPr>
        <w:footnoteRef/>
      </w:r>
      <w:r>
        <w:t xml:space="preserve"> </w:t>
      </w:r>
      <w:r w:rsidRPr="009A1611">
        <w:t>Dudley and Webster 1962: 113</w:t>
      </w:r>
    </w:p>
  </w:footnote>
  <w:footnote w:id="3">
    <w:p w:rsidR="00E1661A" w:rsidRPr="001E01B7" w:rsidRDefault="00E1661A">
      <w:pPr>
        <w:pStyle w:val="Funotentext"/>
      </w:pPr>
      <w:r>
        <w:rPr>
          <w:rStyle w:val="Funotenzeichen"/>
        </w:rPr>
        <w:footnoteRef/>
      </w:r>
      <w:r>
        <w:t xml:space="preserve"> Archaeology magazine 2017: Boudicca, Queen of the Iceni</w:t>
      </w:r>
    </w:p>
  </w:footnote>
  <w:footnote w:id="4">
    <w:p w:rsidR="00E1661A" w:rsidRPr="00CB6FF0" w:rsidRDefault="00E1661A">
      <w:pPr>
        <w:pStyle w:val="Funotentext"/>
      </w:pPr>
      <w:r>
        <w:rPr>
          <w:rStyle w:val="Funotenzeichen"/>
        </w:rPr>
        <w:footnoteRef/>
      </w:r>
      <w:r>
        <w:t xml:space="preserve"> Archaeology magazine 2017: Boudicca, Queen of the Iceni</w:t>
      </w:r>
    </w:p>
  </w:footnote>
  <w:footnote w:id="5">
    <w:p w:rsidR="00E1661A" w:rsidRPr="00290E2F" w:rsidRDefault="00E1661A">
      <w:pPr>
        <w:pStyle w:val="Funotentext"/>
      </w:pPr>
      <w:r>
        <w:rPr>
          <w:rStyle w:val="Funotenzeichen"/>
        </w:rPr>
        <w:footnoteRef/>
      </w:r>
      <w:r>
        <w:t xml:space="preserve"> Salway 1993: 85 and Mattingly 2007: 97</w:t>
      </w:r>
    </w:p>
  </w:footnote>
  <w:footnote w:id="6">
    <w:p w:rsidR="00E1661A" w:rsidRPr="008F1470" w:rsidRDefault="00E1661A">
      <w:pPr>
        <w:pStyle w:val="Funotentext"/>
      </w:pPr>
      <w:r>
        <w:rPr>
          <w:rStyle w:val="Funotenzeichen"/>
        </w:rPr>
        <w:footnoteRef/>
      </w:r>
      <w:r>
        <w:t xml:space="preserve"> </w:t>
      </w:r>
      <w:r w:rsidRPr="009A1611">
        <w:t>Mattingly 2007: 26</w:t>
      </w:r>
    </w:p>
  </w:footnote>
  <w:footnote w:id="7">
    <w:p w:rsidR="00E1661A" w:rsidRPr="00167520" w:rsidRDefault="00E1661A">
      <w:pPr>
        <w:pStyle w:val="Funotentext"/>
      </w:pPr>
      <w:r>
        <w:rPr>
          <w:rStyle w:val="Funotenzeichen"/>
        </w:rPr>
        <w:footnoteRef/>
      </w:r>
      <w:r>
        <w:t xml:space="preserve"> Tac.</w:t>
      </w:r>
      <w:r w:rsidRPr="00167520">
        <w:rPr>
          <w:i/>
        </w:rPr>
        <w:t>Ann</w:t>
      </w:r>
      <w:r>
        <w:t>.14 and Cass.Dio.</w:t>
      </w:r>
      <w:r w:rsidRPr="00167520">
        <w:rPr>
          <w:i/>
        </w:rPr>
        <w:t>Hist</w:t>
      </w:r>
      <w:r>
        <w:t>.62.</w:t>
      </w:r>
    </w:p>
  </w:footnote>
  <w:footnote w:id="8">
    <w:p w:rsidR="00E1661A" w:rsidRPr="008F1470" w:rsidRDefault="00E1661A">
      <w:pPr>
        <w:pStyle w:val="Funotentext"/>
      </w:pPr>
      <w:r>
        <w:rPr>
          <w:rStyle w:val="Funotenzeichen"/>
        </w:rPr>
        <w:footnoteRef/>
      </w:r>
      <w:r>
        <w:t xml:space="preserve"> </w:t>
      </w:r>
      <w:r w:rsidRPr="009A1611">
        <w:t>Mattingly 2007: 26</w:t>
      </w:r>
    </w:p>
  </w:footnote>
  <w:footnote w:id="9">
    <w:p w:rsidR="00E1661A" w:rsidRPr="008F1470" w:rsidRDefault="00E1661A">
      <w:pPr>
        <w:pStyle w:val="Funotentext"/>
      </w:pPr>
      <w:r>
        <w:rPr>
          <w:rStyle w:val="Funotenzeichen"/>
        </w:rPr>
        <w:footnoteRef/>
      </w:r>
      <w:r>
        <w:t xml:space="preserve"> </w:t>
      </w:r>
      <w:r w:rsidRPr="008F1470">
        <w:t>Suet.Tranq.</w:t>
      </w:r>
      <w:r w:rsidRPr="008F1470">
        <w:rPr>
          <w:i/>
        </w:rPr>
        <w:t>Nero.</w:t>
      </w:r>
      <w:r w:rsidRPr="008F1470">
        <w:t>39</w:t>
      </w:r>
    </w:p>
  </w:footnote>
  <w:footnote w:id="10">
    <w:p w:rsidR="00E1661A" w:rsidRPr="00CF1B62" w:rsidRDefault="00E1661A" w:rsidP="00516B60">
      <w:pPr>
        <w:pStyle w:val="Funotentext"/>
      </w:pPr>
      <w:r>
        <w:rPr>
          <w:rStyle w:val="Funotenzeichen"/>
        </w:rPr>
        <w:footnoteRef/>
      </w:r>
      <w:r w:rsidRPr="00CF1B62">
        <w:t xml:space="preserve"> Webster 1978:15</w:t>
      </w:r>
    </w:p>
  </w:footnote>
  <w:footnote w:id="11">
    <w:p w:rsidR="00E1661A" w:rsidRPr="00CF1B62" w:rsidRDefault="00E1661A">
      <w:pPr>
        <w:pStyle w:val="Funotentext"/>
      </w:pPr>
      <w:r>
        <w:rPr>
          <w:rStyle w:val="Funotenzeichen"/>
        </w:rPr>
        <w:footnoteRef/>
      </w:r>
      <w:r>
        <w:t xml:space="preserve"> </w:t>
      </w:r>
      <w:r w:rsidRPr="00CF1B62">
        <w:t>Webster 1978: 15</w:t>
      </w:r>
    </w:p>
  </w:footnote>
  <w:footnote w:id="12">
    <w:p w:rsidR="00E1661A" w:rsidRPr="00CF1B62" w:rsidRDefault="00E1661A" w:rsidP="00516B60">
      <w:pPr>
        <w:pStyle w:val="Funotentext"/>
      </w:pPr>
      <w:r>
        <w:rPr>
          <w:rStyle w:val="Funotenzeichen"/>
        </w:rPr>
        <w:footnoteRef/>
      </w:r>
      <w:r w:rsidRPr="00CF1B62">
        <w:t xml:space="preserve"> Webster 1978: 16</w:t>
      </w:r>
    </w:p>
  </w:footnote>
  <w:footnote w:id="13">
    <w:p w:rsidR="00E1661A" w:rsidRPr="00CF1B62" w:rsidRDefault="00E1661A">
      <w:pPr>
        <w:pStyle w:val="Funotentext"/>
      </w:pPr>
      <w:r>
        <w:rPr>
          <w:rStyle w:val="Funotenzeichen"/>
        </w:rPr>
        <w:footnoteRef/>
      </w:r>
      <w:r>
        <w:t xml:space="preserve"> </w:t>
      </w:r>
      <w:r w:rsidRPr="00CF1B62">
        <w:t>Mattingly 2007: 26</w:t>
      </w:r>
    </w:p>
  </w:footnote>
  <w:footnote w:id="14">
    <w:p w:rsidR="00E1661A" w:rsidRPr="00CF1B62" w:rsidRDefault="00E1661A">
      <w:pPr>
        <w:pStyle w:val="Funotentext"/>
      </w:pPr>
      <w:r>
        <w:rPr>
          <w:rStyle w:val="Funotenzeichen"/>
        </w:rPr>
        <w:footnoteRef/>
      </w:r>
      <w:r w:rsidRPr="00CF1B62">
        <w:t xml:space="preserve"> </w:t>
      </w:r>
      <w:r>
        <w:t>Tac.</w:t>
      </w:r>
      <w:r w:rsidRPr="00167520">
        <w:rPr>
          <w:i/>
        </w:rPr>
        <w:t>Ann</w:t>
      </w:r>
      <w:r>
        <w:t>.</w:t>
      </w:r>
      <w:r w:rsidRPr="00CF1B62">
        <w:t>14.31</w:t>
      </w:r>
    </w:p>
  </w:footnote>
  <w:footnote w:id="15">
    <w:p w:rsidR="00E1661A" w:rsidRPr="00CF1B62" w:rsidRDefault="00E1661A">
      <w:pPr>
        <w:pStyle w:val="Funotentext"/>
      </w:pPr>
      <w:r>
        <w:rPr>
          <w:rStyle w:val="Funotenzeichen"/>
        </w:rPr>
        <w:footnoteRef/>
      </w:r>
      <w:r w:rsidRPr="00CF1B62">
        <w:t xml:space="preserve"> </w:t>
      </w:r>
      <w:r>
        <w:t>Tac.</w:t>
      </w:r>
      <w:r w:rsidRPr="00167520">
        <w:rPr>
          <w:i/>
        </w:rPr>
        <w:t>Ann</w:t>
      </w:r>
      <w:r>
        <w:t>.</w:t>
      </w:r>
      <w:r w:rsidRPr="00CF1B62">
        <w:t>14.31</w:t>
      </w:r>
    </w:p>
  </w:footnote>
  <w:footnote w:id="16">
    <w:p w:rsidR="00E1661A" w:rsidRPr="00CF1B62" w:rsidRDefault="00E1661A">
      <w:pPr>
        <w:pStyle w:val="Funotentext"/>
      </w:pPr>
      <w:r>
        <w:rPr>
          <w:rStyle w:val="Funotenzeichen"/>
        </w:rPr>
        <w:footnoteRef/>
      </w:r>
      <w:r>
        <w:t xml:space="preserve"> Tac.</w:t>
      </w:r>
      <w:r w:rsidRPr="00167520">
        <w:rPr>
          <w:i/>
        </w:rPr>
        <w:t>Ann</w:t>
      </w:r>
      <w:r>
        <w:t>.</w:t>
      </w:r>
      <w:r w:rsidRPr="00CF1B62">
        <w:t>14.32</w:t>
      </w:r>
    </w:p>
  </w:footnote>
  <w:footnote w:id="17">
    <w:p w:rsidR="00E1661A" w:rsidRPr="00CF1B62" w:rsidRDefault="00E1661A">
      <w:pPr>
        <w:pStyle w:val="Funotentext"/>
      </w:pPr>
      <w:r>
        <w:rPr>
          <w:rStyle w:val="Funotenzeichen"/>
        </w:rPr>
        <w:footnoteRef/>
      </w:r>
      <w:r>
        <w:t xml:space="preserve"> Tac.</w:t>
      </w:r>
      <w:r w:rsidRPr="00167520">
        <w:rPr>
          <w:i/>
        </w:rPr>
        <w:t>Ann</w:t>
      </w:r>
      <w:r>
        <w:t>.</w:t>
      </w:r>
      <w:r w:rsidRPr="00CF1B62">
        <w:t>14.35</w:t>
      </w:r>
    </w:p>
  </w:footnote>
  <w:footnote w:id="18">
    <w:p w:rsidR="00E1661A" w:rsidRPr="00CF1B62" w:rsidRDefault="00E1661A">
      <w:pPr>
        <w:pStyle w:val="Funotentext"/>
      </w:pPr>
      <w:r>
        <w:rPr>
          <w:rStyle w:val="Funotenzeichen"/>
        </w:rPr>
        <w:footnoteRef/>
      </w:r>
      <w:r>
        <w:t xml:space="preserve"> Tac.</w:t>
      </w:r>
      <w:r w:rsidRPr="00167520">
        <w:rPr>
          <w:i/>
        </w:rPr>
        <w:t>Ann</w:t>
      </w:r>
      <w:r>
        <w:t>.</w:t>
      </w:r>
      <w:r w:rsidRPr="00CF1B62">
        <w:t>14.35</w:t>
      </w:r>
    </w:p>
  </w:footnote>
  <w:footnote w:id="19">
    <w:p w:rsidR="00E1661A" w:rsidRPr="0092107F" w:rsidRDefault="00E1661A">
      <w:pPr>
        <w:pStyle w:val="Funotentext"/>
        <w:rPr>
          <w:lang w:val="de-DE"/>
        </w:rPr>
      </w:pPr>
      <w:r>
        <w:rPr>
          <w:rStyle w:val="Funotenzeichen"/>
        </w:rPr>
        <w:footnoteRef/>
      </w:r>
      <w:r>
        <w:t xml:space="preserve"> Tac.</w:t>
      </w:r>
      <w:r w:rsidRPr="00167520">
        <w:rPr>
          <w:i/>
        </w:rPr>
        <w:t>Ann</w:t>
      </w:r>
      <w:r>
        <w:t>.</w:t>
      </w:r>
      <w:r>
        <w:rPr>
          <w:lang w:val="de-DE"/>
        </w:rPr>
        <w:t>14.35</w:t>
      </w:r>
    </w:p>
  </w:footnote>
  <w:footnote w:id="20">
    <w:p w:rsidR="00E1661A" w:rsidRPr="00B12A27" w:rsidRDefault="00E1661A">
      <w:pPr>
        <w:pStyle w:val="Funotentext"/>
        <w:rPr>
          <w:lang w:val="de-DE"/>
        </w:rPr>
      </w:pPr>
      <w:r>
        <w:rPr>
          <w:rStyle w:val="Funotenzeichen"/>
        </w:rPr>
        <w:footnoteRef/>
      </w:r>
      <w:r w:rsidRPr="00171F47">
        <w:rPr>
          <w:lang w:val="de-DE"/>
        </w:rPr>
        <w:t xml:space="preserve"> </w:t>
      </w:r>
      <w:r>
        <w:rPr>
          <w:lang w:val="de-DE"/>
        </w:rPr>
        <w:t>Webster 1978: 102</w:t>
      </w:r>
    </w:p>
  </w:footnote>
  <w:footnote w:id="21">
    <w:p w:rsidR="00E1661A" w:rsidRPr="00A319E1" w:rsidRDefault="00E1661A">
      <w:pPr>
        <w:pStyle w:val="Funotentext"/>
      </w:pPr>
      <w:r>
        <w:rPr>
          <w:rStyle w:val="Funotenzeichen"/>
        </w:rPr>
        <w:footnoteRef/>
      </w:r>
      <w:r w:rsidRPr="00A319E1">
        <w:t xml:space="preserve"> Bulst 1961: 499</w:t>
      </w:r>
    </w:p>
  </w:footnote>
  <w:footnote w:id="22">
    <w:p w:rsidR="00E1661A" w:rsidRPr="00A319E1" w:rsidRDefault="00E1661A">
      <w:pPr>
        <w:pStyle w:val="Funotentext"/>
      </w:pPr>
      <w:r>
        <w:rPr>
          <w:rStyle w:val="Funotenzeichen"/>
        </w:rPr>
        <w:footnoteRef/>
      </w:r>
      <w:r w:rsidRPr="00A319E1">
        <w:t xml:space="preserve"> </w:t>
      </w:r>
      <w:r>
        <w:t>Tac.</w:t>
      </w:r>
      <w:r w:rsidRPr="00167520">
        <w:rPr>
          <w:i/>
        </w:rPr>
        <w:t>Ann</w:t>
      </w:r>
      <w:r>
        <w:t>.</w:t>
      </w:r>
      <w:r w:rsidRPr="00A319E1">
        <w:t xml:space="preserve">14.34,36 and </w:t>
      </w:r>
      <w:r>
        <w:t>Roberts 1988: 122-123</w:t>
      </w:r>
    </w:p>
  </w:footnote>
  <w:footnote w:id="23">
    <w:p w:rsidR="00E1661A" w:rsidRPr="00A319E1" w:rsidRDefault="00E1661A">
      <w:pPr>
        <w:pStyle w:val="Funotentext"/>
      </w:pPr>
      <w:r>
        <w:rPr>
          <w:rStyle w:val="Funotenzeichen"/>
        </w:rPr>
        <w:footnoteRef/>
      </w:r>
      <w:r>
        <w:t xml:space="preserve"> </w:t>
      </w:r>
      <w:r w:rsidRPr="00A319E1">
        <w:t>Tac.</w:t>
      </w:r>
      <w:r w:rsidRPr="00A319E1">
        <w:rPr>
          <w:i/>
        </w:rPr>
        <w:t>Ann.</w:t>
      </w:r>
      <w:r w:rsidRPr="00A319E1">
        <w:t>14.32</w:t>
      </w:r>
    </w:p>
  </w:footnote>
  <w:footnote w:id="24">
    <w:p w:rsidR="00E1661A" w:rsidRPr="00A319E1" w:rsidRDefault="00E1661A">
      <w:pPr>
        <w:pStyle w:val="Funotentext"/>
      </w:pPr>
      <w:r>
        <w:rPr>
          <w:rStyle w:val="Funotenzeichen"/>
        </w:rPr>
        <w:footnoteRef/>
      </w:r>
      <w:r>
        <w:t xml:space="preserve"> Tac.</w:t>
      </w:r>
      <w:r>
        <w:rPr>
          <w:i/>
        </w:rPr>
        <w:t>Ann.</w:t>
      </w:r>
      <w:r>
        <w:t>14. 33</w:t>
      </w:r>
    </w:p>
  </w:footnote>
  <w:footnote w:id="25">
    <w:p w:rsidR="00E1661A" w:rsidRPr="00E77601" w:rsidRDefault="00E1661A">
      <w:pPr>
        <w:pStyle w:val="Funotentext"/>
      </w:pPr>
      <w:r>
        <w:rPr>
          <w:rStyle w:val="Funotenzeichen"/>
        </w:rPr>
        <w:footnoteRef/>
      </w:r>
      <w:r>
        <w:t xml:space="preserve"> </w:t>
      </w:r>
      <w:r w:rsidRPr="00E77601">
        <w:t>Roberts 1988: 121</w:t>
      </w:r>
    </w:p>
  </w:footnote>
  <w:footnote w:id="26">
    <w:p w:rsidR="00E1661A" w:rsidRPr="00E77601" w:rsidRDefault="00E1661A">
      <w:pPr>
        <w:pStyle w:val="Funotentext"/>
      </w:pPr>
      <w:r>
        <w:rPr>
          <w:rStyle w:val="Funotenzeichen"/>
        </w:rPr>
        <w:footnoteRef/>
      </w:r>
      <w:r>
        <w:t xml:space="preserve"> Roberts 1988: 122</w:t>
      </w:r>
    </w:p>
  </w:footnote>
  <w:footnote w:id="27">
    <w:p w:rsidR="00E1661A" w:rsidRPr="005D6557" w:rsidRDefault="00E1661A">
      <w:pPr>
        <w:pStyle w:val="Funotentext"/>
      </w:pPr>
      <w:r>
        <w:rPr>
          <w:rStyle w:val="Funotenzeichen"/>
        </w:rPr>
        <w:footnoteRef/>
      </w:r>
      <w:r>
        <w:t xml:space="preserve"> Tac.</w:t>
      </w:r>
      <w:r>
        <w:rPr>
          <w:i/>
        </w:rPr>
        <w:t>Ann.</w:t>
      </w:r>
      <w:r>
        <w:t xml:space="preserve">14.36 and </w:t>
      </w:r>
      <w:r w:rsidRPr="005D6557">
        <w:t>Roberts 1988: 122-123</w:t>
      </w:r>
    </w:p>
  </w:footnote>
  <w:footnote w:id="28">
    <w:p w:rsidR="00E1661A" w:rsidRPr="005D6557" w:rsidRDefault="00E1661A">
      <w:pPr>
        <w:pStyle w:val="Funotentext"/>
        <w:rPr>
          <w:lang w:val="de-DE"/>
        </w:rPr>
      </w:pPr>
      <w:r>
        <w:rPr>
          <w:rStyle w:val="Funotenzeichen"/>
        </w:rPr>
        <w:footnoteRef/>
      </w:r>
      <w:r>
        <w:t xml:space="preserve"> </w:t>
      </w:r>
      <w:r>
        <w:rPr>
          <w:lang w:val="de-DE"/>
        </w:rPr>
        <w:t>Roberts 1988: 125</w:t>
      </w:r>
    </w:p>
  </w:footnote>
  <w:footnote w:id="29">
    <w:p w:rsidR="00E1661A" w:rsidRPr="00A319E1" w:rsidRDefault="00E1661A">
      <w:pPr>
        <w:pStyle w:val="Funotentext"/>
      </w:pPr>
      <w:r>
        <w:rPr>
          <w:rStyle w:val="Funotenzeichen"/>
        </w:rPr>
        <w:footnoteRef/>
      </w:r>
      <w:r w:rsidRPr="00A319E1">
        <w:t xml:space="preserve"> </w:t>
      </w:r>
      <w:r>
        <w:t>Tac.</w:t>
      </w:r>
      <w:r w:rsidRPr="00167520">
        <w:rPr>
          <w:i/>
        </w:rPr>
        <w:t>Ann</w:t>
      </w:r>
      <w:r>
        <w:t>.</w:t>
      </w:r>
      <w:r w:rsidRPr="00A319E1">
        <w:t>14.37</w:t>
      </w:r>
    </w:p>
  </w:footnote>
  <w:footnote w:id="30">
    <w:p w:rsidR="00E1661A" w:rsidRPr="00A319E1" w:rsidRDefault="00E1661A">
      <w:pPr>
        <w:pStyle w:val="Funotentext"/>
      </w:pPr>
      <w:r>
        <w:rPr>
          <w:rStyle w:val="Funotenzeichen"/>
        </w:rPr>
        <w:footnoteRef/>
      </w:r>
      <w:r>
        <w:t xml:space="preserve"> </w:t>
      </w:r>
      <w:r w:rsidRPr="00A319E1">
        <w:t>Jones 2006: 133</w:t>
      </w:r>
    </w:p>
  </w:footnote>
  <w:footnote w:id="31">
    <w:p w:rsidR="00E1661A" w:rsidRPr="00A319E1" w:rsidRDefault="00E1661A">
      <w:pPr>
        <w:pStyle w:val="Funotentext"/>
      </w:pPr>
      <w:r>
        <w:rPr>
          <w:rStyle w:val="Funotenzeichen"/>
        </w:rPr>
        <w:footnoteRef/>
      </w:r>
      <w:r>
        <w:t xml:space="preserve"> </w:t>
      </w:r>
      <w:r w:rsidRPr="00A319E1">
        <w:t>Jones 2006: 133</w:t>
      </w:r>
    </w:p>
  </w:footnote>
  <w:footnote w:id="32">
    <w:p w:rsidR="00E1661A" w:rsidRPr="000E782D" w:rsidRDefault="00E1661A">
      <w:pPr>
        <w:pStyle w:val="Funotentext"/>
        <w:rPr>
          <w:lang w:val="de-DE"/>
        </w:rPr>
      </w:pPr>
      <w:r>
        <w:rPr>
          <w:rStyle w:val="Funotenzeichen"/>
        </w:rPr>
        <w:footnoteRef/>
      </w:r>
      <w:r>
        <w:t xml:space="preserve"> </w:t>
      </w:r>
      <w:r>
        <w:rPr>
          <w:lang w:val="de-DE"/>
        </w:rPr>
        <w:t>Livy Ab Urbe Condita.133.54</w:t>
      </w:r>
    </w:p>
  </w:footnote>
  <w:footnote w:id="33">
    <w:p w:rsidR="00E1661A" w:rsidRPr="00FF4909" w:rsidRDefault="00E1661A">
      <w:pPr>
        <w:pStyle w:val="Funotentext"/>
        <w:rPr>
          <w:lang w:val="de-DE"/>
        </w:rPr>
      </w:pPr>
      <w:r>
        <w:rPr>
          <w:rStyle w:val="Funotenzeichen"/>
        </w:rPr>
        <w:footnoteRef/>
      </w:r>
      <w:r>
        <w:t xml:space="preserve"> Tac.</w:t>
      </w:r>
      <w:r w:rsidRPr="00167520">
        <w:rPr>
          <w:i/>
        </w:rPr>
        <w:t>Ann</w:t>
      </w:r>
      <w:r>
        <w:t>.</w:t>
      </w:r>
      <w:r>
        <w:rPr>
          <w:lang w:val="de-DE"/>
        </w:rPr>
        <w:t>14.29</w:t>
      </w:r>
    </w:p>
  </w:footnote>
  <w:footnote w:id="34">
    <w:p w:rsidR="00E1661A" w:rsidRPr="006079A9" w:rsidRDefault="00E1661A">
      <w:pPr>
        <w:pStyle w:val="Funotentext"/>
      </w:pPr>
      <w:r>
        <w:rPr>
          <w:rStyle w:val="Funotenzeichen"/>
        </w:rPr>
        <w:footnoteRef/>
      </w:r>
      <w:r>
        <w:t xml:space="preserve"> Tac.</w:t>
      </w:r>
      <w:r w:rsidRPr="00167520">
        <w:rPr>
          <w:i/>
        </w:rPr>
        <w:t>Ann</w:t>
      </w:r>
      <w:r>
        <w:t>.</w:t>
      </w:r>
      <w:r w:rsidRPr="006079A9">
        <w:t>14.30-39 and Webster 1978: 15</w:t>
      </w:r>
    </w:p>
  </w:footnote>
  <w:footnote w:id="35">
    <w:p w:rsidR="00E1661A" w:rsidRPr="006079A9" w:rsidRDefault="00E1661A">
      <w:pPr>
        <w:pStyle w:val="Funotentext"/>
      </w:pPr>
      <w:r>
        <w:rPr>
          <w:rStyle w:val="Funotenzeichen"/>
        </w:rPr>
        <w:footnoteRef/>
      </w:r>
      <w:r>
        <w:t xml:space="preserve"> </w:t>
      </w:r>
      <w:r w:rsidRPr="006079A9">
        <w:t>Roberts 1988: 128</w:t>
      </w:r>
    </w:p>
  </w:footnote>
  <w:footnote w:id="36">
    <w:p w:rsidR="00E1661A" w:rsidRPr="006079A9" w:rsidRDefault="00E1661A">
      <w:pPr>
        <w:pStyle w:val="Funotentext"/>
      </w:pPr>
      <w:r>
        <w:rPr>
          <w:rStyle w:val="Funotenzeichen"/>
        </w:rPr>
        <w:footnoteRef/>
      </w:r>
      <w:r>
        <w:t xml:space="preserve"> </w:t>
      </w:r>
      <w:r w:rsidRPr="006079A9">
        <w:t>Roberts 1988: 127</w:t>
      </w:r>
      <w:r>
        <w:t>-129</w:t>
      </w:r>
    </w:p>
  </w:footnote>
  <w:footnote w:id="37">
    <w:p w:rsidR="00E1661A" w:rsidRPr="00CF1B62" w:rsidRDefault="00E1661A">
      <w:pPr>
        <w:pStyle w:val="Funotentext"/>
      </w:pPr>
      <w:r>
        <w:rPr>
          <w:rStyle w:val="Funotenzeichen"/>
        </w:rPr>
        <w:footnoteRef/>
      </w:r>
      <w:r>
        <w:t xml:space="preserve"> </w:t>
      </w:r>
      <w:r w:rsidRPr="00CF1B62">
        <w:t>Webster 1978: 16-17</w:t>
      </w:r>
    </w:p>
  </w:footnote>
  <w:footnote w:id="38">
    <w:p w:rsidR="00E1661A" w:rsidRPr="00516B60" w:rsidRDefault="00E1661A">
      <w:pPr>
        <w:pStyle w:val="Funotentext"/>
      </w:pPr>
      <w:r>
        <w:rPr>
          <w:rStyle w:val="Funotenzeichen"/>
        </w:rPr>
        <w:footnoteRef/>
      </w:r>
      <w:r>
        <w:t xml:space="preserve"> Cass.Dio.</w:t>
      </w:r>
      <w:r w:rsidRPr="00167520">
        <w:rPr>
          <w:i/>
        </w:rPr>
        <w:t>Hist</w:t>
      </w:r>
      <w:r>
        <w:t>.</w:t>
      </w:r>
      <w:r w:rsidRPr="00516B60">
        <w:t>62.1.</w:t>
      </w:r>
    </w:p>
  </w:footnote>
  <w:footnote w:id="39">
    <w:p w:rsidR="00E1661A" w:rsidRPr="00516B60" w:rsidRDefault="00E1661A">
      <w:pPr>
        <w:pStyle w:val="Funotentext"/>
      </w:pPr>
      <w:r>
        <w:rPr>
          <w:rStyle w:val="Funotenzeichen"/>
        </w:rPr>
        <w:footnoteRef/>
      </w:r>
      <w:r>
        <w:t xml:space="preserve"> Cass.Dio.</w:t>
      </w:r>
      <w:r w:rsidRPr="00167520">
        <w:rPr>
          <w:i/>
        </w:rPr>
        <w:t>Hist</w:t>
      </w:r>
      <w:r>
        <w:t>.</w:t>
      </w:r>
      <w:r w:rsidRPr="00516B60">
        <w:t>61-62.1</w:t>
      </w:r>
    </w:p>
  </w:footnote>
  <w:footnote w:id="40">
    <w:p w:rsidR="00E1661A" w:rsidRPr="00516B60" w:rsidRDefault="00E1661A">
      <w:pPr>
        <w:pStyle w:val="Funotentext"/>
      </w:pPr>
      <w:r>
        <w:rPr>
          <w:rStyle w:val="Funotenzeichen"/>
        </w:rPr>
        <w:footnoteRef/>
      </w:r>
      <w:r>
        <w:t xml:space="preserve"> Cass.Dio.</w:t>
      </w:r>
      <w:r w:rsidRPr="00167520">
        <w:rPr>
          <w:i/>
        </w:rPr>
        <w:t>Hist</w:t>
      </w:r>
      <w:r>
        <w:t>.</w:t>
      </w:r>
      <w:r w:rsidRPr="00516B60">
        <w:t>62.2</w:t>
      </w:r>
    </w:p>
  </w:footnote>
  <w:footnote w:id="41">
    <w:p w:rsidR="00E1661A" w:rsidRPr="00F25B42" w:rsidRDefault="00E1661A">
      <w:pPr>
        <w:pStyle w:val="Funotentext"/>
      </w:pPr>
      <w:r>
        <w:rPr>
          <w:rStyle w:val="Funotenzeichen"/>
        </w:rPr>
        <w:footnoteRef/>
      </w:r>
      <w:r>
        <w:t xml:space="preserve"> Cass.Dio.</w:t>
      </w:r>
      <w:r w:rsidRPr="00167520">
        <w:rPr>
          <w:i/>
        </w:rPr>
        <w:t>Hist</w:t>
      </w:r>
      <w:r>
        <w:t>.</w:t>
      </w:r>
      <w:r w:rsidRPr="00F25B42">
        <w:t xml:space="preserve">62.3 and </w:t>
      </w:r>
      <w:r>
        <w:t>Tac.</w:t>
      </w:r>
      <w:r>
        <w:rPr>
          <w:i/>
        </w:rPr>
        <w:t>Ann.</w:t>
      </w:r>
      <w:r w:rsidRPr="00F25B42">
        <w:t>14.</w:t>
      </w:r>
      <w:r>
        <w:t>35</w:t>
      </w:r>
    </w:p>
  </w:footnote>
  <w:footnote w:id="42">
    <w:p w:rsidR="00E1661A" w:rsidRPr="0060344F" w:rsidRDefault="00E1661A">
      <w:pPr>
        <w:pStyle w:val="Funotentext"/>
      </w:pPr>
      <w:r>
        <w:rPr>
          <w:rStyle w:val="Funotenzeichen"/>
        </w:rPr>
        <w:footnoteRef/>
      </w:r>
      <w:r>
        <w:t xml:space="preserve"> Webster 1978: 17</w:t>
      </w:r>
    </w:p>
  </w:footnote>
  <w:footnote w:id="43">
    <w:p w:rsidR="00E1661A" w:rsidRPr="00CF1B62" w:rsidRDefault="00E1661A">
      <w:pPr>
        <w:pStyle w:val="Funotentext"/>
      </w:pPr>
      <w:r>
        <w:rPr>
          <w:rStyle w:val="Funotenzeichen"/>
        </w:rPr>
        <w:footnoteRef/>
      </w:r>
      <w:r>
        <w:t>Cass.Dio.</w:t>
      </w:r>
      <w:r w:rsidRPr="00167520">
        <w:rPr>
          <w:i/>
        </w:rPr>
        <w:t>Hist</w:t>
      </w:r>
      <w:r>
        <w:t>.</w:t>
      </w:r>
      <w:r w:rsidRPr="00CF1B62">
        <w:t>62.6</w:t>
      </w:r>
    </w:p>
  </w:footnote>
  <w:footnote w:id="44">
    <w:p w:rsidR="00E1661A" w:rsidRPr="00CF1B62" w:rsidRDefault="00E1661A">
      <w:pPr>
        <w:pStyle w:val="Funotentext"/>
      </w:pPr>
      <w:r>
        <w:rPr>
          <w:rStyle w:val="Funotenzeichen"/>
        </w:rPr>
        <w:footnoteRef/>
      </w:r>
      <w:r>
        <w:t xml:space="preserve"> </w:t>
      </w:r>
      <w:r w:rsidRPr="00CF1B62">
        <w:t>Mattingly 2007: 26</w:t>
      </w:r>
    </w:p>
  </w:footnote>
  <w:footnote w:id="45">
    <w:p w:rsidR="00E1661A" w:rsidRPr="00BD114B" w:rsidRDefault="00E1661A">
      <w:pPr>
        <w:pStyle w:val="Funotentext"/>
      </w:pPr>
      <w:r>
        <w:rPr>
          <w:rStyle w:val="Funotenzeichen"/>
        </w:rPr>
        <w:footnoteRef/>
      </w:r>
      <w:r>
        <w:t xml:space="preserve"> Cass.Dio.</w:t>
      </w:r>
      <w:r w:rsidRPr="00167520">
        <w:rPr>
          <w:i/>
        </w:rPr>
        <w:t>Hist</w:t>
      </w:r>
      <w:r>
        <w:t>.</w:t>
      </w:r>
      <w:r w:rsidRPr="00BD114B">
        <w:t>62.</w:t>
      </w:r>
      <w:r w:rsidRPr="00D12027">
        <w:t xml:space="preserve">1-8 </w:t>
      </w:r>
      <w:r w:rsidRPr="00BD114B">
        <w:t xml:space="preserve">and </w:t>
      </w:r>
      <w:r>
        <w:t>Tac.</w:t>
      </w:r>
      <w:r>
        <w:rPr>
          <w:i/>
        </w:rPr>
        <w:t>Ann.</w:t>
      </w:r>
      <w:r w:rsidRPr="00BD114B">
        <w:t>14.30-39</w:t>
      </w:r>
    </w:p>
  </w:footnote>
  <w:footnote w:id="46">
    <w:p w:rsidR="00E1661A" w:rsidRPr="00CF1B62" w:rsidRDefault="00E1661A">
      <w:pPr>
        <w:pStyle w:val="Funotentext"/>
      </w:pPr>
      <w:r>
        <w:rPr>
          <w:rStyle w:val="Funotenzeichen"/>
        </w:rPr>
        <w:footnoteRef/>
      </w:r>
      <w:r>
        <w:t xml:space="preserve"> Cass.Dio.</w:t>
      </w:r>
      <w:r w:rsidRPr="00167520">
        <w:rPr>
          <w:i/>
        </w:rPr>
        <w:t>Hist</w:t>
      </w:r>
      <w:r>
        <w:t>.</w:t>
      </w:r>
      <w:r w:rsidRPr="00CF1B62">
        <w:t>62.6</w:t>
      </w:r>
    </w:p>
  </w:footnote>
  <w:footnote w:id="47">
    <w:p w:rsidR="00E1661A" w:rsidRPr="00CF1B62" w:rsidRDefault="00E1661A">
      <w:pPr>
        <w:pStyle w:val="Funotentext"/>
      </w:pPr>
      <w:r>
        <w:rPr>
          <w:rStyle w:val="Funotenzeichen"/>
        </w:rPr>
        <w:footnoteRef/>
      </w:r>
      <w:r>
        <w:t xml:space="preserve"> Cass.Dio.</w:t>
      </w:r>
      <w:r w:rsidRPr="00167520">
        <w:rPr>
          <w:i/>
        </w:rPr>
        <w:t>Hist</w:t>
      </w:r>
      <w:r>
        <w:t>.</w:t>
      </w:r>
      <w:r w:rsidRPr="00CF1B62">
        <w:t>62.6</w:t>
      </w:r>
    </w:p>
  </w:footnote>
  <w:footnote w:id="48">
    <w:p w:rsidR="00E1661A" w:rsidRPr="00CF1B62" w:rsidRDefault="00E1661A">
      <w:pPr>
        <w:pStyle w:val="Funotentext"/>
      </w:pPr>
      <w:r>
        <w:rPr>
          <w:rStyle w:val="Funotenzeichen"/>
        </w:rPr>
        <w:footnoteRef/>
      </w:r>
      <w:r>
        <w:t>Cass.Dio.</w:t>
      </w:r>
      <w:r w:rsidRPr="00167520">
        <w:rPr>
          <w:i/>
        </w:rPr>
        <w:t>Hist</w:t>
      </w:r>
      <w:r>
        <w:t>.</w:t>
      </w:r>
      <w:r w:rsidRPr="00CF1B62">
        <w:t>62.7-8</w:t>
      </w:r>
    </w:p>
  </w:footnote>
  <w:footnote w:id="49">
    <w:p w:rsidR="00E1661A" w:rsidRPr="00CF1B62" w:rsidRDefault="00E1661A">
      <w:pPr>
        <w:pStyle w:val="Funotentext"/>
      </w:pPr>
      <w:r>
        <w:rPr>
          <w:rStyle w:val="Funotenzeichen"/>
        </w:rPr>
        <w:footnoteRef/>
      </w:r>
      <w:r>
        <w:t xml:space="preserve"> Cass.Dio.</w:t>
      </w:r>
      <w:r w:rsidRPr="00167520">
        <w:rPr>
          <w:i/>
        </w:rPr>
        <w:t>Hist</w:t>
      </w:r>
      <w:r>
        <w:t>.</w:t>
      </w:r>
      <w:r w:rsidRPr="00CF1B62">
        <w:t>62.12</w:t>
      </w:r>
    </w:p>
  </w:footnote>
  <w:footnote w:id="50">
    <w:p w:rsidR="00E1661A" w:rsidRPr="00CF1B62" w:rsidRDefault="00E1661A">
      <w:pPr>
        <w:pStyle w:val="Funotentext"/>
      </w:pPr>
      <w:r>
        <w:rPr>
          <w:rStyle w:val="Funotenzeichen"/>
        </w:rPr>
        <w:footnoteRef/>
      </w:r>
      <w:r>
        <w:t xml:space="preserve"> Cass.Dio.</w:t>
      </w:r>
      <w:r w:rsidRPr="00167520">
        <w:rPr>
          <w:i/>
        </w:rPr>
        <w:t>Hist</w:t>
      </w:r>
      <w:r>
        <w:t>.</w:t>
      </w:r>
      <w:r w:rsidRPr="00CF1B62">
        <w:t>62.12</w:t>
      </w:r>
    </w:p>
  </w:footnote>
  <w:footnote w:id="51">
    <w:p w:rsidR="00E1661A" w:rsidRPr="00EB11AB" w:rsidRDefault="00E1661A">
      <w:pPr>
        <w:pStyle w:val="Funotentext"/>
      </w:pPr>
      <w:r>
        <w:rPr>
          <w:rStyle w:val="Funotenzeichen"/>
        </w:rPr>
        <w:footnoteRef/>
      </w:r>
      <w:r>
        <w:t xml:space="preserve"> </w:t>
      </w:r>
      <w:r w:rsidRPr="00EB11AB">
        <w:t>Todd 2007: 14</w:t>
      </w:r>
    </w:p>
  </w:footnote>
  <w:footnote w:id="52">
    <w:p w:rsidR="00E1661A" w:rsidRPr="00CF1B62" w:rsidRDefault="00E1661A">
      <w:pPr>
        <w:pStyle w:val="Funotentext"/>
      </w:pPr>
      <w:r>
        <w:rPr>
          <w:rStyle w:val="Funotenzeichen"/>
        </w:rPr>
        <w:footnoteRef/>
      </w:r>
      <w:r>
        <w:t xml:space="preserve"> </w:t>
      </w:r>
      <w:r w:rsidRPr="00CF1B62">
        <w:t>Bulst 1961: 498</w:t>
      </w:r>
    </w:p>
  </w:footnote>
  <w:footnote w:id="53">
    <w:p w:rsidR="00E1661A" w:rsidRPr="00EB11AB" w:rsidRDefault="00E1661A">
      <w:pPr>
        <w:pStyle w:val="Funotentext"/>
      </w:pPr>
      <w:r>
        <w:rPr>
          <w:rStyle w:val="Funotenzeichen"/>
        </w:rPr>
        <w:footnoteRef/>
      </w:r>
      <w:r>
        <w:t xml:space="preserve"> Tac.</w:t>
      </w:r>
      <w:r w:rsidRPr="00167520">
        <w:rPr>
          <w:i/>
        </w:rPr>
        <w:t>Ann</w:t>
      </w:r>
      <w:r>
        <w:t>.14.31</w:t>
      </w:r>
    </w:p>
  </w:footnote>
  <w:footnote w:id="54">
    <w:p w:rsidR="00E1661A" w:rsidRPr="00EB11AB" w:rsidRDefault="00E1661A">
      <w:pPr>
        <w:pStyle w:val="Funotentext"/>
      </w:pPr>
      <w:r>
        <w:rPr>
          <w:rStyle w:val="Funotenzeichen"/>
        </w:rPr>
        <w:footnoteRef/>
      </w:r>
      <w:r>
        <w:t xml:space="preserve"> Tac.</w:t>
      </w:r>
      <w:r w:rsidRPr="00167520">
        <w:rPr>
          <w:i/>
        </w:rPr>
        <w:t>Ann</w:t>
      </w:r>
      <w:r>
        <w:t>.</w:t>
      </w:r>
      <w:r w:rsidRPr="00EB11AB">
        <w:t xml:space="preserve">14.35 </w:t>
      </w:r>
    </w:p>
  </w:footnote>
  <w:footnote w:id="55">
    <w:p w:rsidR="00E1661A" w:rsidRPr="00EB11AB" w:rsidRDefault="00E1661A">
      <w:pPr>
        <w:pStyle w:val="Funotentext"/>
      </w:pPr>
      <w:r>
        <w:rPr>
          <w:rStyle w:val="Funotenzeichen"/>
        </w:rPr>
        <w:footnoteRef/>
      </w:r>
      <w:r>
        <w:t>Cass.Dio.</w:t>
      </w:r>
      <w:r w:rsidRPr="00167520">
        <w:rPr>
          <w:i/>
        </w:rPr>
        <w:t>Hist</w:t>
      </w:r>
      <w:r>
        <w:t>.</w:t>
      </w:r>
      <w:r w:rsidRPr="00EB11AB">
        <w:t>62.2</w:t>
      </w:r>
    </w:p>
  </w:footnote>
  <w:footnote w:id="56">
    <w:p w:rsidR="00E1661A" w:rsidRPr="00B416F1" w:rsidRDefault="00E1661A">
      <w:pPr>
        <w:pStyle w:val="Funotentext"/>
        <w:rPr>
          <w:lang w:val="de-DE"/>
        </w:rPr>
      </w:pPr>
      <w:r>
        <w:rPr>
          <w:rStyle w:val="Funotenzeichen"/>
        </w:rPr>
        <w:footnoteRef/>
      </w:r>
      <w:r>
        <w:t xml:space="preserve"> </w:t>
      </w:r>
      <w:r>
        <w:rPr>
          <w:lang w:val="de-DE"/>
        </w:rPr>
        <w:t>Williams 2009:46</w:t>
      </w:r>
    </w:p>
  </w:footnote>
  <w:footnote w:id="57">
    <w:p w:rsidR="00E1661A" w:rsidRPr="00303E21" w:rsidRDefault="00E1661A">
      <w:pPr>
        <w:pStyle w:val="Funotentext"/>
        <w:rPr>
          <w:lang w:val="de-DE"/>
        </w:rPr>
      </w:pPr>
      <w:r>
        <w:rPr>
          <w:rStyle w:val="Funotenzeichen"/>
        </w:rPr>
        <w:footnoteRef/>
      </w:r>
      <w:r>
        <w:t xml:space="preserve"> </w:t>
      </w:r>
      <w:r>
        <w:rPr>
          <w:lang w:val="de-DE"/>
        </w:rPr>
        <w:t>Webster 1978: 20</w:t>
      </w:r>
    </w:p>
  </w:footnote>
  <w:footnote w:id="58">
    <w:p w:rsidR="00E1661A" w:rsidRPr="00303E21" w:rsidRDefault="00E1661A">
      <w:pPr>
        <w:pStyle w:val="Funotentext"/>
        <w:rPr>
          <w:lang w:val="de-DE"/>
        </w:rPr>
      </w:pPr>
      <w:r>
        <w:rPr>
          <w:rStyle w:val="Funotenzeichen"/>
        </w:rPr>
        <w:footnoteRef/>
      </w:r>
      <w:r>
        <w:t xml:space="preserve"> </w:t>
      </w:r>
      <w:r>
        <w:rPr>
          <w:lang w:val="de-DE"/>
        </w:rPr>
        <w:t>Webster 1978:19</w:t>
      </w:r>
    </w:p>
  </w:footnote>
  <w:footnote w:id="59">
    <w:p w:rsidR="00E1661A" w:rsidRPr="00212618" w:rsidRDefault="00E1661A">
      <w:pPr>
        <w:pStyle w:val="Funotentext"/>
        <w:rPr>
          <w:lang w:val="de-DE"/>
        </w:rPr>
      </w:pPr>
      <w:r>
        <w:rPr>
          <w:rStyle w:val="Funotenzeichen"/>
        </w:rPr>
        <w:footnoteRef/>
      </w:r>
      <w:r>
        <w:t xml:space="preserve"> </w:t>
      </w:r>
      <w:r>
        <w:rPr>
          <w:lang w:val="de-DE"/>
        </w:rPr>
        <w:t>Webster 1978: 47</w:t>
      </w:r>
    </w:p>
  </w:footnote>
  <w:footnote w:id="60">
    <w:p w:rsidR="00E1661A" w:rsidRPr="00212618" w:rsidRDefault="00E1661A">
      <w:pPr>
        <w:pStyle w:val="Funotentext"/>
        <w:rPr>
          <w:lang w:val="de-DE"/>
        </w:rPr>
      </w:pPr>
      <w:r>
        <w:rPr>
          <w:rStyle w:val="Funotenzeichen"/>
        </w:rPr>
        <w:footnoteRef/>
      </w:r>
      <w:r>
        <w:t xml:space="preserve"> </w:t>
      </w:r>
      <w:r>
        <w:rPr>
          <w:lang w:val="de-DE"/>
        </w:rPr>
        <w:t>Webster 1978. 48</w:t>
      </w:r>
    </w:p>
  </w:footnote>
  <w:footnote w:id="61">
    <w:p w:rsidR="00E1661A" w:rsidRPr="0049778A" w:rsidRDefault="00E1661A">
      <w:pPr>
        <w:pStyle w:val="Funotentext"/>
        <w:rPr>
          <w:lang w:val="de-DE"/>
        </w:rPr>
      </w:pPr>
      <w:r>
        <w:rPr>
          <w:rStyle w:val="Funotenzeichen"/>
        </w:rPr>
        <w:footnoteRef/>
      </w:r>
      <w:r>
        <w:t xml:space="preserve"> </w:t>
      </w:r>
      <w:r w:rsidRPr="00FC6D84">
        <w:t>Webster 1978: 48</w:t>
      </w:r>
    </w:p>
  </w:footnote>
  <w:footnote w:id="62">
    <w:p w:rsidR="00E1661A" w:rsidRPr="00FC6D84" w:rsidRDefault="00E1661A">
      <w:pPr>
        <w:pStyle w:val="Funotentext"/>
      </w:pPr>
      <w:r>
        <w:rPr>
          <w:rStyle w:val="Funotenzeichen"/>
        </w:rPr>
        <w:footnoteRef/>
      </w:r>
      <w:r>
        <w:t xml:space="preserve"> </w:t>
      </w:r>
      <w:r w:rsidRPr="00FC6D84">
        <w:t>Webster 1978: 48</w:t>
      </w:r>
    </w:p>
  </w:footnote>
  <w:footnote w:id="63">
    <w:p w:rsidR="00E1661A" w:rsidRPr="00FC6D84" w:rsidRDefault="00E1661A">
      <w:pPr>
        <w:pStyle w:val="Funotentext"/>
      </w:pPr>
      <w:r>
        <w:rPr>
          <w:rStyle w:val="Funotenzeichen"/>
        </w:rPr>
        <w:footnoteRef/>
      </w:r>
      <w:r>
        <w:t xml:space="preserve"> Tac.</w:t>
      </w:r>
      <w:r w:rsidRPr="00167520">
        <w:rPr>
          <w:i/>
        </w:rPr>
        <w:t>Ann</w:t>
      </w:r>
      <w:r>
        <w:t>.</w:t>
      </w:r>
      <w:r w:rsidRPr="00FC6D84">
        <w:t>14.31</w:t>
      </w:r>
    </w:p>
  </w:footnote>
  <w:footnote w:id="64">
    <w:p w:rsidR="00E1661A" w:rsidRPr="00FC6D84" w:rsidRDefault="00E1661A">
      <w:pPr>
        <w:pStyle w:val="Funotentext"/>
      </w:pPr>
      <w:r>
        <w:rPr>
          <w:rStyle w:val="Funotenzeichen"/>
        </w:rPr>
        <w:footnoteRef/>
      </w:r>
      <w:r>
        <w:t xml:space="preserve"> Cass.Dio.</w:t>
      </w:r>
      <w:r w:rsidRPr="00167520">
        <w:rPr>
          <w:i/>
        </w:rPr>
        <w:t>Hist</w:t>
      </w:r>
      <w:r>
        <w:t>.</w:t>
      </w:r>
      <w:r w:rsidRPr="00FC6D84">
        <w:t>62.2</w:t>
      </w:r>
    </w:p>
  </w:footnote>
  <w:footnote w:id="65">
    <w:p w:rsidR="00E1661A" w:rsidRPr="00FC6D84" w:rsidRDefault="00E1661A">
      <w:pPr>
        <w:pStyle w:val="Funotentext"/>
      </w:pPr>
      <w:r>
        <w:rPr>
          <w:rStyle w:val="Funotenzeichen"/>
        </w:rPr>
        <w:footnoteRef/>
      </w:r>
      <w:r>
        <w:t xml:space="preserve"> Bulst 1961: 499</w:t>
      </w:r>
    </w:p>
  </w:footnote>
  <w:footnote w:id="66">
    <w:p w:rsidR="00E1661A" w:rsidRPr="00487299" w:rsidRDefault="00E1661A">
      <w:pPr>
        <w:pStyle w:val="Funotentext"/>
      </w:pPr>
      <w:r>
        <w:rPr>
          <w:rStyle w:val="Funotenzeichen"/>
        </w:rPr>
        <w:footnoteRef/>
      </w:r>
      <w:r>
        <w:t xml:space="preserve"> British Museum 2017: ref no.1951,0402.2</w:t>
      </w:r>
    </w:p>
  </w:footnote>
  <w:footnote w:id="67">
    <w:p w:rsidR="00E1661A" w:rsidRPr="008E6AD6" w:rsidRDefault="00E1661A">
      <w:pPr>
        <w:pStyle w:val="Funotentext"/>
      </w:pPr>
      <w:r>
        <w:rPr>
          <w:rStyle w:val="Funotenzeichen"/>
        </w:rPr>
        <w:footnoteRef/>
      </w:r>
      <w:r>
        <w:t xml:space="preserve"> British Museum 2017: ref no.1951,0402.2</w:t>
      </w:r>
    </w:p>
  </w:footnote>
  <w:footnote w:id="68">
    <w:p w:rsidR="00E1661A" w:rsidRPr="003D1580" w:rsidRDefault="00E1661A">
      <w:pPr>
        <w:pStyle w:val="Funotentext"/>
      </w:pPr>
      <w:r>
        <w:rPr>
          <w:rStyle w:val="Funotenzeichen"/>
        </w:rPr>
        <w:footnoteRef/>
      </w:r>
      <w:r>
        <w:t xml:space="preserve"> Archaeology magazine 2017: Boudicca, Queen of the Iceni</w:t>
      </w:r>
    </w:p>
  </w:footnote>
  <w:footnote w:id="69">
    <w:p w:rsidR="00E1661A" w:rsidRPr="003D1580" w:rsidRDefault="00E1661A">
      <w:pPr>
        <w:pStyle w:val="Funotentext"/>
      </w:pPr>
      <w:r>
        <w:rPr>
          <w:rStyle w:val="Funotenzeichen"/>
        </w:rPr>
        <w:footnoteRef/>
      </w:r>
      <w:r>
        <w:t xml:space="preserve"> Archaeology magazine 2017: Boudicca, Queen of the Iceni</w:t>
      </w:r>
    </w:p>
  </w:footnote>
  <w:footnote w:id="70">
    <w:p w:rsidR="00E1661A" w:rsidRPr="00FC6D84" w:rsidRDefault="00E1661A">
      <w:pPr>
        <w:pStyle w:val="Funotentext"/>
      </w:pPr>
      <w:r>
        <w:rPr>
          <w:rStyle w:val="Funotenzeichen"/>
        </w:rPr>
        <w:footnoteRef/>
      </w:r>
      <w:r>
        <w:t xml:space="preserve"> </w:t>
      </w:r>
      <w:r w:rsidRPr="00FC6D84">
        <w:t>Mattingly 2007: 44</w:t>
      </w:r>
    </w:p>
  </w:footnote>
  <w:footnote w:id="71">
    <w:p w:rsidR="00647859" w:rsidRPr="00647859" w:rsidRDefault="00647859">
      <w:pPr>
        <w:pStyle w:val="Funotentext"/>
      </w:pPr>
      <w:r>
        <w:rPr>
          <w:rStyle w:val="Funotenzeichen"/>
        </w:rPr>
        <w:footnoteRef/>
      </w:r>
      <w:r>
        <w:t xml:space="preserve"> </w:t>
      </w:r>
      <w:r w:rsidRPr="00647859">
        <w:t>Tac.</w:t>
      </w:r>
      <w:r w:rsidRPr="00647859">
        <w:rPr>
          <w:i/>
        </w:rPr>
        <w:t>Ann.</w:t>
      </w:r>
      <w:r w:rsidRPr="00647859">
        <w:t>14 and Cass.Dio.</w:t>
      </w:r>
      <w:r>
        <w:rPr>
          <w:i/>
        </w:rPr>
        <w:t>Hist.</w:t>
      </w:r>
      <w:r>
        <w:t>62</w:t>
      </w:r>
    </w:p>
  </w:footnote>
  <w:footnote w:id="72">
    <w:p w:rsidR="00647859" w:rsidRPr="00647859" w:rsidRDefault="00647859">
      <w:pPr>
        <w:pStyle w:val="Funotentext"/>
        <w:rPr>
          <w:lang w:val="de-DE"/>
        </w:rPr>
      </w:pPr>
      <w:r>
        <w:rPr>
          <w:rStyle w:val="Funotenzeichen"/>
        </w:rPr>
        <w:footnoteRef/>
      </w:r>
      <w:r>
        <w:t xml:space="preserve"> </w:t>
      </w:r>
      <w:r>
        <w:rPr>
          <w:lang w:val="de-DE"/>
        </w:rPr>
        <w:t>Webster1978:16</w:t>
      </w:r>
    </w:p>
  </w:footnote>
  <w:footnote w:id="73">
    <w:p w:rsidR="00647859" w:rsidRPr="00647859" w:rsidRDefault="00647859">
      <w:pPr>
        <w:pStyle w:val="Funotentext"/>
        <w:rPr>
          <w:lang w:val="de-DE"/>
        </w:rPr>
      </w:pPr>
      <w:r>
        <w:rPr>
          <w:rStyle w:val="Funotenzeichen"/>
        </w:rPr>
        <w:footnoteRef/>
      </w:r>
      <w:r>
        <w:t xml:space="preserve"> </w:t>
      </w:r>
      <w:r>
        <w:rPr>
          <w:lang w:val="de-DE"/>
        </w:rPr>
        <w:t>Mattingly 2007: 26</w:t>
      </w:r>
    </w:p>
  </w:footnote>
  <w:footnote w:id="74">
    <w:p w:rsidR="00647859" w:rsidRPr="00647859" w:rsidRDefault="00647859">
      <w:pPr>
        <w:pStyle w:val="Funotentext"/>
        <w:rPr>
          <w:lang w:val="de-DE"/>
        </w:rPr>
      </w:pPr>
      <w:r>
        <w:rPr>
          <w:rStyle w:val="Funotenzeichen"/>
        </w:rPr>
        <w:footnoteRef/>
      </w:r>
      <w:r>
        <w:t xml:space="preserve"> </w:t>
      </w:r>
      <w:r>
        <w:rPr>
          <w:lang w:val="de-DE"/>
        </w:rPr>
        <w:t>Webster 1978:102</w:t>
      </w:r>
    </w:p>
  </w:footnote>
  <w:footnote w:id="75">
    <w:p w:rsidR="00647859" w:rsidRPr="00647859" w:rsidRDefault="00647859">
      <w:pPr>
        <w:pStyle w:val="Funotentext"/>
        <w:rPr>
          <w:lang w:val="de-DE"/>
        </w:rPr>
      </w:pPr>
      <w:r>
        <w:rPr>
          <w:rStyle w:val="Funotenzeichen"/>
        </w:rPr>
        <w:footnoteRef/>
      </w:r>
      <w:r>
        <w:t xml:space="preserve"> </w:t>
      </w:r>
      <w:r>
        <w:rPr>
          <w:lang w:val="de-DE"/>
        </w:rPr>
        <w:t>Bulst1961:499</w:t>
      </w:r>
    </w:p>
  </w:footnote>
  <w:footnote w:id="76">
    <w:p w:rsidR="00647859" w:rsidRPr="00647859" w:rsidRDefault="00647859">
      <w:pPr>
        <w:pStyle w:val="Funotentext"/>
        <w:rPr>
          <w:lang w:val="de-DE"/>
        </w:rPr>
      </w:pPr>
      <w:r>
        <w:rPr>
          <w:rStyle w:val="Funotenzeichen"/>
        </w:rPr>
        <w:footnoteRef/>
      </w:r>
      <w:r>
        <w:t xml:space="preserve"> </w:t>
      </w:r>
      <w:r>
        <w:rPr>
          <w:lang w:val="de-DE"/>
        </w:rPr>
        <w:t>Roberts 1988: 121-125</w:t>
      </w:r>
    </w:p>
  </w:footnote>
  <w:footnote w:id="77">
    <w:p w:rsidR="00647859" w:rsidRPr="00647859" w:rsidRDefault="00647859">
      <w:pPr>
        <w:pStyle w:val="Funotentext"/>
        <w:rPr>
          <w:lang w:val="de-DE"/>
        </w:rPr>
      </w:pPr>
      <w:r>
        <w:rPr>
          <w:rStyle w:val="Funotenzeichen"/>
        </w:rPr>
        <w:footnoteRef/>
      </w:r>
      <w:r>
        <w:t xml:space="preserve"> </w:t>
      </w:r>
      <w:r>
        <w:rPr>
          <w:lang w:val="de-DE"/>
        </w:rPr>
        <w:t>Jones 2006: 133</w:t>
      </w:r>
    </w:p>
  </w:footnote>
  <w:footnote w:id="78">
    <w:p w:rsidR="00647859" w:rsidRPr="00647859" w:rsidRDefault="00647859">
      <w:pPr>
        <w:pStyle w:val="Funotentext"/>
        <w:rPr>
          <w:lang w:val="de-DE"/>
        </w:rPr>
      </w:pPr>
      <w:r>
        <w:rPr>
          <w:rStyle w:val="Funotenzeichen"/>
        </w:rPr>
        <w:footnoteRef/>
      </w:r>
      <w:r>
        <w:t xml:space="preserve"> </w:t>
      </w:r>
      <w:r>
        <w:rPr>
          <w:lang w:val="de-DE"/>
        </w:rPr>
        <w:t>Webster 1978:16-17</w:t>
      </w:r>
    </w:p>
  </w:footnote>
  <w:footnote w:id="79">
    <w:p w:rsidR="00647859" w:rsidRPr="00647859" w:rsidRDefault="00647859">
      <w:pPr>
        <w:pStyle w:val="Funotentext"/>
        <w:rPr>
          <w:lang w:val="de-DE"/>
        </w:rPr>
      </w:pPr>
      <w:r>
        <w:rPr>
          <w:rStyle w:val="Funotenzeichen"/>
        </w:rPr>
        <w:footnoteRef/>
      </w:r>
      <w:r>
        <w:t xml:space="preserve"> </w:t>
      </w:r>
      <w:r>
        <w:rPr>
          <w:lang w:val="de-DE"/>
        </w:rPr>
        <w:t xml:space="preserve">Webster 1978:48 </w:t>
      </w:r>
    </w:p>
  </w:footnote>
  <w:footnote w:id="80">
    <w:p w:rsidR="00647859" w:rsidRPr="00647859" w:rsidRDefault="00647859">
      <w:pPr>
        <w:pStyle w:val="Funotentext"/>
        <w:rPr>
          <w:lang w:val="de-DE"/>
        </w:rPr>
      </w:pPr>
      <w:r>
        <w:rPr>
          <w:rStyle w:val="Funotenzeichen"/>
        </w:rPr>
        <w:footnoteRef/>
      </w:r>
      <w:r>
        <w:t xml:space="preserve"> </w:t>
      </w:r>
      <w:r w:rsidR="00F80239">
        <w:rPr>
          <w:lang w:val="de-DE"/>
        </w:rPr>
        <w:t>Williams 2009: 46</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FAD"/>
    <w:rsid w:val="0001625F"/>
    <w:rsid w:val="000207D3"/>
    <w:rsid w:val="000644B9"/>
    <w:rsid w:val="000824C7"/>
    <w:rsid w:val="000D74C3"/>
    <w:rsid w:val="000E782D"/>
    <w:rsid w:val="00146F0E"/>
    <w:rsid w:val="00155D63"/>
    <w:rsid w:val="00162A65"/>
    <w:rsid w:val="00167520"/>
    <w:rsid w:val="00171F47"/>
    <w:rsid w:val="00176A98"/>
    <w:rsid w:val="001A5E33"/>
    <w:rsid w:val="001E01B7"/>
    <w:rsid w:val="001F0348"/>
    <w:rsid w:val="00212618"/>
    <w:rsid w:val="00242D77"/>
    <w:rsid w:val="00266E54"/>
    <w:rsid w:val="00290E2F"/>
    <w:rsid w:val="0029792C"/>
    <w:rsid w:val="002C02B4"/>
    <w:rsid w:val="002C1B1D"/>
    <w:rsid w:val="00303E21"/>
    <w:rsid w:val="00316C5E"/>
    <w:rsid w:val="003358FF"/>
    <w:rsid w:val="003D1580"/>
    <w:rsid w:val="003D4A10"/>
    <w:rsid w:val="003F1642"/>
    <w:rsid w:val="0046723F"/>
    <w:rsid w:val="00486942"/>
    <w:rsid w:val="00487299"/>
    <w:rsid w:val="00495996"/>
    <w:rsid w:val="0049778A"/>
    <w:rsid w:val="004D4ED4"/>
    <w:rsid w:val="004D5749"/>
    <w:rsid w:val="00514BC4"/>
    <w:rsid w:val="00516B60"/>
    <w:rsid w:val="00535920"/>
    <w:rsid w:val="005B712B"/>
    <w:rsid w:val="005D6557"/>
    <w:rsid w:val="005E1197"/>
    <w:rsid w:val="005E458F"/>
    <w:rsid w:val="005E540D"/>
    <w:rsid w:val="0060344F"/>
    <w:rsid w:val="006079A9"/>
    <w:rsid w:val="00621F99"/>
    <w:rsid w:val="00647859"/>
    <w:rsid w:val="006B45A1"/>
    <w:rsid w:val="007347C8"/>
    <w:rsid w:val="0073630D"/>
    <w:rsid w:val="007637D7"/>
    <w:rsid w:val="00773C6D"/>
    <w:rsid w:val="00811845"/>
    <w:rsid w:val="008514A0"/>
    <w:rsid w:val="00867CC9"/>
    <w:rsid w:val="00867FAD"/>
    <w:rsid w:val="0087674E"/>
    <w:rsid w:val="008D05D4"/>
    <w:rsid w:val="008E6AD6"/>
    <w:rsid w:val="008F1470"/>
    <w:rsid w:val="0092107F"/>
    <w:rsid w:val="00925431"/>
    <w:rsid w:val="009267AB"/>
    <w:rsid w:val="00930166"/>
    <w:rsid w:val="00937CD0"/>
    <w:rsid w:val="00940A3D"/>
    <w:rsid w:val="009846A3"/>
    <w:rsid w:val="009A1611"/>
    <w:rsid w:val="009B64D9"/>
    <w:rsid w:val="009C10B2"/>
    <w:rsid w:val="00A27744"/>
    <w:rsid w:val="00A319E1"/>
    <w:rsid w:val="00A65089"/>
    <w:rsid w:val="00A72467"/>
    <w:rsid w:val="00A8686D"/>
    <w:rsid w:val="00A9567A"/>
    <w:rsid w:val="00AA1DDC"/>
    <w:rsid w:val="00AC3B85"/>
    <w:rsid w:val="00AF37FF"/>
    <w:rsid w:val="00B12A27"/>
    <w:rsid w:val="00B30AF7"/>
    <w:rsid w:val="00B416F1"/>
    <w:rsid w:val="00B503B5"/>
    <w:rsid w:val="00B5327A"/>
    <w:rsid w:val="00B66EA3"/>
    <w:rsid w:val="00B82D5F"/>
    <w:rsid w:val="00B87315"/>
    <w:rsid w:val="00B87A80"/>
    <w:rsid w:val="00BD114B"/>
    <w:rsid w:val="00C06E83"/>
    <w:rsid w:val="00C77EB9"/>
    <w:rsid w:val="00CB1E22"/>
    <w:rsid w:val="00CB6FF0"/>
    <w:rsid w:val="00CF15A4"/>
    <w:rsid w:val="00CF1B62"/>
    <w:rsid w:val="00CF2677"/>
    <w:rsid w:val="00D12027"/>
    <w:rsid w:val="00DB45CD"/>
    <w:rsid w:val="00E1661A"/>
    <w:rsid w:val="00E77601"/>
    <w:rsid w:val="00EB11AB"/>
    <w:rsid w:val="00EC51DA"/>
    <w:rsid w:val="00EE5B10"/>
    <w:rsid w:val="00F01BC8"/>
    <w:rsid w:val="00F25B42"/>
    <w:rsid w:val="00F2677B"/>
    <w:rsid w:val="00F271BB"/>
    <w:rsid w:val="00F64EF6"/>
    <w:rsid w:val="00F80239"/>
    <w:rsid w:val="00F964BA"/>
    <w:rsid w:val="00FC2A32"/>
    <w:rsid w:val="00FC6D84"/>
    <w:rsid w:val="00FF1FCC"/>
    <w:rsid w:val="00FF49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6B4524-590C-4DEC-BD7C-BD026565A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867FA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867FAD"/>
    <w:rPr>
      <w:sz w:val="20"/>
      <w:szCs w:val="20"/>
      <w:lang w:val="en-GB"/>
    </w:rPr>
  </w:style>
  <w:style w:type="character" w:styleId="Funotenzeichen">
    <w:name w:val="footnote reference"/>
    <w:basedOn w:val="Absatz-Standardschriftart"/>
    <w:uiPriority w:val="99"/>
    <w:semiHidden/>
    <w:unhideWhenUsed/>
    <w:rsid w:val="00867FAD"/>
    <w:rPr>
      <w:vertAlign w:val="superscript"/>
    </w:rPr>
  </w:style>
  <w:style w:type="character" w:styleId="Hervorhebung">
    <w:name w:val="Emphasis"/>
    <w:basedOn w:val="Absatz-Standardschriftart"/>
    <w:uiPriority w:val="20"/>
    <w:qFormat/>
    <w:rsid w:val="00290E2F"/>
    <w:rPr>
      <w:i/>
      <w:iCs/>
    </w:rPr>
  </w:style>
  <w:style w:type="character" w:styleId="Hyperlink">
    <w:name w:val="Hyperlink"/>
    <w:basedOn w:val="Absatz-Standardschriftart"/>
    <w:uiPriority w:val="99"/>
    <w:unhideWhenUsed/>
    <w:rsid w:val="00A650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ritishmuseum.org/research/collection_online/collection_object_details.aspx?objectId=828315&amp;partId=1" TargetMode="External"/><Relationship Id="rId4" Type="http://schemas.openxmlformats.org/officeDocument/2006/relationships/webSettings" Target="webSettings.xml"/><Relationship Id="rId9" Type="http://schemas.openxmlformats.org/officeDocument/2006/relationships/hyperlink" Target="https://www.archaeology.org/issues/100-features/lost-tombs/1090-boudicca-celtic-roman-empire-kings-cr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27F179C-8BD2-4632-AA75-F5DEB8CC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1937</Words>
  <Characters>12205</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Schokoladeneis Marzipan</dc:creator>
  <cp:keywords/>
  <dc:description/>
  <cp:lastModifiedBy>Schokoladeneis Marzipan</cp:lastModifiedBy>
  <cp:revision>98</cp:revision>
  <dcterms:created xsi:type="dcterms:W3CDTF">2017-12-14T17:31:00Z</dcterms:created>
  <dcterms:modified xsi:type="dcterms:W3CDTF">2017-12-15T23:54:00Z</dcterms:modified>
</cp:coreProperties>
</file>