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9E0167" w:rsidRDefault="009E0167" w14:paraId="42E968A5" w14:textId="77777777">
      <w:pPr>
        <w:pStyle w:val="Normal1"/>
        <w:spacing w:line="360" w:lineRule="auto"/>
        <w:jc w:val="center"/>
        <w:rPr>
          <w:b/>
          <w:sz w:val="32"/>
          <w:szCs w:val="32"/>
        </w:rPr>
      </w:pPr>
    </w:p>
    <w:p w:rsidR="009E0167" w:rsidRDefault="009E0167" w14:paraId="0F6058F0" w14:textId="77777777">
      <w:pPr>
        <w:pStyle w:val="Normal1"/>
        <w:spacing w:line="360" w:lineRule="auto"/>
        <w:jc w:val="center"/>
        <w:rPr>
          <w:b/>
          <w:sz w:val="32"/>
          <w:szCs w:val="32"/>
        </w:rPr>
      </w:pPr>
    </w:p>
    <w:p w:rsidR="009E0167" w:rsidRDefault="009E0167" w14:paraId="7E409E3D" w14:textId="77777777">
      <w:pPr>
        <w:pStyle w:val="Normal1"/>
        <w:spacing w:line="360" w:lineRule="auto"/>
        <w:jc w:val="center"/>
        <w:rPr>
          <w:b/>
          <w:sz w:val="32"/>
          <w:szCs w:val="32"/>
        </w:rPr>
      </w:pPr>
    </w:p>
    <w:p w:rsidR="009E0167" w:rsidRDefault="00E94999" w14:paraId="10038D10" w14:textId="77777777">
      <w:pPr>
        <w:pStyle w:val="Normal1"/>
        <w:spacing w:line="360" w:lineRule="auto"/>
        <w:jc w:val="center"/>
        <w:rPr>
          <w:b/>
          <w:sz w:val="32"/>
          <w:szCs w:val="32"/>
        </w:rPr>
      </w:pPr>
      <w:r>
        <w:rPr>
          <w:b/>
          <w:noProof/>
          <w:sz w:val="32"/>
          <w:szCs w:val="32"/>
        </w:rPr>
        <w:drawing>
          <wp:inline distT="114300" distB="114300" distL="114300" distR="114300" wp14:anchorId="27060537" wp14:editId="2D02E812">
            <wp:extent cx="2771775" cy="12382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2771775" cy="1238250"/>
                    </a:xfrm>
                    <a:prstGeom prst="rect">
                      <a:avLst/>
                    </a:prstGeom>
                  </pic:spPr>
                </pic:pic>
              </a:graphicData>
            </a:graphic>
          </wp:inline>
        </w:drawing>
      </w:r>
    </w:p>
    <w:p w:rsidR="009E0167" w:rsidP="5231EBCC" w:rsidRDefault="00E94999" w14:paraId="73475EE0" w14:textId="691C6596">
      <w:pPr>
        <w:pStyle w:val="Normal1"/>
        <w:spacing w:line="360" w:lineRule="auto"/>
        <w:jc w:val="center"/>
        <w:rPr>
          <w:b w:val="1"/>
          <w:bCs w:val="1"/>
          <w:sz w:val="36"/>
          <w:szCs w:val="36"/>
        </w:rPr>
      </w:pPr>
      <w:r w:rsidRPr="5231EBCC" w:rsidR="00E94999">
        <w:rPr>
          <w:b w:val="1"/>
          <w:bCs w:val="1"/>
          <w:sz w:val="36"/>
          <w:szCs w:val="36"/>
        </w:rPr>
        <w:t>BMIH6007 International Meetings Management for the Hotel Industry</w:t>
      </w:r>
    </w:p>
    <w:p w:rsidR="009E0167" w:rsidP="4BFA8FF3" w:rsidRDefault="00E94999" w14:paraId="140F9CD5" w14:textId="26A56BF2">
      <w:pPr>
        <w:pStyle w:val="Normal1"/>
        <w:spacing w:line="360" w:lineRule="auto"/>
        <w:jc w:val="center"/>
        <w:rPr>
          <w:b w:val="1"/>
          <w:bCs w:val="1"/>
          <w:sz w:val="36"/>
          <w:szCs w:val="36"/>
        </w:rPr>
      </w:pPr>
      <w:r w:rsidRPr="4BFA8FF3" w:rsidR="00E94999">
        <w:rPr>
          <w:b w:val="1"/>
          <w:bCs w:val="1"/>
          <w:sz w:val="36"/>
          <w:szCs w:val="36"/>
        </w:rPr>
        <w:t xml:space="preserve"> Feasibility Plan for an International Meeting</w:t>
      </w:r>
    </w:p>
    <w:p w:rsidR="009E0167" w:rsidRDefault="00E94999" w14:paraId="360048C2" w14:textId="177E0D23">
      <w:pPr>
        <w:pStyle w:val="Normal1"/>
        <w:spacing w:line="360" w:lineRule="auto"/>
        <w:jc w:val="center"/>
        <w:rPr>
          <w:sz w:val="36"/>
          <w:szCs w:val="36"/>
        </w:rPr>
      </w:pPr>
      <w:r w:rsidRPr="4BFA8FF3" w:rsidR="00E94999">
        <w:rPr>
          <w:sz w:val="36"/>
          <w:szCs w:val="36"/>
        </w:rPr>
        <w:t>Student Name:</w:t>
      </w:r>
      <w:r w:rsidRPr="4BFA8FF3" w:rsidR="4C3BF733">
        <w:rPr>
          <w:sz w:val="36"/>
          <w:szCs w:val="36"/>
        </w:rPr>
        <w:t xml:space="preserve"> Vasile Tudosie</w:t>
      </w:r>
    </w:p>
    <w:p w:rsidR="009E0167" w:rsidRDefault="00E94999" w14:paraId="43F408DA" w14:textId="7AF2F08C">
      <w:pPr>
        <w:pStyle w:val="Normal1"/>
        <w:spacing w:line="360" w:lineRule="auto"/>
        <w:jc w:val="center"/>
        <w:rPr>
          <w:sz w:val="36"/>
          <w:szCs w:val="36"/>
        </w:rPr>
      </w:pPr>
      <w:r w:rsidRPr="4BFA8FF3" w:rsidR="00E94999">
        <w:rPr>
          <w:sz w:val="36"/>
          <w:szCs w:val="36"/>
        </w:rPr>
        <w:t>Student ID:</w:t>
      </w:r>
      <w:r w:rsidRPr="4BFA8FF3" w:rsidR="6FE4C47A">
        <w:rPr>
          <w:sz w:val="36"/>
          <w:szCs w:val="36"/>
        </w:rPr>
        <w:t xml:space="preserve"> 2119477</w:t>
      </w:r>
    </w:p>
    <w:p w:rsidR="009E0167" w:rsidRDefault="00E94999" w14:paraId="04046CE3" w14:textId="77777777">
      <w:pPr>
        <w:pStyle w:val="Normal1"/>
        <w:spacing w:line="360" w:lineRule="auto"/>
        <w:rPr>
          <w:sz w:val="36"/>
          <w:szCs w:val="36"/>
        </w:rPr>
      </w:pPr>
      <w:r>
        <w:br w:type="page"/>
      </w:r>
    </w:p>
    <w:p w:rsidR="009E0167" w:rsidRDefault="00E94999" w14:paraId="38D20433" w14:textId="77777777">
      <w:pPr>
        <w:pStyle w:val="Normal1"/>
        <w:keepNext/>
        <w:keepLines/>
        <w:pBdr>
          <w:top w:val="nil"/>
          <w:left w:val="nil"/>
          <w:bottom w:val="nil"/>
          <w:right w:val="nil"/>
          <w:between w:val="nil"/>
        </w:pBdr>
        <w:spacing w:line="360" w:lineRule="auto"/>
        <w:jc w:val="center"/>
        <w:rPr>
          <w:sz w:val="32"/>
          <w:szCs w:val="32"/>
        </w:rPr>
      </w:pPr>
      <w:r>
        <w:rPr>
          <w:b/>
          <w:sz w:val="32"/>
          <w:szCs w:val="32"/>
        </w:rPr>
        <w:t>Table of Contents</w:t>
      </w:r>
    </w:p>
    <w:sdt>
      <w:sdtPr>
        <w:id w:val="1854958159"/>
        <w:docPartObj>
          <w:docPartGallery w:val="Table of Contents"/>
          <w:docPartUnique/>
        </w:docPartObj>
      </w:sdtPr>
      <w:sdtEndPr/>
      <w:sdtContent>
        <w:p w:rsidR="009E0167" w:rsidRDefault="009E0167" w14:paraId="6BF7FA28" w14:textId="77777777">
          <w:pPr>
            <w:pStyle w:val="Normal1"/>
            <w:widowControl w:val="0"/>
            <w:tabs>
              <w:tab w:val="right" w:leader="dot" w:pos="12000"/>
            </w:tabs>
            <w:spacing w:before="60" w:line="360" w:lineRule="auto"/>
            <w:jc w:val="left"/>
            <w:rPr>
              <w:rFonts w:ascii="Arial" w:hAnsi="Arial" w:eastAsia="Arial" w:cs="Arial"/>
              <w:color w:val="000000"/>
              <w:sz w:val="22"/>
              <w:szCs w:val="22"/>
            </w:rPr>
          </w:pPr>
          <w:r>
            <w:fldChar w:fldCharType="begin"/>
          </w:r>
          <w:r w:rsidR="00E94999">
            <w:instrText xml:space="preserve"> TOC \h \u \z \t "Heading 1,1,Heading 2,2,Heading 3,3,Heading 4,4,Heading 5,5,Heading 6,6,"</w:instrText>
          </w:r>
          <w:r>
            <w:fldChar w:fldCharType="separate"/>
          </w:r>
          <w:hyperlink w:anchor="_gjdgxs">
            <w:r>
              <w:rPr>
                <w:color w:val="000000"/>
              </w:rPr>
              <w:t>Introduction</w:t>
            </w:r>
            <w:r>
              <w:rPr>
                <w:color w:val="000000"/>
              </w:rPr>
              <w:tab/>
            </w:r>
            <w:r>
              <w:rPr>
                <w:color w:val="000000"/>
              </w:rPr>
              <w:t>3</w:t>
            </w:r>
          </w:hyperlink>
        </w:p>
        <w:p w:rsidR="009E0167" w:rsidRDefault="009E0167" w14:paraId="2344C45F" w14:textId="77777777">
          <w:pPr>
            <w:pStyle w:val="Normal1"/>
            <w:widowControl w:val="0"/>
            <w:tabs>
              <w:tab w:val="right" w:leader="dot" w:pos="12000"/>
            </w:tabs>
            <w:spacing w:before="60" w:line="360" w:lineRule="auto"/>
            <w:ind w:left="360"/>
            <w:jc w:val="left"/>
            <w:rPr>
              <w:rFonts w:ascii="Arial" w:hAnsi="Arial" w:eastAsia="Arial" w:cs="Arial"/>
              <w:color w:val="000000"/>
              <w:sz w:val="22"/>
              <w:szCs w:val="22"/>
            </w:rPr>
          </w:pPr>
          <w:hyperlink w:anchor="_30j0zll">
            <w:r>
              <w:rPr>
                <w:color w:val="000000"/>
              </w:rPr>
              <w:t>Overview of the Event Concept</w:t>
            </w:r>
            <w:r>
              <w:rPr>
                <w:color w:val="000000"/>
              </w:rPr>
              <w:tab/>
            </w:r>
            <w:r>
              <w:rPr>
                <w:color w:val="000000"/>
              </w:rPr>
              <w:t>3</w:t>
            </w:r>
          </w:hyperlink>
        </w:p>
        <w:p w:rsidR="009E0167" w:rsidRDefault="009E0167" w14:paraId="202E4376" w14:textId="77777777">
          <w:pPr>
            <w:pStyle w:val="Normal1"/>
            <w:widowControl w:val="0"/>
            <w:tabs>
              <w:tab w:val="right" w:leader="dot" w:pos="12000"/>
            </w:tabs>
            <w:spacing w:before="60" w:line="360" w:lineRule="auto"/>
            <w:ind w:left="360"/>
            <w:jc w:val="left"/>
            <w:rPr>
              <w:rFonts w:ascii="Arial" w:hAnsi="Arial" w:eastAsia="Arial" w:cs="Arial"/>
              <w:color w:val="000000"/>
              <w:sz w:val="22"/>
              <w:szCs w:val="22"/>
            </w:rPr>
          </w:pPr>
          <w:hyperlink w:anchor="_1fob9te">
            <w:r>
              <w:rPr>
                <w:color w:val="000000"/>
              </w:rPr>
              <w:t>Financial Factors Examination</w:t>
            </w:r>
            <w:r>
              <w:rPr>
                <w:color w:val="000000"/>
              </w:rPr>
              <w:tab/>
            </w:r>
            <w:r>
              <w:rPr>
                <w:color w:val="000000"/>
              </w:rPr>
              <w:t>4</w:t>
            </w:r>
          </w:hyperlink>
        </w:p>
        <w:p w:rsidR="009E0167" w:rsidRDefault="009E0167" w14:paraId="29DEBC44" w14:textId="77777777">
          <w:pPr>
            <w:pStyle w:val="Normal1"/>
            <w:widowControl w:val="0"/>
            <w:tabs>
              <w:tab w:val="right" w:leader="dot" w:pos="12000"/>
            </w:tabs>
            <w:spacing w:before="60" w:line="360" w:lineRule="auto"/>
            <w:ind w:left="360"/>
            <w:jc w:val="left"/>
            <w:rPr>
              <w:rFonts w:ascii="Arial" w:hAnsi="Arial" w:eastAsia="Arial" w:cs="Arial"/>
              <w:color w:val="000000"/>
              <w:sz w:val="22"/>
              <w:szCs w:val="22"/>
            </w:rPr>
          </w:pPr>
          <w:hyperlink w:anchor="_3znysh7">
            <w:r>
              <w:rPr>
                <w:color w:val="000000"/>
              </w:rPr>
              <w:t>Situational Analysis Overview</w:t>
            </w:r>
            <w:r>
              <w:rPr>
                <w:color w:val="000000"/>
              </w:rPr>
              <w:tab/>
            </w:r>
            <w:r>
              <w:rPr>
                <w:color w:val="000000"/>
              </w:rPr>
              <w:t>5</w:t>
            </w:r>
          </w:hyperlink>
        </w:p>
        <w:p w:rsidR="009E0167" w:rsidRDefault="009E0167" w14:paraId="60E95198" w14:textId="77777777">
          <w:pPr>
            <w:pStyle w:val="Normal1"/>
            <w:widowControl w:val="0"/>
            <w:tabs>
              <w:tab w:val="right" w:leader="dot" w:pos="12000"/>
            </w:tabs>
            <w:spacing w:before="60" w:line="360" w:lineRule="auto"/>
            <w:ind w:left="360"/>
            <w:jc w:val="left"/>
            <w:rPr>
              <w:rFonts w:ascii="Arial" w:hAnsi="Arial" w:eastAsia="Arial" w:cs="Arial"/>
              <w:color w:val="000000"/>
              <w:sz w:val="22"/>
              <w:szCs w:val="22"/>
            </w:rPr>
          </w:pPr>
          <w:hyperlink w:anchor="_2et92p0">
            <w:r>
              <w:rPr>
                <w:color w:val="000000"/>
              </w:rPr>
              <w:t>Market Factors</w:t>
            </w:r>
            <w:r>
              <w:rPr>
                <w:color w:val="000000"/>
              </w:rPr>
              <w:tab/>
            </w:r>
            <w:r>
              <w:rPr>
                <w:color w:val="000000"/>
              </w:rPr>
              <w:t>6</w:t>
            </w:r>
          </w:hyperlink>
        </w:p>
        <w:p w:rsidR="009E0167" w:rsidRDefault="009E0167" w14:paraId="71EC2CB3" w14:textId="77777777">
          <w:pPr>
            <w:pStyle w:val="Normal1"/>
            <w:widowControl w:val="0"/>
            <w:tabs>
              <w:tab w:val="right" w:leader="dot" w:pos="12000"/>
            </w:tabs>
            <w:spacing w:before="60" w:line="360" w:lineRule="auto"/>
            <w:ind w:left="360"/>
            <w:jc w:val="left"/>
            <w:rPr>
              <w:rFonts w:ascii="Arial" w:hAnsi="Arial" w:eastAsia="Arial" w:cs="Arial"/>
              <w:color w:val="000000"/>
              <w:sz w:val="22"/>
              <w:szCs w:val="22"/>
            </w:rPr>
          </w:pPr>
          <w:hyperlink w:anchor="_tyjcwt">
            <w:r>
              <w:rPr>
                <w:color w:val="000000"/>
              </w:rPr>
              <w:t>Operational Factors Detailed Analysis</w:t>
            </w:r>
            <w:r>
              <w:rPr>
                <w:color w:val="000000"/>
              </w:rPr>
              <w:tab/>
            </w:r>
            <w:r>
              <w:rPr>
                <w:color w:val="000000"/>
              </w:rPr>
              <w:t>7</w:t>
            </w:r>
          </w:hyperlink>
        </w:p>
        <w:p w:rsidR="009E0167" w:rsidRDefault="009E0167" w14:paraId="0C7BD23B" w14:textId="77777777">
          <w:pPr>
            <w:pStyle w:val="Normal1"/>
            <w:widowControl w:val="0"/>
            <w:tabs>
              <w:tab w:val="right" w:leader="dot" w:pos="12000"/>
            </w:tabs>
            <w:spacing w:before="60" w:line="360" w:lineRule="auto"/>
            <w:ind w:left="360"/>
            <w:jc w:val="left"/>
            <w:rPr>
              <w:rFonts w:ascii="Arial" w:hAnsi="Arial" w:eastAsia="Arial" w:cs="Arial"/>
              <w:color w:val="000000"/>
              <w:sz w:val="22"/>
              <w:szCs w:val="22"/>
            </w:rPr>
          </w:pPr>
          <w:hyperlink w:anchor="_3dy6vkm">
            <w:r>
              <w:rPr>
                <w:color w:val="000000"/>
              </w:rPr>
              <w:t>Breakdown structure in financial terms</w:t>
            </w:r>
            <w:r>
              <w:rPr>
                <w:color w:val="000000"/>
              </w:rPr>
              <w:tab/>
            </w:r>
            <w:r>
              <w:rPr>
                <w:color w:val="000000"/>
              </w:rPr>
              <w:t>8</w:t>
            </w:r>
          </w:hyperlink>
        </w:p>
        <w:p w:rsidR="009E0167" w:rsidRDefault="009E0167" w14:paraId="053CD703" w14:textId="77777777">
          <w:pPr>
            <w:pStyle w:val="Normal1"/>
            <w:widowControl w:val="0"/>
            <w:tabs>
              <w:tab w:val="right" w:leader="dot" w:pos="12000"/>
            </w:tabs>
            <w:spacing w:before="60" w:line="360" w:lineRule="auto"/>
            <w:ind w:left="360"/>
            <w:jc w:val="left"/>
            <w:rPr>
              <w:rFonts w:ascii="Arial" w:hAnsi="Arial" w:eastAsia="Arial" w:cs="Arial"/>
              <w:color w:val="000000"/>
              <w:sz w:val="22"/>
              <w:szCs w:val="22"/>
            </w:rPr>
          </w:pPr>
          <w:hyperlink w:anchor="_1t3h5sf">
            <w:r>
              <w:rPr>
                <w:color w:val="000000"/>
              </w:rPr>
              <w:t>Relevant Case Study</w:t>
            </w:r>
            <w:r>
              <w:rPr>
                <w:color w:val="000000"/>
              </w:rPr>
              <w:tab/>
            </w:r>
            <w:r>
              <w:rPr>
                <w:color w:val="000000"/>
              </w:rPr>
              <w:t>9</w:t>
            </w:r>
          </w:hyperlink>
        </w:p>
        <w:p w:rsidR="009E0167" w:rsidRDefault="009E0167" w14:paraId="0A113CB3" w14:textId="77777777">
          <w:pPr>
            <w:pStyle w:val="Normal1"/>
            <w:widowControl w:val="0"/>
            <w:tabs>
              <w:tab w:val="right" w:leader="dot" w:pos="12000"/>
            </w:tabs>
            <w:spacing w:before="60" w:line="360" w:lineRule="auto"/>
            <w:jc w:val="left"/>
            <w:rPr>
              <w:rFonts w:ascii="Arial" w:hAnsi="Arial" w:eastAsia="Arial" w:cs="Arial"/>
              <w:color w:val="000000"/>
              <w:sz w:val="22"/>
              <w:szCs w:val="22"/>
            </w:rPr>
          </w:pPr>
          <w:hyperlink w:anchor="_4d34og8">
            <w:r>
              <w:rPr>
                <w:color w:val="000000"/>
              </w:rPr>
              <w:t>Conclusion</w:t>
            </w:r>
            <w:r>
              <w:rPr>
                <w:color w:val="000000"/>
              </w:rPr>
              <w:tab/>
            </w:r>
            <w:r>
              <w:rPr>
                <w:color w:val="000000"/>
              </w:rPr>
              <w:t>10</w:t>
            </w:r>
          </w:hyperlink>
        </w:p>
        <w:p w:rsidR="009E0167" w:rsidRDefault="009E0167" w14:paraId="525251C1" w14:textId="77777777">
          <w:pPr>
            <w:pStyle w:val="Normal1"/>
            <w:widowControl w:val="0"/>
            <w:tabs>
              <w:tab w:val="right" w:leader="dot" w:pos="12000"/>
            </w:tabs>
            <w:spacing w:before="60" w:line="360" w:lineRule="auto"/>
            <w:jc w:val="left"/>
            <w:rPr>
              <w:rFonts w:ascii="Arial" w:hAnsi="Arial" w:eastAsia="Arial" w:cs="Arial"/>
              <w:color w:val="000000"/>
              <w:sz w:val="22"/>
              <w:szCs w:val="22"/>
            </w:rPr>
          </w:pPr>
          <w:hyperlink w:anchor="_2s8eyo1">
            <w:r>
              <w:rPr>
                <w:color w:val="000000"/>
              </w:rPr>
              <w:t>Recommendations and Next Steps</w:t>
            </w:r>
            <w:r>
              <w:rPr>
                <w:color w:val="000000"/>
              </w:rPr>
              <w:tab/>
            </w:r>
            <w:r>
              <w:rPr>
                <w:color w:val="000000"/>
              </w:rPr>
              <w:t>10</w:t>
            </w:r>
          </w:hyperlink>
        </w:p>
        <w:p w:rsidR="009E0167" w:rsidRDefault="009E0167" w14:paraId="3B1731D4" w14:textId="77777777">
          <w:pPr>
            <w:pStyle w:val="Normal1"/>
            <w:widowControl w:val="0"/>
            <w:tabs>
              <w:tab w:val="right" w:leader="dot" w:pos="12000"/>
            </w:tabs>
            <w:spacing w:before="60" w:line="360" w:lineRule="auto"/>
            <w:jc w:val="left"/>
            <w:rPr>
              <w:rFonts w:ascii="Arial" w:hAnsi="Arial" w:eastAsia="Arial" w:cs="Arial"/>
              <w:color w:val="000000"/>
              <w:sz w:val="22"/>
              <w:szCs w:val="22"/>
            </w:rPr>
          </w:pPr>
          <w:hyperlink w:anchor="_17dp8vu">
            <w:r>
              <w:rPr>
                <w:color w:val="000000"/>
              </w:rPr>
              <w:t>References</w:t>
            </w:r>
            <w:r>
              <w:rPr>
                <w:color w:val="000000"/>
              </w:rPr>
              <w:tab/>
            </w:r>
            <w:r>
              <w:rPr>
                <w:color w:val="000000"/>
              </w:rPr>
              <w:t>12</w:t>
            </w:r>
          </w:hyperlink>
          <w:r>
            <w:fldChar w:fldCharType="end"/>
          </w:r>
        </w:p>
      </w:sdtContent>
    </w:sdt>
    <w:p w:rsidR="009E0167" w:rsidRDefault="009E0167" w14:paraId="03DF6E42" w14:textId="77777777">
      <w:pPr>
        <w:pStyle w:val="Normal1"/>
        <w:spacing w:line="360" w:lineRule="auto"/>
        <w:rPr>
          <w:sz w:val="32"/>
          <w:szCs w:val="32"/>
        </w:rPr>
      </w:pPr>
    </w:p>
    <w:p w:rsidR="009E0167" w:rsidRDefault="009E0167" w14:paraId="2D957E18" w14:textId="77777777">
      <w:pPr>
        <w:pStyle w:val="Normal1"/>
        <w:spacing w:line="360" w:lineRule="auto"/>
      </w:pPr>
    </w:p>
    <w:p w:rsidR="009E0167" w:rsidRDefault="009E0167" w14:paraId="5B132753" w14:textId="77777777">
      <w:pPr>
        <w:pStyle w:val="Normal1"/>
        <w:spacing w:line="360" w:lineRule="auto"/>
      </w:pPr>
    </w:p>
    <w:p w:rsidR="009E0167" w:rsidRDefault="009E0167" w14:paraId="08D8755F" w14:textId="77777777">
      <w:pPr>
        <w:pStyle w:val="Normal1"/>
        <w:spacing w:line="360" w:lineRule="auto"/>
      </w:pPr>
    </w:p>
    <w:p w:rsidR="009E0167" w:rsidRDefault="00E94999" w14:paraId="731B654C" w14:textId="77777777">
      <w:pPr>
        <w:pStyle w:val="Normal1"/>
        <w:spacing w:line="360" w:lineRule="auto"/>
      </w:pPr>
      <w:r>
        <w:br w:type="page"/>
      </w:r>
    </w:p>
    <w:p w:rsidR="009E0167" w:rsidRDefault="00E94999" w14:paraId="7D09FFC1" w14:textId="77777777">
      <w:pPr>
        <w:pStyle w:val="Heading1"/>
        <w:spacing w:before="0" w:after="0" w:line="360" w:lineRule="auto"/>
      </w:pPr>
      <w:bookmarkStart w:name="_gjdgxs" w:colFirst="0" w:colLast="0" w:id="0"/>
      <w:bookmarkEnd w:id="0"/>
      <w:r>
        <w:t xml:space="preserve">Introduction </w:t>
      </w:r>
    </w:p>
    <w:p w:rsidR="009E0167" w:rsidRDefault="00E94999" w14:paraId="03A585BB" w14:textId="77777777">
      <w:pPr>
        <w:pStyle w:val="Normal1"/>
        <w:numPr>
          <w:ilvl w:val="0"/>
          <w:numId w:val="7"/>
        </w:numPr>
        <w:spacing w:line="360" w:lineRule="auto"/>
      </w:pPr>
      <w:r>
        <w:t>The main focus of this presentation is performing a feasibility study for MICE.</w:t>
      </w:r>
    </w:p>
    <w:p w:rsidR="009E0167" w:rsidRDefault="00E94999" w14:paraId="0007F8BB" w14:textId="77777777">
      <w:pPr>
        <w:pStyle w:val="Normal1"/>
        <w:numPr>
          <w:ilvl w:val="0"/>
          <w:numId w:val="7"/>
        </w:numPr>
        <w:spacing w:line="360" w:lineRule="auto"/>
      </w:pPr>
      <w:r>
        <w:t xml:space="preserve">The agenda is to critically examine the feasibility and strategic pre-planning research required to make the event concept of this type a success. </w:t>
      </w:r>
    </w:p>
    <w:p w:rsidR="009E0167" w:rsidRDefault="00E94999" w14:paraId="4CDDCE56" w14:textId="77777777">
      <w:pPr>
        <w:pStyle w:val="Normal1"/>
        <w:numPr>
          <w:ilvl w:val="0"/>
          <w:numId w:val="7"/>
        </w:numPr>
        <w:spacing w:line="360" w:lineRule="auto"/>
      </w:pPr>
      <w:r>
        <w:t>At the same time provides information to help plan events that would effectively form the basis for informed decision-making.</w:t>
      </w:r>
    </w:p>
    <w:p w:rsidR="009E0167" w:rsidRDefault="00E94999" w14:paraId="7441A01E" w14:textId="77777777">
      <w:pPr>
        <w:pStyle w:val="Normal1"/>
        <w:numPr>
          <w:ilvl w:val="0"/>
          <w:numId w:val="7"/>
        </w:numPr>
        <w:spacing w:line="360" w:lineRule="auto"/>
        <w:rPr>
          <w:color w:val="FF0000"/>
        </w:rPr>
      </w:pPr>
      <w:r>
        <w:rPr>
          <w:color w:val="FF0000"/>
        </w:rPr>
        <w:t>Technology and innovation lead to state about the creation and application of improved tools and systems (Jain, 2024).</w:t>
      </w:r>
    </w:p>
    <w:p w:rsidR="009E0167" w:rsidRDefault="00E94999" w14:paraId="14A89570" w14:textId="77777777">
      <w:pPr>
        <w:pStyle w:val="Normal1"/>
        <w:spacing w:line="360" w:lineRule="auto"/>
        <w:rPr>
          <w:color w:val="FF0000"/>
        </w:rPr>
      </w:pPr>
      <w:r>
        <w:rPr>
          <w:color w:val="FF0000"/>
        </w:rPr>
        <w:t>Technology and innovation are defined as the creation and application of improved technology, systems and tools being used. It enables in bringing significant advancement and breakthroughs in various fields as well (Jain, 2024).</w:t>
      </w:r>
    </w:p>
    <w:p w:rsidR="009E0167" w:rsidRDefault="00E94999" w14:paraId="2279AAF4" w14:textId="77777777">
      <w:pPr>
        <w:pStyle w:val="Normal1"/>
        <w:spacing w:line="360" w:lineRule="auto"/>
      </w:pPr>
      <w:r>
        <w:t>The main focus of this presentation is performing a feasibility study for MICE (Meetings, Incentives, Conferences, and Exhibitions) industry events within the hospitality sector, which will be centred around the theme of "Technology and Innovation." The agenda is to critically examine the feasibility and strategic pre-planning research required to make the event concept of this type a success. With an aim of understanding market, operational and financial factors, this speech should shed light on the possib</w:t>
      </w:r>
      <w:r>
        <w:t>le obstacles therefore, at the same time provide information to help plan events that would effectively form the basis for informed decision-making.</w:t>
      </w:r>
    </w:p>
    <w:p w:rsidR="009E0167" w:rsidRDefault="00E94999" w14:paraId="30A00E23" w14:textId="77777777">
      <w:pPr>
        <w:pStyle w:val="Heading2"/>
        <w:spacing w:before="0" w:after="0" w:line="360" w:lineRule="auto"/>
      </w:pPr>
      <w:bookmarkStart w:name="_30j0zll" w:colFirst="0" w:colLast="0" w:id="1"/>
      <w:bookmarkEnd w:id="1"/>
      <w:r>
        <w:t xml:space="preserve">Overview of the Event Concept </w:t>
      </w:r>
    </w:p>
    <w:p w:rsidR="009E0167" w:rsidRDefault="00E94999" w14:paraId="074B10BC" w14:textId="77777777">
      <w:pPr>
        <w:pStyle w:val="Normal1"/>
        <w:numPr>
          <w:ilvl w:val="0"/>
          <w:numId w:val="2"/>
        </w:numPr>
        <w:spacing w:line="360" w:lineRule="auto"/>
      </w:pPr>
      <w:r>
        <w:t>The basis of the project is focused on implementing cutting-edge technologies in the hospitality field for developing future-looking inventions and uplifting the sector.</w:t>
      </w:r>
    </w:p>
    <w:p w:rsidR="009E0167" w:rsidRDefault="00E94999" w14:paraId="65CDC2BA" w14:textId="77777777">
      <w:pPr>
        <w:pStyle w:val="Normal1"/>
        <w:numPr>
          <w:ilvl w:val="0"/>
          <w:numId w:val="2"/>
        </w:numPr>
        <w:spacing w:line="360" w:lineRule="auto"/>
      </w:pPr>
      <w:r>
        <w:t>The central theme of the event, "Technology and Innovation," is designed to give a stage to the representatives of the industry.</w:t>
      </w:r>
    </w:p>
    <w:p w:rsidR="009E0167" w:rsidRDefault="00E94999" w14:paraId="21B44FE2" w14:textId="77777777">
      <w:pPr>
        <w:pStyle w:val="Normal1"/>
        <w:numPr>
          <w:ilvl w:val="0"/>
          <w:numId w:val="2"/>
        </w:numPr>
        <w:spacing w:line="360" w:lineRule="auto"/>
      </w:pPr>
      <w:r>
        <w:t>Through presentations of advanced technologies for AI-based guest experiences, smart hotel management systems, and environment-friendly hospitality affairs, the event is intended to inspire hoteliers to be informative.</w:t>
      </w:r>
    </w:p>
    <w:p w:rsidR="009E0167" w:rsidRDefault="00E94999" w14:paraId="1D6963AD" w14:textId="77777777">
      <w:pPr>
        <w:pStyle w:val="Normal1"/>
        <w:spacing w:line="360" w:lineRule="auto"/>
      </w:pPr>
      <w:r>
        <w:t xml:space="preserve">The basis of the project is focused on implementing cutting-edge technologies in the hospitality field for developing future-looking inventions and uplifting the sector. The central theme of the event, "Technology and Innovation," is designed to give a stage to the representatives of the industry, innovators and stakeholders, where these people can give their ideas in exchange and explore the latest technology advancements which shape the individual's life </w:t>
      </w:r>
      <w:r>
        <w:rPr>
          <w:highlight w:val="white"/>
        </w:rPr>
        <w:t>(Wirtz, 2020)</w:t>
      </w:r>
      <w:r>
        <w:t>. Through presentations of advanced technologies for AI-based guest experiences, smart hotel management systems, and environment-friendly hospitality affairs, the event is intended to inspire hoteliers to be informative about and accept digital transformation as well as raise the quality of their services. Its distinctive is its vision of the future that resonates with the contemporary trends in the hospitality industry.</w:t>
      </w:r>
    </w:p>
    <w:p w:rsidR="009E0167" w:rsidRDefault="00E94999" w14:paraId="6F219DC4" w14:textId="77777777">
      <w:pPr>
        <w:pStyle w:val="Heading2"/>
        <w:spacing w:before="0" w:after="0" w:line="360" w:lineRule="auto"/>
      </w:pPr>
      <w:bookmarkStart w:name="_1fob9te" w:colFirst="0" w:colLast="0" w:id="2"/>
      <w:bookmarkEnd w:id="2"/>
      <w:r>
        <w:t xml:space="preserve">Financial Factors Examination </w:t>
      </w:r>
    </w:p>
    <w:p w:rsidR="009E0167" w:rsidRDefault="00E94999" w14:paraId="77AE51B3" w14:textId="77777777">
      <w:pPr>
        <w:pStyle w:val="Normal1"/>
        <w:numPr>
          <w:ilvl w:val="0"/>
          <w:numId w:val="4"/>
        </w:numPr>
        <w:spacing w:line="360" w:lineRule="auto"/>
      </w:pPr>
      <w:r>
        <w:t xml:space="preserve">A budget that details all the expenditures will form the best way of determining if the event is a viable financial undertaking. This includes the payment of all the expenses deployed in the organisation of the event and the actual conduct of the event, </w:t>
      </w:r>
    </w:p>
    <w:p w:rsidR="009E0167" w:rsidRDefault="00E94999" w14:paraId="758136A3" w14:textId="77777777">
      <w:pPr>
        <w:pStyle w:val="Normal1"/>
        <w:numPr>
          <w:ilvl w:val="0"/>
          <w:numId w:val="4"/>
        </w:numPr>
        <w:spacing w:line="360" w:lineRule="auto"/>
      </w:pPr>
      <w:r>
        <w:t xml:space="preserve">Together with cost analysis, the estimation of receipts comprises the primary tasks in predicting profitability. It encompasses contextualising possible sources of revenue, like ticket sales, sponsorships, exhibitor charges, merchandise sales, and other forms of ancillary revenue. </w:t>
      </w:r>
    </w:p>
    <w:p w:rsidR="009E0167" w:rsidRDefault="00E94999" w14:paraId="7919F9BB" w14:textId="77777777">
      <w:pPr>
        <w:pStyle w:val="Normal1"/>
        <w:numPr>
          <w:ilvl w:val="0"/>
          <w:numId w:val="4"/>
        </w:numPr>
        <w:spacing w:line="360" w:lineRule="auto"/>
      </w:pPr>
      <w:r>
        <w:t>A precise step in the planning of the financial side of the event is the matter of finding fund sources. The strategies include, among other things, procuring sponsorships from other corporations, applying for grants from government and partnerships, taking donations and ticket sales (Harkin, 2023).</w:t>
      </w:r>
    </w:p>
    <w:p w:rsidR="009E0167" w:rsidRDefault="00E94999" w14:paraId="748E7823" w14:textId="77777777">
      <w:pPr>
        <w:pStyle w:val="Normal1"/>
        <w:numPr>
          <w:ilvl w:val="0"/>
          <w:numId w:val="4"/>
        </w:numPr>
        <w:spacing w:line="360" w:lineRule="auto"/>
      </w:pPr>
      <w:r>
        <w:t>Proper stabilisation of financial sustainability by implementing competitive revenue generation strategies is known to be the only way of guaranteeing this without losses.</w:t>
      </w:r>
    </w:p>
    <w:p w:rsidR="009E0167" w:rsidRDefault="00E94999" w14:paraId="18A3C4A3" w14:textId="77777777">
      <w:pPr>
        <w:pStyle w:val="Normal1"/>
        <w:spacing w:line="360" w:lineRule="auto"/>
        <w:rPr>
          <w:b/>
        </w:rPr>
      </w:pPr>
      <w:r>
        <w:rPr>
          <w:b/>
        </w:rPr>
        <w:t>Cost Breakdown</w:t>
      </w:r>
    </w:p>
    <w:p w:rsidR="009E0167" w:rsidRDefault="00E94999" w14:paraId="5DBB66AC" w14:textId="77777777">
      <w:pPr>
        <w:pStyle w:val="Normal1"/>
        <w:spacing w:line="360" w:lineRule="auto"/>
      </w:pPr>
      <w:r>
        <w:t xml:space="preserve">A budget that details all the expenditures will form the best way of determining if the event is a viable financial undertaking. This includes the payment of all the expenses deployed in the organisation of the event and the actual conduct of the event, in which the listed items include venue rental, staffing, marketing, equipment rental, catering, transportation, accommodation and contingency reserves </w:t>
      </w:r>
      <w:r>
        <w:rPr>
          <w:highlight w:val="white"/>
        </w:rPr>
        <w:t>(Litvinenko, 2020)</w:t>
      </w:r>
      <w:r>
        <w:t xml:space="preserve">. The budget can be built up based on systematic expense evaluation, which will be </w:t>
      </w:r>
      <w:r>
        <w:t>the cost budget that will be adapted to the event planning framework to ensure financially sound operation.</w:t>
      </w:r>
    </w:p>
    <w:p w:rsidR="009E0167" w:rsidRDefault="00E94999" w14:paraId="795EBCEE" w14:textId="77777777">
      <w:pPr>
        <w:pStyle w:val="Normal1"/>
        <w:spacing w:line="360" w:lineRule="auto"/>
        <w:rPr>
          <w:b/>
        </w:rPr>
      </w:pPr>
      <w:r>
        <w:rPr>
          <w:b/>
        </w:rPr>
        <w:t>Projected Revenues</w:t>
      </w:r>
    </w:p>
    <w:p w:rsidR="009E0167" w:rsidRDefault="00E94999" w14:paraId="4282FE9B" w14:textId="77777777">
      <w:pPr>
        <w:pStyle w:val="Normal1"/>
        <w:spacing w:line="360" w:lineRule="auto"/>
      </w:pPr>
      <w:r>
        <w:t xml:space="preserve">Together with cost analysis, the estimation of receipts comprises the primary tasks in predicting profitability. It encompasses possible sources of revenue, like ticket sales, sponsorships, exhibitor charges, merchandise sales, and other forms of ancillary revenue. Estimating attendees and deciding ticket prices will help the team come up with revenue projections reflecting the actual expected earnings from the event. </w:t>
      </w:r>
    </w:p>
    <w:p w:rsidR="009E0167" w:rsidRDefault="00E94999" w14:paraId="366E5BCC" w14:textId="77777777">
      <w:pPr>
        <w:pStyle w:val="Normal1"/>
        <w:spacing w:line="360" w:lineRule="auto"/>
        <w:rPr>
          <w:b/>
        </w:rPr>
      </w:pPr>
      <w:r>
        <w:rPr>
          <w:b/>
        </w:rPr>
        <w:t>Funding Sources</w:t>
      </w:r>
    </w:p>
    <w:p w:rsidR="009E0167" w:rsidRDefault="00E94999" w14:paraId="42C472A2" w14:textId="77777777">
      <w:pPr>
        <w:pStyle w:val="Normal1"/>
        <w:spacing w:line="360" w:lineRule="auto"/>
      </w:pPr>
      <w:r>
        <w:t xml:space="preserve">A precise step in the planning of the financial side of the event is the matter of finding fund sources. The strategies include, among other things, procuring sponsorships from other corporations, applying for grants from government and partnerships, taking donations and ticket sales </w:t>
      </w:r>
      <w:r>
        <w:rPr>
          <w:highlight w:val="white"/>
        </w:rPr>
        <w:t>(Harkin, 2023)</w:t>
      </w:r>
      <w:r>
        <w:t xml:space="preserve">. Diversification of the funding sources provides the team with the opportunity to decrease the risk of financial crisis and not to expect too much dependency on any single resource to support their daily operations. </w:t>
      </w:r>
    </w:p>
    <w:p w:rsidR="009E0167" w:rsidRDefault="00E94999" w14:paraId="056E7C4F" w14:textId="77777777">
      <w:pPr>
        <w:pStyle w:val="Normal1"/>
        <w:spacing w:line="360" w:lineRule="auto"/>
        <w:rPr>
          <w:b/>
        </w:rPr>
      </w:pPr>
      <w:r>
        <w:rPr>
          <w:b/>
        </w:rPr>
        <w:t>Revenue Generation Strategies</w:t>
      </w:r>
    </w:p>
    <w:p w:rsidR="009E0167" w:rsidRDefault="00E94999" w14:paraId="7043B3D6" w14:textId="019E0ED2">
      <w:pPr>
        <w:pStyle w:val="Normal1"/>
        <w:spacing w:line="360" w:lineRule="auto"/>
      </w:pPr>
      <w:r>
        <w:t xml:space="preserve">Proper stabilisation of financial sustainability by implementing competitive revenue generation strategies is known to be the only way of guaranteeing this without losses. This may be done via marketing and promotional campaigns for tickets to bring in visitors and sponsors that will give exhibit stands </w:t>
      </w:r>
      <w:r>
        <w:rPr>
          <w:highlight w:val="white"/>
        </w:rPr>
        <w:t>(Klofsten, 2019)</w:t>
      </w:r>
      <w:r>
        <w:t>. Apart from that engaging attendees by adding value-added experiences (such as networking), premium offerings, and opportunities (like networking) might boost the revenue of the conference.</w:t>
      </w:r>
    </w:p>
    <w:p w:rsidR="009E0167" w:rsidRDefault="00E94999" w14:paraId="70571233" w14:textId="77777777">
      <w:pPr>
        <w:pStyle w:val="Heading2"/>
        <w:spacing w:before="0" w:after="0" w:line="360" w:lineRule="auto"/>
      </w:pPr>
      <w:bookmarkStart w:name="_3znysh7" w:colFirst="0" w:colLast="0" w:id="3"/>
      <w:bookmarkEnd w:id="3"/>
      <w:r>
        <w:t>Situational Analysis Overview</w:t>
      </w:r>
    </w:p>
    <w:p w:rsidR="009E0167" w:rsidRDefault="00E94999" w14:paraId="5762194D" w14:textId="77777777">
      <w:pPr>
        <w:pStyle w:val="Normal1"/>
        <w:numPr>
          <w:ilvl w:val="0"/>
          <w:numId w:val="1"/>
        </w:numPr>
        <w:spacing w:line="360" w:lineRule="auto"/>
      </w:pPr>
      <w:r>
        <w:t xml:space="preserve">The Situational Analysis is a complete picture of both internal and external factors that have an impact on the proposed event (Klofsten, 2019). </w:t>
      </w:r>
    </w:p>
    <w:p w:rsidR="009E0167" w:rsidRDefault="00E94999" w14:paraId="697172AA" w14:textId="77777777">
      <w:pPr>
        <w:pStyle w:val="Normal1"/>
        <w:numPr>
          <w:ilvl w:val="0"/>
          <w:numId w:val="1"/>
        </w:numPr>
        <w:spacing w:line="360" w:lineRule="auto"/>
      </w:pPr>
      <w:r>
        <w:t>It is a base on which developing entrepreneurs and the team have the chance to identify opportunities, mitigate the risks and design suitable strategies for the event’s success (Harkin, 2023).</w:t>
      </w:r>
    </w:p>
    <w:p w:rsidR="009E0167" w:rsidRDefault="00E94999" w14:paraId="4048DFD7" w14:textId="77777777">
      <w:pPr>
        <w:pStyle w:val="Normal1"/>
        <w:numPr>
          <w:ilvl w:val="0"/>
          <w:numId w:val="1"/>
        </w:numPr>
        <w:spacing w:line="360" w:lineRule="auto"/>
      </w:pPr>
      <w:r>
        <w:t>In the sense that the situational analysis serves its role to guide the strategic decisions both short and long term and this can make the event a viable tool towards achieving the goal of impact and sustainability within the hospitality circle.</w:t>
      </w:r>
    </w:p>
    <w:p w:rsidR="009E0167" w:rsidRDefault="00E94999" w14:paraId="46C00D27" w14:textId="77777777">
      <w:pPr>
        <w:pStyle w:val="Normal1"/>
        <w:numPr>
          <w:ilvl w:val="0"/>
          <w:numId w:val="1"/>
        </w:numPr>
        <w:spacing w:line="360" w:lineRule="auto"/>
        <w:rPr>
          <w:color w:val="FF0000"/>
        </w:rPr>
      </w:pPr>
      <w:r>
        <w:rPr>
          <w:color w:val="FF0000"/>
        </w:rPr>
        <w:t>Considering situational analysis and relating with the case study of HITEC found that it makes the use of viable tools towards achieving the goal of impact and sustainability within the hospitality circle (HITEC, 2024a).</w:t>
      </w:r>
    </w:p>
    <w:p w:rsidR="009E0167" w:rsidRDefault="00E94999" w14:paraId="50C56709" w14:textId="77777777">
      <w:pPr>
        <w:pStyle w:val="Normal1"/>
        <w:spacing w:line="360" w:lineRule="auto"/>
        <w:rPr>
          <w:color w:val="FF0000"/>
        </w:rPr>
      </w:pPr>
      <w:r>
        <w:t xml:space="preserve">The Situational Analysis is a complete picture of both internal and external factors that have an impact on the proposed event </w:t>
      </w:r>
      <w:r>
        <w:rPr>
          <w:highlight w:val="white"/>
        </w:rPr>
        <w:t>(Klofsten, 2019)</w:t>
      </w:r>
      <w:r>
        <w:t xml:space="preserve">. Through a careful examination of market trends, competition dynamics, the activities of existing competitors, internal strengths and weaknesses, and the factors influencing them, the analysis facilitates informed decision-making and strategic planning. It is a base on which developing entrepreneurs and the team have the chance to identify opportunities, mitigate the risks and design suitable strategies for the event’s success </w:t>
      </w:r>
      <w:r>
        <w:rPr>
          <w:highlight w:val="white"/>
        </w:rPr>
        <w:t>(Harkin, 2023)</w:t>
      </w:r>
      <w:r>
        <w:t xml:space="preserve">. </w:t>
      </w:r>
      <w:r>
        <w:rPr>
          <w:color w:val="FF0000"/>
        </w:rPr>
        <w:t>Considering situational analysis and relating wi</w:t>
      </w:r>
      <w:r>
        <w:rPr>
          <w:color w:val="FF0000"/>
        </w:rPr>
        <w:t>th the case study of HITEC serves its role to guide the strategic decisions both short and long term and this can make the event a viable tool towards achieving the goal of impact and sustainability within the hospitality circle. This organisation enable in bringing thousands of hospitality professionals. This leads to providing the opportunity to showcase the product and service through high-level professionals (HITEC, 2024a).</w:t>
      </w:r>
    </w:p>
    <w:p w:rsidR="009E0167" w:rsidRDefault="00E94999" w14:paraId="400EA441" w14:textId="77777777">
      <w:pPr>
        <w:pStyle w:val="Heading2"/>
        <w:spacing w:before="0" w:after="0" w:line="360" w:lineRule="auto"/>
      </w:pPr>
      <w:bookmarkStart w:name="_2et92p0" w:colFirst="0" w:colLast="0" w:id="4"/>
      <w:bookmarkEnd w:id="4"/>
      <w:r>
        <w:t xml:space="preserve">Market Factors </w:t>
      </w:r>
    </w:p>
    <w:p w:rsidR="009E0167" w:rsidRDefault="00E94999" w14:paraId="0CC01F3E" w14:textId="77777777">
      <w:pPr>
        <w:pStyle w:val="Normal1"/>
        <w:numPr>
          <w:ilvl w:val="0"/>
          <w:numId w:val="6"/>
        </w:numPr>
        <w:spacing w:line="360" w:lineRule="auto"/>
      </w:pPr>
      <w:r>
        <w:t xml:space="preserve">A thorough analysis of the market segmentation based on the different wants and tastes of the possible audience is critically important for getting an understanding of how these people think (Litvinenko, 2020). </w:t>
      </w:r>
    </w:p>
    <w:p w:rsidR="009E0167" w:rsidRDefault="00E94999" w14:paraId="417B47E5" w14:textId="77777777">
      <w:pPr>
        <w:pStyle w:val="Normal1"/>
        <w:numPr>
          <w:ilvl w:val="0"/>
          <w:numId w:val="6"/>
        </w:numPr>
        <w:spacing w:line="360" w:lineRule="auto"/>
      </w:pPr>
      <w:r>
        <w:t>Analysing demand trends in the hospitality industry is a crucial step in getting to know about the industry dynamics and the participants' tastes and likes (Klofsten, 2019).</w:t>
      </w:r>
    </w:p>
    <w:p w:rsidR="009E0167" w:rsidRDefault="00E94999" w14:paraId="3181E2C6" w14:textId="77777777">
      <w:pPr>
        <w:pStyle w:val="Normal1"/>
        <w:numPr>
          <w:ilvl w:val="0"/>
          <w:numId w:val="6"/>
        </w:numPr>
        <w:spacing w:line="360" w:lineRule="auto"/>
      </w:pPr>
      <w:r>
        <w:t>Competitive Landscape Analysis is the foremost process for recognition the competition and reflecting the event's offerings for industry standards (Litvinenko, 2020).</w:t>
      </w:r>
    </w:p>
    <w:p w:rsidR="009E0167" w:rsidRDefault="00E94999" w14:paraId="5EE5A3D0" w14:textId="77777777">
      <w:pPr>
        <w:pStyle w:val="Normal1"/>
        <w:spacing w:line="360" w:lineRule="auto"/>
        <w:rPr>
          <w:b/>
        </w:rPr>
      </w:pPr>
      <w:r>
        <w:rPr>
          <w:b/>
        </w:rPr>
        <w:t>Target Market Segmentation</w:t>
      </w:r>
    </w:p>
    <w:p w:rsidR="009E0167" w:rsidRDefault="00E94999" w14:paraId="2ACA5342" w14:textId="77777777">
      <w:pPr>
        <w:pStyle w:val="Normal1"/>
        <w:spacing w:line="360" w:lineRule="auto"/>
      </w:pPr>
      <w:r>
        <w:t xml:space="preserve">A thorough analysis of the market segmentation based on the different wants and tastes of the possible audience is critically important for getting an understanding of how these people think </w:t>
      </w:r>
      <w:r>
        <w:rPr>
          <w:highlight w:val="white"/>
        </w:rPr>
        <w:t>(Litvinenko, 2020)</w:t>
      </w:r>
      <w:r>
        <w:t>. This is done through those who are within the hospitality sector therefore, also among those who are interested in sector-specific segments such as hoteliers, restaurateurs, technology providers, and others.</w:t>
      </w:r>
    </w:p>
    <w:p w:rsidR="009E0167" w:rsidRDefault="00E94999" w14:paraId="2EE8C5A6" w14:textId="77777777">
      <w:pPr>
        <w:pStyle w:val="Normal1"/>
        <w:spacing w:line="360" w:lineRule="auto"/>
        <w:rPr>
          <w:b/>
        </w:rPr>
      </w:pPr>
      <w:r>
        <w:rPr>
          <w:b/>
        </w:rPr>
        <w:t>Demand Trends Analysis</w:t>
      </w:r>
    </w:p>
    <w:p w:rsidR="009E0167" w:rsidRDefault="00E94999" w14:paraId="32F32D66" w14:textId="77777777">
      <w:pPr>
        <w:pStyle w:val="Normal1"/>
        <w:spacing w:line="360" w:lineRule="auto"/>
      </w:pPr>
      <w:r>
        <w:t xml:space="preserve">Analysing demand trends in the hospitality industry is a crucial step in getting to know about the industry dynamics and the participants' tastes and likes </w:t>
      </w:r>
      <w:r>
        <w:rPr>
          <w:highlight w:val="white"/>
        </w:rPr>
        <w:t>(Klofsten, 2019)</w:t>
      </w:r>
      <w:r>
        <w:t xml:space="preserve">. Through the evaluation of factors including consumer trends in expenditure, technology adoption speed, and market outlook and demand, an event team can prognosticate fluctuations in demand, so it can personalise the event content to focus on addressing the emerging trends and needs </w:t>
      </w:r>
      <w:r>
        <w:rPr>
          <w:highlight w:val="white"/>
        </w:rPr>
        <w:t>(Fox, 2014)</w:t>
      </w:r>
      <w:r>
        <w:t>.</w:t>
      </w:r>
    </w:p>
    <w:p w:rsidR="009E0167" w:rsidRDefault="00E94999" w14:paraId="36216F75" w14:textId="77777777">
      <w:pPr>
        <w:pStyle w:val="Normal1"/>
        <w:spacing w:line="360" w:lineRule="auto"/>
        <w:rPr>
          <w:b/>
        </w:rPr>
      </w:pPr>
      <w:r>
        <w:rPr>
          <w:b/>
        </w:rPr>
        <w:t>Competitive Landscape Assessment</w:t>
      </w:r>
    </w:p>
    <w:p w:rsidR="009E0167" w:rsidRDefault="00E94999" w14:paraId="3BBDA755" w14:textId="77777777">
      <w:pPr>
        <w:pStyle w:val="Normal1"/>
        <w:spacing w:line="360" w:lineRule="auto"/>
      </w:pPr>
      <w:r>
        <w:t xml:space="preserve">Competitive Landscape Analysis is the foremost process for recognition of the competition and reflecting on the event’s offerings for industry standards </w:t>
      </w:r>
      <w:r>
        <w:rPr>
          <w:highlight w:val="white"/>
        </w:rPr>
        <w:t>(Litvinenko, 2020)</w:t>
      </w:r>
      <w:r>
        <w:t>. This comprises the study of the varied events such as local trade shows or meetings aimed at the hospitality industry and their strengths, weaknesses, and marketing strategies.</w:t>
      </w:r>
    </w:p>
    <w:p w:rsidR="009E0167" w:rsidRDefault="00E94999" w14:paraId="75C93AD2" w14:textId="77777777">
      <w:pPr>
        <w:pStyle w:val="Heading2"/>
        <w:spacing w:before="0" w:after="0" w:line="360" w:lineRule="auto"/>
      </w:pPr>
      <w:bookmarkStart w:name="_tyjcwt" w:colFirst="0" w:colLast="0" w:id="5"/>
      <w:bookmarkEnd w:id="5"/>
      <w:r>
        <w:t xml:space="preserve">Operational Factors Detailed Analysis </w:t>
      </w:r>
    </w:p>
    <w:p w:rsidR="009E0167" w:rsidRDefault="00E94999" w14:paraId="43E28D6A" w14:textId="77777777">
      <w:pPr>
        <w:pStyle w:val="Normal1"/>
        <w:numPr>
          <w:ilvl w:val="0"/>
          <w:numId w:val="5"/>
        </w:numPr>
        <w:spacing w:line="360" w:lineRule="auto"/>
        <w:rPr>
          <w:color w:val="FF0000"/>
        </w:rPr>
      </w:pPr>
      <w:r>
        <w:rPr>
          <w:color w:val="FF0000"/>
        </w:rPr>
        <w:t>The main strength of the organistaion HITEC includes its innovative technology (HITEC, 2024b).</w:t>
      </w:r>
    </w:p>
    <w:p w:rsidR="009E0167" w:rsidRDefault="00E94999" w14:paraId="6557F08D" w14:textId="77777777">
      <w:pPr>
        <w:pStyle w:val="Normal1"/>
        <w:numPr>
          <w:ilvl w:val="0"/>
          <w:numId w:val="5"/>
        </w:numPr>
        <w:spacing w:line="360" w:lineRule="auto"/>
        <w:rPr>
          <w:color w:val="FF0000"/>
        </w:rPr>
      </w:pPr>
      <w:r>
        <w:rPr>
          <w:color w:val="FF0000"/>
        </w:rPr>
        <w:t>Facing stiff competition against the competitor leads to an impact on the market share of the organisation (Luther, 2024).</w:t>
      </w:r>
    </w:p>
    <w:p w:rsidR="009E0167" w:rsidRDefault="00E94999" w14:paraId="79B43147" w14:textId="77777777">
      <w:pPr>
        <w:pStyle w:val="Normal1"/>
        <w:numPr>
          <w:ilvl w:val="0"/>
          <w:numId w:val="5"/>
        </w:numPr>
        <w:spacing w:line="360" w:lineRule="auto"/>
        <w:rPr>
          <w:color w:val="FF0000"/>
        </w:rPr>
      </w:pPr>
      <w:r>
        <w:rPr>
          <w:color w:val="FF0000"/>
        </w:rPr>
        <w:t>The opportunity being sought by the HITEC is the expanding market which includes the Internet of Things (IoT) and Virtual Reality (Schwarz, 2024).</w:t>
      </w:r>
    </w:p>
    <w:p w:rsidR="009E0167" w:rsidRDefault="00E94999" w14:paraId="10D36BC1" w14:textId="77777777">
      <w:pPr>
        <w:pStyle w:val="Normal1"/>
        <w:numPr>
          <w:ilvl w:val="0"/>
          <w:numId w:val="5"/>
        </w:numPr>
        <w:spacing w:line="360" w:lineRule="auto"/>
        <w:rPr>
          <w:color w:val="FF0000"/>
        </w:rPr>
      </w:pPr>
      <w:r>
        <w:rPr>
          <w:color w:val="FF0000"/>
        </w:rPr>
        <w:t>The threat being faced by the HITEC includes an economic downturn that creates an adverse impact on consumer spending as well (Newgenadv, 2023).</w:t>
      </w:r>
    </w:p>
    <w:p w:rsidR="009E0167" w:rsidRDefault="00E94999" w14:paraId="19D98170" w14:textId="77777777">
      <w:pPr>
        <w:pStyle w:val="Normal1"/>
        <w:numPr>
          <w:ilvl w:val="0"/>
          <w:numId w:val="5"/>
        </w:numPr>
        <w:spacing w:line="360" w:lineRule="auto"/>
        <w:rPr>
          <w:color w:val="FF0000"/>
        </w:rPr>
      </w:pPr>
      <w:r>
        <w:rPr>
          <w:color w:val="FF0000"/>
        </w:rPr>
        <w:t>The economic scenario of the UK provides a favourable opportunity for HITEC as it is expected to slightly grow by 1.2% in the year 2025 (KPMG, 2024).</w:t>
      </w:r>
    </w:p>
    <w:p w:rsidR="009E0167" w:rsidRDefault="00E94999" w14:paraId="4847739D" w14:textId="77777777">
      <w:pPr>
        <w:pStyle w:val="Normal1"/>
        <w:numPr>
          <w:ilvl w:val="0"/>
          <w:numId w:val="5"/>
        </w:numPr>
        <w:spacing w:line="360" w:lineRule="auto"/>
        <w:rPr>
          <w:color w:val="FF0000"/>
        </w:rPr>
      </w:pPr>
      <w:r>
        <w:rPr>
          <w:color w:val="FF0000"/>
        </w:rPr>
        <w:t>The social factor fails to provide the growth opportunity for HITEC as it provides a cost of living crisis along with food insecurity (Soken-Huberty 2023).</w:t>
      </w:r>
    </w:p>
    <w:p w:rsidR="009E0167" w:rsidRDefault="00E94999" w14:paraId="782B2446" w14:textId="77777777">
      <w:pPr>
        <w:pStyle w:val="Normal1"/>
        <w:spacing w:line="360" w:lineRule="auto"/>
        <w:rPr>
          <w:b/>
          <w:color w:val="FF0000"/>
        </w:rPr>
      </w:pPr>
      <w:r>
        <w:rPr>
          <w:b/>
          <w:color w:val="FF0000"/>
        </w:rPr>
        <w:t xml:space="preserve">SWOT Analysis </w:t>
      </w:r>
    </w:p>
    <w:p w:rsidR="009E0167" w:rsidRDefault="00E94999" w14:paraId="2A1B9442" w14:textId="77777777">
      <w:pPr>
        <w:pStyle w:val="Normal1"/>
        <w:spacing w:line="360" w:lineRule="auto"/>
        <w:rPr>
          <w:color w:val="FF0000"/>
        </w:rPr>
      </w:pPr>
      <w:r>
        <w:rPr>
          <w:b/>
          <w:color w:val="FF0000"/>
        </w:rPr>
        <w:t xml:space="preserve">Strength: </w:t>
      </w:r>
      <w:r>
        <w:rPr>
          <w:color w:val="FF0000"/>
        </w:rPr>
        <w:t>The main strength of the organistaion HITEC includes its innovative technology. Towards this, the organisation made huge investments in its R&amp;D and its advanced products. This strength leads to exploring the latest technology trends which helps the organistaion in getting effective solutions for the hospitality industry (HITEC, 2024b).</w:t>
      </w:r>
    </w:p>
    <w:p w:rsidR="009E0167" w:rsidRDefault="00E94999" w14:paraId="7F136125" w14:textId="77777777">
      <w:pPr>
        <w:pStyle w:val="Normal1"/>
        <w:spacing w:line="360" w:lineRule="auto"/>
        <w:rPr>
          <w:color w:val="FF0000"/>
        </w:rPr>
      </w:pPr>
      <w:r>
        <w:rPr>
          <w:b/>
          <w:color w:val="FF0000"/>
        </w:rPr>
        <w:t xml:space="preserve">Weakness: </w:t>
      </w:r>
      <w:r>
        <w:rPr>
          <w:color w:val="FF0000"/>
        </w:rPr>
        <w:t>The weakness being faced by the HITEC is the high competition in the market. Facing stiff competition against the competitor leads to an impact on the market share of the organisation (Luther, 2024).</w:t>
      </w:r>
    </w:p>
    <w:p w:rsidR="009E0167" w:rsidRDefault="00E94999" w14:paraId="2582B8FC" w14:textId="77777777">
      <w:pPr>
        <w:pStyle w:val="Normal1"/>
        <w:spacing w:line="360" w:lineRule="auto"/>
        <w:rPr>
          <w:color w:val="FF0000"/>
        </w:rPr>
      </w:pPr>
      <w:r>
        <w:rPr>
          <w:b/>
          <w:color w:val="FF0000"/>
        </w:rPr>
        <w:t xml:space="preserve">Opportunity: </w:t>
      </w:r>
      <w:r>
        <w:rPr>
          <w:color w:val="FF0000"/>
        </w:rPr>
        <w:t>The opportunity being sought by the HITEC is the expanding market and the technology which mainly includes the Internet of Things (IoT) and Virtual Reality. This emerging technology leads to growth opportunities for the organisation (Schwarz, 2024).</w:t>
      </w:r>
    </w:p>
    <w:p w:rsidR="009E0167" w:rsidRDefault="00E94999" w14:paraId="22FF6ECB" w14:textId="77777777">
      <w:pPr>
        <w:pStyle w:val="Normal1"/>
        <w:spacing w:line="360" w:lineRule="auto"/>
        <w:rPr>
          <w:b/>
          <w:color w:val="FF0000"/>
        </w:rPr>
      </w:pPr>
      <w:r>
        <w:rPr>
          <w:b/>
          <w:color w:val="FF0000"/>
        </w:rPr>
        <w:t xml:space="preserve">Threat: </w:t>
      </w:r>
      <w:r>
        <w:rPr>
          <w:color w:val="FF0000"/>
        </w:rPr>
        <w:t>The threat being faced by the HITEC includes an economic downturn which leads to impact smooth proceeding of the organisation. The increasing inflation rate creates an adverse impact on consumer spending as well (Newgenadv, 2023).</w:t>
      </w:r>
    </w:p>
    <w:p w:rsidR="009E0167" w:rsidRDefault="00E94999" w14:paraId="3C4A3405" w14:textId="77777777">
      <w:pPr>
        <w:pStyle w:val="Normal1"/>
        <w:spacing w:line="360" w:lineRule="auto"/>
        <w:rPr>
          <w:b/>
          <w:color w:val="FF0000"/>
        </w:rPr>
      </w:pPr>
      <w:r>
        <w:rPr>
          <w:b/>
          <w:color w:val="FF0000"/>
        </w:rPr>
        <w:t xml:space="preserve">PESTLE Analysis </w:t>
      </w:r>
    </w:p>
    <w:p w:rsidR="009E0167" w:rsidRDefault="00E94999" w14:paraId="05BA683B" w14:textId="77777777">
      <w:pPr>
        <w:pStyle w:val="Normal1"/>
        <w:spacing w:line="360" w:lineRule="auto"/>
        <w:rPr>
          <w:color w:val="FF0000"/>
        </w:rPr>
      </w:pPr>
      <w:r>
        <w:rPr>
          <w:b/>
          <w:color w:val="FF0000"/>
        </w:rPr>
        <w:t xml:space="preserve">Political Factor: </w:t>
      </w:r>
      <w:r>
        <w:rPr>
          <w:color w:val="FF0000"/>
        </w:rPr>
        <w:t>The political factor of the UK was not found to be favourable towards the Hospitality industry due to the scenario of the general election. This election disrupts the business activity of the HITEC (Statista, 2024).</w:t>
      </w:r>
    </w:p>
    <w:p w:rsidR="009E0167" w:rsidRDefault="00E94999" w14:paraId="5B3D4CB0" w14:textId="77777777">
      <w:pPr>
        <w:pStyle w:val="Normal1"/>
        <w:spacing w:line="360" w:lineRule="auto"/>
        <w:rPr>
          <w:color w:val="FF0000"/>
        </w:rPr>
      </w:pPr>
      <w:r>
        <w:rPr>
          <w:b/>
          <w:color w:val="FF0000"/>
        </w:rPr>
        <w:t xml:space="preserve">Economical Factor: </w:t>
      </w:r>
      <w:r>
        <w:rPr>
          <w:color w:val="FF0000"/>
        </w:rPr>
        <w:t>The economic scenario of the UK provides a favourable opportunity to HITEC as it is expected to slightly grow by 1.2% in the year 2025. The monetary policy of the UK can also be relevant which facilitates the growth of the organisation (KPMG, 2024).</w:t>
      </w:r>
    </w:p>
    <w:p w:rsidR="009E0167" w:rsidRDefault="00E94999" w14:paraId="59B3F10D" w14:textId="77777777">
      <w:pPr>
        <w:pStyle w:val="Normal1"/>
        <w:spacing w:line="360" w:lineRule="auto"/>
        <w:rPr>
          <w:color w:val="FF0000"/>
        </w:rPr>
      </w:pPr>
      <w:r>
        <w:rPr>
          <w:b/>
          <w:color w:val="FF0000"/>
        </w:rPr>
        <w:t xml:space="preserve">Social Factor: </w:t>
      </w:r>
      <w:r>
        <w:rPr>
          <w:color w:val="FF0000"/>
        </w:rPr>
        <w:t>The social factor fail to provide the growth opportunity to HITEC as the people faced the cost of living crisis along with the food insecurity. The scenario of the high price leads to an impact on the smooth proceeding of the organisation (Soken-Huberty 2023).</w:t>
      </w:r>
    </w:p>
    <w:p w:rsidR="009E0167" w:rsidRDefault="00E94999" w14:paraId="673355E3" w14:textId="77777777">
      <w:pPr>
        <w:pStyle w:val="Normal1"/>
        <w:spacing w:line="360" w:lineRule="auto"/>
        <w:rPr>
          <w:color w:val="FF0000"/>
        </w:rPr>
      </w:pPr>
      <w:r>
        <w:rPr>
          <w:b/>
          <w:color w:val="FF0000"/>
        </w:rPr>
        <w:t xml:space="preserve">Technological Factor: </w:t>
      </w:r>
      <w:r>
        <w:rPr>
          <w:color w:val="FF0000"/>
        </w:rPr>
        <w:t>The expanding market and the technology which mainly includes the Internet of Things (IoT) and Virtual Reality. This emerging technology leads to growth opportunities for the organisation (Schwarz, 2024).</w:t>
      </w:r>
    </w:p>
    <w:p w:rsidR="009E0167" w:rsidRDefault="00E94999" w14:paraId="3772E152" w14:textId="77777777">
      <w:pPr>
        <w:pStyle w:val="Normal1"/>
        <w:spacing w:line="360" w:lineRule="auto"/>
        <w:rPr>
          <w:color w:val="FF0000"/>
        </w:rPr>
      </w:pPr>
      <w:r>
        <w:rPr>
          <w:b/>
          <w:color w:val="FF0000"/>
        </w:rPr>
        <w:t xml:space="preserve">Legal Factor: </w:t>
      </w:r>
      <w:r>
        <w:rPr>
          <w:color w:val="FF0000"/>
        </w:rPr>
        <w:t>The next factor which leads to impacts the hospitality industry of the UK includes the legal factor which is the employment law. This leads the organistaion to comply with the minimum wage law which can impact the smooth proceeding of HITEC (LinkedIn, 2023).</w:t>
      </w:r>
    </w:p>
    <w:p w:rsidR="009E0167" w:rsidRDefault="00E94999" w14:paraId="4D3AEA4B" w14:textId="77777777">
      <w:pPr>
        <w:pStyle w:val="Normal1"/>
        <w:spacing w:line="360" w:lineRule="auto"/>
        <w:rPr>
          <w:color w:val="FF0000"/>
        </w:rPr>
      </w:pPr>
      <w:r>
        <w:rPr>
          <w:b/>
          <w:color w:val="FF0000"/>
        </w:rPr>
        <w:t xml:space="preserve">Environmental Factor: </w:t>
      </w:r>
      <w:r>
        <w:rPr>
          <w:color w:val="FF0000"/>
        </w:rPr>
        <w:t>This factor fails to provide growth opportunities to the HITEC which this factor leads to certain issues related to energy, water and waste management which creates in creating adverse impact on the organisation (Deloitte, 2024).</w:t>
      </w:r>
    </w:p>
    <w:p w:rsidR="009E0167" w:rsidRDefault="00E94999" w14:paraId="683B217A" w14:textId="77777777">
      <w:pPr>
        <w:pStyle w:val="Heading2"/>
        <w:spacing w:before="0" w:after="0" w:line="360" w:lineRule="auto"/>
      </w:pPr>
      <w:bookmarkStart w:name="_3dy6vkm" w:colFirst="0" w:colLast="0" w:id="6"/>
      <w:bookmarkEnd w:id="6"/>
      <w:r>
        <w:t>Breakdown structure in financial terms</w:t>
      </w:r>
    </w:p>
    <w:p w:rsidR="009E0167" w:rsidRDefault="00E94999" w14:paraId="3F80242E" w14:textId="77777777">
      <w:pPr>
        <w:pStyle w:val="Normal1"/>
        <w:numPr>
          <w:ilvl w:val="0"/>
          <w:numId w:val="10"/>
        </w:numPr>
        <w:spacing w:line="360" w:lineRule="auto"/>
        <w:rPr>
          <w:color w:val="FF0000"/>
        </w:rPr>
      </w:pPr>
      <w:r>
        <w:rPr>
          <w:color w:val="FF0000"/>
        </w:rPr>
        <w:t>The cost of accommodation at the HITEC is estimated to be £29,700 for 270 people at the rate of £110 each.</w:t>
      </w:r>
    </w:p>
    <w:p w:rsidR="009E0167" w:rsidRDefault="00E94999" w14:paraId="31F8D0E7" w14:textId="77777777">
      <w:pPr>
        <w:pStyle w:val="Normal1"/>
        <w:numPr>
          <w:ilvl w:val="0"/>
          <w:numId w:val="10"/>
        </w:numPr>
        <w:spacing w:line="360" w:lineRule="auto"/>
        <w:rPr>
          <w:color w:val="FF0000"/>
        </w:rPr>
      </w:pPr>
      <w:r>
        <w:rPr>
          <w:color w:val="FF0000"/>
        </w:rPr>
        <w:t>The cost of transportation for 270 people at the rate of £190 each was found to be £51,300.</w:t>
      </w:r>
    </w:p>
    <w:p w:rsidR="009E0167" w:rsidRDefault="00E94999" w14:paraId="3172FFBE" w14:textId="77777777">
      <w:pPr>
        <w:pStyle w:val="Normal1"/>
        <w:numPr>
          <w:ilvl w:val="0"/>
          <w:numId w:val="10"/>
        </w:numPr>
        <w:spacing w:line="360" w:lineRule="auto"/>
        <w:rPr>
          <w:color w:val="FF0000"/>
        </w:rPr>
      </w:pPr>
      <w:r>
        <w:rPr>
          <w:color w:val="FF0000"/>
        </w:rPr>
        <w:t>The operational cost for the organisation was found to be £5,400 along with a provisional amounting to £1,000</w:t>
      </w:r>
    </w:p>
    <w:p w:rsidR="009E0167" w:rsidRDefault="00E94999" w14:paraId="23C9DCFD" w14:textId="77777777">
      <w:pPr>
        <w:pStyle w:val="Normal1"/>
        <w:spacing w:line="360" w:lineRule="auto"/>
        <w:jc w:val="center"/>
        <w:rPr>
          <w:color w:val="FF0000"/>
        </w:rPr>
      </w:pPr>
      <w:r>
        <w:rPr>
          <w:noProof/>
          <w:color w:val="FF0000"/>
        </w:rPr>
        <w:drawing>
          <wp:inline distT="114300" distB="114300" distL="114300" distR="114300" wp14:anchorId="638DD341" wp14:editId="52EE40D9">
            <wp:extent cx="5572125" cy="18573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572125" cy="1857375"/>
                    </a:xfrm>
                    <a:prstGeom prst="rect">
                      <a:avLst/>
                    </a:prstGeom>
                  </pic:spPr>
                </pic:pic>
              </a:graphicData>
            </a:graphic>
          </wp:inline>
        </w:drawing>
      </w:r>
    </w:p>
    <w:p w:rsidR="009E0167" w:rsidRDefault="00E94999" w14:paraId="122F9BE5" w14:textId="77777777">
      <w:pPr>
        <w:pStyle w:val="Normal1"/>
        <w:spacing w:line="360" w:lineRule="auto"/>
        <w:jc w:val="center"/>
        <w:rPr>
          <w:b/>
          <w:color w:val="FF0000"/>
        </w:rPr>
      </w:pPr>
      <w:r>
        <w:rPr>
          <w:b/>
          <w:color w:val="FF0000"/>
        </w:rPr>
        <w:t>Figure 1: Budget of HITEC Events</w:t>
      </w:r>
    </w:p>
    <w:p w:rsidR="009E0167" w:rsidRDefault="00E94999" w14:paraId="477C6CB1" w14:textId="77777777">
      <w:pPr>
        <w:pStyle w:val="Normal1"/>
        <w:spacing w:line="360" w:lineRule="auto"/>
        <w:jc w:val="center"/>
        <w:rPr>
          <w:color w:val="FF0000"/>
        </w:rPr>
      </w:pPr>
      <w:r>
        <w:rPr>
          <w:color w:val="FF0000"/>
        </w:rPr>
        <w:t>(Source: Self-Generated, 2024).</w:t>
      </w:r>
    </w:p>
    <w:p w:rsidR="009E0167" w:rsidRDefault="00E94999" w14:paraId="0B62AD9A" w14:textId="77777777">
      <w:pPr>
        <w:pStyle w:val="Normal1"/>
        <w:spacing w:line="360" w:lineRule="auto"/>
        <w:rPr>
          <w:color w:val="FF0000"/>
        </w:rPr>
      </w:pPr>
      <w:r>
        <w:rPr>
          <w:color w:val="FF0000"/>
        </w:rPr>
        <w:t xml:space="preserve">The above table deals in stating about the budget of HITEC in which relevant costs have </w:t>
      </w:r>
      <w:r>
        <w:rPr>
          <w:color w:val="FF0000"/>
        </w:rPr>
        <w:t>been considered by the organisation. Through this table, it has been found that the cost of accommodation had been considered for 270 people and the cost of each person a day is £110. The total cost of accommodation was found to be £29,700. For the same person, the cost of transportation for £190 each was £51,300. Furthermore, the cost of operational activities was found to be £5,400. Finally, the cost of the provisional amount leads to be £1,000. The total cost for the event was ascertained to be £87,400.</w:t>
      </w:r>
    </w:p>
    <w:p w:rsidR="009E0167" w:rsidRDefault="00E94999" w14:paraId="63AAA49D" w14:textId="77777777">
      <w:pPr>
        <w:pStyle w:val="Heading2"/>
        <w:spacing w:before="0" w:after="0" w:line="360" w:lineRule="auto"/>
      </w:pPr>
      <w:bookmarkStart w:name="_1t3h5sf" w:colFirst="0" w:colLast="0" w:id="7"/>
      <w:bookmarkEnd w:id="7"/>
      <w:r>
        <w:t xml:space="preserve">Relevant Case Study </w:t>
      </w:r>
    </w:p>
    <w:p w:rsidR="009E0167" w:rsidRDefault="00E94999" w14:paraId="247A19AA" w14:textId="77777777">
      <w:pPr>
        <w:pStyle w:val="Normal1"/>
        <w:numPr>
          <w:ilvl w:val="0"/>
          <w:numId w:val="8"/>
        </w:numPr>
        <w:spacing w:line="360" w:lineRule="auto"/>
      </w:pPr>
      <w:r>
        <w:t>Case Study: "HITEC -- Hospitality Industry Technology Exposition &amp; Conference</w:t>
      </w:r>
    </w:p>
    <w:p w:rsidR="009E0167" w:rsidRDefault="00E94999" w14:paraId="7B37678B" w14:textId="77777777">
      <w:pPr>
        <w:pStyle w:val="Normal1"/>
        <w:numPr>
          <w:ilvl w:val="0"/>
          <w:numId w:val="8"/>
        </w:numPr>
        <w:spacing w:line="360" w:lineRule="auto"/>
      </w:pPr>
      <w:r>
        <w:t xml:space="preserve">HITEC is a hospitality technology conference known as one of the best in the world, however, of the educational sessions, product exhibits, and professional encounters in its event calendar. Among HITEC's key lessons are seeking an ideal venue, broadening fronts of marketing awareness, providing live and exciting experiences, and developing multiple income sources to cover expenses (Bodolica, 2020). </w:t>
      </w:r>
    </w:p>
    <w:p w:rsidR="009E0167" w:rsidRDefault="00E94999" w14:paraId="178C4911" w14:textId="77777777">
      <w:pPr>
        <w:pStyle w:val="Normal1"/>
        <w:numPr>
          <w:ilvl w:val="0"/>
          <w:numId w:val="8"/>
        </w:numPr>
        <w:spacing w:line="360" w:lineRule="auto"/>
      </w:pPr>
      <w:r>
        <w:t xml:space="preserve">For example, HITEC selects only the top-notch venues with updated technology infrastructure and super facilitation for the audience, besides that the delegates execute a well-composed marketing plan to attract many people from different walks of life. </w:t>
      </w:r>
    </w:p>
    <w:p w:rsidR="009E0167" w:rsidRDefault="00E94999" w14:paraId="7BDBD788" w14:textId="77777777">
      <w:pPr>
        <w:pStyle w:val="Normal1"/>
        <w:spacing w:line="360" w:lineRule="auto"/>
        <w:rPr>
          <w:b/>
        </w:rPr>
      </w:pPr>
      <w:r>
        <w:rPr>
          <w:b/>
        </w:rPr>
        <w:t>Case Study: "HITEC -- Hospitality Industry Technology Exposition &amp; Conference</w:t>
      </w:r>
    </w:p>
    <w:p w:rsidR="009E0167" w:rsidRDefault="00E94999" w14:paraId="3BE86BC0" w14:textId="77777777">
      <w:pPr>
        <w:pStyle w:val="Normal1"/>
        <w:spacing w:line="360" w:lineRule="auto"/>
      </w:pPr>
      <w:r>
        <w:t xml:space="preserve">HITEC is a hospitality technology conference known as one of the best in the world, however, of the educational sessions, product exhibits, and professional encounters in its event calendar. Among HITEC's key lessons are seeking an ideal venue, broadening fronts of marketing awareness, providing live and exciting experiences, and developing multiple income sources to cover expenses </w:t>
      </w:r>
      <w:r>
        <w:rPr>
          <w:highlight w:val="white"/>
        </w:rPr>
        <w:t>(Bodolica, 2020)</w:t>
      </w:r>
      <w:r>
        <w:t>. For example, HITEC selects only the top-notch venues with updated technology infrastructure and super facilitation for the audience, besides that the delegates execute a well-composed marketing plan to attract many people from different walks of life. Also, the event combines demos and hands-on workshops under a tagline that boosts established networking between attendees at the event. For the fiscal aspect, HITEC ensures that the budget is also balanced through strategic pricing, sponsors</w:t>
      </w:r>
      <w:r>
        <w:t xml:space="preserve">hips, and attendee registrations. Provided by these practices, event organisers can perfect the informational content and meaningfulness of their events directly related to the technological innovations within the hospitality industry and aim for the highest rating by attendees </w:t>
      </w:r>
      <w:r>
        <w:rPr>
          <w:highlight w:val="white"/>
        </w:rPr>
        <w:t>(Carayannis, 2021)</w:t>
      </w:r>
      <w:r>
        <w:t>.</w:t>
      </w:r>
    </w:p>
    <w:p w:rsidR="009E0167" w:rsidRDefault="00E94999" w14:paraId="5E7A7B97" w14:textId="77777777">
      <w:pPr>
        <w:pStyle w:val="Heading1"/>
        <w:spacing w:before="0" w:after="0" w:line="360" w:lineRule="auto"/>
      </w:pPr>
      <w:bookmarkStart w:name="_4d34og8" w:colFirst="0" w:colLast="0" w:id="8"/>
      <w:bookmarkEnd w:id="8"/>
      <w:r>
        <w:t xml:space="preserve">Conclusion  </w:t>
      </w:r>
    </w:p>
    <w:p w:rsidR="009E0167" w:rsidRDefault="00E94999" w14:paraId="1BE43DB4" w14:textId="77777777">
      <w:pPr>
        <w:pStyle w:val="Normal1"/>
        <w:numPr>
          <w:ilvl w:val="0"/>
          <w:numId w:val="9"/>
        </w:numPr>
        <w:spacing w:line="360" w:lineRule="auto"/>
      </w:pPr>
      <w:r>
        <w:t xml:space="preserve">This presentation has explored the strategic plan of a feasibility study that proposes a MICE industry event centred on "Technology and Innovation within the Hospitality Sector." </w:t>
      </w:r>
    </w:p>
    <w:p w:rsidR="009E0167" w:rsidRDefault="00E94999" w14:paraId="1E1FE0CF" w14:textId="77777777">
      <w:pPr>
        <w:pStyle w:val="Normal1"/>
        <w:numPr>
          <w:ilvl w:val="0"/>
          <w:numId w:val="9"/>
        </w:numPr>
        <w:spacing w:line="360" w:lineRule="auto"/>
      </w:pPr>
      <w:r>
        <w:t xml:space="preserve">The feasibility study presented a series of phenomena: uncovering the main market forces, preparing for the logistical tasks and planning how the finances would be studied. </w:t>
      </w:r>
    </w:p>
    <w:p w:rsidR="009E0167" w:rsidRDefault="00E94999" w14:paraId="48002470" w14:textId="77777777">
      <w:pPr>
        <w:pStyle w:val="Normal1"/>
        <w:numPr>
          <w:ilvl w:val="0"/>
          <w:numId w:val="9"/>
        </w:numPr>
        <w:spacing w:line="360" w:lineRule="auto"/>
      </w:pPr>
      <w:r>
        <w:t>Considering the findings, planners of future events will refine their plans, making the right choices and establishing good strategies to create an evergreen run of the hospitality event.</w:t>
      </w:r>
    </w:p>
    <w:p w:rsidR="009E0167" w:rsidRDefault="00E94999" w14:paraId="4882C237" w14:textId="77777777">
      <w:pPr>
        <w:pStyle w:val="Normal1"/>
        <w:spacing w:line="360" w:lineRule="auto"/>
      </w:pPr>
      <w:r>
        <w:t>This presentation has explored the strategic plan of a feasibility study that proposes a MICE industry event centred on "Technology and Innovation within the Hospitality Sector." Through extensive examination of the market factors, operational considerations, and financial impacts, important conclusions have been reached that form the basis for successful and effective event planning. The feasibility study presented a series of phenomena: uncovering the main market forces, preparing for the logistical tasks</w:t>
      </w:r>
      <w:r>
        <w:t xml:space="preserve"> and planning how the finances would be studied. Considering the findings, planners of future events will refine their plans, making the right choices and establishing good strategies to create an evergreen run of the hospitality event.</w:t>
      </w:r>
    </w:p>
    <w:p w:rsidR="009E0167" w:rsidRDefault="00E94999" w14:paraId="5B61968A" w14:textId="77777777">
      <w:pPr>
        <w:pStyle w:val="Heading1"/>
        <w:spacing w:before="0" w:after="0" w:line="360" w:lineRule="auto"/>
      </w:pPr>
      <w:bookmarkStart w:name="_2s8eyo1" w:colFirst="0" w:colLast="0" w:id="9"/>
      <w:bookmarkEnd w:id="9"/>
      <w:r>
        <w:t>Recommendations and Next Steps</w:t>
      </w:r>
    </w:p>
    <w:p w:rsidR="009E0167" w:rsidRDefault="00E94999" w14:paraId="49D90ED0" w14:textId="77777777">
      <w:pPr>
        <w:pStyle w:val="Normal1"/>
        <w:numPr>
          <w:ilvl w:val="0"/>
          <w:numId w:val="3"/>
        </w:numPr>
        <w:spacing w:line="360" w:lineRule="auto"/>
      </w:pPr>
      <w:r>
        <w:t>The recommendations for improving the event concept are outlined based on the findings from the feasibility study that showcased the event concept's alignment with the defined market needs and wants.</w:t>
      </w:r>
    </w:p>
    <w:p w:rsidR="009E0167" w:rsidRDefault="00E94999" w14:paraId="271A23DF" w14:textId="77777777">
      <w:pPr>
        <w:pStyle w:val="Normal1"/>
        <w:numPr>
          <w:ilvl w:val="0"/>
          <w:numId w:val="3"/>
        </w:numPr>
        <w:spacing w:line="360" w:lineRule="auto"/>
      </w:pPr>
      <w:r>
        <w:t xml:space="preserve">The future course of the event planning process comprises the final makeup of the venue, the supply of necessary resources and vendors, the implementation of a robust marketing and promotion strategy and the tweaking of the event agenda and the program. </w:t>
      </w:r>
    </w:p>
    <w:p w:rsidR="009E0167" w:rsidRDefault="00E94999" w14:paraId="30DEE17A" w14:textId="77777777">
      <w:pPr>
        <w:pStyle w:val="Normal1"/>
        <w:spacing w:line="360" w:lineRule="auto"/>
        <w:rPr>
          <w:b/>
        </w:rPr>
      </w:pPr>
      <w:r>
        <w:rPr>
          <w:b/>
        </w:rPr>
        <w:t>Refining Event Concept</w:t>
      </w:r>
    </w:p>
    <w:p w:rsidR="009E0167" w:rsidRDefault="00E94999" w14:paraId="717CD963" w14:textId="77777777">
      <w:pPr>
        <w:pStyle w:val="Normal1"/>
        <w:spacing w:line="360" w:lineRule="auto"/>
      </w:pPr>
      <w:r>
        <w:t xml:space="preserve">The recommendations for improving the event concept are outlined based on the findings from the feasibility study that showcased the event concept's alignment with the defined market needs and wants. For a memorable exhibit, we propose </w:t>
      </w:r>
      <w:r>
        <w:t>perfecting the thematic slant, improving interactivity, and incorporating cutting-edge technology to achieve higher levels of engagement and connectivity between the exhibit and the hospitality industry.</w:t>
      </w:r>
    </w:p>
    <w:p w:rsidR="009E0167" w:rsidRDefault="00E94999" w14:paraId="5DACA386" w14:textId="77777777">
      <w:pPr>
        <w:pStyle w:val="Normal1"/>
        <w:spacing w:line="360" w:lineRule="auto"/>
        <w:rPr>
          <w:b/>
        </w:rPr>
      </w:pPr>
      <w:r>
        <w:rPr>
          <w:b/>
        </w:rPr>
        <w:t>Industry Events: Next things to manage</w:t>
      </w:r>
    </w:p>
    <w:p w:rsidR="009E0167" w:rsidRDefault="00E94999" w14:paraId="430A2F8F" w14:textId="77777777">
      <w:pPr>
        <w:pStyle w:val="Normal1"/>
        <w:spacing w:line="360" w:lineRule="auto"/>
      </w:pPr>
      <w:r>
        <w:t>The future course of the event planning process comprises the final makeup of the venue, the supply of necessary resources and vendors, the implementation of a robust marketing and promotion strategy and the tweaking of the event agenda and the program. Furthermore, continuous observations of the evolution of the market and the behaviours of the competitors will be crucial to upgrading the strategy of the event to the most recent demands, and ultimately to increase the efficacy of the event.</w:t>
      </w:r>
      <w:r>
        <w:br w:type="page"/>
      </w:r>
    </w:p>
    <w:p w:rsidR="009E0167" w:rsidRDefault="00E94999" w14:paraId="78CF5FA8" w14:textId="77777777">
      <w:pPr>
        <w:pStyle w:val="Heading1"/>
        <w:spacing w:before="0" w:after="0" w:line="360" w:lineRule="auto"/>
      </w:pPr>
      <w:bookmarkStart w:name="_17dp8vu" w:colFirst="0" w:colLast="0" w:id="10"/>
      <w:bookmarkEnd w:id="10"/>
      <w:r>
        <w:t xml:space="preserve">References  </w:t>
      </w:r>
    </w:p>
    <w:p w:rsidR="00564FC7" w:rsidRDefault="00564FC7" w14:paraId="29BF964E" w14:textId="77777777">
      <w:pPr>
        <w:pStyle w:val="Normal1"/>
        <w:spacing w:line="360" w:lineRule="auto"/>
        <w:rPr>
          <w:highlight w:val="white"/>
        </w:rPr>
      </w:pPr>
      <w:r>
        <w:rPr>
          <w:highlight w:val="white"/>
        </w:rPr>
        <w:t xml:space="preserve">Bodolica, V., Spraggon, M. and Saleh, N., (2020). Innovative leadership in leisure and entertainment industry: The case of the UAE as a global tourism hub. </w:t>
      </w:r>
      <w:r>
        <w:rPr>
          <w:i/>
          <w:highlight w:val="white"/>
        </w:rPr>
        <w:t>International Journal of Islamic and Middle Eastern Finance and Management</w:t>
      </w:r>
      <w:r>
        <w:rPr>
          <w:highlight w:val="white"/>
        </w:rPr>
        <w:t xml:space="preserve">, </w:t>
      </w:r>
      <w:r>
        <w:rPr>
          <w:i/>
          <w:highlight w:val="white"/>
        </w:rPr>
        <w:t>13</w:t>
      </w:r>
      <w:r>
        <w:rPr>
          <w:highlight w:val="white"/>
        </w:rPr>
        <w:t>(2), pp.323-337.</w:t>
      </w:r>
    </w:p>
    <w:p w:rsidR="00564FC7" w:rsidRDefault="00564FC7" w14:paraId="35F60029" w14:textId="77777777">
      <w:pPr>
        <w:pStyle w:val="Normal1"/>
        <w:spacing w:line="360" w:lineRule="auto"/>
        <w:rPr>
          <w:highlight w:val="white"/>
        </w:rPr>
      </w:pPr>
      <w:r>
        <w:rPr>
          <w:highlight w:val="white"/>
        </w:rPr>
        <w:t xml:space="preserve">Carayannis, E.G., Dezi, L., Gregori, G. and Calo, E., (2021). Smart environments and techno-centric and human-centric innovations for Industry and Society 5.0: A quintuple helix Innovation System view towards smart, sustainable, and inclusive solutions. </w:t>
      </w:r>
      <w:r>
        <w:rPr>
          <w:i/>
          <w:highlight w:val="white"/>
        </w:rPr>
        <w:t>Journal of the Knowledge Economy</w:t>
      </w:r>
      <w:r>
        <w:rPr>
          <w:highlight w:val="white"/>
        </w:rPr>
        <w:t>, pp.1-30.</w:t>
      </w:r>
    </w:p>
    <w:p w:rsidR="00564FC7" w:rsidRDefault="00564FC7" w14:paraId="3970E5DC" w14:textId="77777777">
      <w:pPr>
        <w:pStyle w:val="Normal1"/>
        <w:spacing w:line="360" w:lineRule="auto"/>
        <w:rPr>
          <w:highlight w:val="white"/>
        </w:rPr>
      </w:pPr>
      <w:r>
        <w:rPr>
          <w:highlight w:val="white"/>
        </w:rPr>
        <w:t>Colombo, D., (2023). unveiling the metaverse: paving the way for technological providers.</w:t>
      </w:r>
    </w:p>
    <w:p w:rsidR="00564FC7" w:rsidRDefault="00564FC7" w14:paraId="3B2EEEE8" w14:textId="77777777">
      <w:pPr>
        <w:pStyle w:val="Normal1"/>
        <w:spacing w:line="360" w:lineRule="auto"/>
        <w:rPr>
          <w:highlight w:val="white"/>
        </w:rPr>
      </w:pPr>
      <w:r>
        <w:rPr>
          <w:highlight w:val="white"/>
        </w:rPr>
        <w:t xml:space="preserve">Daugherty, P. and Wilson, H.J., (2022). </w:t>
      </w:r>
      <w:r>
        <w:rPr>
          <w:i/>
          <w:highlight w:val="white"/>
        </w:rPr>
        <w:t>Radically human: How new technology is transforming business and shaping our future</w:t>
      </w:r>
      <w:r>
        <w:rPr>
          <w:highlight w:val="white"/>
        </w:rPr>
        <w:t>. Harvard Business Press.</w:t>
      </w:r>
    </w:p>
    <w:p w:rsidR="00564FC7" w:rsidRDefault="00564FC7" w14:paraId="129006C9" w14:textId="77777777">
      <w:pPr>
        <w:pStyle w:val="Normal1"/>
        <w:spacing w:line="360" w:lineRule="auto"/>
      </w:pPr>
      <w:r>
        <w:t xml:space="preserve">Deloitte (2024) Sustainability in the hospitality industry: Deloitte UK, Deloitte United Kingdom. Available at: https://www.deloitte.com/uk/en/Industries/consumer/blogs/sustainability-in-the-hospitality-industry.html (Accessed: 30 October 2024). </w:t>
      </w:r>
    </w:p>
    <w:p w:rsidR="00564FC7" w:rsidRDefault="00564FC7" w14:paraId="3A6111F4" w14:textId="77777777">
      <w:pPr>
        <w:pStyle w:val="Normal1"/>
        <w:spacing w:line="360" w:lineRule="auto"/>
        <w:rPr>
          <w:highlight w:val="white"/>
        </w:rPr>
      </w:pPr>
      <w:r>
        <w:rPr>
          <w:highlight w:val="white"/>
        </w:rPr>
        <w:t xml:space="preserve">Fox, D. et al. (2014) Doing events research: from theory to practice. Routledge: Oxford </w:t>
      </w:r>
    </w:p>
    <w:p w:rsidR="00564FC7" w:rsidRDefault="00564FC7" w14:paraId="38FA9BAD" w14:textId="77777777">
      <w:pPr>
        <w:pStyle w:val="Normal1"/>
        <w:spacing w:line="360" w:lineRule="auto"/>
        <w:rPr>
          <w:highlight w:val="white"/>
        </w:rPr>
      </w:pPr>
      <w:r>
        <w:rPr>
          <w:highlight w:val="white"/>
        </w:rPr>
        <w:t xml:space="preserve">Harding, V., (2024). </w:t>
      </w:r>
      <w:r>
        <w:rPr>
          <w:i/>
          <w:highlight w:val="white"/>
        </w:rPr>
        <w:t>AI Needs You: How We Can Change AI's Future and Save Our Own</w:t>
      </w:r>
      <w:r>
        <w:rPr>
          <w:highlight w:val="white"/>
        </w:rPr>
        <w:t>. Princeton University Press.</w:t>
      </w:r>
    </w:p>
    <w:p w:rsidR="00564FC7" w:rsidRDefault="00564FC7" w14:paraId="0133141E" w14:textId="77777777">
      <w:pPr>
        <w:pStyle w:val="Normal1"/>
        <w:spacing w:line="360" w:lineRule="auto"/>
        <w:rPr>
          <w:highlight w:val="white"/>
        </w:rPr>
      </w:pPr>
      <w:r>
        <w:rPr>
          <w:highlight w:val="white"/>
        </w:rPr>
        <w:t xml:space="preserve">Harkin, D. and Merkel, R., (2023). Technology-Based Responses to Technology-Facilitated Domestic and Family Violence: An Overview of the Limits and Possibilities of Tech-Based “Solutions”. </w:t>
      </w:r>
      <w:r>
        <w:rPr>
          <w:i/>
          <w:highlight w:val="white"/>
        </w:rPr>
        <w:t>Violence against women</w:t>
      </w:r>
      <w:r>
        <w:rPr>
          <w:highlight w:val="white"/>
        </w:rPr>
        <w:t xml:space="preserve">, </w:t>
      </w:r>
      <w:r>
        <w:rPr>
          <w:i/>
          <w:highlight w:val="white"/>
        </w:rPr>
        <w:t>29</w:t>
      </w:r>
      <w:r>
        <w:rPr>
          <w:highlight w:val="white"/>
        </w:rPr>
        <w:t>(3-4), pp.648-670.</w:t>
      </w:r>
    </w:p>
    <w:p w:rsidR="00564FC7" w:rsidRDefault="00564FC7" w14:paraId="1F977554" w14:textId="77777777">
      <w:pPr>
        <w:pStyle w:val="Normal1"/>
        <w:spacing w:line="360" w:lineRule="auto"/>
        <w:rPr>
          <w:highlight w:val="white"/>
        </w:rPr>
      </w:pPr>
      <w:r>
        <w:rPr>
          <w:highlight w:val="white"/>
        </w:rPr>
        <w:t xml:space="preserve">Henderson, R., (2021). </w:t>
      </w:r>
      <w:r>
        <w:rPr>
          <w:i/>
          <w:highlight w:val="white"/>
        </w:rPr>
        <w:t>Reimagining capitalism in a World on fire: Shortlisted for the FT &amp; McKinsey business book of the year award 2020</w:t>
      </w:r>
      <w:r>
        <w:rPr>
          <w:highlight w:val="white"/>
        </w:rPr>
        <w:t>. Penguin uK.</w:t>
      </w:r>
    </w:p>
    <w:p w:rsidR="00564FC7" w:rsidRDefault="00564FC7" w14:paraId="107CD45D" w14:textId="77777777">
      <w:pPr>
        <w:pStyle w:val="Normal1"/>
        <w:spacing w:line="360" w:lineRule="auto"/>
      </w:pPr>
      <w:r>
        <w:t xml:space="preserve">HITEC (2024a) Hitec®, HITEC. Available at: https://hitecproduction.hftp.org/ (Accessed: 30 October 2024). </w:t>
      </w:r>
    </w:p>
    <w:p w:rsidR="00564FC7" w:rsidRDefault="00564FC7" w14:paraId="1FEB9F49" w14:textId="77777777">
      <w:pPr>
        <w:pStyle w:val="Normal1"/>
        <w:spacing w:line="360" w:lineRule="auto"/>
      </w:pPr>
      <w:r>
        <w:t xml:space="preserve">HITEC (2024b) Hitec®, HITEC. Available at: https://www.hitec.org/ (Accessed: 30 October 2024). </w:t>
      </w:r>
    </w:p>
    <w:p w:rsidR="00564FC7" w:rsidRDefault="00564FC7" w14:paraId="2D4A64C9" w14:textId="77777777">
      <w:pPr>
        <w:pStyle w:val="Normal1"/>
        <w:spacing w:line="360" w:lineRule="auto"/>
      </w:pPr>
      <w:r>
        <w:t xml:space="preserve">Jain, N. (2024) What is technology innovation? definition, examples and strategic management, IdeaScale. Available at: https://ideascale.com/blog/what-is-technology-innovation/ (Accessed: 30 October 2024). </w:t>
      </w:r>
    </w:p>
    <w:p w:rsidR="00564FC7" w:rsidRDefault="00564FC7" w14:paraId="1A094A20" w14:textId="77777777">
      <w:pPr>
        <w:pStyle w:val="Normal1"/>
        <w:spacing w:line="360" w:lineRule="auto"/>
        <w:rPr>
          <w:highlight w:val="white"/>
        </w:rPr>
      </w:pPr>
      <w:r>
        <w:rPr>
          <w:highlight w:val="white"/>
        </w:rPr>
        <w:t>Klofsten, A. and Wahlund, J., (2019). The Nature of the Enchanting Past-A Study of Enchantment Using Heritage and Nostalgia within Outdoor Brands.</w:t>
      </w:r>
    </w:p>
    <w:p w:rsidR="00564FC7" w:rsidRDefault="00564FC7" w14:paraId="716D7A50" w14:textId="77777777">
      <w:pPr>
        <w:pStyle w:val="Normal1"/>
        <w:spacing w:line="360" w:lineRule="auto"/>
      </w:pPr>
      <w:r>
        <w:t xml:space="preserve">KPMG (2024) Economic outlook, KPMG. Available at: https://kpmg.com/uk/en/home/insights/2018/09/uk-economic-outlook.html#:~:text=UK%20Economy%20forecast%20%E2%80%93%20September%202024&amp;text=UK%20GDP%20growth%20is%20expected,at%20a%20historically%20significant%20pace. (Accessed: 30 October 2024). </w:t>
      </w:r>
    </w:p>
    <w:p w:rsidR="00564FC7" w:rsidRDefault="00564FC7" w14:paraId="0FFA389A" w14:textId="77777777">
      <w:pPr>
        <w:pStyle w:val="Normal1"/>
        <w:spacing w:line="360" w:lineRule="auto"/>
        <w:rPr>
          <w:highlight w:val="white"/>
        </w:rPr>
      </w:pPr>
      <w:r>
        <w:rPr>
          <w:highlight w:val="white"/>
        </w:rPr>
        <w:t xml:space="preserve">Levine, A. and Van Pelt, S., (2021). </w:t>
      </w:r>
      <w:r>
        <w:rPr>
          <w:i/>
          <w:highlight w:val="white"/>
        </w:rPr>
        <w:t>The great upheaval: Higher education's past, present, and uncertain future</w:t>
      </w:r>
      <w:r>
        <w:rPr>
          <w:highlight w:val="white"/>
        </w:rPr>
        <w:t>. JHU Press.</w:t>
      </w:r>
    </w:p>
    <w:p w:rsidR="00564FC7" w:rsidRDefault="00564FC7" w14:paraId="0D5A2C9D" w14:textId="77777777">
      <w:pPr>
        <w:pStyle w:val="Normal1"/>
        <w:spacing w:line="360" w:lineRule="auto"/>
      </w:pPr>
      <w:r>
        <w:t xml:space="preserve">LinkedIn (2023) Understanding the legal aspects of Hospitality Management, LinkedIn. Available at: https://www.linkedin.com/pulse/understanding-legal-aspects-hospitality-management-brittsimperial (Accessed: 30 October 2024). </w:t>
      </w:r>
    </w:p>
    <w:p w:rsidR="00564FC7" w:rsidRDefault="00564FC7" w14:paraId="576E2D25" w14:textId="77777777">
      <w:pPr>
        <w:pStyle w:val="Normal1"/>
        <w:spacing w:line="360" w:lineRule="auto"/>
        <w:rPr>
          <w:highlight w:val="white"/>
        </w:rPr>
      </w:pPr>
      <w:r>
        <w:rPr>
          <w:highlight w:val="white"/>
        </w:rPr>
        <w:t xml:space="preserve">Litvinenko, I., (2020). </w:t>
      </w:r>
      <w:r>
        <w:rPr>
          <w:i/>
          <w:highlight w:val="white"/>
        </w:rPr>
        <w:t>Future Visions: One Hundred Years of Culture and Society Through the Lens of Science Fiction Cinema</w:t>
      </w:r>
      <w:r>
        <w:rPr>
          <w:highlight w:val="white"/>
        </w:rPr>
        <w:t>. Youcanprint.</w:t>
      </w:r>
    </w:p>
    <w:p w:rsidR="00564FC7" w:rsidRDefault="00564FC7" w14:paraId="38C6C16E" w14:textId="77777777">
      <w:pPr>
        <w:pStyle w:val="Normal1"/>
        <w:spacing w:line="360" w:lineRule="auto"/>
      </w:pPr>
      <w:r>
        <w:t xml:space="preserve">Luther, D. (2024) 13 hospitality industry challenges, Oracle NetSuite. Available at: https://www.netsuite.com/portal/resource/articles/erp/hospitality-industry-challenges.shtml (Accessed: 30 October 2024). </w:t>
      </w:r>
    </w:p>
    <w:p w:rsidR="00564FC7" w:rsidRDefault="00564FC7" w14:paraId="3BF75C66" w14:textId="77777777">
      <w:pPr>
        <w:pStyle w:val="Normal1"/>
        <w:spacing w:line="360" w:lineRule="auto"/>
      </w:pPr>
      <w:r>
        <w:t xml:space="preserve">Newgenadv (2023) Recessions impact on the hotel industry - newgen advisory. Available at: https://newgenadv.com/2023/06/recessions-impact-on-the-hotel-industry/ (Accessed: 30 October 2024). </w:t>
      </w:r>
    </w:p>
    <w:p w:rsidR="00564FC7" w:rsidRDefault="00564FC7" w14:paraId="1BA07AD1" w14:textId="77777777">
      <w:pPr>
        <w:pStyle w:val="Normal1"/>
        <w:spacing w:line="360" w:lineRule="auto"/>
      </w:pPr>
      <w:r>
        <w:t xml:space="preserve">Schwarz, L. (2024) 7 trends driving the hospitality industry in 2024, Oracle NetSuite. Available at: https://www.netsuite.com/portal/resource/articles/erp/hospitality-industry-trends.shtml#:~:text=Virtual%20reality%20(VR)%20tours%20in,for%20them%20before%20making%20reservations. (Accessed: 30 October 2024). </w:t>
      </w:r>
    </w:p>
    <w:p w:rsidR="00564FC7" w:rsidRDefault="00564FC7" w14:paraId="76945B85" w14:textId="77777777">
      <w:pPr>
        <w:pStyle w:val="Normal1"/>
        <w:spacing w:line="360" w:lineRule="auto"/>
      </w:pPr>
      <w:r>
        <w:t xml:space="preserve">Soken-Huberty, E. (2023) 15 examples of social issues in the UK, Human Rights Careers. Available at: https://www.humanrightscareers.com/issues/examples-of-social-issues-uk/ (Accessed: 30 October 2024). </w:t>
      </w:r>
    </w:p>
    <w:p w:rsidR="00564FC7" w:rsidRDefault="00564FC7" w14:paraId="3487F4FA" w14:textId="77777777">
      <w:pPr>
        <w:pStyle w:val="Normal1"/>
        <w:spacing w:line="360" w:lineRule="auto"/>
      </w:pPr>
      <w:r>
        <w:t xml:space="preserve">Statista (2024) Topic: UK politics, Statista. Available at: https://www.statista.com/topics/4666/british-politics/#topicOverview (Accessed: 30 October 2024). </w:t>
      </w:r>
    </w:p>
    <w:p w:rsidR="00564FC7" w:rsidRDefault="00564FC7" w14:paraId="5ECDF7CE" w14:textId="77777777">
      <w:pPr>
        <w:pStyle w:val="Normal1"/>
        <w:spacing w:line="360" w:lineRule="auto"/>
        <w:rPr>
          <w:highlight w:val="white"/>
        </w:rPr>
      </w:pPr>
      <w:r>
        <w:rPr>
          <w:highlight w:val="white"/>
        </w:rPr>
        <w:t>Tran, D.H. and Do, T., (2022). The influence of 4.0 technology on the stock brokerage industry in Vietnam: case study: SSI Securities Corporation.</w:t>
      </w:r>
    </w:p>
    <w:p w:rsidR="00564FC7" w:rsidRDefault="00564FC7" w14:paraId="1EA883A3" w14:textId="77777777">
      <w:pPr>
        <w:pStyle w:val="Normal1"/>
        <w:spacing w:line="360" w:lineRule="auto"/>
        <w:rPr>
          <w:highlight w:val="white"/>
        </w:rPr>
      </w:pPr>
      <w:r>
        <w:rPr>
          <w:highlight w:val="white"/>
        </w:rPr>
        <w:t xml:space="preserve">Wirtz, J., (2020). Organizational ambidexterity: cost-effective service excellence, service robots, and artificial intelligence. </w:t>
      </w:r>
      <w:r>
        <w:rPr>
          <w:i/>
          <w:highlight w:val="white"/>
        </w:rPr>
        <w:t>Organizational Dynamics</w:t>
      </w:r>
      <w:r>
        <w:rPr>
          <w:highlight w:val="white"/>
        </w:rPr>
        <w:t xml:space="preserve">, </w:t>
      </w:r>
      <w:r>
        <w:rPr>
          <w:i/>
          <w:highlight w:val="white"/>
        </w:rPr>
        <w:t>49</w:t>
      </w:r>
      <w:r>
        <w:rPr>
          <w:highlight w:val="white"/>
        </w:rPr>
        <w:t>(3), pp.1-9.</w:t>
      </w:r>
    </w:p>
    <w:p w:rsidR="009E0167" w:rsidRDefault="009E0167" w14:paraId="56285584" w14:textId="77777777">
      <w:pPr>
        <w:pStyle w:val="Normal1"/>
        <w:spacing w:line="360" w:lineRule="auto"/>
        <w:rPr>
          <w:highlight w:val="white"/>
        </w:rPr>
      </w:pPr>
    </w:p>
    <w:p w:rsidR="009E0167" w:rsidRDefault="009E0167" w14:paraId="64658424" w14:textId="77777777">
      <w:pPr>
        <w:pStyle w:val="Normal1"/>
        <w:spacing w:line="360" w:lineRule="auto"/>
        <w:rPr>
          <w:highlight w:val="white"/>
        </w:rPr>
      </w:pPr>
    </w:p>
    <w:p w:rsidR="009E0167" w:rsidRDefault="009E0167" w14:paraId="258B3518" w14:textId="77777777">
      <w:pPr>
        <w:pStyle w:val="Normal1"/>
        <w:spacing w:line="360" w:lineRule="auto"/>
      </w:pPr>
      <w:bookmarkStart w:name="_3rdcrjn" w:colFirst="0" w:colLast="0" w:id="11"/>
      <w:bookmarkEnd w:id="11"/>
    </w:p>
    <w:p w:rsidR="009E0167" w:rsidRDefault="009E0167" w14:paraId="68808F4A" w14:textId="77777777">
      <w:pPr>
        <w:pStyle w:val="Normal1"/>
        <w:spacing w:line="360" w:lineRule="auto"/>
      </w:pPr>
    </w:p>
    <w:sectPr w:rsidR="009E0167" w:rsidSect="00564FC7">
      <w:headerReference w:type="default" r:id="rId9"/>
      <w:footerReference w:type="default" r:id="rId10"/>
      <w:footerReference w:type="first" r:id="rId11"/>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64E6D" w:rsidRDefault="00164E6D" w14:paraId="6480CCA4" w14:textId="77777777">
      <w:pPr>
        <w:spacing w:line="240" w:lineRule="auto"/>
      </w:pPr>
      <w:r>
        <w:separator/>
      </w:r>
    </w:p>
  </w:endnote>
  <w:endnote w:type="continuationSeparator" w:id="0">
    <w:p w:rsidR="00164E6D" w:rsidRDefault="00164E6D" w14:paraId="3BECE50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E0167" w:rsidRDefault="00E94999" w14:paraId="04496ADF" w14:textId="77777777">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564FC7">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564FC7">
      <w:rPr>
        <w:b/>
        <w:noProof/>
        <w:color w:val="000000"/>
      </w:rPr>
      <w:t>3</w:t>
    </w:r>
    <w:r>
      <w:rPr>
        <w:b/>
        <w:color w:val="000000"/>
      </w:rPr>
      <w:fldChar w:fldCharType="end"/>
    </w:r>
  </w:p>
  <w:p w:rsidR="009E0167" w:rsidRDefault="009E0167" w14:paraId="0F95946D" w14:textId="77777777">
    <w:pPr>
      <w:pStyle w:val="Normal1"/>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5381959"/>
      <w:docPartObj>
        <w:docPartGallery w:val="Page Numbers (Bottom of Page)"/>
        <w:docPartUnique/>
      </w:docPartObj>
    </w:sdtPr>
    <w:sdtEndPr>
      <w:rPr>
        <w:noProof/>
      </w:rPr>
    </w:sdtEndPr>
    <w:sdtContent>
      <w:p w:rsidR="00564FC7" w:rsidRDefault="00564FC7" w14:paraId="799B1BFF" w14:textId="6CB27B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64FC7" w:rsidRDefault="00564FC7" w14:paraId="0E7A019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64E6D" w:rsidRDefault="00164E6D" w14:paraId="01044FC1" w14:textId="77777777">
      <w:pPr>
        <w:spacing w:line="240" w:lineRule="auto"/>
      </w:pPr>
      <w:r>
        <w:separator/>
      </w:r>
    </w:p>
  </w:footnote>
  <w:footnote w:type="continuationSeparator" w:id="0">
    <w:p w:rsidR="00164E6D" w:rsidRDefault="00164E6D" w14:paraId="0FE7FB2F"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E0167" w:rsidRDefault="00E94999" w14:paraId="7A2FD359" w14:textId="77777777">
    <w:pPr>
      <w:pStyle w:val="Normal1"/>
      <w:jc w:val="right"/>
      <w:rPr>
        <w:sz w:val="16"/>
        <w:szCs w:val="16"/>
      </w:rPr>
    </w:pPr>
    <w:r>
      <w:t>BMIH6007 International Meetings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35EAA"/>
    <w:multiLevelType w:val="hybridMultilevel"/>
    <w:tmpl w:val="00000000"/>
    <w:lvl w:ilvl="0" w:tplc="BF6AE16C">
      <w:start w:val="1"/>
      <w:numFmt w:val="bullet"/>
      <w:lvlText w:val="●"/>
      <w:lvlJc w:val="left"/>
      <w:pPr>
        <w:ind w:left="720" w:hanging="360"/>
      </w:pPr>
      <w:rPr>
        <w:u w:val="none"/>
      </w:rPr>
    </w:lvl>
    <w:lvl w:ilvl="1" w:tplc="6DE08FDA">
      <w:start w:val="1"/>
      <w:numFmt w:val="bullet"/>
      <w:lvlText w:val="○"/>
      <w:lvlJc w:val="left"/>
      <w:pPr>
        <w:ind w:left="1440" w:hanging="360"/>
      </w:pPr>
      <w:rPr>
        <w:u w:val="none"/>
      </w:rPr>
    </w:lvl>
    <w:lvl w:ilvl="2" w:tplc="193E9F4E">
      <w:start w:val="1"/>
      <w:numFmt w:val="bullet"/>
      <w:lvlText w:val="■"/>
      <w:lvlJc w:val="left"/>
      <w:pPr>
        <w:ind w:left="2160" w:hanging="360"/>
      </w:pPr>
      <w:rPr>
        <w:u w:val="none"/>
      </w:rPr>
    </w:lvl>
    <w:lvl w:ilvl="3" w:tplc="250EEC34">
      <w:start w:val="1"/>
      <w:numFmt w:val="bullet"/>
      <w:lvlText w:val="●"/>
      <w:lvlJc w:val="left"/>
      <w:pPr>
        <w:ind w:left="2880" w:hanging="360"/>
      </w:pPr>
      <w:rPr>
        <w:u w:val="none"/>
      </w:rPr>
    </w:lvl>
    <w:lvl w:ilvl="4" w:tplc="0F5EE5C4">
      <w:start w:val="1"/>
      <w:numFmt w:val="bullet"/>
      <w:lvlText w:val="○"/>
      <w:lvlJc w:val="left"/>
      <w:pPr>
        <w:ind w:left="3600" w:hanging="360"/>
      </w:pPr>
      <w:rPr>
        <w:u w:val="none"/>
      </w:rPr>
    </w:lvl>
    <w:lvl w:ilvl="5" w:tplc="37A4E3DA">
      <w:start w:val="1"/>
      <w:numFmt w:val="bullet"/>
      <w:lvlText w:val="■"/>
      <w:lvlJc w:val="left"/>
      <w:pPr>
        <w:ind w:left="4320" w:hanging="360"/>
      </w:pPr>
      <w:rPr>
        <w:u w:val="none"/>
      </w:rPr>
    </w:lvl>
    <w:lvl w:ilvl="6" w:tplc="A6C8D322">
      <w:start w:val="1"/>
      <w:numFmt w:val="bullet"/>
      <w:lvlText w:val="●"/>
      <w:lvlJc w:val="left"/>
      <w:pPr>
        <w:ind w:left="5040" w:hanging="360"/>
      </w:pPr>
      <w:rPr>
        <w:u w:val="none"/>
      </w:rPr>
    </w:lvl>
    <w:lvl w:ilvl="7" w:tplc="3E0E1858">
      <w:start w:val="1"/>
      <w:numFmt w:val="bullet"/>
      <w:lvlText w:val="○"/>
      <w:lvlJc w:val="left"/>
      <w:pPr>
        <w:ind w:left="5760" w:hanging="360"/>
      </w:pPr>
      <w:rPr>
        <w:u w:val="none"/>
      </w:rPr>
    </w:lvl>
    <w:lvl w:ilvl="8" w:tplc="48766D20">
      <w:start w:val="1"/>
      <w:numFmt w:val="bullet"/>
      <w:lvlText w:val="■"/>
      <w:lvlJc w:val="left"/>
      <w:pPr>
        <w:ind w:left="6480" w:hanging="360"/>
      </w:pPr>
      <w:rPr>
        <w:u w:val="none"/>
      </w:rPr>
    </w:lvl>
  </w:abstractNum>
  <w:abstractNum w:abstractNumId="1" w15:restartNumberingAfterBreak="0">
    <w:nsid w:val="0C98F7CF"/>
    <w:multiLevelType w:val="hybridMultilevel"/>
    <w:tmpl w:val="00000000"/>
    <w:lvl w:ilvl="0" w:tplc="E9D062A6">
      <w:start w:val="1"/>
      <w:numFmt w:val="bullet"/>
      <w:lvlText w:val="●"/>
      <w:lvlJc w:val="left"/>
      <w:pPr>
        <w:ind w:left="720" w:hanging="360"/>
      </w:pPr>
      <w:rPr>
        <w:u w:val="none"/>
      </w:rPr>
    </w:lvl>
    <w:lvl w:ilvl="1" w:tplc="D8D87C90">
      <w:start w:val="1"/>
      <w:numFmt w:val="bullet"/>
      <w:lvlText w:val="○"/>
      <w:lvlJc w:val="left"/>
      <w:pPr>
        <w:ind w:left="1440" w:hanging="360"/>
      </w:pPr>
      <w:rPr>
        <w:u w:val="none"/>
      </w:rPr>
    </w:lvl>
    <w:lvl w:ilvl="2" w:tplc="16FE4F54">
      <w:start w:val="1"/>
      <w:numFmt w:val="bullet"/>
      <w:lvlText w:val="■"/>
      <w:lvlJc w:val="left"/>
      <w:pPr>
        <w:ind w:left="2160" w:hanging="360"/>
      </w:pPr>
      <w:rPr>
        <w:u w:val="none"/>
      </w:rPr>
    </w:lvl>
    <w:lvl w:ilvl="3" w:tplc="E28224EA">
      <w:start w:val="1"/>
      <w:numFmt w:val="bullet"/>
      <w:lvlText w:val="●"/>
      <w:lvlJc w:val="left"/>
      <w:pPr>
        <w:ind w:left="2880" w:hanging="360"/>
      </w:pPr>
      <w:rPr>
        <w:u w:val="none"/>
      </w:rPr>
    </w:lvl>
    <w:lvl w:ilvl="4" w:tplc="90B855D2">
      <w:start w:val="1"/>
      <w:numFmt w:val="bullet"/>
      <w:lvlText w:val="○"/>
      <w:lvlJc w:val="left"/>
      <w:pPr>
        <w:ind w:left="3600" w:hanging="360"/>
      </w:pPr>
      <w:rPr>
        <w:u w:val="none"/>
      </w:rPr>
    </w:lvl>
    <w:lvl w:ilvl="5" w:tplc="D94E1154">
      <w:start w:val="1"/>
      <w:numFmt w:val="bullet"/>
      <w:lvlText w:val="■"/>
      <w:lvlJc w:val="left"/>
      <w:pPr>
        <w:ind w:left="4320" w:hanging="360"/>
      </w:pPr>
      <w:rPr>
        <w:u w:val="none"/>
      </w:rPr>
    </w:lvl>
    <w:lvl w:ilvl="6" w:tplc="0FCA0CE8">
      <w:start w:val="1"/>
      <w:numFmt w:val="bullet"/>
      <w:lvlText w:val="●"/>
      <w:lvlJc w:val="left"/>
      <w:pPr>
        <w:ind w:left="5040" w:hanging="360"/>
      </w:pPr>
      <w:rPr>
        <w:u w:val="none"/>
      </w:rPr>
    </w:lvl>
    <w:lvl w:ilvl="7" w:tplc="80DC0E6A">
      <w:start w:val="1"/>
      <w:numFmt w:val="bullet"/>
      <w:lvlText w:val="○"/>
      <w:lvlJc w:val="left"/>
      <w:pPr>
        <w:ind w:left="5760" w:hanging="360"/>
      </w:pPr>
      <w:rPr>
        <w:u w:val="none"/>
      </w:rPr>
    </w:lvl>
    <w:lvl w:ilvl="8" w:tplc="7818B3E0">
      <w:start w:val="1"/>
      <w:numFmt w:val="bullet"/>
      <w:lvlText w:val="■"/>
      <w:lvlJc w:val="left"/>
      <w:pPr>
        <w:ind w:left="6480" w:hanging="360"/>
      </w:pPr>
      <w:rPr>
        <w:u w:val="none"/>
      </w:rPr>
    </w:lvl>
  </w:abstractNum>
  <w:abstractNum w:abstractNumId="2" w15:restartNumberingAfterBreak="0">
    <w:nsid w:val="1182A78F"/>
    <w:multiLevelType w:val="hybridMultilevel"/>
    <w:tmpl w:val="00000000"/>
    <w:lvl w:ilvl="0" w:tplc="F9864736">
      <w:start w:val="1"/>
      <w:numFmt w:val="bullet"/>
      <w:lvlText w:val="●"/>
      <w:lvlJc w:val="left"/>
      <w:pPr>
        <w:ind w:left="720" w:hanging="360"/>
      </w:pPr>
      <w:rPr>
        <w:u w:val="none"/>
      </w:rPr>
    </w:lvl>
    <w:lvl w:ilvl="1" w:tplc="5A42FCCE">
      <w:start w:val="1"/>
      <w:numFmt w:val="bullet"/>
      <w:lvlText w:val="○"/>
      <w:lvlJc w:val="left"/>
      <w:pPr>
        <w:ind w:left="1440" w:hanging="360"/>
      </w:pPr>
      <w:rPr>
        <w:u w:val="none"/>
      </w:rPr>
    </w:lvl>
    <w:lvl w:ilvl="2" w:tplc="1EE6D682">
      <w:start w:val="1"/>
      <w:numFmt w:val="bullet"/>
      <w:lvlText w:val="■"/>
      <w:lvlJc w:val="left"/>
      <w:pPr>
        <w:ind w:left="2160" w:hanging="360"/>
      </w:pPr>
      <w:rPr>
        <w:u w:val="none"/>
      </w:rPr>
    </w:lvl>
    <w:lvl w:ilvl="3" w:tplc="C688D6C2">
      <w:start w:val="1"/>
      <w:numFmt w:val="bullet"/>
      <w:lvlText w:val="●"/>
      <w:lvlJc w:val="left"/>
      <w:pPr>
        <w:ind w:left="2880" w:hanging="360"/>
      </w:pPr>
      <w:rPr>
        <w:u w:val="none"/>
      </w:rPr>
    </w:lvl>
    <w:lvl w:ilvl="4" w:tplc="81588FC6">
      <w:start w:val="1"/>
      <w:numFmt w:val="bullet"/>
      <w:lvlText w:val="○"/>
      <w:lvlJc w:val="left"/>
      <w:pPr>
        <w:ind w:left="3600" w:hanging="360"/>
      </w:pPr>
      <w:rPr>
        <w:u w:val="none"/>
      </w:rPr>
    </w:lvl>
    <w:lvl w:ilvl="5" w:tplc="0C766AB0">
      <w:start w:val="1"/>
      <w:numFmt w:val="bullet"/>
      <w:lvlText w:val="■"/>
      <w:lvlJc w:val="left"/>
      <w:pPr>
        <w:ind w:left="4320" w:hanging="360"/>
      </w:pPr>
      <w:rPr>
        <w:u w:val="none"/>
      </w:rPr>
    </w:lvl>
    <w:lvl w:ilvl="6" w:tplc="8090A634">
      <w:start w:val="1"/>
      <w:numFmt w:val="bullet"/>
      <w:lvlText w:val="●"/>
      <w:lvlJc w:val="left"/>
      <w:pPr>
        <w:ind w:left="5040" w:hanging="360"/>
      </w:pPr>
      <w:rPr>
        <w:u w:val="none"/>
      </w:rPr>
    </w:lvl>
    <w:lvl w:ilvl="7" w:tplc="8ECA5B08">
      <w:start w:val="1"/>
      <w:numFmt w:val="bullet"/>
      <w:lvlText w:val="○"/>
      <w:lvlJc w:val="left"/>
      <w:pPr>
        <w:ind w:left="5760" w:hanging="360"/>
      </w:pPr>
      <w:rPr>
        <w:u w:val="none"/>
      </w:rPr>
    </w:lvl>
    <w:lvl w:ilvl="8" w:tplc="A6769688">
      <w:start w:val="1"/>
      <w:numFmt w:val="bullet"/>
      <w:lvlText w:val="■"/>
      <w:lvlJc w:val="left"/>
      <w:pPr>
        <w:ind w:left="6480" w:hanging="360"/>
      </w:pPr>
      <w:rPr>
        <w:u w:val="none"/>
      </w:rPr>
    </w:lvl>
  </w:abstractNum>
  <w:abstractNum w:abstractNumId="3" w15:restartNumberingAfterBreak="0">
    <w:nsid w:val="33272C5A"/>
    <w:multiLevelType w:val="hybridMultilevel"/>
    <w:tmpl w:val="00000000"/>
    <w:lvl w:ilvl="0" w:tplc="5F6C260C">
      <w:start w:val="1"/>
      <w:numFmt w:val="bullet"/>
      <w:lvlText w:val="●"/>
      <w:lvlJc w:val="left"/>
      <w:pPr>
        <w:ind w:left="720" w:hanging="360"/>
      </w:pPr>
      <w:rPr>
        <w:u w:val="none"/>
      </w:rPr>
    </w:lvl>
    <w:lvl w:ilvl="1" w:tplc="0F64E394">
      <w:start w:val="1"/>
      <w:numFmt w:val="bullet"/>
      <w:lvlText w:val="○"/>
      <w:lvlJc w:val="left"/>
      <w:pPr>
        <w:ind w:left="1440" w:hanging="360"/>
      </w:pPr>
      <w:rPr>
        <w:u w:val="none"/>
      </w:rPr>
    </w:lvl>
    <w:lvl w:ilvl="2" w:tplc="36BC13D8">
      <w:start w:val="1"/>
      <w:numFmt w:val="bullet"/>
      <w:lvlText w:val="■"/>
      <w:lvlJc w:val="left"/>
      <w:pPr>
        <w:ind w:left="2160" w:hanging="360"/>
      </w:pPr>
      <w:rPr>
        <w:u w:val="none"/>
      </w:rPr>
    </w:lvl>
    <w:lvl w:ilvl="3" w:tplc="BAA04408">
      <w:start w:val="1"/>
      <w:numFmt w:val="bullet"/>
      <w:lvlText w:val="●"/>
      <w:lvlJc w:val="left"/>
      <w:pPr>
        <w:ind w:left="2880" w:hanging="360"/>
      </w:pPr>
      <w:rPr>
        <w:u w:val="none"/>
      </w:rPr>
    </w:lvl>
    <w:lvl w:ilvl="4" w:tplc="34C272E0">
      <w:start w:val="1"/>
      <w:numFmt w:val="bullet"/>
      <w:lvlText w:val="○"/>
      <w:lvlJc w:val="left"/>
      <w:pPr>
        <w:ind w:left="3600" w:hanging="360"/>
      </w:pPr>
      <w:rPr>
        <w:u w:val="none"/>
      </w:rPr>
    </w:lvl>
    <w:lvl w:ilvl="5" w:tplc="750A63C6">
      <w:start w:val="1"/>
      <w:numFmt w:val="bullet"/>
      <w:lvlText w:val="■"/>
      <w:lvlJc w:val="left"/>
      <w:pPr>
        <w:ind w:left="4320" w:hanging="360"/>
      </w:pPr>
      <w:rPr>
        <w:u w:val="none"/>
      </w:rPr>
    </w:lvl>
    <w:lvl w:ilvl="6" w:tplc="17B8512E">
      <w:start w:val="1"/>
      <w:numFmt w:val="bullet"/>
      <w:lvlText w:val="●"/>
      <w:lvlJc w:val="left"/>
      <w:pPr>
        <w:ind w:left="5040" w:hanging="360"/>
      </w:pPr>
      <w:rPr>
        <w:u w:val="none"/>
      </w:rPr>
    </w:lvl>
    <w:lvl w:ilvl="7" w:tplc="B498DB7C">
      <w:start w:val="1"/>
      <w:numFmt w:val="bullet"/>
      <w:lvlText w:val="○"/>
      <w:lvlJc w:val="left"/>
      <w:pPr>
        <w:ind w:left="5760" w:hanging="360"/>
      </w:pPr>
      <w:rPr>
        <w:u w:val="none"/>
      </w:rPr>
    </w:lvl>
    <w:lvl w:ilvl="8" w:tplc="D3B20F3C">
      <w:start w:val="1"/>
      <w:numFmt w:val="bullet"/>
      <w:lvlText w:val="■"/>
      <w:lvlJc w:val="left"/>
      <w:pPr>
        <w:ind w:left="6480" w:hanging="360"/>
      </w:pPr>
      <w:rPr>
        <w:u w:val="none"/>
      </w:rPr>
    </w:lvl>
  </w:abstractNum>
  <w:abstractNum w:abstractNumId="4" w15:restartNumberingAfterBreak="0">
    <w:nsid w:val="3792E9ED"/>
    <w:multiLevelType w:val="hybridMultilevel"/>
    <w:tmpl w:val="00000000"/>
    <w:lvl w:ilvl="0" w:tplc="771600D2">
      <w:start w:val="1"/>
      <w:numFmt w:val="bullet"/>
      <w:lvlText w:val="●"/>
      <w:lvlJc w:val="left"/>
      <w:pPr>
        <w:ind w:left="720" w:hanging="360"/>
      </w:pPr>
      <w:rPr>
        <w:u w:val="none"/>
      </w:rPr>
    </w:lvl>
    <w:lvl w:ilvl="1" w:tplc="BB6A4DEA">
      <w:start w:val="1"/>
      <w:numFmt w:val="bullet"/>
      <w:lvlText w:val="○"/>
      <w:lvlJc w:val="left"/>
      <w:pPr>
        <w:ind w:left="1440" w:hanging="360"/>
      </w:pPr>
      <w:rPr>
        <w:u w:val="none"/>
      </w:rPr>
    </w:lvl>
    <w:lvl w:ilvl="2" w:tplc="73AAD8DA">
      <w:start w:val="1"/>
      <w:numFmt w:val="bullet"/>
      <w:lvlText w:val="■"/>
      <w:lvlJc w:val="left"/>
      <w:pPr>
        <w:ind w:left="2160" w:hanging="360"/>
      </w:pPr>
      <w:rPr>
        <w:u w:val="none"/>
      </w:rPr>
    </w:lvl>
    <w:lvl w:ilvl="3" w:tplc="B49C52F4">
      <w:start w:val="1"/>
      <w:numFmt w:val="bullet"/>
      <w:lvlText w:val="●"/>
      <w:lvlJc w:val="left"/>
      <w:pPr>
        <w:ind w:left="2880" w:hanging="360"/>
      </w:pPr>
      <w:rPr>
        <w:u w:val="none"/>
      </w:rPr>
    </w:lvl>
    <w:lvl w:ilvl="4" w:tplc="BC8A6F04">
      <w:start w:val="1"/>
      <w:numFmt w:val="bullet"/>
      <w:lvlText w:val="○"/>
      <w:lvlJc w:val="left"/>
      <w:pPr>
        <w:ind w:left="3600" w:hanging="360"/>
      </w:pPr>
      <w:rPr>
        <w:u w:val="none"/>
      </w:rPr>
    </w:lvl>
    <w:lvl w:ilvl="5" w:tplc="8DA0D13C">
      <w:start w:val="1"/>
      <w:numFmt w:val="bullet"/>
      <w:lvlText w:val="■"/>
      <w:lvlJc w:val="left"/>
      <w:pPr>
        <w:ind w:left="4320" w:hanging="360"/>
      </w:pPr>
      <w:rPr>
        <w:u w:val="none"/>
      </w:rPr>
    </w:lvl>
    <w:lvl w:ilvl="6" w:tplc="8AF09FF8">
      <w:start w:val="1"/>
      <w:numFmt w:val="bullet"/>
      <w:lvlText w:val="●"/>
      <w:lvlJc w:val="left"/>
      <w:pPr>
        <w:ind w:left="5040" w:hanging="360"/>
      </w:pPr>
      <w:rPr>
        <w:u w:val="none"/>
      </w:rPr>
    </w:lvl>
    <w:lvl w:ilvl="7" w:tplc="9560287E">
      <w:start w:val="1"/>
      <w:numFmt w:val="bullet"/>
      <w:lvlText w:val="○"/>
      <w:lvlJc w:val="left"/>
      <w:pPr>
        <w:ind w:left="5760" w:hanging="360"/>
      </w:pPr>
      <w:rPr>
        <w:u w:val="none"/>
      </w:rPr>
    </w:lvl>
    <w:lvl w:ilvl="8" w:tplc="F2BCB196">
      <w:start w:val="1"/>
      <w:numFmt w:val="bullet"/>
      <w:lvlText w:val="■"/>
      <w:lvlJc w:val="left"/>
      <w:pPr>
        <w:ind w:left="6480" w:hanging="360"/>
      </w:pPr>
      <w:rPr>
        <w:u w:val="none"/>
      </w:rPr>
    </w:lvl>
  </w:abstractNum>
  <w:abstractNum w:abstractNumId="5" w15:restartNumberingAfterBreak="0">
    <w:nsid w:val="382D0775"/>
    <w:multiLevelType w:val="hybridMultilevel"/>
    <w:tmpl w:val="00000000"/>
    <w:lvl w:ilvl="0" w:tplc="357AD71C">
      <w:start w:val="1"/>
      <w:numFmt w:val="bullet"/>
      <w:lvlText w:val="●"/>
      <w:lvlJc w:val="left"/>
      <w:pPr>
        <w:ind w:left="720" w:hanging="360"/>
      </w:pPr>
      <w:rPr>
        <w:u w:val="none"/>
      </w:rPr>
    </w:lvl>
    <w:lvl w:ilvl="1" w:tplc="F6F257F8">
      <w:start w:val="1"/>
      <w:numFmt w:val="bullet"/>
      <w:lvlText w:val="○"/>
      <w:lvlJc w:val="left"/>
      <w:pPr>
        <w:ind w:left="1440" w:hanging="360"/>
      </w:pPr>
      <w:rPr>
        <w:u w:val="none"/>
      </w:rPr>
    </w:lvl>
    <w:lvl w:ilvl="2" w:tplc="2CEA7476">
      <w:start w:val="1"/>
      <w:numFmt w:val="bullet"/>
      <w:lvlText w:val="■"/>
      <w:lvlJc w:val="left"/>
      <w:pPr>
        <w:ind w:left="2160" w:hanging="360"/>
      </w:pPr>
      <w:rPr>
        <w:u w:val="none"/>
      </w:rPr>
    </w:lvl>
    <w:lvl w:ilvl="3" w:tplc="6A467D5E">
      <w:start w:val="1"/>
      <w:numFmt w:val="bullet"/>
      <w:lvlText w:val="●"/>
      <w:lvlJc w:val="left"/>
      <w:pPr>
        <w:ind w:left="2880" w:hanging="360"/>
      </w:pPr>
      <w:rPr>
        <w:u w:val="none"/>
      </w:rPr>
    </w:lvl>
    <w:lvl w:ilvl="4" w:tplc="266A2CD2">
      <w:start w:val="1"/>
      <w:numFmt w:val="bullet"/>
      <w:lvlText w:val="○"/>
      <w:lvlJc w:val="left"/>
      <w:pPr>
        <w:ind w:left="3600" w:hanging="360"/>
      </w:pPr>
      <w:rPr>
        <w:u w:val="none"/>
      </w:rPr>
    </w:lvl>
    <w:lvl w:ilvl="5" w:tplc="D012E1C2">
      <w:start w:val="1"/>
      <w:numFmt w:val="bullet"/>
      <w:lvlText w:val="■"/>
      <w:lvlJc w:val="left"/>
      <w:pPr>
        <w:ind w:left="4320" w:hanging="360"/>
      </w:pPr>
      <w:rPr>
        <w:u w:val="none"/>
      </w:rPr>
    </w:lvl>
    <w:lvl w:ilvl="6" w:tplc="540A5CB4">
      <w:start w:val="1"/>
      <w:numFmt w:val="bullet"/>
      <w:lvlText w:val="●"/>
      <w:lvlJc w:val="left"/>
      <w:pPr>
        <w:ind w:left="5040" w:hanging="360"/>
      </w:pPr>
      <w:rPr>
        <w:u w:val="none"/>
      </w:rPr>
    </w:lvl>
    <w:lvl w:ilvl="7" w:tplc="CDC6C878">
      <w:start w:val="1"/>
      <w:numFmt w:val="bullet"/>
      <w:lvlText w:val="○"/>
      <w:lvlJc w:val="left"/>
      <w:pPr>
        <w:ind w:left="5760" w:hanging="360"/>
      </w:pPr>
      <w:rPr>
        <w:u w:val="none"/>
      </w:rPr>
    </w:lvl>
    <w:lvl w:ilvl="8" w:tplc="617C59E8">
      <w:start w:val="1"/>
      <w:numFmt w:val="bullet"/>
      <w:lvlText w:val="■"/>
      <w:lvlJc w:val="left"/>
      <w:pPr>
        <w:ind w:left="6480" w:hanging="360"/>
      </w:pPr>
      <w:rPr>
        <w:u w:val="none"/>
      </w:rPr>
    </w:lvl>
  </w:abstractNum>
  <w:abstractNum w:abstractNumId="6" w15:restartNumberingAfterBreak="0">
    <w:nsid w:val="40C46AD8"/>
    <w:multiLevelType w:val="hybridMultilevel"/>
    <w:tmpl w:val="00000000"/>
    <w:lvl w:ilvl="0" w:tplc="1004C01A">
      <w:start w:val="1"/>
      <w:numFmt w:val="bullet"/>
      <w:lvlText w:val="●"/>
      <w:lvlJc w:val="left"/>
      <w:pPr>
        <w:ind w:left="720" w:hanging="360"/>
      </w:pPr>
      <w:rPr>
        <w:u w:val="none"/>
      </w:rPr>
    </w:lvl>
    <w:lvl w:ilvl="1" w:tplc="2AC8BA50">
      <w:start w:val="1"/>
      <w:numFmt w:val="bullet"/>
      <w:lvlText w:val="○"/>
      <w:lvlJc w:val="left"/>
      <w:pPr>
        <w:ind w:left="1440" w:hanging="360"/>
      </w:pPr>
      <w:rPr>
        <w:u w:val="none"/>
      </w:rPr>
    </w:lvl>
    <w:lvl w:ilvl="2" w:tplc="44CA724C">
      <w:start w:val="1"/>
      <w:numFmt w:val="bullet"/>
      <w:lvlText w:val="■"/>
      <w:lvlJc w:val="left"/>
      <w:pPr>
        <w:ind w:left="2160" w:hanging="360"/>
      </w:pPr>
      <w:rPr>
        <w:u w:val="none"/>
      </w:rPr>
    </w:lvl>
    <w:lvl w:ilvl="3" w:tplc="3D46149C">
      <w:start w:val="1"/>
      <w:numFmt w:val="bullet"/>
      <w:lvlText w:val="●"/>
      <w:lvlJc w:val="left"/>
      <w:pPr>
        <w:ind w:left="2880" w:hanging="360"/>
      </w:pPr>
      <w:rPr>
        <w:u w:val="none"/>
      </w:rPr>
    </w:lvl>
    <w:lvl w:ilvl="4" w:tplc="FEA81B26">
      <w:start w:val="1"/>
      <w:numFmt w:val="bullet"/>
      <w:lvlText w:val="○"/>
      <w:lvlJc w:val="left"/>
      <w:pPr>
        <w:ind w:left="3600" w:hanging="360"/>
      </w:pPr>
      <w:rPr>
        <w:u w:val="none"/>
      </w:rPr>
    </w:lvl>
    <w:lvl w:ilvl="5" w:tplc="E1365FF4">
      <w:start w:val="1"/>
      <w:numFmt w:val="bullet"/>
      <w:lvlText w:val="■"/>
      <w:lvlJc w:val="left"/>
      <w:pPr>
        <w:ind w:left="4320" w:hanging="360"/>
      </w:pPr>
      <w:rPr>
        <w:u w:val="none"/>
      </w:rPr>
    </w:lvl>
    <w:lvl w:ilvl="6" w:tplc="9124BD0A">
      <w:start w:val="1"/>
      <w:numFmt w:val="bullet"/>
      <w:lvlText w:val="●"/>
      <w:lvlJc w:val="left"/>
      <w:pPr>
        <w:ind w:left="5040" w:hanging="360"/>
      </w:pPr>
      <w:rPr>
        <w:u w:val="none"/>
      </w:rPr>
    </w:lvl>
    <w:lvl w:ilvl="7" w:tplc="B41AC304">
      <w:start w:val="1"/>
      <w:numFmt w:val="bullet"/>
      <w:lvlText w:val="○"/>
      <w:lvlJc w:val="left"/>
      <w:pPr>
        <w:ind w:left="5760" w:hanging="360"/>
      </w:pPr>
      <w:rPr>
        <w:u w:val="none"/>
      </w:rPr>
    </w:lvl>
    <w:lvl w:ilvl="8" w:tplc="EB26CD18">
      <w:start w:val="1"/>
      <w:numFmt w:val="bullet"/>
      <w:lvlText w:val="■"/>
      <w:lvlJc w:val="left"/>
      <w:pPr>
        <w:ind w:left="6480" w:hanging="360"/>
      </w:pPr>
      <w:rPr>
        <w:u w:val="none"/>
      </w:rPr>
    </w:lvl>
  </w:abstractNum>
  <w:abstractNum w:abstractNumId="7" w15:restartNumberingAfterBreak="0">
    <w:nsid w:val="6BEC5418"/>
    <w:multiLevelType w:val="hybridMultilevel"/>
    <w:tmpl w:val="00000000"/>
    <w:lvl w:ilvl="0" w:tplc="CEC62EAE">
      <w:start w:val="1"/>
      <w:numFmt w:val="bullet"/>
      <w:lvlText w:val="●"/>
      <w:lvlJc w:val="left"/>
      <w:pPr>
        <w:ind w:left="720" w:hanging="360"/>
      </w:pPr>
      <w:rPr>
        <w:u w:val="none"/>
      </w:rPr>
    </w:lvl>
    <w:lvl w:ilvl="1" w:tplc="3FBEB660">
      <w:start w:val="1"/>
      <w:numFmt w:val="bullet"/>
      <w:lvlText w:val="○"/>
      <w:lvlJc w:val="left"/>
      <w:pPr>
        <w:ind w:left="1440" w:hanging="360"/>
      </w:pPr>
      <w:rPr>
        <w:u w:val="none"/>
      </w:rPr>
    </w:lvl>
    <w:lvl w:ilvl="2" w:tplc="0E5A0490">
      <w:start w:val="1"/>
      <w:numFmt w:val="bullet"/>
      <w:lvlText w:val="■"/>
      <w:lvlJc w:val="left"/>
      <w:pPr>
        <w:ind w:left="2160" w:hanging="360"/>
      </w:pPr>
      <w:rPr>
        <w:u w:val="none"/>
      </w:rPr>
    </w:lvl>
    <w:lvl w:ilvl="3" w:tplc="46FCB8A4">
      <w:start w:val="1"/>
      <w:numFmt w:val="bullet"/>
      <w:lvlText w:val="●"/>
      <w:lvlJc w:val="left"/>
      <w:pPr>
        <w:ind w:left="2880" w:hanging="360"/>
      </w:pPr>
      <w:rPr>
        <w:u w:val="none"/>
      </w:rPr>
    </w:lvl>
    <w:lvl w:ilvl="4" w:tplc="14AC8B2E">
      <w:start w:val="1"/>
      <w:numFmt w:val="bullet"/>
      <w:lvlText w:val="○"/>
      <w:lvlJc w:val="left"/>
      <w:pPr>
        <w:ind w:left="3600" w:hanging="360"/>
      </w:pPr>
      <w:rPr>
        <w:u w:val="none"/>
      </w:rPr>
    </w:lvl>
    <w:lvl w:ilvl="5" w:tplc="0DA24F34">
      <w:start w:val="1"/>
      <w:numFmt w:val="bullet"/>
      <w:lvlText w:val="■"/>
      <w:lvlJc w:val="left"/>
      <w:pPr>
        <w:ind w:left="4320" w:hanging="360"/>
      </w:pPr>
      <w:rPr>
        <w:u w:val="none"/>
      </w:rPr>
    </w:lvl>
    <w:lvl w:ilvl="6" w:tplc="D3C4A458">
      <w:start w:val="1"/>
      <w:numFmt w:val="bullet"/>
      <w:lvlText w:val="●"/>
      <w:lvlJc w:val="left"/>
      <w:pPr>
        <w:ind w:left="5040" w:hanging="360"/>
      </w:pPr>
      <w:rPr>
        <w:u w:val="none"/>
      </w:rPr>
    </w:lvl>
    <w:lvl w:ilvl="7" w:tplc="2BE44F84">
      <w:start w:val="1"/>
      <w:numFmt w:val="bullet"/>
      <w:lvlText w:val="○"/>
      <w:lvlJc w:val="left"/>
      <w:pPr>
        <w:ind w:left="5760" w:hanging="360"/>
      </w:pPr>
      <w:rPr>
        <w:u w:val="none"/>
      </w:rPr>
    </w:lvl>
    <w:lvl w:ilvl="8" w:tplc="F61E96F0">
      <w:start w:val="1"/>
      <w:numFmt w:val="bullet"/>
      <w:lvlText w:val="■"/>
      <w:lvlJc w:val="left"/>
      <w:pPr>
        <w:ind w:left="6480" w:hanging="360"/>
      </w:pPr>
      <w:rPr>
        <w:u w:val="none"/>
      </w:rPr>
    </w:lvl>
  </w:abstractNum>
  <w:abstractNum w:abstractNumId="8" w15:restartNumberingAfterBreak="0">
    <w:nsid w:val="74AFB23C"/>
    <w:multiLevelType w:val="hybridMultilevel"/>
    <w:tmpl w:val="00000000"/>
    <w:lvl w:ilvl="0" w:tplc="D5C8F326">
      <w:start w:val="1"/>
      <w:numFmt w:val="bullet"/>
      <w:lvlText w:val="●"/>
      <w:lvlJc w:val="left"/>
      <w:pPr>
        <w:ind w:left="720" w:hanging="360"/>
      </w:pPr>
      <w:rPr>
        <w:u w:val="none"/>
      </w:rPr>
    </w:lvl>
    <w:lvl w:ilvl="1" w:tplc="B58C6C7C">
      <w:start w:val="1"/>
      <w:numFmt w:val="bullet"/>
      <w:lvlText w:val="○"/>
      <w:lvlJc w:val="left"/>
      <w:pPr>
        <w:ind w:left="1440" w:hanging="360"/>
      </w:pPr>
      <w:rPr>
        <w:u w:val="none"/>
      </w:rPr>
    </w:lvl>
    <w:lvl w:ilvl="2" w:tplc="57FA6F0C">
      <w:start w:val="1"/>
      <w:numFmt w:val="bullet"/>
      <w:lvlText w:val="■"/>
      <w:lvlJc w:val="left"/>
      <w:pPr>
        <w:ind w:left="2160" w:hanging="360"/>
      </w:pPr>
      <w:rPr>
        <w:u w:val="none"/>
      </w:rPr>
    </w:lvl>
    <w:lvl w:ilvl="3" w:tplc="8BF0EDB4">
      <w:start w:val="1"/>
      <w:numFmt w:val="bullet"/>
      <w:lvlText w:val="●"/>
      <w:lvlJc w:val="left"/>
      <w:pPr>
        <w:ind w:left="2880" w:hanging="360"/>
      </w:pPr>
      <w:rPr>
        <w:u w:val="none"/>
      </w:rPr>
    </w:lvl>
    <w:lvl w:ilvl="4" w:tplc="C7243348">
      <w:start w:val="1"/>
      <w:numFmt w:val="bullet"/>
      <w:lvlText w:val="○"/>
      <w:lvlJc w:val="left"/>
      <w:pPr>
        <w:ind w:left="3600" w:hanging="360"/>
      </w:pPr>
      <w:rPr>
        <w:u w:val="none"/>
      </w:rPr>
    </w:lvl>
    <w:lvl w:ilvl="5" w:tplc="A5789C50">
      <w:start w:val="1"/>
      <w:numFmt w:val="bullet"/>
      <w:lvlText w:val="■"/>
      <w:lvlJc w:val="left"/>
      <w:pPr>
        <w:ind w:left="4320" w:hanging="360"/>
      </w:pPr>
      <w:rPr>
        <w:u w:val="none"/>
      </w:rPr>
    </w:lvl>
    <w:lvl w:ilvl="6" w:tplc="583A0AEE">
      <w:start w:val="1"/>
      <w:numFmt w:val="bullet"/>
      <w:lvlText w:val="●"/>
      <w:lvlJc w:val="left"/>
      <w:pPr>
        <w:ind w:left="5040" w:hanging="360"/>
      </w:pPr>
      <w:rPr>
        <w:u w:val="none"/>
      </w:rPr>
    </w:lvl>
    <w:lvl w:ilvl="7" w:tplc="A762029C">
      <w:start w:val="1"/>
      <w:numFmt w:val="bullet"/>
      <w:lvlText w:val="○"/>
      <w:lvlJc w:val="left"/>
      <w:pPr>
        <w:ind w:left="5760" w:hanging="360"/>
      </w:pPr>
      <w:rPr>
        <w:u w:val="none"/>
      </w:rPr>
    </w:lvl>
    <w:lvl w:ilvl="8" w:tplc="55565A1E">
      <w:start w:val="1"/>
      <w:numFmt w:val="bullet"/>
      <w:lvlText w:val="■"/>
      <w:lvlJc w:val="left"/>
      <w:pPr>
        <w:ind w:left="6480" w:hanging="360"/>
      </w:pPr>
      <w:rPr>
        <w:u w:val="none"/>
      </w:rPr>
    </w:lvl>
  </w:abstractNum>
  <w:abstractNum w:abstractNumId="9" w15:restartNumberingAfterBreak="0">
    <w:nsid w:val="7525E478"/>
    <w:multiLevelType w:val="hybridMultilevel"/>
    <w:tmpl w:val="00000000"/>
    <w:lvl w:ilvl="0" w:tplc="1CDC994E">
      <w:start w:val="1"/>
      <w:numFmt w:val="bullet"/>
      <w:lvlText w:val="●"/>
      <w:lvlJc w:val="left"/>
      <w:pPr>
        <w:ind w:left="720" w:hanging="360"/>
      </w:pPr>
      <w:rPr>
        <w:u w:val="none"/>
      </w:rPr>
    </w:lvl>
    <w:lvl w:ilvl="1" w:tplc="C9D80332">
      <w:start w:val="1"/>
      <w:numFmt w:val="bullet"/>
      <w:lvlText w:val="○"/>
      <w:lvlJc w:val="left"/>
      <w:pPr>
        <w:ind w:left="1440" w:hanging="360"/>
      </w:pPr>
      <w:rPr>
        <w:u w:val="none"/>
      </w:rPr>
    </w:lvl>
    <w:lvl w:ilvl="2" w:tplc="E9C6EE32">
      <w:start w:val="1"/>
      <w:numFmt w:val="bullet"/>
      <w:lvlText w:val="■"/>
      <w:lvlJc w:val="left"/>
      <w:pPr>
        <w:ind w:left="2160" w:hanging="360"/>
      </w:pPr>
      <w:rPr>
        <w:u w:val="none"/>
      </w:rPr>
    </w:lvl>
    <w:lvl w:ilvl="3" w:tplc="8C7C0B48">
      <w:start w:val="1"/>
      <w:numFmt w:val="bullet"/>
      <w:lvlText w:val="●"/>
      <w:lvlJc w:val="left"/>
      <w:pPr>
        <w:ind w:left="2880" w:hanging="360"/>
      </w:pPr>
      <w:rPr>
        <w:u w:val="none"/>
      </w:rPr>
    </w:lvl>
    <w:lvl w:ilvl="4" w:tplc="30EE7048">
      <w:start w:val="1"/>
      <w:numFmt w:val="bullet"/>
      <w:lvlText w:val="○"/>
      <w:lvlJc w:val="left"/>
      <w:pPr>
        <w:ind w:left="3600" w:hanging="360"/>
      </w:pPr>
      <w:rPr>
        <w:u w:val="none"/>
      </w:rPr>
    </w:lvl>
    <w:lvl w:ilvl="5" w:tplc="E1D0A19E">
      <w:start w:val="1"/>
      <w:numFmt w:val="bullet"/>
      <w:lvlText w:val="■"/>
      <w:lvlJc w:val="left"/>
      <w:pPr>
        <w:ind w:left="4320" w:hanging="360"/>
      </w:pPr>
      <w:rPr>
        <w:u w:val="none"/>
      </w:rPr>
    </w:lvl>
    <w:lvl w:ilvl="6" w:tplc="B15472B6">
      <w:start w:val="1"/>
      <w:numFmt w:val="bullet"/>
      <w:lvlText w:val="●"/>
      <w:lvlJc w:val="left"/>
      <w:pPr>
        <w:ind w:left="5040" w:hanging="360"/>
      </w:pPr>
      <w:rPr>
        <w:u w:val="none"/>
      </w:rPr>
    </w:lvl>
    <w:lvl w:ilvl="7" w:tplc="09985102">
      <w:start w:val="1"/>
      <w:numFmt w:val="bullet"/>
      <w:lvlText w:val="○"/>
      <w:lvlJc w:val="left"/>
      <w:pPr>
        <w:ind w:left="5760" w:hanging="360"/>
      </w:pPr>
      <w:rPr>
        <w:u w:val="none"/>
      </w:rPr>
    </w:lvl>
    <w:lvl w:ilvl="8" w:tplc="277E8530">
      <w:start w:val="1"/>
      <w:numFmt w:val="bullet"/>
      <w:lvlText w:val="■"/>
      <w:lvlJc w:val="left"/>
      <w:pPr>
        <w:ind w:left="6480" w:hanging="360"/>
      </w:pPr>
      <w:rPr>
        <w:u w:val="none"/>
      </w:rPr>
    </w:lvl>
  </w:abstractNum>
  <w:num w:numId="1" w16cid:durableId="1975134730">
    <w:abstractNumId w:val="4"/>
  </w:num>
  <w:num w:numId="2" w16cid:durableId="1295135216">
    <w:abstractNumId w:val="2"/>
  </w:num>
  <w:num w:numId="3" w16cid:durableId="1026061534">
    <w:abstractNumId w:val="3"/>
  </w:num>
  <w:num w:numId="4" w16cid:durableId="2075274166">
    <w:abstractNumId w:val="7"/>
  </w:num>
  <w:num w:numId="5" w16cid:durableId="2031762737">
    <w:abstractNumId w:val="8"/>
  </w:num>
  <w:num w:numId="6" w16cid:durableId="1994134884">
    <w:abstractNumId w:val="9"/>
  </w:num>
  <w:num w:numId="7" w16cid:durableId="100152352">
    <w:abstractNumId w:val="1"/>
  </w:num>
  <w:num w:numId="8" w16cid:durableId="156191842">
    <w:abstractNumId w:val="5"/>
  </w:num>
  <w:num w:numId="9" w16cid:durableId="1261983428">
    <w:abstractNumId w:val="6"/>
  </w:num>
  <w:num w:numId="10" w16cid:durableId="60812277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0167"/>
    <w:rsid w:val="000A146F"/>
    <w:rsid w:val="00164E6D"/>
    <w:rsid w:val="00532C92"/>
    <w:rsid w:val="00564FC7"/>
    <w:rsid w:val="00784E45"/>
    <w:rsid w:val="00942BB8"/>
    <w:rsid w:val="009E0167"/>
    <w:rsid w:val="00D31E8D"/>
    <w:rsid w:val="00E94999"/>
    <w:rsid w:val="07CAA16F"/>
    <w:rsid w:val="4BFA8FF3"/>
    <w:rsid w:val="4C3BF733"/>
    <w:rsid w:val="5231EBCC"/>
    <w:rsid w:val="6FE4C47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B96B95"/>
  <w15:docId w15:val="{2044EB3D-DB8A-4092-B4F5-B6FEE6F7BE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pPr>
      <w:keepNext/>
      <w:keepLines/>
      <w:spacing w:before="400" w:after="120"/>
      <w:outlineLvl w:val="0"/>
    </w:pPr>
    <w:rPr>
      <w:b/>
      <w:sz w:val="28"/>
      <w:szCs w:val="28"/>
    </w:rPr>
  </w:style>
  <w:style w:type="paragraph" w:styleId="Heading2">
    <w:name w:val="heading 2"/>
    <w:basedOn w:val="Normal1"/>
    <w:next w:val="Normal1"/>
    <w:pPr>
      <w:keepNext/>
      <w:keepLines/>
      <w:spacing w:before="360" w:after="120"/>
      <w:outlineLvl w:val="1"/>
    </w:pPr>
    <w:rPr>
      <w:b/>
      <w:sz w:val="26"/>
      <w:szCs w:val="26"/>
    </w:rPr>
  </w:style>
  <w:style w:type="paragraph" w:styleId="Heading3">
    <w:name w:val="heading 3"/>
    <w:basedOn w:val="Normal1"/>
    <w:next w:val="Normal1"/>
    <w:pPr>
      <w:keepNext/>
      <w:keepLines/>
      <w:spacing w:before="320" w:after="80"/>
      <w:outlineLvl w:val="2"/>
    </w:pPr>
    <w:rPr>
      <w:i/>
      <w:color w:val="434343"/>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564FC7"/>
    <w:pPr>
      <w:tabs>
        <w:tab w:val="center" w:pos="4680"/>
        <w:tab w:val="right" w:pos="9360"/>
      </w:tabs>
      <w:spacing w:line="240" w:lineRule="auto"/>
    </w:pPr>
  </w:style>
  <w:style w:type="character" w:styleId="HeaderChar" w:customStyle="1">
    <w:name w:val="Header Char"/>
    <w:basedOn w:val="DefaultParagraphFont"/>
    <w:link w:val="Header"/>
    <w:uiPriority w:val="99"/>
    <w:rsid w:val="00564FC7"/>
  </w:style>
  <w:style w:type="paragraph" w:styleId="Footer">
    <w:name w:val="footer"/>
    <w:basedOn w:val="Normal"/>
    <w:link w:val="FooterChar"/>
    <w:uiPriority w:val="99"/>
    <w:unhideWhenUsed/>
    <w:rsid w:val="00564FC7"/>
    <w:pPr>
      <w:tabs>
        <w:tab w:val="center" w:pos="4680"/>
        <w:tab w:val="right" w:pos="9360"/>
      </w:tabs>
      <w:spacing w:line="240" w:lineRule="auto"/>
    </w:pPr>
  </w:style>
  <w:style w:type="character" w:styleId="FooterChar" w:customStyle="1">
    <w:name w:val="Footer Char"/>
    <w:basedOn w:val="DefaultParagraphFont"/>
    <w:link w:val="Footer"/>
    <w:uiPriority w:val="99"/>
    <w:rsid w:val="00564F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LENOVO</dc:creator>
  <lastModifiedBy>Vasile Tudosie (2119477)</lastModifiedBy>
  <revision>5</revision>
  <dcterms:created xsi:type="dcterms:W3CDTF">2024-11-01T16:09:00.0000000Z</dcterms:created>
  <dcterms:modified xsi:type="dcterms:W3CDTF">2024-11-01T16:20:55.3726260Z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d21b443c16fdbd0afb19bd9f37347792127ffbb6670c62ffa48659796589f1cc</vt:lpwstr>
  </property>
</Properties>
</file>