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EE277" w14:textId="77777777" w:rsidR="00837FA4" w:rsidRDefault="00837FA4" w:rsidP="00837FA4">
      <w:pPr>
        <w:spacing w:line="360" w:lineRule="auto"/>
        <w:rPr>
          <w:rFonts w:ascii="Arial" w:hAnsi="Arial" w:cs="Arial"/>
          <w:b/>
          <w:bCs/>
          <w:sz w:val="22"/>
          <w:szCs w:val="22"/>
        </w:rPr>
      </w:pPr>
    </w:p>
    <w:p w14:paraId="6E9194CC" w14:textId="77777777" w:rsidR="00837FA4" w:rsidRDefault="00837FA4" w:rsidP="00837FA4">
      <w:pPr>
        <w:spacing w:line="360" w:lineRule="auto"/>
        <w:rPr>
          <w:rFonts w:ascii="Arial" w:hAnsi="Arial" w:cs="Arial"/>
          <w:b/>
          <w:bCs/>
          <w:sz w:val="22"/>
          <w:szCs w:val="22"/>
        </w:rPr>
      </w:pPr>
    </w:p>
    <w:p w14:paraId="23F9DD20" w14:textId="77777777" w:rsidR="00837FA4" w:rsidRDefault="00837FA4" w:rsidP="00837FA4">
      <w:pPr>
        <w:spacing w:line="360" w:lineRule="auto"/>
        <w:rPr>
          <w:rFonts w:ascii="Arial" w:hAnsi="Arial" w:cs="Arial"/>
          <w:b/>
          <w:bCs/>
          <w:sz w:val="22"/>
          <w:szCs w:val="22"/>
        </w:rPr>
      </w:pPr>
    </w:p>
    <w:p w14:paraId="671C8C9C" w14:textId="62063A5D" w:rsidR="00837FA4" w:rsidRPr="00514C42" w:rsidRDefault="00837FA4" w:rsidP="00837FA4">
      <w:pPr>
        <w:spacing w:line="360" w:lineRule="auto"/>
        <w:rPr>
          <w:rFonts w:ascii="Arial" w:hAnsi="Arial" w:cs="Arial"/>
          <w:b/>
          <w:bCs/>
          <w:sz w:val="36"/>
          <w:szCs w:val="36"/>
        </w:rPr>
      </w:pPr>
      <w:r w:rsidRPr="00514C42">
        <w:rPr>
          <w:rFonts w:ascii="Arial" w:hAnsi="Arial" w:cs="Arial"/>
          <w:b/>
          <w:bCs/>
          <w:sz w:val="36"/>
          <w:szCs w:val="36"/>
        </w:rPr>
        <w:t xml:space="preserve">Student Name: </w:t>
      </w:r>
      <w:r w:rsidRPr="00514C42">
        <w:rPr>
          <w:rFonts w:ascii="Arial" w:hAnsi="Arial" w:cs="Arial"/>
          <w:sz w:val="36"/>
          <w:szCs w:val="36"/>
        </w:rPr>
        <w:t>Foqia Farooq</w:t>
      </w:r>
    </w:p>
    <w:p w14:paraId="4D4B39CE" w14:textId="77777777" w:rsidR="00837FA4" w:rsidRPr="00514C42" w:rsidRDefault="00837FA4" w:rsidP="00837FA4">
      <w:pPr>
        <w:spacing w:after="0" w:line="360" w:lineRule="auto"/>
        <w:rPr>
          <w:rFonts w:ascii="Arial" w:hAnsi="Arial" w:cs="Arial"/>
          <w:b/>
          <w:bCs/>
          <w:sz w:val="36"/>
          <w:szCs w:val="36"/>
        </w:rPr>
      </w:pPr>
      <w:r w:rsidRPr="00514C42">
        <w:rPr>
          <w:rFonts w:ascii="Arial" w:hAnsi="Arial" w:cs="Arial"/>
          <w:b/>
          <w:bCs/>
          <w:sz w:val="36"/>
          <w:szCs w:val="36"/>
        </w:rPr>
        <w:t xml:space="preserve">Student number: </w:t>
      </w:r>
      <w:r w:rsidRPr="00514C42">
        <w:rPr>
          <w:rFonts w:ascii="Arial" w:hAnsi="Arial" w:cs="Arial"/>
          <w:sz w:val="36"/>
          <w:szCs w:val="36"/>
        </w:rPr>
        <w:t>2424146</w:t>
      </w:r>
    </w:p>
    <w:p w14:paraId="59F55FD0" w14:textId="77777777" w:rsidR="00837FA4" w:rsidRPr="00514C42" w:rsidRDefault="00837FA4" w:rsidP="00837FA4">
      <w:pPr>
        <w:spacing w:after="0" w:line="360" w:lineRule="auto"/>
        <w:rPr>
          <w:rFonts w:ascii="Arial" w:hAnsi="Arial" w:cs="Arial"/>
          <w:sz w:val="36"/>
          <w:szCs w:val="36"/>
        </w:rPr>
      </w:pPr>
      <w:r w:rsidRPr="00514C42">
        <w:rPr>
          <w:rFonts w:ascii="Arial" w:hAnsi="Arial" w:cs="Arial"/>
          <w:b/>
          <w:bCs/>
          <w:sz w:val="36"/>
          <w:szCs w:val="36"/>
        </w:rPr>
        <w:t xml:space="preserve">Lecturer Name: </w:t>
      </w:r>
      <w:r w:rsidRPr="00514C42">
        <w:rPr>
          <w:rFonts w:ascii="Arial" w:hAnsi="Arial" w:cs="Arial"/>
          <w:sz w:val="36"/>
          <w:szCs w:val="36"/>
        </w:rPr>
        <w:t xml:space="preserve">Precious </w:t>
      </w:r>
      <w:proofErr w:type="spellStart"/>
      <w:r w:rsidRPr="00514C42">
        <w:rPr>
          <w:rFonts w:ascii="Arial" w:hAnsi="Arial" w:cs="Arial"/>
          <w:sz w:val="36"/>
          <w:szCs w:val="36"/>
        </w:rPr>
        <w:t>Igbinigie</w:t>
      </w:r>
      <w:proofErr w:type="spellEnd"/>
    </w:p>
    <w:p w14:paraId="35698F72" w14:textId="77777777" w:rsidR="00837FA4" w:rsidRPr="00514C42" w:rsidRDefault="00837FA4" w:rsidP="00837FA4">
      <w:pPr>
        <w:spacing w:after="0" w:line="360" w:lineRule="auto"/>
        <w:rPr>
          <w:rFonts w:ascii="Arial" w:hAnsi="Arial" w:cs="Arial"/>
          <w:sz w:val="36"/>
          <w:szCs w:val="36"/>
        </w:rPr>
      </w:pPr>
      <w:r w:rsidRPr="00514C42">
        <w:rPr>
          <w:rFonts w:ascii="Arial" w:hAnsi="Arial" w:cs="Arial"/>
          <w:b/>
          <w:bCs/>
          <w:sz w:val="36"/>
          <w:szCs w:val="36"/>
        </w:rPr>
        <w:t xml:space="preserve">Programme Title: </w:t>
      </w:r>
      <w:r w:rsidRPr="00514C42">
        <w:rPr>
          <w:rFonts w:ascii="Arial" w:hAnsi="Arial" w:cs="Arial"/>
          <w:sz w:val="36"/>
          <w:szCs w:val="36"/>
        </w:rPr>
        <w:t xml:space="preserve">BSc Health &amp; Social Care </w:t>
      </w:r>
    </w:p>
    <w:p w14:paraId="2DB0DCEF" w14:textId="77777777" w:rsidR="00837FA4" w:rsidRPr="00514C42" w:rsidRDefault="00837FA4" w:rsidP="00837FA4">
      <w:pPr>
        <w:spacing w:before="120" w:after="120" w:line="360" w:lineRule="auto"/>
        <w:rPr>
          <w:rFonts w:ascii="Arial" w:hAnsi="Arial" w:cs="Arial"/>
          <w:sz w:val="36"/>
          <w:szCs w:val="36"/>
        </w:rPr>
      </w:pPr>
      <w:r w:rsidRPr="00514C42">
        <w:rPr>
          <w:rFonts w:ascii="Arial" w:hAnsi="Arial" w:cs="Arial"/>
          <w:b/>
          <w:bCs/>
          <w:sz w:val="36"/>
          <w:szCs w:val="36"/>
        </w:rPr>
        <w:t>Module:</w:t>
      </w:r>
      <w:r w:rsidRPr="00514C42">
        <w:rPr>
          <w:rFonts w:ascii="Arial" w:hAnsi="Arial" w:cs="Arial"/>
          <w:sz w:val="36"/>
          <w:szCs w:val="36"/>
        </w:rPr>
        <w:t xml:space="preserve"> Principles of Health and Social Care Practice</w:t>
      </w:r>
    </w:p>
    <w:p w14:paraId="75189277" w14:textId="77777777" w:rsidR="00837FA4" w:rsidRPr="00514C42" w:rsidRDefault="00837FA4" w:rsidP="00837FA4">
      <w:pPr>
        <w:spacing w:after="0" w:line="360" w:lineRule="auto"/>
        <w:rPr>
          <w:rFonts w:ascii="Arial" w:hAnsi="Arial" w:cs="Arial"/>
          <w:b/>
          <w:bCs/>
          <w:sz w:val="36"/>
          <w:szCs w:val="36"/>
        </w:rPr>
      </w:pPr>
      <w:r w:rsidRPr="00514C42">
        <w:rPr>
          <w:rFonts w:ascii="Arial" w:hAnsi="Arial" w:cs="Arial"/>
          <w:b/>
          <w:bCs/>
          <w:sz w:val="36"/>
          <w:szCs w:val="36"/>
        </w:rPr>
        <w:t xml:space="preserve">Module Code: </w:t>
      </w:r>
      <w:r w:rsidRPr="00514C42">
        <w:rPr>
          <w:rFonts w:ascii="Arial" w:hAnsi="Arial" w:cs="Arial"/>
          <w:sz w:val="36"/>
          <w:szCs w:val="36"/>
        </w:rPr>
        <w:t>BMHP5016</w:t>
      </w:r>
    </w:p>
    <w:p w14:paraId="08CD30A0" w14:textId="108D940A" w:rsidR="00837FA4" w:rsidRPr="001F58DB" w:rsidRDefault="00837FA4" w:rsidP="007A534A">
      <w:pPr>
        <w:spacing w:after="0" w:line="360" w:lineRule="auto"/>
        <w:rPr>
          <w:rFonts w:ascii="Arial" w:hAnsi="Arial" w:cs="Arial"/>
          <w:sz w:val="22"/>
          <w:szCs w:val="22"/>
        </w:rPr>
      </w:pPr>
      <w:r w:rsidRPr="00514C42">
        <w:rPr>
          <w:rFonts w:ascii="Arial" w:hAnsi="Arial" w:cs="Arial"/>
          <w:b/>
          <w:bCs/>
          <w:sz w:val="36"/>
          <w:szCs w:val="36"/>
        </w:rPr>
        <w:t>Assignment Title:</w:t>
      </w:r>
      <w:r w:rsidR="007A534A" w:rsidRPr="00514C42">
        <w:rPr>
          <w:rFonts w:ascii="Arial" w:hAnsi="Arial" w:cs="Arial"/>
          <w:b/>
          <w:bCs/>
          <w:sz w:val="36"/>
          <w:szCs w:val="36"/>
        </w:rPr>
        <w:t xml:space="preserve"> </w:t>
      </w:r>
      <w:r w:rsidR="007A534A" w:rsidRPr="00514C42">
        <w:rPr>
          <w:rFonts w:ascii="Arial" w:hAnsi="Arial" w:cs="Arial"/>
          <w:bCs/>
          <w:sz w:val="36"/>
          <w:szCs w:val="36"/>
        </w:rPr>
        <w:t>Written Assignment (Report)</w:t>
      </w:r>
      <w:r w:rsidRPr="001F58DB">
        <w:rPr>
          <w:rFonts w:ascii="Arial" w:hAnsi="Arial" w:cs="Arial"/>
          <w:sz w:val="22"/>
          <w:szCs w:val="22"/>
        </w:rPr>
        <w:br w:type="page"/>
      </w:r>
    </w:p>
    <w:p w14:paraId="42CF314F" w14:textId="441A97CA" w:rsidR="00837FA4" w:rsidRPr="001F58DB" w:rsidRDefault="00837FA4" w:rsidP="007440CA">
      <w:pPr>
        <w:spacing w:line="360" w:lineRule="auto"/>
        <w:rPr>
          <w:rFonts w:ascii="Arial" w:hAnsi="Arial" w:cs="Arial"/>
          <w:b/>
          <w:bCs/>
          <w:sz w:val="22"/>
          <w:szCs w:val="22"/>
        </w:rPr>
      </w:pPr>
      <w:r w:rsidRPr="001F58DB">
        <w:rPr>
          <w:rFonts w:ascii="Arial" w:hAnsi="Arial" w:cs="Arial"/>
          <w:b/>
          <w:bCs/>
          <w:sz w:val="22"/>
          <w:szCs w:val="22"/>
        </w:rPr>
        <w:lastRenderedPageBreak/>
        <w:t>Contents Page</w:t>
      </w:r>
    </w:p>
    <w:p w14:paraId="183AC40E" w14:textId="15ADF9AA" w:rsidR="00050422" w:rsidRPr="00050422" w:rsidRDefault="00050422" w:rsidP="00BC66BF">
      <w:pPr>
        <w:spacing w:line="360" w:lineRule="auto"/>
        <w:rPr>
          <w:rFonts w:ascii="Arial" w:hAnsi="Arial" w:cs="Arial"/>
          <w:b/>
          <w:bCs/>
          <w:sz w:val="22"/>
          <w:szCs w:val="22"/>
        </w:rPr>
      </w:pPr>
      <w:r w:rsidRPr="00021496">
        <w:rPr>
          <w:rFonts w:ascii="Arial" w:hAnsi="Arial" w:cs="Arial"/>
          <w:b/>
          <w:bCs/>
          <w:sz w:val="22"/>
          <w:szCs w:val="22"/>
        </w:rPr>
        <w:t>Abstract</w:t>
      </w:r>
      <w:r w:rsidR="00E80386" w:rsidRPr="00E80386">
        <w:rPr>
          <w:rFonts w:ascii="Arial" w:hAnsi="Arial" w:cs="Arial"/>
          <w:sz w:val="22"/>
          <w:szCs w:val="22"/>
        </w:rPr>
        <w:t>……</w:t>
      </w:r>
      <w:r w:rsidRPr="00E80386">
        <w:rPr>
          <w:rFonts w:ascii="Arial" w:hAnsi="Arial" w:cs="Arial"/>
          <w:sz w:val="22"/>
          <w:szCs w:val="22"/>
        </w:rPr>
        <w:t>…</w:t>
      </w:r>
      <w:r w:rsidRPr="001F58DB">
        <w:rPr>
          <w:rFonts w:ascii="Arial" w:hAnsi="Arial" w:cs="Arial"/>
          <w:sz w:val="22"/>
          <w:szCs w:val="22"/>
        </w:rPr>
        <w:t>……………………………………………………………………………………</w:t>
      </w:r>
      <w:r w:rsidRPr="001F58DB">
        <w:rPr>
          <w:rFonts w:ascii="Arial" w:hAnsi="Arial" w:cs="Arial"/>
          <w:b/>
          <w:bCs/>
          <w:sz w:val="22"/>
          <w:szCs w:val="22"/>
        </w:rPr>
        <w:t>3</w:t>
      </w:r>
    </w:p>
    <w:p w14:paraId="158A4609" w14:textId="77777777" w:rsidR="00837FA4" w:rsidRPr="001F58DB" w:rsidRDefault="00837FA4" w:rsidP="00BC66BF">
      <w:pPr>
        <w:spacing w:before="240" w:line="360" w:lineRule="auto"/>
        <w:rPr>
          <w:rFonts w:ascii="Arial" w:hAnsi="Arial" w:cs="Arial"/>
          <w:sz w:val="22"/>
          <w:szCs w:val="22"/>
        </w:rPr>
      </w:pPr>
      <w:r w:rsidRPr="001F58DB">
        <w:rPr>
          <w:rFonts w:ascii="Arial" w:hAnsi="Arial" w:cs="Arial"/>
          <w:b/>
          <w:bCs/>
          <w:sz w:val="22"/>
          <w:szCs w:val="22"/>
        </w:rPr>
        <w:t>Introduction</w:t>
      </w:r>
      <w:r w:rsidRPr="001F58DB">
        <w:rPr>
          <w:rFonts w:ascii="Arial" w:hAnsi="Arial" w:cs="Arial"/>
          <w:sz w:val="22"/>
          <w:szCs w:val="22"/>
        </w:rPr>
        <w:t>……………………………………………………………………………………….</w:t>
      </w:r>
      <w:r w:rsidRPr="001F58DB">
        <w:rPr>
          <w:rFonts w:ascii="Arial" w:hAnsi="Arial" w:cs="Arial"/>
          <w:b/>
          <w:bCs/>
          <w:sz w:val="22"/>
          <w:szCs w:val="22"/>
        </w:rPr>
        <w:t>3</w:t>
      </w:r>
    </w:p>
    <w:p w14:paraId="74AD84EF" w14:textId="67FF5F40" w:rsidR="00837FA4" w:rsidRPr="00712088" w:rsidRDefault="00BD7249" w:rsidP="00BC66BF">
      <w:pPr>
        <w:spacing w:line="360" w:lineRule="auto"/>
        <w:rPr>
          <w:rFonts w:ascii="Arial" w:hAnsi="Arial" w:cs="Arial"/>
          <w:b/>
          <w:bCs/>
          <w:sz w:val="22"/>
          <w:szCs w:val="22"/>
        </w:rPr>
      </w:pPr>
      <w:r w:rsidRPr="00021496">
        <w:rPr>
          <w:rFonts w:ascii="Arial" w:hAnsi="Arial" w:cs="Arial"/>
          <w:b/>
          <w:bCs/>
          <w:sz w:val="22"/>
          <w:szCs w:val="22"/>
        </w:rPr>
        <w:t>Definition of Person-Centred Care</w:t>
      </w:r>
      <w:r w:rsidR="00DC4D90" w:rsidRPr="001A4E2D">
        <w:rPr>
          <w:rFonts w:ascii="Arial" w:hAnsi="Arial" w:cs="Arial"/>
          <w:sz w:val="22"/>
          <w:szCs w:val="22"/>
        </w:rPr>
        <w:t>…………………………………………..</w:t>
      </w:r>
      <w:r w:rsidR="00837FA4" w:rsidRPr="001A4E2D">
        <w:rPr>
          <w:rFonts w:ascii="Arial" w:hAnsi="Arial" w:cs="Arial"/>
          <w:sz w:val="22"/>
          <w:szCs w:val="22"/>
        </w:rPr>
        <w:t>.…………….</w:t>
      </w:r>
      <w:r w:rsidR="00DC4D90">
        <w:rPr>
          <w:rFonts w:ascii="Arial" w:hAnsi="Arial" w:cs="Arial"/>
          <w:b/>
          <w:bCs/>
          <w:sz w:val="22"/>
          <w:szCs w:val="22"/>
        </w:rPr>
        <w:t>4</w:t>
      </w:r>
      <w:r w:rsidR="00837FA4" w:rsidRPr="00712088">
        <w:rPr>
          <w:rFonts w:ascii="Arial" w:hAnsi="Arial" w:cs="Arial"/>
          <w:b/>
          <w:bCs/>
          <w:sz w:val="22"/>
          <w:szCs w:val="22"/>
        </w:rPr>
        <w:t>-</w:t>
      </w:r>
      <w:r w:rsidR="00DC4D90">
        <w:rPr>
          <w:rFonts w:ascii="Arial" w:hAnsi="Arial" w:cs="Arial"/>
          <w:b/>
          <w:bCs/>
          <w:sz w:val="22"/>
          <w:szCs w:val="22"/>
        </w:rPr>
        <w:t>5</w:t>
      </w:r>
    </w:p>
    <w:p w14:paraId="3FD1B178" w14:textId="32061A6F" w:rsidR="00837FA4" w:rsidRPr="00712088" w:rsidRDefault="00DC4D90" w:rsidP="00BC66BF">
      <w:pPr>
        <w:spacing w:line="360" w:lineRule="auto"/>
        <w:rPr>
          <w:rFonts w:ascii="Arial" w:hAnsi="Arial" w:cs="Arial"/>
          <w:b/>
          <w:bCs/>
          <w:sz w:val="22"/>
          <w:szCs w:val="22"/>
        </w:rPr>
      </w:pPr>
      <w:r w:rsidRPr="00021496">
        <w:rPr>
          <w:rFonts w:ascii="Arial" w:hAnsi="Arial" w:cs="Arial"/>
          <w:b/>
          <w:bCs/>
          <w:sz w:val="22"/>
          <w:szCs w:val="22"/>
        </w:rPr>
        <w:t>Relevant Theories Supporting Person-Centred Car</w:t>
      </w:r>
      <w:r>
        <w:rPr>
          <w:rFonts w:ascii="Arial" w:hAnsi="Arial" w:cs="Arial"/>
          <w:b/>
          <w:bCs/>
          <w:sz w:val="22"/>
          <w:szCs w:val="22"/>
        </w:rPr>
        <w:t>e</w:t>
      </w:r>
      <w:r w:rsidR="00837FA4" w:rsidRPr="001A4E2D">
        <w:rPr>
          <w:rFonts w:ascii="Arial" w:hAnsi="Arial" w:cs="Arial"/>
          <w:sz w:val="22"/>
          <w:szCs w:val="22"/>
        </w:rPr>
        <w:t>…</w:t>
      </w:r>
      <w:r w:rsidR="00376542" w:rsidRPr="001A4E2D">
        <w:rPr>
          <w:rFonts w:ascii="Arial" w:hAnsi="Arial" w:cs="Arial"/>
          <w:sz w:val="22"/>
          <w:szCs w:val="22"/>
        </w:rPr>
        <w:t>.</w:t>
      </w:r>
      <w:r w:rsidR="00837FA4" w:rsidRPr="001A4E2D">
        <w:rPr>
          <w:rFonts w:ascii="Arial" w:hAnsi="Arial" w:cs="Arial"/>
          <w:sz w:val="22"/>
          <w:szCs w:val="22"/>
        </w:rPr>
        <w:t>……………….……………</w:t>
      </w:r>
      <w:r w:rsidR="000610EC">
        <w:rPr>
          <w:rFonts w:ascii="Arial" w:hAnsi="Arial" w:cs="Arial"/>
          <w:sz w:val="22"/>
          <w:szCs w:val="22"/>
        </w:rPr>
        <w:t>…</w:t>
      </w:r>
      <w:r w:rsidR="00376542" w:rsidRPr="001A4E2D">
        <w:rPr>
          <w:rFonts w:ascii="Arial" w:hAnsi="Arial" w:cs="Arial"/>
          <w:sz w:val="22"/>
          <w:szCs w:val="22"/>
        </w:rPr>
        <w:t>….</w:t>
      </w:r>
      <w:r w:rsidR="00837FA4" w:rsidRPr="00712088">
        <w:rPr>
          <w:rFonts w:ascii="Arial" w:hAnsi="Arial" w:cs="Arial"/>
          <w:b/>
          <w:bCs/>
          <w:sz w:val="22"/>
          <w:szCs w:val="22"/>
        </w:rPr>
        <w:t>5</w:t>
      </w:r>
    </w:p>
    <w:p w14:paraId="6A92311E" w14:textId="4FEE7F65" w:rsidR="00837FA4" w:rsidRPr="00712088" w:rsidRDefault="00376542" w:rsidP="00BC66BF">
      <w:pPr>
        <w:spacing w:line="360" w:lineRule="auto"/>
        <w:rPr>
          <w:rFonts w:ascii="Arial" w:hAnsi="Arial" w:cs="Arial"/>
          <w:b/>
          <w:bCs/>
          <w:sz w:val="22"/>
          <w:szCs w:val="22"/>
        </w:rPr>
      </w:pPr>
      <w:r w:rsidRPr="00021496">
        <w:rPr>
          <w:rFonts w:ascii="Arial" w:hAnsi="Arial" w:cs="Arial"/>
          <w:b/>
          <w:bCs/>
          <w:sz w:val="22"/>
          <w:szCs w:val="22"/>
        </w:rPr>
        <w:t>Ethical Fundamentals in Health and Social Care</w:t>
      </w:r>
      <w:r w:rsidR="00837FA4" w:rsidRPr="001A4E2D">
        <w:rPr>
          <w:rFonts w:ascii="Arial" w:hAnsi="Arial" w:cs="Arial"/>
          <w:sz w:val="22"/>
          <w:szCs w:val="22"/>
        </w:rPr>
        <w:t>…</w:t>
      </w:r>
      <w:r w:rsidRPr="001A4E2D">
        <w:rPr>
          <w:rFonts w:ascii="Arial" w:hAnsi="Arial" w:cs="Arial"/>
          <w:sz w:val="22"/>
          <w:szCs w:val="22"/>
        </w:rPr>
        <w:t>……………</w:t>
      </w:r>
      <w:r w:rsidR="00837FA4" w:rsidRPr="001A4E2D">
        <w:rPr>
          <w:rFonts w:ascii="Arial" w:hAnsi="Arial" w:cs="Arial"/>
          <w:sz w:val="22"/>
          <w:szCs w:val="22"/>
        </w:rPr>
        <w:t>…………..…….……....</w:t>
      </w:r>
      <w:r w:rsidRPr="001A4E2D">
        <w:rPr>
          <w:rFonts w:ascii="Arial" w:hAnsi="Arial" w:cs="Arial"/>
          <w:sz w:val="22"/>
          <w:szCs w:val="22"/>
        </w:rPr>
        <w:t>...</w:t>
      </w:r>
      <w:r w:rsidR="00837FA4" w:rsidRPr="00712088">
        <w:rPr>
          <w:rFonts w:ascii="Arial" w:hAnsi="Arial" w:cs="Arial"/>
          <w:b/>
          <w:bCs/>
          <w:sz w:val="22"/>
          <w:szCs w:val="22"/>
        </w:rPr>
        <w:t>6</w:t>
      </w:r>
    </w:p>
    <w:p w14:paraId="5AEBD885" w14:textId="7DE5D54B" w:rsidR="00376542" w:rsidRPr="00021496" w:rsidRDefault="00376542" w:rsidP="00BC66BF">
      <w:pPr>
        <w:spacing w:line="360" w:lineRule="auto"/>
        <w:rPr>
          <w:rFonts w:ascii="Arial" w:hAnsi="Arial" w:cs="Arial"/>
          <w:sz w:val="22"/>
          <w:szCs w:val="22"/>
        </w:rPr>
      </w:pPr>
      <w:r w:rsidRPr="00021496">
        <w:rPr>
          <w:rFonts w:ascii="Arial" w:hAnsi="Arial" w:cs="Arial"/>
          <w:b/>
          <w:bCs/>
          <w:sz w:val="22"/>
          <w:szCs w:val="22"/>
        </w:rPr>
        <w:t>Evaluation of Partnership Working</w:t>
      </w:r>
      <w:r w:rsidR="001A4E2D">
        <w:rPr>
          <w:rFonts w:ascii="Arial" w:hAnsi="Arial" w:cs="Arial"/>
          <w:sz w:val="22"/>
          <w:szCs w:val="22"/>
        </w:rPr>
        <w:t>………………………………………………………</w:t>
      </w:r>
      <w:r w:rsidR="000610EC">
        <w:rPr>
          <w:rFonts w:ascii="Arial" w:hAnsi="Arial" w:cs="Arial"/>
          <w:sz w:val="22"/>
          <w:szCs w:val="22"/>
        </w:rPr>
        <w:t>…</w:t>
      </w:r>
      <w:r w:rsidR="007A77D9">
        <w:rPr>
          <w:rFonts w:ascii="Arial" w:hAnsi="Arial" w:cs="Arial"/>
          <w:sz w:val="22"/>
          <w:szCs w:val="22"/>
        </w:rPr>
        <w:t>.</w:t>
      </w:r>
      <w:r w:rsidR="001A4E2D" w:rsidRPr="007A77D9">
        <w:rPr>
          <w:rFonts w:ascii="Arial" w:hAnsi="Arial" w:cs="Arial"/>
          <w:b/>
          <w:bCs/>
          <w:sz w:val="22"/>
          <w:szCs w:val="22"/>
        </w:rPr>
        <w:t>6</w:t>
      </w:r>
      <w:r w:rsidR="007A77D9" w:rsidRPr="007A77D9">
        <w:rPr>
          <w:rFonts w:ascii="Arial" w:hAnsi="Arial" w:cs="Arial"/>
          <w:b/>
          <w:bCs/>
          <w:sz w:val="22"/>
          <w:szCs w:val="22"/>
        </w:rPr>
        <w:t>-</w:t>
      </w:r>
      <w:r w:rsidR="001A4E2D" w:rsidRPr="001A4E2D">
        <w:rPr>
          <w:rFonts w:ascii="Arial" w:hAnsi="Arial" w:cs="Arial"/>
          <w:b/>
          <w:bCs/>
          <w:sz w:val="22"/>
          <w:szCs w:val="22"/>
        </w:rPr>
        <w:t>7</w:t>
      </w:r>
    </w:p>
    <w:p w14:paraId="50509EE5" w14:textId="63670621" w:rsidR="001A4E2D" w:rsidRPr="00021496" w:rsidRDefault="001A4E2D" w:rsidP="00BC66BF">
      <w:pPr>
        <w:spacing w:line="360" w:lineRule="auto"/>
        <w:rPr>
          <w:rFonts w:ascii="Arial" w:hAnsi="Arial" w:cs="Arial"/>
          <w:b/>
          <w:bCs/>
          <w:sz w:val="22"/>
          <w:szCs w:val="22"/>
        </w:rPr>
      </w:pPr>
      <w:r w:rsidRPr="00021496">
        <w:rPr>
          <w:rFonts w:ascii="Arial" w:hAnsi="Arial" w:cs="Arial"/>
          <w:b/>
          <w:bCs/>
          <w:sz w:val="22"/>
          <w:szCs w:val="22"/>
        </w:rPr>
        <w:t>Policy and Legislation</w:t>
      </w:r>
      <w:r w:rsidR="007A77D9">
        <w:rPr>
          <w:rFonts w:ascii="Arial" w:hAnsi="Arial" w:cs="Arial"/>
          <w:sz w:val="22"/>
          <w:szCs w:val="22"/>
        </w:rPr>
        <w:t>……………………………………………………………………………</w:t>
      </w:r>
      <w:r w:rsidR="007A77D9">
        <w:rPr>
          <w:rFonts w:ascii="Arial" w:hAnsi="Arial" w:cs="Arial"/>
          <w:b/>
          <w:bCs/>
          <w:sz w:val="22"/>
          <w:szCs w:val="22"/>
        </w:rPr>
        <w:t>7</w:t>
      </w:r>
    </w:p>
    <w:p w14:paraId="5B1A697B" w14:textId="744F19A3" w:rsidR="007A77D9" w:rsidRPr="00021496" w:rsidRDefault="007A77D9" w:rsidP="00BC66BF">
      <w:pPr>
        <w:spacing w:line="360" w:lineRule="auto"/>
        <w:rPr>
          <w:rFonts w:ascii="Arial" w:hAnsi="Arial" w:cs="Arial"/>
          <w:sz w:val="22"/>
          <w:szCs w:val="22"/>
        </w:rPr>
      </w:pPr>
      <w:r w:rsidRPr="00021496">
        <w:rPr>
          <w:rFonts w:ascii="Arial" w:hAnsi="Arial" w:cs="Arial"/>
          <w:b/>
          <w:bCs/>
          <w:sz w:val="22"/>
          <w:szCs w:val="22"/>
        </w:rPr>
        <w:t>Recommendations for Future Development</w:t>
      </w:r>
      <w:r>
        <w:rPr>
          <w:rFonts w:ascii="Arial" w:hAnsi="Arial" w:cs="Arial"/>
          <w:sz w:val="22"/>
          <w:szCs w:val="22"/>
        </w:rPr>
        <w:t>………………………………………………</w:t>
      </w:r>
      <w:r w:rsidR="00B2409C" w:rsidRPr="000444D8">
        <w:rPr>
          <w:rFonts w:ascii="Arial" w:hAnsi="Arial" w:cs="Arial"/>
          <w:b/>
          <w:bCs/>
          <w:sz w:val="22"/>
          <w:szCs w:val="22"/>
        </w:rPr>
        <w:t>8</w:t>
      </w:r>
      <w:r w:rsidR="000444D8" w:rsidRPr="000444D8">
        <w:rPr>
          <w:rFonts w:ascii="Arial" w:hAnsi="Arial" w:cs="Arial"/>
          <w:b/>
          <w:bCs/>
          <w:sz w:val="22"/>
          <w:szCs w:val="22"/>
        </w:rPr>
        <w:t>-9</w:t>
      </w:r>
    </w:p>
    <w:p w14:paraId="057334A7" w14:textId="70F7FA6D" w:rsidR="00837FA4" w:rsidRPr="00712088" w:rsidRDefault="00837FA4" w:rsidP="00BC66BF">
      <w:pPr>
        <w:spacing w:before="240" w:line="360" w:lineRule="auto"/>
        <w:rPr>
          <w:rFonts w:ascii="Arial" w:hAnsi="Arial" w:cs="Arial"/>
          <w:b/>
          <w:bCs/>
          <w:sz w:val="22"/>
          <w:szCs w:val="22"/>
        </w:rPr>
      </w:pPr>
      <w:r w:rsidRPr="00712088">
        <w:rPr>
          <w:rFonts w:ascii="Arial" w:hAnsi="Arial" w:cs="Arial"/>
          <w:b/>
          <w:bCs/>
          <w:sz w:val="22"/>
          <w:szCs w:val="22"/>
        </w:rPr>
        <w:t>Conclusion</w:t>
      </w:r>
      <w:r w:rsidRPr="00E833B2">
        <w:rPr>
          <w:rFonts w:ascii="Arial" w:hAnsi="Arial" w:cs="Arial"/>
          <w:sz w:val="22"/>
          <w:szCs w:val="22"/>
        </w:rPr>
        <w:t>……………………………………………………………………………………</w:t>
      </w:r>
      <w:r w:rsidR="000444D8">
        <w:rPr>
          <w:rFonts w:ascii="Arial" w:hAnsi="Arial" w:cs="Arial"/>
          <w:sz w:val="22"/>
          <w:szCs w:val="22"/>
        </w:rPr>
        <w:t>..</w:t>
      </w:r>
      <w:r w:rsidR="00E833B2" w:rsidRPr="00E833B2">
        <w:rPr>
          <w:rFonts w:ascii="Arial" w:hAnsi="Arial" w:cs="Arial"/>
          <w:sz w:val="22"/>
          <w:szCs w:val="22"/>
        </w:rPr>
        <w:t>….</w:t>
      </w:r>
      <w:r w:rsidR="00B2409C" w:rsidRPr="000444D8">
        <w:rPr>
          <w:rFonts w:ascii="Arial" w:hAnsi="Arial" w:cs="Arial"/>
          <w:b/>
          <w:bCs/>
          <w:sz w:val="22"/>
          <w:szCs w:val="22"/>
        </w:rPr>
        <w:t>9</w:t>
      </w:r>
    </w:p>
    <w:p w14:paraId="2FB79B99" w14:textId="7327A565" w:rsidR="00837FA4" w:rsidRPr="00712088" w:rsidRDefault="00837FA4" w:rsidP="00BC66BF">
      <w:pPr>
        <w:spacing w:line="360" w:lineRule="auto"/>
        <w:rPr>
          <w:rFonts w:ascii="Arial" w:hAnsi="Arial" w:cs="Arial"/>
          <w:b/>
          <w:bCs/>
          <w:sz w:val="22"/>
          <w:szCs w:val="22"/>
        </w:rPr>
      </w:pPr>
      <w:r w:rsidRPr="00712088">
        <w:rPr>
          <w:rFonts w:ascii="Arial" w:hAnsi="Arial" w:cs="Arial"/>
          <w:b/>
          <w:bCs/>
          <w:sz w:val="22"/>
          <w:szCs w:val="22"/>
        </w:rPr>
        <w:t>Reference List</w:t>
      </w:r>
      <w:r w:rsidRPr="00E833B2">
        <w:rPr>
          <w:rFonts w:ascii="Arial" w:hAnsi="Arial" w:cs="Arial"/>
          <w:sz w:val="22"/>
          <w:szCs w:val="22"/>
        </w:rPr>
        <w:t>……………………………………………………………………………</w:t>
      </w:r>
      <w:r w:rsidR="007440CA">
        <w:rPr>
          <w:rFonts w:ascii="Arial" w:hAnsi="Arial" w:cs="Arial"/>
          <w:sz w:val="22"/>
          <w:szCs w:val="22"/>
        </w:rPr>
        <w:t>…</w:t>
      </w:r>
      <w:r w:rsidR="004D56C8">
        <w:rPr>
          <w:rFonts w:ascii="Arial" w:hAnsi="Arial" w:cs="Arial"/>
          <w:sz w:val="22"/>
          <w:szCs w:val="22"/>
        </w:rPr>
        <w:t>..</w:t>
      </w:r>
      <w:r w:rsidR="002E650F" w:rsidRPr="004D56C8">
        <w:rPr>
          <w:rFonts w:ascii="Arial" w:hAnsi="Arial" w:cs="Arial"/>
          <w:b/>
          <w:bCs/>
          <w:sz w:val="22"/>
          <w:szCs w:val="22"/>
        </w:rPr>
        <w:t>10</w:t>
      </w:r>
      <w:r w:rsidR="00ED1111">
        <w:rPr>
          <w:rFonts w:ascii="Arial" w:hAnsi="Arial" w:cs="Arial"/>
          <w:b/>
          <w:bCs/>
          <w:sz w:val="22"/>
          <w:szCs w:val="22"/>
        </w:rPr>
        <w:t>-</w:t>
      </w:r>
      <w:r w:rsidR="004D56C8">
        <w:rPr>
          <w:rFonts w:ascii="Arial" w:hAnsi="Arial" w:cs="Arial"/>
          <w:b/>
          <w:bCs/>
          <w:sz w:val="22"/>
          <w:szCs w:val="22"/>
        </w:rPr>
        <w:t>11</w:t>
      </w:r>
    </w:p>
    <w:p w14:paraId="63405EB4" w14:textId="31D90783" w:rsidR="00F3283F" w:rsidRDefault="00F3283F">
      <w:pPr>
        <w:rPr>
          <w:rFonts w:ascii="Arial" w:hAnsi="Arial" w:cs="Arial"/>
          <w:b/>
          <w:bCs/>
          <w:sz w:val="22"/>
          <w:szCs w:val="22"/>
        </w:rPr>
      </w:pPr>
    </w:p>
    <w:p w14:paraId="7ABA50F8" w14:textId="77777777" w:rsidR="00F3283F" w:rsidRDefault="00F3283F">
      <w:pPr>
        <w:rPr>
          <w:rFonts w:ascii="Arial" w:hAnsi="Arial" w:cs="Arial"/>
          <w:b/>
          <w:bCs/>
          <w:sz w:val="22"/>
          <w:szCs w:val="22"/>
        </w:rPr>
      </w:pPr>
      <w:r>
        <w:rPr>
          <w:rFonts w:ascii="Arial" w:hAnsi="Arial" w:cs="Arial"/>
          <w:b/>
          <w:bCs/>
          <w:sz w:val="22"/>
          <w:szCs w:val="22"/>
        </w:rPr>
        <w:br w:type="page"/>
      </w:r>
    </w:p>
    <w:p w14:paraId="169E0562" w14:textId="377E1361" w:rsidR="00F3283F" w:rsidRPr="00B03EB6" w:rsidRDefault="00021496" w:rsidP="00F3283F">
      <w:pPr>
        <w:spacing w:line="240" w:lineRule="auto"/>
        <w:jc w:val="center"/>
        <w:rPr>
          <w:rFonts w:ascii="Arial" w:hAnsi="Arial" w:cs="Arial"/>
          <w:b/>
          <w:bCs/>
          <w:sz w:val="22"/>
          <w:szCs w:val="22"/>
        </w:rPr>
      </w:pPr>
      <w:r w:rsidRPr="00B03EB6">
        <w:rPr>
          <w:rFonts w:ascii="Arial" w:hAnsi="Arial" w:cs="Arial"/>
          <w:b/>
          <w:bCs/>
          <w:sz w:val="22"/>
          <w:szCs w:val="22"/>
        </w:rPr>
        <w:lastRenderedPageBreak/>
        <w:t xml:space="preserve">Evaluation of Person-Centred Care and Partnership </w:t>
      </w:r>
    </w:p>
    <w:p w14:paraId="39141D18" w14:textId="38866358" w:rsidR="00021496" w:rsidRPr="00B03EB6" w:rsidRDefault="00021496" w:rsidP="00F3283F">
      <w:pPr>
        <w:spacing w:line="240" w:lineRule="auto"/>
        <w:jc w:val="center"/>
        <w:rPr>
          <w:rFonts w:ascii="Arial" w:hAnsi="Arial" w:cs="Arial"/>
          <w:b/>
          <w:bCs/>
          <w:sz w:val="22"/>
          <w:szCs w:val="22"/>
        </w:rPr>
      </w:pPr>
      <w:r w:rsidRPr="00B03EB6">
        <w:rPr>
          <w:rFonts w:ascii="Arial" w:hAnsi="Arial" w:cs="Arial"/>
          <w:b/>
          <w:bCs/>
          <w:sz w:val="22"/>
          <w:szCs w:val="22"/>
        </w:rPr>
        <w:t>Working in Health and Social Care</w:t>
      </w:r>
    </w:p>
    <w:p w14:paraId="2D5578F8" w14:textId="77777777"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t>Abstract</w:t>
      </w:r>
    </w:p>
    <w:p w14:paraId="430E8BE6"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 xml:space="preserve">Person-Centred Care (PCC) and Partnership Working (PW) have become fundamental principles guiding the development of contemporary health and social care services in the United Kingdom. PCC focuses on recognising individuals as active participants in their care and emphasises respect for personal values, preferences and needs. Partnership working, meanwhile, promotes collaboration between professionals, organisations, service users and communities </w:t>
      </w:r>
      <w:proofErr w:type="gramStart"/>
      <w:r w:rsidRPr="008347B5">
        <w:rPr>
          <w:rFonts w:ascii="Arial" w:hAnsi="Arial" w:cs="Arial"/>
          <w:sz w:val="22"/>
          <w:szCs w:val="22"/>
        </w:rPr>
        <w:t>in order to</w:t>
      </w:r>
      <w:proofErr w:type="gramEnd"/>
      <w:r w:rsidRPr="008347B5">
        <w:rPr>
          <w:rFonts w:ascii="Arial" w:hAnsi="Arial" w:cs="Arial"/>
          <w:sz w:val="22"/>
          <w:szCs w:val="22"/>
        </w:rPr>
        <w:t xml:space="preserve"> deliver integrated and effective care services. This report critically evaluates PCC and partnership working and explores how these approaches interact within professional health and social care practice. The report defines PCC and analyses both its benefits and limitations. It also examines key theoretical perspectives that underpin person-centred approaches, including Rogers’ person-centred theory and the biopsychosocial model. Ethical principles guiding health and social care practice are explored to demonstrate how they support PCC and partnership working. The report further evaluates partnership working within healthcare organisations and analyses the impact of UK policies and legislation such as the Health and Care Act 2022 and the Care Act 2014. The discussion focuses on hospital-based healthcare services within the National Health Service (NHS) as a practical example. The report concludes by offering recommendations for strengthening PCC and partnership working in the UK, emphasising the importance of organisational culture, leadership, and integrated care systems.</w:t>
      </w:r>
    </w:p>
    <w:p w14:paraId="18E0E9ED" w14:textId="77777777"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t>Introduction</w:t>
      </w:r>
    </w:p>
    <w:p w14:paraId="077AF3E1"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 xml:space="preserve">Over the past two decades, health and social care systems in the United Kingdom have undergone significant reform </w:t>
      </w:r>
      <w:proofErr w:type="gramStart"/>
      <w:r w:rsidRPr="008347B5">
        <w:rPr>
          <w:rFonts w:ascii="Arial" w:hAnsi="Arial" w:cs="Arial"/>
          <w:sz w:val="22"/>
          <w:szCs w:val="22"/>
        </w:rPr>
        <w:t>in order to</w:t>
      </w:r>
      <w:proofErr w:type="gramEnd"/>
      <w:r w:rsidRPr="008347B5">
        <w:rPr>
          <w:rFonts w:ascii="Arial" w:hAnsi="Arial" w:cs="Arial"/>
          <w:sz w:val="22"/>
          <w:szCs w:val="22"/>
        </w:rPr>
        <w:t xml:space="preserve"> improve service quality, efficiency and patient experience. Two central concepts driving these changes are Person-Centred Care (PCC) and Partnership Working (PW). PCC represents a shift away from traditional paternalistic healthcare models towards approaches that prioritise patient involvement, autonomy and individualised care planning. Partnership working, in contrast, emphasises collaboration between healthcare professionals, organisations and communities </w:t>
      </w:r>
      <w:proofErr w:type="gramStart"/>
      <w:r w:rsidRPr="008347B5">
        <w:rPr>
          <w:rFonts w:ascii="Arial" w:hAnsi="Arial" w:cs="Arial"/>
          <w:sz w:val="22"/>
          <w:szCs w:val="22"/>
        </w:rPr>
        <w:t>in order to</w:t>
      </w:r>
      <w:proofErr w:type="gramEnd"/>
      <w:r w:rsidRPr="008347B5">
        <w:rPr>
          <w:rFonts w:ascii="Arial" w:hAnsi="Arial" w:cs="Arial"/>
          <w:sz w:val="22"/>
          <w:szCs w:val="22"/>
        </w:rPr>
        <w:t xml:space="preserve"> deliver coordinated services that address complex health needs.</w:t>
      </w:r>
    </w:p>
    <w:p w14:paraId="12EABCDB" w14:textId="6C4EB38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 xml:space="preserve">The increasing prevalence of chronic illnesses, ageing populations and rising healthcare demands have highlighted the importance of integrated care systems that promote collaboration between services. According to Epstein and Street (2011), healthcare systems that actively involve patients in decision-making processes often achieve improved health outcomes and greater patient satisfaction. Similarly, Glasby and Dickinson (2014) argue that </w:t>
      </w:r>
      <w:r w:rsidRPr="008347B5">
        <w:rPr>
          <w:rFonts w:ascii="Arial" w:hAnsi="Arial" w:cs="Arial"/>
          <w:sz w:val="22"/>
          <w:szCs w:val="22"/>
        </w:rPr>
        <w:lastRenderedPageBreak/>
        <w:t>effective partnership working enables organisations to share expertise and resources, thereby improving service delivery</w:t>
      </w:r>
      <w:r w:rsidR="005E77FB" w:rsidRPr="008347B5">
        <w:rPr>
          <w:rFonts w:ascii="Arial" w:hAnsi="Arial" w:cs="Arial"/>
          <w:sz w:val="22"/>
          <w:szCs w:val="22"/>
        </w:rPr>
        <w:t xml:space="preserve"> (Glasby and Dickinson, 2014)</w:t>
      </w:r>
      <w:r w:rsidRPr="008347B5">
        <w:rPr>
          <w:rFonts w:ascii="Arial" w:hAnsi="Arial" w:cs="Arial"/>
          <w:sz w:val="22"/>
          <w:szCs w:val="22"/>
        </w:rPr>
        <w:t>.</w:t>
      </w:r>
    </w:p>
    <w:p w14:paraId="525BE74A"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Despite widespread support for these approaches, their implementation remains complex. Healthcare organisations often face structural, cultural and financial barriers that can limit the effectiveness of person-centred and collaborative models of care. This report therefore critically evaluates PCC and partnership working within the context of health and social care practice. The report begins by defining PCC and exploring its benefits and limitations. It then examines theoretical models underpinning PCC and analyses the ethical principles guiding healthcare practice. The report further evaluates partnership working and its practical application within hospital-based healthcare services in the NHS. Finally, relevant policy and legislative frameworks are examined, followed by recommendations for future development.</w:t>
      </w:r>
    </w:p>
    <w:p w14:paraId="5BA72B77" w14:textId="77777777"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t>Definition of Person-Centred Care</w:t>
      </w:r>
    </w:p>
    <w:p w14:paraId="373B6500"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Person-Centred Care (PCC) is widely regarded as a key principle in modern healthcare delivery. The Health Foundation defines PCC as care that respects and responds to the individual preferences, needs and values of patients, ensuring that these values guide clinical decision-making (Health Foundation, 2016). Similarly, NHS England describes PCC as an approach that places individuals at the centre of healthcare services and encourages active patient participation.</w:t>
      </w:r>
    </w:p>
    <w:p w14:paraId="7C9E72A2" w14:textId="0ADD8FF1"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A significant advantage of PCC is its ability to improve patient engagement and satisfaction. Morgan and Yoder (2012) argue that when patients are actively involved in decision-making processes, they are more likely to adhere to treatment plans and take greater responsibility for managing their health</w:t>
      </w:r>
      <w:r w:rsidR="00C95A7D" w:rsidRPr="008347B5">
        <w:rPr>
          <w:rFonts w:ascii="Arial" w:hAnsi="Arial" w:cs="Arial"/>
          <w:sz w:val="22"/>
          <w:szCs w:val="22"/>
        </w:rPr>
        <w:t xml:space="preserve"> (Morgan and Yoder, 2012)</w:t>
      </w:r>
      <w:r w:rsidRPr="008347B5">
        <w:rPr>
          <w:rFonts w:ascii="Arial" w:hAnsi="Arial" w:cs="Arial"/>
          <w:sz w:val="22"/>
          <w:szCs w:val="22"/>
        </w:rPr>
        <w:t>. Similarly, Barry and Edgman-Levitan (2012) highlight that shared decision-making enhances trust between healthcare professionals and patients, which can contribute to better clinical outcomes</w:t>
      </w:r>
      <w:r w:rsidR="007F492D" w:rsidRPr="008347B5">
        <w:rPr>
          <w:rFonts w:ascii="Arial" w:hAnsi="Arial" w:cs="Arial"/>
          <w:sz w:val="22"/>
          <w:szCs w:val="22"/>
        </w:rPr>
        <w:t xml:space="preserve"> </w:t>
      </w:r>
      <w:r w:rsidR="005E77FB" w:rsidRPr="008347B5">
        <w:rPr>
          <w:rFonts w:ascii="Arial" w:hAnsi="Arial" w:cs="Arial"/>
          <w:sz w:val="22"/>
          <w:szCs w:val="22"/>
        </w:rPr>
        <w:t>(Barry and Edgman-Levitan, 2012)</w:t>
      </w:r>
      <w:r w:rsidRPr="008347B5">
        <w:rPr>
          <w:rFonts w:ascii="Arial" w:hAnsi="Arial" w:cs="Arial"/>
          <w:sz w:val="22"/>
          <w:szCs w:val="22"/>
        </w:rPr>
        <w:t>.</w:t>
      </w:r>
    </w:p>
    <w:p w14:paraId="65A0B58C" w14:textId="259037DD"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However, while many authors support PCC, there are differences in how it is conceptualised. For example, Coulter and Oldham (2016) emphasise the role of organisational systems in enabling PCC, suggesting that person-centred approaches require structural changes within healthcare organisations</w:t>
      </w:r>
      <w:r w:rsidR="00431924" w:rsidRPr="008347B5">
        <w:rPr>
          <w:rFonts w:ascii="Arial" w:hAnsi="Arial" w:cs="Arial"/>
          <w:sz w:val="22"/>
          <w:szCs w:val="22"/>
        </w:rPr>
        <w:t xml:space="preserve"> (Coulter and Oldham, 2016)</w:t>
      </w:r>
      <w:r w:rsidRPr="008347B5">
        <w:rPr>
          <w:rFonts w:ascii="Arial" w:hAnsi="Arial" w:cs="Arial"/>
          <w:sz w:val="22"/>
          <w:szCs w:val="22"/>
        </w:rPr>
        <w:t>. In contrast, Epstein and Street (2011) focus more on the interpersonal relationship between patients and healthcare professionals, arguing that effective communication is the primary driver of PCC</w:t>
      </w:r>
      <w:r w:rsidR="00C95A7D" w:rsidRPr="008347B5">
        <w:rPr>
          <w:rFonts w:ascii="Arial" w:hAnsi="Arial" w:cs="Arial"/>
          <w:sz w:val="22"/>
          <w:szCs w:val="22"/>
        </w:rPr>
        <w:t xml:space="preserve"> (Epstein and Street, 2011)</w:t>
      </w:r>
      <w:r w:rsidRPr="008347B5">
        <w:rPr>
          <w:rFonts w:ascii="Arial" w:hAnsi="Arial" w:cs="Arial"/>
          <w:sz w:val="22"/>
          <w:szCs w:val="22"/>
        </w:rPr>
        <w:t>. This comparison demonstrates that PCC operates both at the interpersonal and organisational levels.</w:t>
      </w:r>
    </w:p>
    <w:p w14:paraId="6161B012" w14:textId="3F6F9A5C"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lastRenderedPageBreak/>
        <w:t xml:space="preserve">Despite its benefits, PCC also presents several limitations. One challenge relates to resource constraints within healthcare systems. High patient demand, staffing shortages and time pressures can limit healthcare professionals’ ability to engage fully with patients. Additionally, </w:t>
      </w:r>
      <w:proofErr w:type="spellStart"/>
      <w:r w:rsidRPr="008347B5">
        <w:rPr>
          <w:rFonts w:ascii="Arial" w:hAnsi="Arial" w:cs="Arial"/>
          <w:sz w:val="22"/>
          <w:szCs w:val="22"/>
        </w:rPr>
        <w:t>Ocloo</w:t>
      </w:r>
      <w:proofErr w:type="spellEnd"/>
      <w:r w:rsidRPr="008347B5">
        <w:rPr>
          <w:rFonts w:ascii="Arial" w:hAnsi="Arial" w:cs="Arial"/>
          <w:sz w:val="22"/>
          <w:szCs w:val="22"/>
        </w:rPr>
        <w:t xml:space="preserve"> and Matthews (2016) argue that patient involvement initiatives can sometimes become tokenistic, where organisations promote the concept of PCC without genuinely empowering service users</w:t>
      </w:r>
      <w:r w:rsidR="00431924" w:rsidRPr="008347B5">
        <w:rPr>
          <w:rFonts w:ascii="Arial" w:hAnsi="Arial" w:cs="Arial"/>
          <w:sz w:val="22"/>
          <w:szCs w:val="22"/>
        </w:rPr>
        <w:t xml:space="preserve"> (</w:t>
      </w:r>
      <w:proofErr w:type="spellStart"/>
      <w:r w:rsidR="00431924" w:rsidRPr="008347B5">
        <w:rPr>
          <w:rFonts w:ascii="Arial" w:hAnsi="Arial" w:cs="Arial"/>
          <w:sz w:val="22"/>
          <w:szCs w:val="22"/>
        </w:rPr>
        <w:t>Ocloo</w:t>
      </w:r>
      <w:proofErr w:type="spellEnd"/>
      <w:r w:rsidR="00431924" w:rsidRPr="008347B5">
        <w:rPr>
          <w:rFonts w:ascii="Arial" w:hAnsi="Arial" w:cs="Arial"/>
          <w:sz w:val="22"/>
          <w:szCs w:val="22"/>
        </w:rPr>
        <w:t xml:space="preserve"> and Matthews, 2016)</w:t>
      </w:r>
      <w:r w:rsidRPr="008347B5">
        <w:rPr>
          <w:rFonts w:ascii="Arial" w:hAnsi="Arial" w:cs="Arial"/>
          <w:sz w:val="22"/>
          <w:szCs w:val="22"/>
        </w:rPr>
        <w:t>.</w:t>
      </w:r>
    </w:p>
    <w:p w14:paraId="7BAC982C"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Furthermore, conflicts may arise when patient preferences contradict clinical advice. Healthcare professionals must therefore balance patient autonomy with their duty to ensure safe and effective treatment. This highlights the complexity of implementing PCC in real-world healthcare settings.</w:t>
      </w:r>
    </w:p>
    <w:p w14:paraId="4980478B" w14:textId="77777777"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t>Relevant Theories Supporting Person-Centred Care</w:t>
      </w:r>
    </w:p>
    <w:p w14:paraId="59458C97"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The concept of PCC is supported by several theoretical frameworks that emphasise holistic and patient-focused approaches to healthcare. One of the most influential theories is the person-centred approach developed by Carl Rogers. Rogers’ theory emphasises empathy, authenticity and unconditional positive regard as essential elements in building effective relationships between professionals and individuals receiving support (Rogers, 1951).</w:t>
      </w:r>
    </w:p>
    <w:p w14:paraId="5C2F68AD"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Rogers’ theory has been widely applied in healthcare settings because it highlights the importance of communication and emotional understanding between healthcare professionals and patients. In hospital environments, for example, nurses who demonstrate empathy and active listening may help patients feel more comfortable discussing their concerns and preferences regarding treatment.</w:t>
      </w:r>
    </w:p>
    <w:p w14:paraId="21CF9D4D" w14:textId="6811D1C8"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Another important theoretical framework underpinning PCC is the biopsychosocial model developed by George L. Engel. Engel (1977) criticised the traditional biomedical model for focusing solely on physical symptoms while ignoring psychological and social influences on health</w:t>
      </w:r>
      <w:r w:rsidR="00CC4E95" w:rsidRPr="008347B5">
        <w:rPr>
          <w:rFonts w:ascii="Arial" w:hAnsi="Arial" w:cs="Arial"/>
          <w:sz w:val="22"/>
          <w:szCs w:val="22"/>
        </w:rPr>
        <w:t xml:space="preserve"> </w:t>
      </w:r>
      <w:r w:rsidR="00A62818" w:rsidRPr="008347B5">
        <w:rPr>
          <w:rFonts w:ascii="Arial" w:hAnsi="Arial" w:cs="Arial"/>
          <w:sz w:val="22"/>
          <w:szCs w:val="22"/>
        </w:rPr>
        <w:t>(</w:t>
      </w:r>
      <w:r w:rsidR="00CC4E95" w:rsidRPr="008347B5">
        <w:rPr>
          <w:rFonts w:ascii="Arial" w:hAnsi="Arial" w:cs="Arial"/>
          <w:sz w:val="22"/>
          <w:szCs w:val="22"/>
        </w:rPr>
        <w:t>George L. Engel. Engel, 1977)</w:t>
      </w:r>
      <w:r w:rsidRPr="008347B5">
        <w:rPr>
          <w:rFonts w:ascii="Arial" w:hAnsi="Arial" w:cs="Arial"/>
          <w:sz w:val="22"/>
          <w:szCs w:val="22"/>
        </w:rPr>
        <w:t>. Instead, the biopsychosocial model emphasises that health outcomes are shaped by interactions between biological, psychological and social factors.</w:t>
      </w:r>
    </w:p>
    <w:p w14:paraId="34D24E64"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While both theories support PCC, they differ in their emphasis. Rogers’ theory focuses primarily on interpersonal relationships between professionals and patients, whereas the biopsychosocial model emphasises the broader social and environmental factors that influence health. By integrating both perspectives, healthcare professionals can develop more holistic approaches to patient care.</w:t>
      </w:r>
    </w:p>
    <w:p w14:paraId="03162DBF"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 xml:space="preserve">Nevertheless, critics argue that these theoretical frameworks can be difficult to implement within complex healthcare systems. Engel’s biopsychosocial model, for example, has been </w:t>
      </w:r>
      <w:r w:rsidRPr="008347B5">
        <w:rPr>
          <w:rFonts w:ascii="Arial" w:hAnsi="Arial" w:cs="Arial"/>
          <w:sz w:val="22"/>
          <w:szCs w:val="22"/>
        </w:rPr>
        <w:lastRenderedPageBreak/>
        <w:t>criticised for being conceptually broad and difficult to operationalise in clinical practice. Similarly, Rogers’ theory assumes that healthcare professionals have sufficient time and resources to build strong therapeutic relationships with patients, which may not always be feasible in busy healthcare environments.</w:t>
      </w:r>
    </w:p>
    <w:p w14:paraId="77B4A957" w14:textId="77777777"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t>Ethical Fundamentals in Health and Social Care</w:t>
      </w:r>
    </w:p>
    <w:p w14:paraId="68D15BB1"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Ethical principles play a crucial role in guiding healthcare decision-making and supporting the delivery of person-centred care. Four widely recognised ethical principles include autonomy, beneficence, non-maleficence and justice (Beauchamp and Childress, 2019).</w:t>
      </w:r>
    </w:p>
    <w:p w14:paraId="42B771FD"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Autonomy refers to respecting individuals’ rights to make informed decisions about their healthcare. Within PCC, autonomy is particularly important because it emphasises patient involvement in treatment decisions. However, respecting autonomy may sometimes create ethical dilemmas, particularly when patients refuse treatments that healthcare professionals believe are necessary.</w:t>
      </w:r>
    </w:p>
    <w:p w14:paraId="129CC4D7"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Beneficence involves acting in the best interests of patients and promoting their wellbeing. Healthcare professionals must ensure that their actions contribute positively to patient health outcomes.</w:t>
      </w:r>
    </w:p>
    <w:p w14:paraId="23381BFD"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Non-maleficence refers to avoiding harm. In clinical practice, this principle requires healthcare professionals to carefully consider the potential risks associated with treatments.</w:t>
      </w:r>
    </w:p>
    <w:p w14:paraId="3A966F02"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Justice relates to fairness and equality in healthcare provision. The principle of justice is particularly relevant in publicly funded healthcare systems such as the NHS, where limited resources must be allocated fairly across populations.</w:t>
      </w:r>
    </w:p>
    <w:p w14:paraId="382D7F1C"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While these ethical principles provide a useful framework for healthcare decision-making, tensions may arise between them. For example, prioritising patient autonomy may sometimes conflict with beneficence if a patient refuses a beneficial treatment. Such ethical dilemmas highlight the complexity of delivering PCC in healthcare environments.</w:t>
      </w:r>
    </w:p>
    <w:p w14:paraId="6CD2A8A1" w14:textId="4065803E"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t>Evaluation of Partnership Working</w:t>
      </w:r>
    </w:p>
    <w:p w14:paraId="689C126F" w14:textId="051DD57D"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Partnership working is widely recognised as an essential strategy for improving coordination and efficiency within health and social care systems. According to the Department of Health and Social Care</w:t>
      </w:r>
      <w:r w:rsidR="00C15D6C" w:rsidRPr="008347B5">
        <w:rPr>
          <w:rFonts w:ascii="Arial" w:hAnsi="Arial" w:cs="Arial"/>
          <w:sz w:val="22"/>
          <w:szCs w:val="22"/>
        </w:rPr>
        <w:t xml:space="preserve"> (2026)</w:t>
      </w:r>
      <w:r w:rsidRPr="008347B5">
        <w:rPr>
          <w:rFonts w:ascii="Arial" w:hAnsi="Arial" w:cs="Arial"/>
          <w:sz w:val="22"/>
          <w:szCs w:val="22"/>
        </w:rPr>
        <w:t>, partnership working involves collaborative relationships between professionals, organisations and service users that aim to improve service delivery.</w:t>
      </w:r>
    </w:p>
    <w:p w14:paraId="467C2688"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 xml:space="preserve">One significant policy initiative promoting partnership working in the UK is the development of Integrated Care Systems. These systems aim to bring together NHS organisations, local </w:t>
      </w:r>
      <w:r w:rsidRPr="008347B5">
        <w:rPr>
          <w:rFonts w:ascii="Arial" w:hAnsi="Arial" w:cs="Arial"/>
          <w:sz w:val="22"/>
          <w:szCs w:val="22"/>
        </w:rPr>
        <w:lastRenderedPageBreak/>
        <w:t xml:space="preserve">authorities and voluntary sector organisations </w:t>
      </w:r>
      <w:proofErr w:type="gramStart"/>
      <w:r w:rsidRPr="008347B5">
        <w:rPr>
          <w:rFonts w:ascii="Arial" w:hAnsi="Arial" w:cs="Arial"/>
          <w:sz w:val="22"/>
          <w:szCs w:val="22"/>
        </w:rPr>
        <w:t>in order to</w:t>
      </w:r>
      <w:proofErr w:type="gramEnd"/>
      <w:r w:rsidRPr="008347B5">
        <w:rPr>
          <w:rFonts w:ascii="Arial" w:hAnsi="Arial" w:cs="Arial"/>
          <w:sz w:val="22"/>
          <w:szCs w:val="22"/>
        </w:rPr>
        <w:t xml:space="preserve"> improve population health outcomes.</w:t>
      </w:r>
    </w:p>
    <w:p w14:paraId="23DF1310"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The benefits of partnership working include improved communication between services, more efficient use of resources and enhanced continuity of care. Goodwin (2016) argues that integrated care models can help reduce fragmentation within healthcare systems by encouraging organisations to work together.</w:t>
      </w:r>
    </w:p>
    <w:p w14:paraId="3FEB169E" w14:textId="3A50D623"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 xml:space="preserve">However, some researchers highlight challenges associated with partnership working. West and </w:t>
      </w:r>
      <w:proofErr w:type="spellStart"/>
      <w:r w:rsidRPr="008347B5">
        <w:rPr>
          <w:rFonts w:ascii="Arial" w:hAnsi="Arial" w:cs="Arial"/>
          <w:sz w:val="22"/>
          <w:szCs w:val="22"/>
        </w:rPr>
        <w:t>Lyubovnikova</w:t>
      </w:r>
      <w:proofErr w:type="spellEnd"/>
      <w:r w:rsidRPr="008347B5">
        <w:rPr>
          <w:rFonts w:ascii="Arial" w:hAnsi="Arial" w:cs="Arial"/>
          <w:sz w:val="22"/>
          <w:szCs w:val="22"/>
        </w:rPr>
        <w:t xml:space="preserve"> (2013) suggest that healthcare teams often assume collaboration is occurring when</w:t>
      </w:r>
      <w:r w:rsidR="00CC4E95" w:rsidRPr="008347B5">
        <w:rPr>
          <w:rFonts w:ascii="Arial" w:hAnsi="Arial" w:cs="Arial"/>
          <w:sz w:val="22"/>
          <w:szCs w:val="22"/>
        </w:rPr>
        <w:t xml:space="preserve"> (West and </w:t>
      </w:r>
      <w:proofErr w:type="spellStart"/>
      <w:r w:rsidR="00CC4E95" w:rsidRPr="008347B5">
        <w:rPr>
          <w:rFonts w:ascii="Arial" w:hAnsi="Arial" w:cs="Arial"/>
          <w:sz w:val="22"/>
          <w:szCs w:val="22"/>
        </w:rPr>
        <w:t>Lyubovnikova</w:t>
      </w:r>
      <w:proofErr w:type="spellEnd"/>
      <w:r w:rsidR="00CC4E95" w:rsidRPr="008347B5">
        <w:rPr>
          <w:rFonts w:ascii="Arial" w:hAnsi="Arial" w:cs="Arial"/>
          <w:sz w:val="22"/>
          <w:szCs w:val="22"/>
        </w:rPr>
        <w:t>, 2013)</w:t>
      </w:r>
      <w:proofErr w:type="gramStart"/>
      <w:r w:rsidRPr="008347B5">
        <w:rPr>
          <w:rFonts w:ascii="Arial" w:hAnsi="Arial" w:cs="Arial"/>
          <w:sz w:val="22"/>
          <w:szCs w:val="22"/>
        </w:rPr>
        <w:t>, in reality, communication</w:t>
      </w:r>
      <w:proofErr w:type="gramEnd"/>
      <w:r w:rsidRPr="008347B5">
        <w:rPr>
          <w:rFonts w:ascii="Arial" w:hAnsi="Arial" w:cs="Arial"/>
          <w:sz w:val="22"/>
          <w:szCs w:val="22"/>
        </w:rPr>
        <w:t xml:space="preserve"> between professionals may remain limited. Differences in organisational priorities, professional cultures and funding arrangements may also create barriers to effective collaboration.</w:t>
      </w:r>
    </w:p>
    <w:p w14:paraId="38CF8204"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Furthermore, partnership working requires significant organisational change. While integrated care systems aim to improve collaboration, they may also introduce new complexities regarding governance structures and accountability.</w:t>
      </w:r>
    </w:p>
    <w:p w14:paraId="39D16978" w14:textId="77777777"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t>Policy and Legislation</w:t>
      </w:r>
    </w:p>
    <w:p w14:paraId="31C80513"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UK health and social care policy plays a crucial role in supporting PCC and partnership working. The Health and Care Act 2022 introduced major reforms designed to strengthen collaboration between healthcare organisations and establish Integrated Care Systems.</w:t>
      </w:r>
    </w:p>
    <w:p w14:paraId="617773A1" w14:textId="0AADF4DA"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Similarly, the Health and Social Care Act 2012 emphasised patient choice and competition within healthcare services. While the Act aimed to improve efficiency and patient involvement, some critics argue that increased marketisation may have fragmented healthcare services rather than promoting collaboration</w:t>
      </w:r>
      <w:r w:rsidR="00CC4E95" w:rsidRPr="008347B5">
        <w:rPr>
          <w:rFonts w:ascii="Arial" w:hAnsi="Arial" w:cs="Arial"/>
          <w:sz w:val="22"/>
          <w:szCs w:val="22"/>
        </w:rPr>
        <w:t xml:space="preserve"> (Health and Social Care Act, 2012)</w:t>
      </w:r>
      <w:r w:rsidRPr="008347B5">
        <w:rPr>
          <w:rFonts w:ascii="Arial" w:hAnsi="Arial" w:cs="Arial"/>
          <w:sz w:val="22"/>
          <w:szCs w:val="22"/>
        </w:rPr>
        <w:t>.</w:t>
      </w:r>
    </w:p>
    <w:p w14:paraId="3E9BDD80" w14:textId="598F1B11"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The Care Act 2014 also plays an important role in supporting PCC by emphasising the importance of promoting individual wellbeing and involving service users in care planning</w:t>
      </w:r>
      <w:r w:rsidR="00044D8F" w:rsidRPr="008347B5">
        <w:rPr>
          <w:rFonts w:ascii="Arial" w:hAnsi="Arial" w:cs="Arial"/>
          <w:sz w:val="22"/>
          <w:szCs w:val="22"/>
        </w:rPr>
        <w:t xml:space="preserve"> </w:t>
      </w:r>
      <w:r w:rsidR="005C739C" w:rsidRPr="008347B5">
        <w:rPr>
          <w:rFonts w:ascii="Arial" w:hAnsi="Arial" w:cs="Arial"/>
          <w:sz w:val="22"/>
          <w:szCs w:val="22"/>
        </w:rPr>
        <w:t>(</w:t>
      </w:r>
      <w:r w:rsidR="00044D8F" w:rsidRPr="008347B5">
        <w:rPr>
          <w:rFonts w:ascii="Arial" w:hAnsi="Arial" w:cs="Arial"/>
          <w:sz w:val="22"/>
          <w:szCs w:val="22"/>
        </w:rPr>
        <w:t>Care Act</w:t>
      </w:r>
      <w:r w:rsidR="005C739C" w:rsidRPr="008347B5">
        <w:rPr>
          <w:rFonts w:ascii="Arial" w:hAnsi="Arial" w:cs="Arial"/>
          <w:sz w:val="22"/>
          <w:szCs w:val="22"/>
        </w:rPr>
        <w:t>,</w:t>
      </w:r>
      <w:r w:rsidR="00044D8F" w:rsidRPr="008347B5">
        <w:rPr>
          <w:rFonts w:ascii="Arial" w:hAnsi="Arial" w:cs="Arial"/>
          <w:sz w:val="22"/>
          <w:szCs w:val="22"/>
        </w:rPr>
        <w:t xml:space="preserve"> 2014</w:t>
      </w:r>
      <w:r w:rsidR="005C739C" w:rsidRPr="008347B5">
        <w:rPr>
          <w:rFonts w:ascii="Arial" w:hAnsi="Arial" w:cs="Arial"/>
          <w:sz w:val="22"/>
          <w:szCs w:val="22"/>
        </w:rPr>
        <w:t>)</w:t>
      </w:r>
      <w:r w:rsidRPr="008347B5">
        <w:rPr>
          <w:rFonts w:ascii="Arial" w:hAnsi="Arial" w:cs="Arial"/>
          <w:sz w:val="22"/>
          <w:szCs w:val="22"/>
        </w:rPr>
        <w:t>.</w:t>
      </w:r>
    </w:p>
    <w:p w14:paraId="7C8D548F" w14:textId="66B17A96"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Additionally, the Human Rights Act 1998 and the Equality Act 2010 ensure that healthcare services respect human dignity and promote equality</w:t>
      </w:r>
      <w:r w:rsidR="005C739C" w:rsidRPr="008347B5">
        <w:rPr>
          <w:rFonts w:ascii="Arial" w:hAnsi="Arial" w:cs="Arial"/>
          <w:sz w:val="22"/>
          <w:szCs w:val="22"/>
        </w:rPr>
        <w:t xml:space="preserve"> (Human Rights Act, 1998 &amp; Equality Act, 2010)</w:t>
      </w:r>
      <w:r w:rsidRPr="008347B5">
        <w:rPr>
          <w:rFonts w:ascii="Arial" w:hAnsi="Arial" w:cs="Arial"/>
          <w:sz w:val="22"/>
          <w:szCs w:val="22"/>
        </w:rPr>
        <w:t>.</w:t>
      </w:r>
    </w:p>
    <w:p w14:paraId="54F1E2B7" w14:textId="04B7A416" w:rsidR="0091653C" w:rsidRPr="008347B5" w:rsidRDefault="00021496" w:rsidP="008347B5">
      <w:pPr>
        <w:spacing w:line="360" w:lineRule="auto"/>
        <w:rPr>
          <w:rFonts w:ascii="Arial" w:hAnsi="Arial" w:cs="Arial"/>
          <w:sz w:val="22"/>
          <w:szCs w:val="22"/>
        </w:rPr>
      </w:pPr>
      <w:r w:rsidRPr="008347B5">
        <w:rPr>
          <w:rFonts w:ascii="Arial" w:hAnsi="Arial" w:cs="Arial"/>
          <w:sz w:val="22"/>
          <w:szCs w:val="22"/>
        </w:rPr>
        <w:t>Although these policies provide a strong framework for PCC and partnership working, their effectiveness depends on successful implementation at organisational and professional levels.</w:t>
      </w:r>
    </w:p>
    <w:p w14:paraId="141E9B90" w14:textId="77777777" w:rsidR="0091653C" w:rsidRPr="008347B5" w:rsidRDefault="0091653C" w:rsidP="008347B5">
      <w:pPr>
        <w:spacing w:line="360" w:lineRule="auto"/>
        <w:rPr>
          <w:rFonts w:ascii="Arial" w:hAnsi="Arial" w:cs="Arial"/>
          <w:sz w:val="22"/>
          <w:szCs w:val="22"/>
        </w:rPr>
      </w:pPr>
      <w:r w:rsidRPr="008347B5">
        <w:rPr>
          <w:rFonts w:ascii="Arial" w:hAnsi="Arial" w:cs="Arial"/>
          <w:sz w:val="22"/>
          <w:szCs w:val="22"/>
        </w:rPr>
        <w:br w:type="page"/>
      </w:r>
    </w:p>
    <w:p w14:paraId="590522E3" w14:textId="77777777"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lastRenderedPageBreak/>
        <w:t>Recommendations for Future Development</w:t>
      </w:r>
    </w:p>
    <w:p w14:paraId="7E677E95" w14:textId="77777777" w:rsidR="00C571EC" w:rsidRPr="00C571EC" w:rsidRDefault="00C571EC" w:rsidP="008347B5">
      <w:pPr>
        <w:spacing w:line="360" w:lineRule="auto"/>
        <w:rPr>
          <w:rFonts w:ascii="Arial" w:hAnsi="Arial" w:cs="Arial"/>
          <w:sz w:val="22"/>
          <w:szCs w:val="22"/>
        </w:rPr>
      </w:pPr>
      <w:r w:rsidRPr="00C571EC">
        <w:rPr>
          <w:rFonts w:ascii="Arial" w:hAnsi="Arial" w:cs="Arial"/>
          <w:sz w:val="22"/>
          <w:szCs w:val="22"/>
        </w:rPr>
        <w:t>To strengthen the implementation of Person-Centred Care (PCC) and partnership working within the UK healthcare system, recommendations must be grounded in empirical evidence and aligned with current policy developments.</w:t>
      </w:r>
    </w:p>
    <w:p w14:paraId="637025DE" w14:textId="09794636" w:rsidR="00C571EC" w:rsidRPr="00C571EC" w:rsidRDefault="00C571EC" w:rsidP="008347B5">
      <w:pPr>
        <w:spacing w:line="360" w:lineRule="auto"/>
        <w:rPr>
          <w:rFonts w:ascii="Arial" w:hAnsi="Arial" w:cs="Arial"/>
          <w:sz w:val="22"/>
          <w:szCs w:val="22"/>
        </w:rPr>
      </w:pPr>
      <w:r w:rsidRPr="00C571EC">
        <w:rPr>
          <w:rFonts w:ascii="Arial" w:hAnsi="Arial" w:cs="Arial"/>
          <w:sz w:val="22"/>
          <w:szCs w:val="22"/>
        </w:rPr>
        <w:t>Firstly, there is strong evidence that targeted professional training in communication and shared decision-making improves patient outcomes and engagement. A systematic review by Dwamena et al. (2012) found that training healthcare professionals in patient-centred communication enhances patient satisfaction and adherence to treatment</w:t>
      </w:r>
      <w:r w:rsidR="008B5F10" w:rsidRPr="008347B5">
        <w:rPr>
          <w:rFonts w:ascii="Arial" w:hAnsi="Arial" w:cs="Arial"/>
          <w:sz w:val="22"/>
          <w:szCs w:val="22"/>
        </w:rPr>
        <w:t xml:space="preserve"> </w:t>
      </w:r>
      <w:r w:rsidR="00BA2392" w:rsidRPr="008347B5">
        <w:rPr>
          <w:rFonts w:ascii="Arial" w:hAnsi="Arial" w:cs="Arial"/>
          <w:sz w:val="22"/>
          <w:szCs w:val="22"/>
        </w:rPr>
        <w:t>(</w:t>
      </w:r>
      <w:r w:rsidR="008B5F10" w:rsidRPr="00C571EC">
        <w:rPr>
          <w:rFonts w:ascii="Arial" w:hAnsi="Arial" w:cs="Arial"/>
          <w:sz w:val="22"/>
          <w:szCs w:val="22"/>
        </w:rPr>
        <w:t>Dwamena et al</w:t>
      </w:r>
      <w:r w:rsidR="00BA2392" w:rsidRPr="008347B5">
        <w:rPr>
          <w:rFonts w:ascii="Arial" w:hAnsi="Arial" w:cs="Arial"/>
          <w:sz w:val="22"/>
          <w:szCs w:val="22"/>
        </w:rPr>
        <w:t xml:space="preserve">, </w:t>
      </w:r>
      <w:r w:rsidR="008B5F10" w:rsidRPr="00C571EC">
        <w:rPr>
          <w:rFonts w:ascii="Arial" w:hAnsi="Arial" w:cs="Arial"/>
          <w:sz w:val="22"/>
          <w:szCs w:val="22"/>
        </w:rPr>
        <w:t>2012)</w:t>
      </w:r>
      <w:r w:rsidRPr="00C571EC">
        <w:rPr>
          <w:rFonts w:ascii="Arial" w:hAnsi="Arial" w:cs="Arial"/>
          <w:sz w:val="22"/>
          <w:szCs w:val="22"/>
        </w:rPr>
        <w:t>. Similarly, Barry and Edgman-Levitan (2012) argue that shared decision-making is a core component of PCC and should be embedded within clinical practice</w:t>
      </w:r>
      <w:r w:rsidR="008B5F10" w:rsidRPr="008347B5">
        <w:rPr>
          <w:rFonts w:ascii="Arial" w:hAnsi="Arial" w:cs="Arial"/>
          <w:sz w:val="22"/>
          <w:szCs w:val="22"/>
        </w:rPr>
        <w:t xml:space="preserve"> (</w:t>
      </w:r>
      <w:r w:rsidR="008B5F10" w:rsidRPr="00C571EC">
        <w:rPr>
          <w:rFonts w:ascii="Arial" w:hAnsi="Arial" w:cs="Arial"/>
          <w:sz w:val="22"/>
          <w:szCs w:val="22"/>
        </w:rPr>
        <w:t>Barry and Edgman-Levitan</w:t>
      </w:r>
      <w:r w:rsidR="008B5F10" w:rsidRPr="008347B5">
        <w:rPr>
          <w:rFonts w:ascii="Arial" w:hAnsi="Arial" w:cs="Arial"/>
          <w:sz w:val="22"/>
          <w:szCs w:val="22"/>
        </w:rPr>
        <w:t xml:space="preserve">, </w:t>
      </w:r>
      <w:r w:rsidR="008B5F10" w:rsidRPr="00C571EC">
        <w:rPr>
          <w:rFonts w:ascii="Arial" w:hAnsi="Arial" w:cs="Arial"/>
          <w:sz w:val="22"/>
          <w:szCs w:val="22"/>
        </w:rPr>
        <w:t>2012)</w:t>
      </w:r>
      <w:r w:rsidRPr="00C571EC">
        <w:rPr>
          <w:rFonts w:ascii="Arial" w:hAnsi="Arial" w:cs="Arial"/>
          <w:sz w:val="22"/>
          <w:szCs w:val="22"/>
        </w:rPr>
        <w:t>. Therefore, healthcare organisations should implement structured professional development programmes focused on communication skills and collaborative working across multidisciplinary teams.</w:t>
      </w:r>
    </w:p>
    <w:p w14:paraId="6069ACB5" w14:textId="1909E08A" w:rsidR="00C571EC" w:rsidRPr="00C571EC" w:rsidRDefault="00C571EC" w:rsidP="008347B5">
      <w:pPr>
        <w:spacing w:line="360" w:lineRule="auto"/>
        <w:rPr>
          <w:rFonts w:ascii="Arial" w:hAnsi="Arial" w:cs="Arial"/>
          <w:sz w:val="22"/>
          <w:szCs w:val="22"/>
        </w:rPr>
      </w:pPr>
      <w:r w:rsidRPr="00C571EC">
        <w:rPr>
          <w:rFonts w:ascii="Arial" w:hAnsi="Arial" w:cs="Arial"/>
          <w:sz w:val="22"/>
          <w:szCs w:val="22"/>
        </w:rPr>
        <w:t>Secondly, investment in digital health technologies is essential to support effective partnership working. Integrated digital care records improve coordination and reduce fragmentation of care (Goodwin, 2016). NHS England (2019) highlights that digital integration enables real-time information sharing between professionals, supporting coordinated and person-centred care</w:t>
      </w:r>
      <w:r w:rsidR="008B5F10" w:rsidRPr="008347B5">
        <w:rPr>
          <w:rFonts w:ascii="Arial" w:hAnsi="Arial" w:cs="Arial"/>
          <w:sz w:val="22"/>
          <w:szCs w:val="22"/>
        </w:rPr>
        <w:t xml:space="preserve"> (</w:t>
      </w:r>
      <w:r w:rsidR="008B5F10" w:rsidRPr="00C571EC">
        <w:rPr>
          <w:rFonts w:ascii="Arial" w:hAnsi="Arial" w:cs="Arial"/>
          <w:sz w:val="22"/>
          <w:szCs w:val="22"/>
        </w:rPr>
        <w:t>NHS England</w:t>
      </w:r>
      <w:r w:rsidR="008B5F10" w:rsidRPr="008347B5">
        <w:rPr>
          <w:rFonts w:ascii="Arial" w:hAnsi="Arial" w:cs="Arial"/>
          <w:sz w:val="22"/>
          <w:szCs w:val="22"/>
        </w:rPr>
        <w:t xml:space="preserve">, </w:t>
      </w:r>
      <w:r w:rsidR="008B5F10" w:rsidRPr="00C571EC">
        <w:rPr>
          <w:rFonts w:ascii="Arial" w:hAnsi="Arial" w:cs="Arial"/>
          <w:sz w:val="22"/>
          <w:szCs w:val="22"/>
        </w:rPr>
        <w:t>2019)</w:t>
      </w:r>
      <w:r w:rsidRPr="00C571EC">
        <w:rPr>
          <w:rFonts w:ascii="Arial" w:hAnsi="Arial" w:cs="Arial"/>
          <w:sz w:val="22"/>
          <w:szCs w:val="22"/>
        </w:rPr>
        <w:t>. However, digital transformation must be supported by staff training and robust data governance. Policymakers should therefore prioritise interoperable systems across health and social care sectors.</w:t>
      </w:r>
    </w:p>
    <w:p w14:paraId="51138DA5" w14:textId="79906876" w:rsidR="00C571EC" w:rsidRPr="00C571EC" w:rsidRDefault="00C571EC" w:rsidP="008347B5">
      <w:pPr>
        <w:spacing w:line="360" w:lineRule="auto"/>
        <w:rPr>
          <w:rFonts w:ascii="Arial" w:hAnsi="Arial" w:cs="Arial"/>
          <w:sz w:val="22"/>
          <w:szCs w:val="22"/>
        </w:rPr>
      </w:pPr>
      <w:r w:rsidRPr="00C571EC">
        <w:rPr>
          <w:rFonts w:ascii="Arial" w:hAnsi="Arial" w:cs="Arial"/>
          <w:sz w:val="22"/>
          <w:szCs w:val="22"/>
        </w:rPr>
        <w:t xml:space="preserve">Thirdly, meaningful involvement of patients and communities is essential for achieving genuine PCC. </w:t>
      </w:r>
      <w:proofErr w:type="spellStart"/>
      <w:r w:rsidRPr="00C571EC">
        <w:rPr>
          <w:rFonts w:ascii="Arial" w:hAnsi="Arial" w:cs="Arial"/>
          <w:sz w:val="22"/>
          <w:szCs w:val="22"/>
        </w:rPr>
        <w:t>Ocloo</w:t>
      </w:r>
      <w:proofErr w:type="spellEnd"/>
      <w:r w:rsidRPr="00C571EC">
        <w:rPr>
          <w:rFonts w:ascii="Arial" w:hAnsi="Arial" w:cs="Arial"/>
          <w:sz w:val="22"/>
          <w:szCs w:val="22"/>
        </w:rPr>
        <w:t xml:space="preserve"> and Matthews (2016) argue that patient involvement can be tokenistic unless service users have real influence</w:t>
      </w:r>
      <w:r w:rsidR="008B5F10" w:rsidRPr="008347B5">
        <w:rPr>
          <w:rFonts w:ascii="Arial" w:hAnsi="Arial" w:cs="Arial"/>
          <w:sz w:val="22"/>
          <w:szCs w:val="22"/>
        </w:rPr>
        <w:t xml:space="preserve"> (</w:t>
      </w:r>
      <w:proofErr w:type="spellStart"/>
      <w:r w:rsidR="008B5F10" w:rsidRPr="00C571EC">
        <w:rPr>
          <w:rFonts w:ascii="Arial" w:hAnsi="Arial" w:cs="Arial"/>
          <w:sz w:val="22"/>
          <w:szCs w:val="22"/>
        </w:rPr>
        <w:t>Ocloo</w:t>
      </w:r>
      <w:proofErr w:type="spellEnd"/>
      <w:r w:rsidR="008B5F10" w:rsidRPr="00C571EC">
        <w:rPr>
          <w:rFonts w:ascii="Arial" w:hAnsi="Arial" w:cs="Arial"/>
          <w:sz w:val="22"/>
          <w:szCs w:val="22"/>
        </w:rPr>
        <w:t xml:space="preserve"> and Matthews</w:t>
      </w:r>
      <w:r w:rsidR="008B5F10" w:rsidRPr="008347B5">
        <w:rPr>
          <w:rFonts w:ascii="Arial" w:hAnsi="Arial" w:cs="Arial"/>
          <w:sz w:val="22"/>
          <w:szCs w:val="22"/>
        </w:rPr>
        <w:t xml:space="preserve">, </w:t>
      </w:r>
      <w:r w:rsidR="008B5F10" w:rsidRPr="00C571EC">
        <w:rPr>
          <w:rFonts w:ascii="Arial" w:hAnsi="Arial" w:cs="Arial"/>
          <w:sz w:val="22"/>
          <w:szCs w:val="22"/>
        </w:rPr>
        <w:t>2016)</w:t>
      </w:r>
      <w:r w:rsidRPr="00C571EC">
        <w:rPr>
          <w:rFonts w:ascii="Arial" w:hAnsi="Arial" w:cs="Arial"/>
          <w:sz w:val="22"/>
          <w:szCs w:val="22"/>
        </w:rPr>
        <w:t>. The Health Foundation (2016) further emphasises that co-production can improve service quality and patient satisfaction</w:t>
      </w:r>
      <w:r w:rsidR="008B5F10" w:rsidRPr="008347B5">
        <w:rPr>
          <w:rFonts w:ascii="Arial" w:hAnsi="Arial" w:cs="Arial"/>
          <w:sz w:val="22"/>
          <w:szCs w:val="22"/>
        </w:rPr>
        <w:t xml:space="preserve"> (</w:t>
      </w:r>
      <w:r w:rsidR="008B5F10" w:rsidRPr="00C571EC">
        <w:rPr>
          <w:rFonts w:ascii="Arial" w:hAnsi="Arial" w:cs="Arial"/>
          <w:sz w:val="22"/>
          <w:szCs w:val="22"/>
        </w:rPr>
        <w:t>Health Foundation</w:t>
      </w:r>
      <w:r w:rsidR="008B5F10" w:rsidRPr="008347B5">
        <w:rPr>
          <w:rFonts w:ascii="Arial" w:hAnsi="Arial" w:cs="Arial"/>
          <w:sz w:val="22"/>
          <w:szCs w:val="22"/>
        </w:rPr>
        <w:t xml:space="preserve">, </w:t>
      </w:r>
      <w:r w:rsidR="008B5F10" w:rsidRPr="00C571EC">
        <w:rPr>
          <w:rFonts w:ascii="Arial" w:hAnsi="Arial" w:cs="Arial"/>
          <w:sz w:val="22"/>
          <w:szCs w:val="22"/>
        </w:rPr>
        <w:t>2016)</w:t>
      </w:r>
      <w:r w:rsidRPr="00C571EC">
        <w:rPr>
          <w:rFonts w:ascii="Arial" w:hAnsi="Arial" w:cs="Arial"/>
          <w:sz w:val="22"/>
          <w:szCs w:val="22"/>
        </w:rPr>
        <w:t>. Healthcare organisations should therefore adopt co-production models rather than relying on passive feedback mechanisms.</w:t>
      </w:r>
    </w:p>
    <w:p w14:paraId="762DD060" w14:textId="02579BCD" w:rsidR="00C571EC" w:rsidRPr="00C571EC" w:rsidRDefault="00C571EC" w:rsidP="008347B5">
      <w:pPr>
        <w:spacing w:line="360" w:lineRule="auto"/>
        <w:rPr>
          <w:rFonts w:ascii="Arial" w:hAnsi="Arial" w:cs="Arial"/>
          <w:sz w:val="22"/>
          <w:szCs w:val="22"/>
        </w:rPr>
      </w:pPr>
      <w:r w:rsidRPr="00C571EC">
        <w:rPr>
          <w:rFonts w:ascii="Arial" w:hAnsi="Arial" w:cs="Arial"/>
          <w:sz w:val="22"/>
          <w:szCs w:val="22"/>
        </w:rPr>
        <w:t>Finally, while policy initiatives such as Integrated Care Systems (ICS) aim to improve collaboration, their effectiveness depends on leadership and governance. Goodwin (2016) highlights that integrated care requires both structural reform and cultural change</w:t>
      </w:r>
      <w:r w:rsidR="008B5F10" w:rsidRPr="008347B5">
        <w:rPr>
          <w:rFonts w:ascii="Arial" w:hAnsi="Arial" w:cs="Arial"/>
          <w:sz w:val="22"/>
          <w:szCs w:val="22"/>
        </w:rPr>
        <w:t xml:space="preserve"> (</w:t>
      </w:r>
      <w:r w:rsidR="008B5F10" w:rsidRPr="00C571EC">
        <w:rPr>
          <w:rFonts w:ascii="Arial" w:hAnsi="Arial" w:cs="Arial"/>
          <w:sz w:val="22"/>
          <w:szCs w:val="22"/>
        </w:rPr>
        <w:t>Goodwin</w:t>
      </w:r>
      <w:r w:rsidR="008B5F10" w:rsidRPr="008347B5">
        <w:rPr>
          <w:rFonts w:ascii="Arial" w:hAnsi="Arial" w:cs="Arial"/>
          <w:sz w:val="22"/>
          <w:szCs w:val="22"/>
        </w:rPr>
        <w:t xml:space="preserve">, </w:t>
      </w:r>
      <w:r w:rsidR="008B5F10" w:rsidRPr="00C571EC">
        <w:rPr>
          <w:rFonts w:ascii="Arial" w:hAnsi="Arial" w:cs="Arial"/>
          <w:sz w:val="22"/>
          <w:szCs w:val="22"/>
        </w:rPr>
        <w:t>2016)</w:t>
      </w:r>
      <w:r w:rsidRPr="00C571EC">
        <w:rPr>
          <w:rFonts w:ascii="Arial" w:hAnsi="Arial" w:cs="Arial"/>
          <w:sz w:val="22"/>
          <w:szCs w:val="22"/>
        </w:rPr>
        <w:t xml:space="preserve">. The Health and Care Act 2022 </w:t>
      </w:r>
      <w:proofErr w:type="gramStart"/>
      <w:r w:rsidRPr="00C571EC">
        <w:rPr>
          <w:rFonts w:ascii="Arial" w:hAnsi="Arial" w:cs="Arial"/>
          <w:sz w:val="22"/>
          <w:szCs w:val="22"/>
        </w:rPr>
        <w:t>provides</w:t>
      </w:r>
      <w:proofErr w:type="gramEnd"/>
      <w:r w:rsidRPr="00C571EC">
        <w:rPr>
          <w:rFonts w:ascii="Arial" w:hAnsi="Arial" w:cs="Arial"/>
          <w:sz w:val="22"/>
          <w:szCs w:val="22"/>
        </w:rPr>
        <w:t xml:space="preserve"> a framework; however, its success depends on local implementation. Policymakers should prioritise leadership development, role clarity and adequate resource allocation.</w:t>
      </w:r>
    </w:p>
    <w:p w14:paraId="569FE01F" w14:textId="77777777" w:rsidR="00C571EC" w:rsidRPr="00C571EC" w:rsidRDefault="00C571EC" w:rsidP="008347B5">
      <w:pPr>
        <w:spacing w:line="360" w:lineRule="auto"/>
        <w:rPr>
          <w:rFonts w:ascii="Arial" w:hAnsi="Arial" w:cs="Arial"/>
          <w:sz w:val="22"/>
          <w:szCs w:val="22"/>
        </w:rPr>
      </w:pPr>
      <w:r w:rsidRPr="00C571EC">
        <w:rPr>
          <w:rFonts w:ascii="Arial" w:hAnsi="Arial" w:cs="Arial"/>
          <w:sz w:val="22"/>
          <w:szCs w:val="22"/>
        </w:rPr>
        <w:lastRenderedPageBreak/>
        <w:t>Overall, improving PCC and partnership working requires coordinated investment in workforce development, digital systems, patient involvement and effective policy implementation.</w:t>
      </w:r>
    </w:p>
    <w:p w14:paraId="17CFC8BF" w14:textId="77777777" w:rsidR="00021496" w:rsidRPr="008347B5" w:rsidRDefault="00021496" w:rsidP="008347B5">
      <w:pPr>
        <w:spacing w:line="360" w:lineRule="auto"/>
        <w:rPr>
          <w:rFonts w:ascii="Arial" w:hAnsi="Arial" w:cs="Arial"/>
          <w:b/>
          <w:bCs/>
          <w:sz w:val="22"/>
          <w:szCs w:val="22"/>
        </w:rPr>
      </w:pPr>
      <w:r w:rsidRPr="008347B5">
        <w:rPr>
          <w:rFonts w:ascii="Arial" w:hAnsi="Arial" w:cs="Arial"/>
          <w:b/>
          <w:bCs/>
          <w:sz w:val="22"/>
          <w:szCs w:val="22"/>
        </w:rPr>
        <w:t>Conclusion</w:t>
      </w:r>
    </w:p>
    <w:p w14:paraId="19550E46"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Person-Centred Care and Partnership Working are central to the delivery of effective health and social care services within the UK. PCC emphasises respect for individual preferences and encourages patients to participate actively in decisions about their care, while partnership working promotes collaboration between professionals and organisations.</w:t>
      </w:r>
    </w:p>
    <w:p w14:paraId="6F114076" w14:textId="1C87C0B3"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Although these approaches offer significant benefits, challenges remain in relation to resource limitations, organisational structures and communication barriers. Policies such as the Health and Care Act 2022 and the Care Act 2014 provide important frameworks for supporting PCC and partnership working, but successful implementation requires organisational commitment and professional collaboration</w:t>
      </w:r>
      <w:r w:rsidR="00C95A7D" w:rsidRPr="008347B5">
        <w:rPr>
          <w:rFonts w:ascii="Arial" w:hAnsi="Arial" w:cs="Arial"/>
          <w:sz w:val="22"/>
          <w:szCs w:val="22"/>
        </w:rPr>
        <w:t xml:space="preserve"> (Health and Care Act, 2022 &amp; Care Act, 2014)</w:t>
      </w:r>
      <w:r w:rsidRPr="008347B5">
        <w:rPr>
          <w:rFonts w:ascii="Arial" w:hAnsi="Arial" w:cs="Arial"/>
          <w:sz w:val="22"/>
          <w:szCs w:val="22"/>
        </w:rPr>
        <w:t>.</w:t>
      </w:r>
    </w:p>
    <w:p w14:paraId="03E2CF14" w14:textId="77777777" w:rsidR="00021496" w:rsidRPr="008347B5" w:rsidRDefault="00021496" w:rsidP="008347B5">
      <w:pPr>
        <w:spacing w:line="360" w:lineRule="auto"/>
        <w:rPr>
          <w:rFonts w:ascii="Arial" w:hAnsi="Arial" w:cs="Arial"/>
          <w:sz w:val="22"/>
          <w:szCs w:val="22"/>
        </w:rPr>
      </w:pPr>
      <w:r w:rsidRPr="008347B5">
        <w:rPr>
          <w:rFonts w:ascii="Arial" w:hAnsi="Arial" w:cs="Arial"/>
          <w:sz w:val="22"/>
          <w:szCs w:val="22"/>
        </w:rPr>
        <w:t xml:space="preserve">Strengthening these approaches will require continued investment in training, technology and integrated care systems </w:t>
      </w:r>
      <w:proofErr w:type="gramStart"/>
      <w:r w:rsidRPr="008347B5">
        <w:rPr>
          <w:rFonts w:ascii="Arial" w:hAnsi="Arial" w:cs="Arial"/>
          <w:sz w:val="22"/>
          <w:szCs w:val="22"/>
        </w:rPr>
        <w:t>in order to</w:t>
      </w:r>
      <w:proofErr w:type="gramEnd"/>
      <w:r w:rsidRPr="008347B5">
        <w:rPr>
          <w:rFonts w:ascii="Arial" w:hAnsi="Arial" w:cs="Arial"/>
          <w:sz w:val="22"/>
          <w:szCs w:val="22"/>
        </w:rPr>
        <w:t xml:space="preserve"> ensure that healthcare services remain responsive to the needs of individuals and communities.</w:t>
      </w:r>
    </w:p>
    <w:p w14:paraId="5D89A5A8" w14:textId="304BE859" w:rsidR="00021496" w:rsidRPr="008347B5" w:rsidRDefault="00021496" w:rsidP="008347B5">
      <w:pPr>
        <w:spacing w:line="360" w:lineRule="auto"/>
        <w:rPr>
          <w:rFonts w:ascii="Arial" w:hAnsi="Arial" w:cs="Arial"/>
          <w:sz w:val="22"/>
          <w:szCs w:val="22"/>
        </w:rPr>
      </w:pPr>
    </w:p>
    <w:p w14:paraId="63F708E6" w14:textId="34256C66" w:rsidR="00BC66BF" w:rsidRPr="008347B5" w:rsidRDefault="00BC66BF" w:rsidP="008347B5">
      <w:pPr>
        <w:spacing w:line="360" w:lineRule="auto"/>
        <w:rPr>
          <w:rFonts w:ascii="Arial" w:hAnsi="Arial" w:cs="Arial"/>
          <w:sz w:val="22"/>
          <w:szCs w:val="22"/>
        </w:rPr>
      </w:pPr>
      <w:r w:rsidRPr="008347B5">
        <w:rPr>
          <w:rFonts w:ascii="Arial" w:hAnsi="Arial" w:cs="Arial"/>
          <w:sz w:val="22"/>
          <w:szCs w:val="22"/>
        </w:rPr>
        <w:br w:type="page"/>
      </w:r>
    </w:p>
    <w:p w14:paraId="6E1794E8" w14:textId="77777777" w:rsidR="0025211D" w:rsidRPr="008347B5" w:rsidRDefault="0025211D" w:rsidP="008347B5">
      <w:pPr>
        <w:spacing w:line="360" w:lineRule="auto"/>
        <w:rPr>
          <w:rFonts w:ascii="Arial" w:hAnsi="Arial" w:cs="Arial"/>
          <w:b/>
          <w:bCs/>
          <w:sz w:val="22"/>
          <w:szCs w:val="22"/>
        </w:rPr>
      </w:pPr>
      <w:r w:rsidRPr="008347B5">
        <w:rPr>
          <w:rFonts w:ascii="Arial" w:hAnsi="Arial" w:cs="Arial"/>
          <w:b/>
          <w:bCs/>
          <w:sz w:val="22"/>
          <w:szCs w:val="22"/>
        </w:rPr>
        <w:lastRenderedPageBreak/>
        <w:t>Reference List</w:t>
      </w:r>
    </w:p>
    <w:p w14:paraId="3C1E447E"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Barry, M.J. and Edgman-Levitan, S. (2012) ‘Shared decision making — The pinnacle of patient-</w:t>
      </w:r>
      <w:proofErr w:type="spellStart"/>
      <w:r w:rsidRPr="008347B5">
        <w:rPr>
          <w:rFonts w:ascii="Arial" w:hAnsi="Arial" w:cs="Arial"/>
          <w:sz w:val="22"/>
          <w:szCs w:val="22"/>
        </w:rPr>
        <w:t>centered</w:t>
      </w:r>
      <w:proofErr w:type="spellEnd"/>
      <w:r w:rsidRPr="008347B5">
        <w:rPr>
          <w:rFonts w:ascii="Arial" w:hAnsi="Arial" w:cs="Arial"/>
          <w:sz w:val="22"/>
          <w:szCs w:val="22"/>
        </w:rPr>
        <w:t xml:space="preserve"> care’, New England Journal of Medicine, 366(9), pp.780–781. Available at: https://www.nejm.org/doi/full/10.1056/NEJMp1109283 (Accessed: 12 March 2026).</w:t>
      </w:r>
    </w:p>
    <w:p w14:paraId="70367CCC"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 xml:space="preserve">Beauchamp, T. and Childress, J. (2019) Principles of Biomedical Ethics. 8th </w:t>
      </w:r>
      <w:proofErr w:type="spellStart"/>
      <w:r w:rsidRPr="008347B5">
        <w:rPr>
          <w:rFonts w:ascii="Arial" w:hAnsi="Arial" w:cs="Arial"/>
          <w:sz w:val="22"/>
          <w:szCs w:val="22"/>
        </w:rPr>
        <w:t>edn</w:t>
      </w:r>
      <w:proofErr w:type="spellEnd"/>
      <w:r w:rsidRPr="008347B5">
        <w:rPr>
          <w:rFonts w:ascii="Arial" w:hAnsi="Arial" w:cs="Arial"/>
          <w:sz w:val="22"/>
          <w:szCs w:val="22"/>
        </w:rPr>
        <w:t>. Oxford: Oxford University Press.</w:t>
      </w:r>
    </w:p>
    <w:p w14:paraId="755E94F1"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Coulter, A. and Oldham, J. (2016) ‘Person-centred care: what is it and how do we get there?’, Future Hospital Journal, 3(2), pp.114–116. Available at: https://www.rcpjournals.org/content/futurehosp/3/2/114 (Accessed: 12 March 2026).</w:t>
      </w:r>
    </w:p>
    <w:p w14:paraId="4884E50D"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Department of Health and Social Care (n.d.) Department of Health and Social Care. Available at: https://www.gov.uk/government/organisations/department-of-health-and-social-care (Accessed: 12 March 2026).</w:t>
      </w:r>
    </w:p>
    <w:p w14:paraId="2D53F52C"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Dwamena, F., Holmes-Rovner, M., Gaulden, C.M., Jorgenson, S., Sadigh, G., Sikorskii, A., Lewin, S., Smith, R.C., Coffey, J. and Olomu, A. (2012) ‘Interventions for providers to promote a patient-centred approach in clinical consultations’, Cochrane Database of Systematic Reviews, Issue 12. Available at: https://www.cochranelibrary.com (Accessed: 12 March 2026).</w:t>
      </w:r>
    </w:p>
    <w:p w14:paraId="08F15D79"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Engel, G. (1977) ‘The need for a new medical model: A challenge for biomedicine’, Science, 196(4286), pp.129–136. Available at: https://science.sciencemag.org/content/196/4286/129 (Accessed: 12 March 2026).</w:t>
      </w:r>
    </w:p>
    <w:p w14:paraId="2E9B9F2F"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Epstein, R. and Street, R. (2011) ‘The values and value of patient-centred care’, Annals of Family Medicine, 9(2), pp.100–103. Available at: https://www.annfammed.org/content/9/2/100 (Accessed: 12 March 2026).</w:t>
      </w:r>
    </w:p>
    <w:p w14:paraId="233698B4"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Glasby, J. and Dickinson, H. (2014) Partnership Working in Health and Social Care. Bristol: Policy Press.</w:t>
      </w:r>
    </w:p>
    <w:p w14:paraId="008D07F0"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Goodwin, N. (2016) ‘Understanding integrated care’, International Journal of Integrated Care, 16(4), pp.1–4. Available at: https://www.ijic.org/articles/10.5334/ijic.2530 (Accessed: 12 March 2026).</w:t>
      </w:r>
    </w:p>
    <w:p w14:paraId="3D762DCC"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Health Foundation (2016) Person-Centred Care Made Simple. London: The Health Foundation. Available at: https://www.health.org.uk/publications/person-centred-care-made-simple (Accessed: 12 March 2026).</w:t>
      </w:r>
    </w:p>
    <w:p w14:paraId="79C7BA02"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lastRenderedPageBreak/>
        <w:t>Morgan, S. and Yoder, L. (2012) ‘A concept analysis of person-centred care’, Journal of Holistic Nursing, 30(1), pp.6–15. Available at: https://journals.sagepub.com/doi/10.1177/0898010111412189 (Accessed: 12 March 2026).</w:t>
      </w:r>
    </w:p>
    <w:p w14:paraId="7E37CE4B"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NHS England (2019) Universal Personalised Care: Implementing the Comprehensive Model. Available at: https://www.england.nhs.uk/publication/universal-personalised-care (Accessed: 12 March 2026).</w:t>
      </w:r>
    </w:p>
    <w:p w14:paraId="3DF1FEEB" w14:textId="77777777" w:rsidR="00B2409C" w:rsidRPr="008347B5" w:rsidRDefault="00B2409C" w:rsidP="008347B5">
      <w:pPr>
        <w:spacing w:line="360" w:lineRule="auto"/>
        <w:rPr>
          <w:rFonts w:ascii="Arial" w:hAnsi="Arial" w:cs="Arial"/>
          <w:sz w:val="22"/>
          <w:szCs w:val="22"/>
        </w:rPr>
      </w:pPr>
      <w:proofErr w:type="spellStart"/>
      <w:r w:rsidRPr="008347B5">
        <w:rPr>
          <w:rFonts w:ascii="Arial" w:hAnsi="Arial" w:cs="Arial"/>
          <w:sz w:val="22"/>
          <w:szCs w:val="22"/>
        </w:rPr>
        <w:t>Ocloo</w:t>
      </w:r>
      <w:proofErr w:type="spellEnd"/>
      <w:r w:rsidRPr="008347B5">
        <w:rPr>
          <w:rFonts w:ascii="Arial" w:hAnsi="Arial" w:cs="Arial"/>
          <w:sz w:val="22"/>
          <w:szCs w:val="22"/>
        </w:rPr>
        <w:t>, J. and Matthews, R. (2016) ‘From tokenism to empowerment: Patient and public involvement in healthcare improvement’, BMJ Quality &amp; Safety, 25(8), pp.626–632. Available at: https://qualitysafety.bmj.com/content/25/8/626 (Accessed: 12 March 2026).</w:t>
      </w:r>
    </w:p>
    <w:p w14:paraId="07CD57F7" w14:textId="77777777"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Rogers, C. (1951) Client-</w:t>
      </w:r>
      <w:proofErr w:type="spellStart"/>
      <w:r w:rsidRPr="008347B5">
        <w:rPr>
          <w:rFonts w:ascii="Arial" w:hAnsi="Arial" w:cs="Arial"/>
          <w:sz w:val="22"/>
          <w:szCs w:val="22"/>
        </w:rPr>
        <w:t>Centered</w:t>
      </w:r>
      <w:proofErr w:type="spellEnd"/>
      <w:r w:rsidRPr="008347B5">
        <w:rPr>
          <w:rFonts w:ascii="Arial" w:hAnsi="Arial" w:cs="Arial"/>
          <w:sz w:val="22"/>
          <w:szCs w:val="22"/>
        </w:rPr>
        <w:t xml:space="preserve"> Therapy. Boston: Houghton Mifflin.</w:t>
      </w:r>
    </w:p>
    <w:p w14:paraId="6C57FA4D" w14:textId="6BB442FE" w:rsidR="00B2409C" w:rsidRPr="008347B5" w:rsidRDefault="00B2409C" w:rsidP="008347B5">
      <w:pPr>
        <w:spacing w:line="360" w:lineRule="auto"/>
        <w:rPr>
          <w:rFonts w:ascii="Arial" w:hAnsi="Arial" w:cs="Arial"/>
          <w:sz w:val="22"/>
          <w:szCs w:val="22"/>
        </w:rPr>
      </w:pPr>
      <w:r w:rsidRPr="008347B5">
        <w:rPr>
          <w:rFonts w:ascii="Arial" w:hAnsi="Arial" w:cs="Arial"/>
          <w:sz w:val="22"/>
          <w:szCs w:val="22"/>
        </w:rPr>
        <w:t>West, M. and Lyubovnikova, J. (2013) ‘Illusions of team working in healthcare’, Journal of Health Organization and Management, 27(1), pp.134–142. Available at: https://www.emerald.com/insight/content/doi/10.1108/14777261311311843 (Accessed: 12 March 2026).</w:t>
      </w:r>
    </w:p>
    <w:p w14:paraId="51F9806D" w14:textId="77777777" w:rsidR="009948EB" w:rsidRPr="008347B5" w:rsidRDefault="009948EB" w:rsidP="008347B5">
      <w:pPr>
        <w:spacing w:line="360" w:lineRule="auto"/>
        <w:rPr>
          <w:rFonts w:ascii="Arial" w:hAnsi="Arial" w:cs="Arial"/>
          <w:sz w:val="22"/>
          <w:szCs w:val="22"/>
        </w:rPr>
      </w:pPr>
    </w:p>
    <w:sectPr w:rsidR="009948EB" w:rsidRPr="008347B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6FB1A" w14:textId="77777777" w:rsidR="00154FBE" w:rsidRDefault="00154FBE" w:rsidP="00E80386">
      <w:pPr>
        <w:spacing w:after="0" w:line="240" w:lineRule="auto"/>
      </w:pPr>
      <w:r>
        <w:separator/>
      </w:r>
    </w:p>
  </w:endnote>
  <w:endnote w:type="continuationSeparator" w:id="0">
    <w:p w14:paraId="49FF7856" w14:textId="77777777" w:rsidR="00154FBE" w:rsidRDefault="00154FBE" w:rsidP="00E803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625675"/>
      <w:docPartObj>
        <w:docPartGallery w:val="Page Numbers (Bottom of Page)"/>
        <w:docPartUnique/>
      </w:docPartObj>
    </w:sdtPr>
    <w:sdtEndPr>
      <w:rPr>
        <w:noProof/>
      </w:rPr>
    </w:sdtEndPr>
    <w:sdtContent>
      <w:p w14:paraId="1DDE4B56" w14:textId="4501ACA1" w:rsidR="00E80386" w:rsidRDefault="00E803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107C62" w14:textId="77777777" w:rsidR="00E80386" w:rsidRDefault="00E80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AF1F5" w14:textId="77777777" w:rsidR="00154FBE" w:rsidRDefault="00154FBE" w:rsidP="00E80386">
      <w:pPr>
        <w:spacing w:after="0" w:line="240" w:lineRule="auto"/>
      </w:pPr>
      <w:r>
        <w:separator/>
      </w:r>
    </w:p>
  </w:footnote>
  <w:footnote w:type="continuationSeparator" w:id="0">
    <w:p w14:paraId="6C6EA485" w14:textId="77777777" w:rsidR="00154FBE" w:rsidRDefault="00154FBE" w:rsidP="00E803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16191" w14:textId="1A194C14" w:rsidR="00BD7249" w:rsidRDefault="00BD7249">
    <w:pPr>
      <w:pStyle w:val="Header"/>
    </w:pPr>
    <w:r>
      <w:t>Foqia Farooq</w:t>
    </w:r>
  </w:p>
  <w:p w14:paraId="198EBCB2" w14:textId="77777777" w:rsidR="00BD7249" w:rsidRDefault="00BD72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133707"/>
    <w:multiLevelType w:val="hybridMultilevel"/>
    <w:tmpl w:val="B1C44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047A84"/>
    <w:multiLevelType w:val="hybridMultilevel"/>
    <w:tmpl w:val="C246A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5691583">
    <w:abstractNumId w:val="0"/>
  </w:num>
  <w:num w:numId="2" w16cid:durableId="2003969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8EB"/>
    <w:rsid w:val="000072F3"/>
    <w:rsid w:val="00021496"/>
    <w:rsid w:val="00033897"/>
    <w:rsid w:val="000444D8"/>
    <w:rsid w:val="00044D8F"/>
    <w:rsid w:val="00050422"/>
    <w:rsid w:val="000610EC"/>
    <w:rsid w:val="00075D0B"/>
    <w:rsid w:val="00132D7F"/>
    <w:rsid w:val="00154FBE"/>
    <w:rsid w:val="00155820"/>
    <w:rsid w:val="001A4E2D"/>
    <w:rsid w:val="001D7BE6"/>
    <w:rsid w:val="0025211D"/>
    <w:rsid w:val="002E650F"/>
    <w:rsid w:val="002F22B7"/>
    <w:rsid w:val="00376542"/>
    <w:rsid w:val="00431924"/>
    <w:rsid w:val="004D56C8"/>
    <w:rsid w:val="00514C42"/>
    <w:rsid w:val="005C739C"/>
    <w:rsid w:val="005D3838"/>
    <w:rsid w:val="005E77FB"/>
    <w:rsid w:val="007416A4"/>
    <w:rsid w:val="007440CA"/>
    <w:rsid w:val="007A534A"/>
    <w:rsid w:val="007A77D9"/>
    <w:rsid w:val="007F492D"/>
    <w:rsid w:val="008347B5"/>
    <w:rsid w:val="00837FA4"/>
    <w:rsid w:val="008758E5"/>
    <w:rsid w:val="008B5F10"/>
    <w:rsid w:val="008F5AB6"/>
    <w:rsid w:val="00915479"/>
    <w:rsid w:val="0091653C"/>
    <w:rsid w:val="00921BF8"/>
    <w:rsid w:val="009948EB"/>
    <w:rsid w:val="009C100A"/>
    <w:rsid w:val="009E3EB4"/>
    <w:rsid w:val="00A25FD0"/>
    <w:rsid w:val="00A459B0"/>
    <w:rsid w:val="00A62818"/>
    <w:rsid w:val="00B03EB6"/>
    <w:rsid w:val="00B2409C"/>
    <w:rsid w:val="00BA2392"/>
    <w:rsid w:val="00BC66BF"/>
    <w:rsid w:val="00BD7249"/>
    <w:rsid w:val="00C15D6C"/>
    <w:rsid w:val="00C571EC"/>
    <w:rsid w:val="00C95A7D"/>
    <w:rsid w:val="00CC1296"/>
    <w:rsid w:val="00CC4E95"/>
    <w:rsid w:val="00CE6E21"/>
    <w:rsid w:val="00D16F6E"/>
    <w:rsid w:val="00D85C6A"/>
    <w:rsid w:val="00DC4D90"/>
    <w:rsid w:val="00E80386"/>
    <w:rsid w:val="00E833B2"/>
    <w:rsid w:val="00ED1111"/>
    <w:rsid w:val="00F32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0FC01"/>
  <w15:chartTrackingRefBased/>
  <w15:docId w15:val="{AE66D8C9-DCE9-4362-8E15-5FD5374BC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8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8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8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8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8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8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8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8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8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8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8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8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8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8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8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8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8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8EB"/>
    <w:rPr>
      <w:rFonts w:eastAsiaTheme="majorEastAsia" w:cstheme="majorBidi"/>
      <w:color w:val="272727" w:themeColor="text1" w:themeTint="D8"/>
    </w:rPr>
  </w:style>
  <w:style w:type="paragraph" w:styleId="Title">
    <w:name w:val="Title"/>
    <w:basedOn w:val="Normal"/>
    <w:next w:val="Normal"/>
    <w:link w:val="TitleChar"/>
    <w:uiPriority w:val="10"/>
    <w:qFormat/>
    <w:rsid w:val="009948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8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8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8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8EB"/>
    <w:pPr>
      <w:spacing w:before="160"/>
      <w:jc w:val="center"/>
    </w:pPr>
    <w:rPr>
      <w:i/>
      <w:iCs/>
      <w:color w:val="404040" w:themeColor="text1" w:themeTint="BF"/>
    </w:rPr>
  </w:style>
  <w:style w:type="character" w:customStyle="1" w:styleId="QuoteChar">
    <w:name w:val="Quote Char"/>
    <w:basedOn w:val="DefaultParagraphFont"/>
    <w:link w:val="Quote"/>
    <w:uiPriority w:val="29"/>
    <w:rsid w:val="009948EB"/>
    <w:rPr>
      <w:i/>
      <w:iCs/>
      <w:color w:val="404040" w:themeColor="text1" w:themeTint="BF"/>
    </w:rPr>
  </w:style>
  <w:style w:type="paragraph" w:styleId="ListParagraph">
    <w:name w:val="List Paragraph"/>
    <w:basedOn w:val="Normal"/>
    <w:uiPriority w:val="34"/>
    <w:qFormat/>
    <w:rsid w:val="009948EB"/>
    <w:pPr>
      <w:ind w:left="720"/>
      <w:contextualSpacing/>
    </w:pPr>
  </w:style>
  <w:style w:type="character" w:styleId="IntenseEmphasis">
    <w:name w:val="Intense Emphasis"/>
    <w:basedOn w:val="DefaultParagraphFont"/>
    <w:uiPriority w:val="21"/>
    <w:qFormat/>
    <w:rsid w:val="009948EB"/>
    <w:rPr>
      <w:i/>
      <w:iCs/>
      <w:color w:val="0F4761" w:themeColor="accent1" w:themeShade="BF"/>
    </w:rPr>
  </w:style>
  <w:style w:type="paragraph" w:styleId="IntenseQuote">
    <w:name w:val="Intense Quote"/>
    <w:basedOn w:val="Normal"/>
    <w:next w:val="Normal"/>
    <w:link w:val="IntenseQuoteChar"/>
    <w:uiPriority w:val="30"/>
    <w:qFormat/>
    <w:rsid w:val="009948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8EB"/>
    <w:rPr>
      <w:i/>
      <w:iCs/>
      <w:color w:val="0F4761" w:themeColor="accent1" w:themeShade="BF"/>
    </w:rPr>
  </w:style>
  <w:style w:type="character" w:styleId="IntenseReference">
    <w:name w:val="Intense Reference"/>
    <w:basedOn w:val="DefaultParagraphFont"/>
    <w:uiPriority w:val="32"/>
    <w:qFormat/>
    <w:rsid w:val="009948EB"/>
    <w:rPr>
      <w:b/>
      <w:bCs/>
      <w:smallCaps/>
      <w:color w:val="0F4761" w:themeColor="accent1" w:themeShade="BF"/>
      <w:spacing w:val="5"/>
    </w:rPr>
  </w:style>
  <w:style w:type="paragraph" w:styleId="Header">
    <w:name w:val="header"/>
    <w:basedOn w:val="Normal"/>
    <w:link w:val="HeaderChar"/>
    <w:uiPriority w:val="99"/>
    <w:unhideWhenUsed/>
    <w:rsid w:val="00E803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386"/>
  </w:style>
  <w:style w:type="paragraph" w:styleId="Footer">
    <w:name w:val="footer"/>
    <w:basedOn w:val="Normal"/>
    <w:link w:val="FooterChar"/>
    <w:uiPriority w:val="99"/>
    <w:unhideWhenUsed/>
    <w:rsid w:val="00E803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386"/>
  </w:style>
  <w:style w:type="character" w:styleId="Hyperlink">
    <w:name w:val="Hyperlink"/>
    <w:basedOn w:val="DefaultParagraphFont"/>
    <w:uiPriority w:val="99"/>
    <w:unhideWhenUsed/>
    <w:rsid w:val="008F5AB6"/>
    <w:rPr>
      <w:color w:val="467886" w:themeColor="hyperlink"/>
      <w:u w:val="single"/>
    </w:rPr>
  </w:style>
  <w:style w:type="character" w:styleId="UnresolvedMention">
    <w:name w:val="Unresolved Mention"/>
    <w:basedOn w:val="DefaultParagraphFont"/>
    <w:uiPriority w:val="99"/>
    <w:semiHidden/>
    <w:unhideWhenUsed/>
    <w:rsid w:val="008F5A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11</Pages>
  <Words>3085</Words>
  <Characters>17587</Characters>
  <Application>Microsoft Office Word</Application>
  <DocSecurity>0</DocSecurity>
  <Lines>146</Lines>
  <Paragraphs>41</Paragraphs>
  <ScaleCrop>false</ScaleCrop>
  <Company/>
  <LinksUpToDate>false</LinksUpToDate>
  <CharactersWithSpaces>20631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16</cp:revision>
  <dcterms:created xsi:type="dcterms:W3CDTF">2026-03-29T00:06:00Z</dcterms:created>
  <dcterms:modified xsi:type="dcterms:W3CDTF">2026-03-29T00:28:00Z</dcterms:modified>
</cp:coreProperties>
</file>