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212647128"/>
        <w:docPartObj>
          <w:docPartGallery w:val="Cover Pages"/>
          <w:docPartUnique/>
        </w:docPartObj>
      </w:sdtPr>
      <w:sdtEndPr/>
      <w:sdtContent>
        <w:p w14:paraId="0FEBCD66" w14:textId="319125AE" w:rsidR="00C1436E" w:rsidRDefault="00C1436E">
          <w:r>
            <w:rPr>
              <w:noProof/>
            </w:rPr>
            <mc:AlternateContent>
              <mc:Choice Requires="wpg">
                <w:drawing>
                  <wp:anchor distT="0" distB="0" distL="114300" distR="114300" simplePos="0" relativeHeight="251662336" behindDoc="0" locked="0" layoutInCell="1" allowOverlap="1" wp14:anchorId="64337C6C" wp14:editId="2639282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319CCA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5" o:title="" recolor="t" rotate="t" type="frame"/>
                    </v:rect>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396E60AD" wp14:editId="285F49AC">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3EDDB5" w14:textId="40398224" w:rsidR="00C1436E" w:rsidRDefault="00C1436E">
                                <w:pPr>
                                  <w:pStyle w:val="NoSpacing"/>
                                  <w:jc w:val="right"/>
                                  <w:rPr>
                                    <w:color w:val="4472C4" w:themeColor="accent1"/>
                                    <w:sz w:val="28"/>
                                    <w:szCs w:val="28"/>
                                  </w:rPr>
                                </w:pPr>
                                <w:r>
                                  <w:rPr>
                                    <w:color w:val="4472C4" w:themeColor="accent1"/>
                                    <w:sz w:val="28"/>
                                    <w:szCs w:val="28"/>
                                  </w:rPr>
                                  <w:t>Malik Shaukat sultan</w:t>
                                </w:r>
                              </w:p>
                              <w:p w14:paraId="7942734B" w14:textId="054E0ABF" w:rsidR="00C1436E" w:rsidRDefault="00C1436E">
                                <w:pPr>
                                  <w:pStyle w:val="NoSpacing"/>
                                  <w:jc w:val="right"/>
                                  <w:rPr>
                                    <w:color w:val="4472C4" w:themeColor="accent1"/>
                                    <w:sz w:val="28"/>
                                    <w:szCs w:val="28"/>
                                  </w:rPr>
                                </w:pPr>
                                <w:r w:rsidRPr="00256D84">
                                  <w:rPr>
                                    <w:b/>
                                    <w:bCs/>
                                    <w:color w:val="595959" w:themeColor="text1" w:themeTint="A6"/>
                                    <w:sz w:val="28"/>
                                    <w:szCs w:val="28"/>
                                    <w:lang w:val="en-GB"/>
                                  </w:rPr>
                                  <w:t>2309243</w:t>
                                </w:r>
                              </w:p>
                              <w:p w14:paraId="4CBA700C" w14:textId="77777777" w:rsidR="00C1436E" w:rsidRDefault="00C1436E">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2CC3C73" w14:textId="4604B964" w:rsidR="00C1436E" w:rsidRDefault="00C1436E">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type w14:anchorId="396E60AD" id="_x0000_t202" coordsize="21600,21600" o:spt="202" path="m,l,21600r21600,l21600,xe">
                    <v:stroke joinstyle="miter"/>
                    <v:path gradientshapeok="t" o:connecttype="rect"/>
                  </v:shapetype>
                  <v:shape id="Text Box 153" o:spid="_x0000_s1026"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HJafwIAAGI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" filled="f" stroked="f" strokeweight=".5pt">
                    <v:textbox style="mso-fit-shape-to-text:t" inset="126pt,0,54pt,0">
                      <w:txbxContent>
                        <w:p w14:paraId="1C3EDDB5" w14:textId="40398224" w:rsidR="00C1436E" w:rsidRDefault="00C1436E">
                          <w:pPr>
                            <w:pStyle w:val="NoSpacing"/>
                            <w:jc w:val="right"/>
                            <w:rPr>
                              <w:color w:val="4472C4" w:themeColor="accent1"/>
                              <w:sz w:val="28"/>
                              <w:szCs w:val="28"/>
                            </w:rPr>
                          </w:pPr>
                          <w:r>
                            <w:rPr>
                              <w:color w:val="4472C4" w:themeColor="accent1"/>
                              <w:sz w:val="28"/>
                              <w:szCs w:val="28"/>
                            </w:rPr>
                            <w:t>Malik Shaukat sultan</w:t>
                          </w:r>
                        </w:p>
                        <w:p w14:paraId="7942734B" w14:textId="054E0ABF" w:rsidR="00C1436E" w:rsidRDefault="00C1436E">
                          <w:pPr>
                            <w:pStyle w:val="NoSpacing"/>
                            <w:jc w:val="right"/>
                            <w:rPr>
                              <w:color w:val="4472C4" w:themeColor="accent1"/>
                              <w:sz w:val="28"/>
                              <w:szCs w:val="28"/>
                            </w:rPr>
                          </w:pPr>
                          <w:r w:rsidRPr="00256D84">
                            <w:rPr>
                              <w:b/>
                              <w:bCs/>
                              <w:color w:val="595959" w:themeColor="text1" w:themeTint="A6"/>
                              <w:sz w:val="28"/>
                              <w:szCs w:val="28"/>
                              <w:lang w:val="en-GB"/>
                            </w:rPr>
                            <w:t>2309243</w:t>
                          </w:r>
                        </w:p>
                        <w:p w14:paraId="4CBA700C" w14:textId="77777777" w:rsidR="00C1436E" w:rsidRDefault="00C1436E">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32CC3C73" w14:textId="4604B964" w:rsidR="00C1436E" w:rsidRDefault="00C1436E">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6F77F09B" wp14:editId="67565860">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A39232F" w14:textId="5290ACA1" w:rsidR="00C1436E" w:rsidRDefault="00D56C2A" w:rsidP="00C1436E">
                                <w:pPr>
                                  <w:jc w:val="right"/>
                                  <w:rPr>
                                    <w:color w:val="4472C4" w:themeColor="accent1"/>
                                    <w:sz w:val="64"/>
                                    <w:szCs w:val="64"/>
                                  </w:rPr>
                                </w:pPr>
                                <w:sdt>
                                  <w:sdtPr>
                                    <w:rPr>
                                      <w:rFonts w:ascii="Arial" w:eastAsia="Times New Roman" w:hAnsi="Arial" w:cs="Arial"/>
                                      <w:b/>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1436E" w:rsidRPr="00C1436E">
                                      <w:rPr>
                                        <w:rFonts w:ascii="Arial" w:eastAsia="Times New Roman" w:hAnsi="Arial" w:cs="Arial"/>
                                        <w:b/>
                                        <w:sz w:val="36"/>
                                        <w:szCs w:val="36"/>
                                      </w:rPr>
                                      <w:t xml:space="preserve">BSc (Hons) Health and Social Care </w:t>
                                    </w:r>
                                    <w:r w:rsidR="00C1436E" w:rsidRPr="00C1436E">
                                      <w:rPr>
                                        <w:rFonts w:ascii="Arial" w:eastAsia="Times New Roman" w:hAnsi="Arial" w:cs="Arial"/>
                                        <w:b/>
                                        <w:sz w:val="36"/>
                                        <w:szCs w:val="36"/>
                                      </w:rPr>
                                      <w:br/>
                                      <w:t>Health, Wellbeing and Sustainable Development</w:t>
                                    </w:r>
                                    <w:r w:rsidR="00C1436E" w:rsidRPr="00C1436E">
                                      <w:rPr>
                                        <w:rFonts w:ascii="Arial" w:eastAsia="Times New Roman" w:hAnsi="Arial" w:cs="Arial"/>
                                        <w:b/>
                                        <w:sz w:val="36"/>
                                        <w:szCs w:val="36"/>
                                      </w:rPr>
                                      <w:br/>
                                      <w:t>BMHP6030</w:t>
                                    </w:r>
                                    <w:r w:rsidR="00C1436E" w:rsidRPr="00C1436E">
                                      <w:rPr>
                                        <w:rFonts w:ascii="Arial" w:eastAsia="Times New Roman" w:hAnsi="Arial" w:cs="Arial"/>
                                        <w:b/>
                                        <w:sz w:val="36"/>
                                        <w:szCs w:val="36"/>
                                      </w:rPr>
                                      <w:br/>
                                      <w:t xml:space="preserve">Philip Jones </w:t>
                                    </w:r>
                                    <w:r w:rsidR="00C1436E" w:rsidRPr="00C1436E">
                                      <w:rPr>
                                        <w:rFonts w:ascii="Arial" w:eastAsia="Times New Roman" w:hAnsi="Arial" w:cs="Arial"/>
                                        <w:b/>
                                        <w:sz w:val="36"/>
                                        <w:szCs w:val="36"/>
                                      </w:rPr>
                                      <w:br/>
                                      <w:t xml:space="preserve">Component 2: Written Assignment (Report) </w:t>
                                    </w:r>
                                    <w:r w:rsidR="00C1436E" w:rsidRPr="00C1436E">
                                      <w:rPr>
                                        <w:rFonts w:ascii="Arial" w:eastAsia="Times New Roman" w:hAnsi="Arial" w:cs="Arial"/>
                                        <w:b/>
                                        <w:sz w:val="36"/>
                                        <w:szCs w:val="36"/>
                                      </w:rPr>
                                      <w:br/>
                                      <w:t xml:space="preserve">Sunday 19th July 2026 </w:t>
                                    </w:r>
                                    <w:r w:rsidR="00C1436E" w:rsidRPr="00C1436E">
                                      <w:rPr>
                                        <w:rFonts w:ascii="Arial" w:eastAsia="Times New Roman" w:hAnsi="Arial" w:cs="Arial"/>
                                        <w:b/>
                                        <w:sz w:val="36"/>
                                        <w:szCs w:val="36"/>
                                      </w:rPr>
                                      <w:br/>
                                      <w:t>17:00 (5PM) - (Week 10)</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D0797F1" w14:textId="11109B63" w:rsidR="00C1436E" w:rsidRDefault="00C1436E">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6F77F09B"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kYpcgw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" filled="f" stroked="f" strokeweight=".5pt">
                    <v:textbox inset="126pt,0,54pt,0">
                      <w:txbxContent>
                        <w:p w14:paraId="5A39232F" w14:textId="5290ACA1" w:rsidR="00C1436E" w:rsidRDefault="00D56C2A" w:rsidP="00C1436E">
                          <w:pPr>
                            <w:jc w:val="right"/>
                            <w:rPr>
                              <w:color w:val="4472C4" w:themeColor="accent1"/>
                              <w:sz w:val="64"/>
                              <w:szCs w:val="64"/>
                            </w:rPr>
                          </w:pPr>
                          <w:sdt>
                            <w:sdtPr>
                              <w:rPr>
                                <w:rFonts w:ascii="Arial" w:eastAsia="Times New Roman" w:hAnsi="Arial" w:cs="Arial"/>
                                <w:b/>
                                <w:sz w:val="36"/>
                                <w:szCs w:val="3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C1436E" w:rsidRPr="00C1436E">
                                <w:rPr>
                                  <w:rFonts w:ascii="Arial" w:eastAsia="Times New Roman" w:hAnsi="Arial" w:cs="Arial"/>
                                  <w:b/>
                                  <w:sz w:val="36"/>
                                  <w:szCs w:val="36"/>
                                </w:rPr>
                                <w:t xml:space="preserve">BSc (Hons) Health and Social Care </w:t>
                              </w:r>
                              <w:r w:rsidR="00C1436E" w:rsidRPr="00C1436E">
                                <w:rPr>
                                  <w:rFonts w:ascii="Arial" w:eastAsia="Times New Roman" w:hAnsi="Arial" w:cs="Arial"/>
                                  <w:b/>
                                  <w:sz w:val="36"/>
                                  <w:szCs w:val="36"/>
                                </w:rPr>
                                <w:br/>
                                <w:t>Health, Wellbeing and Sustainable Development</w:t>
                              </w:r>
                              <w:r w:rsidR="00C1436E" w:rsidRPr="00C1436E">
                                <w:rPr>
                                  <w:rFonts w:ascii="Arial" w:eastAsia="Times New Roman" w:hAnsi="Arial" w:cs="Arial"/>
                                  <w:b/>
                                  <w:sz w:val="36"/>
                                  <w:szCs w:val="36"/>
                                </w:rPr>
                                <w:br/>
                                <w:t>BMHP6030</w:t>
                              </w:r>
                              <w:r w:rsidR="00C1436E" w:rsidRPr="00C1436E">
                                <w:rPr>
                                  <w:rFonts w:ascii="Arial" w:eastAsia="Times New Roman" w:hAnsi="Arial" w:cs="Arial"/>
                                  <w:b/>
                                  <w:sz w:val="36"/>
                                  <w:szCs w:val="36"/>
                                </w:rPr>
                                <w:br/>
                                <w:t xml:space="preserve">Philip Jones </w:t>
                              </w:r>
                              <w:r w:rsidR="00C1436E" w:rsidRPr="00C1436E">
                                <w:rPr>
                                  <w:rFonts w:ascii="Arial" w:eastAsia="Times New Roman" w:hAnsi="Arial" w:cs="Arial"/>
                                  <w:b/>
                                  <w:sz w:val="36"/>
                                  <w:szCs w:val="36"/>
                                </w:rPr>
                                <w:br/>
                                <w:t xml:space="preserve">Component 2: Written Assignment (Report) </w:t>
                              </w:r>
                              <w:r w:rsidR="00C1436E" w:rsidRPr="00C1436E">
                                <w:rPr>
                                  <w:rFonts w:ascii="Arial" w:eastAsia="Times New Roman" w:hAnsi="Arial" w:cs="Arial"/>
                                  <w:b/>
                                  <w:sz w:val="36"/>
                                  <w:szCs w:val="36"/>
                                </w:rPr>
                                <w:br/>
                                <w:t xml:space="preserve">Sunday 19th July 2026 </w:t>
                              </w:r>
                              <w:r w:rsidR="00C1436E" w:rsidRPr="00C1436E">
                                <w:rPr>
                                  <w:rFonts w:ascii="Arial" w:eastAsia="Times New Roman" w:hAnsi="Arial" w:cs="Arial"/>
                                  <w:b/>
                                  <w:sz w:val="36"/>
                                  <w:szCs w:val="36"/>
                                </w:rPr>
                                <w:br/>
                                <w:t>17:00 (5PM) - (Week 10)</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D0797F1" w14:textId="11109B63" w:rsidR="00C1436E" w:rsidRDefault="00C1436E">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DD83855" w14:textId="768954A1" w:rsidR="00C1436E" w:rsidRDefault="00C1436E">
          <w:r>
            <w:br w:type="page"/>
          </w:r>
        </w:p>
      </w:sdtContent>
    </w:sdt>
    <w:p w14:paraId="35C0F0B5" w14:textId="77777777" w:rsidR="00C1436E" w:rsidRDefault="00C1436E" w:rsidP="00C1436E"/>
    <w:p w14:paraId="3188858C" w14:textId="63953327" w:rsidR="00C1436E" w:rsidRPr="00C1436E" w:rsidRDefault="00C1436E" w:rsidP="00C1436E">
      <w:pPr>
        <w:spacing w:line="360" w:lineRule="auto"/>
        <w:rPr>
          <w:rFonts w:ascii="Arial" w:hAnsi="Arial" w:cs="Arial"/>
          <w:sz w:val="22"/>
          <w:szCs w:val="22"/>
        </w:rPr>
      </w:pPr>
      <w:r w:rsidRPr="00C1436E">
        <w:rPr>
          <w:rFonts w:ascii="Arial" w:hAnsi="Arial" w:cs="Arial"/>
          <w:sz w:val="22"/>
          <w:szCs w:val="22"/>
        </w:rPr>
        <w:t>Health, wellbeing and sustainability are now inseparable in health and social care policy because the main causes of poor health are social, economic and environmental as well as clinical. A credible analysis must therefore show not only what current policies aim to achieve, but also whether they reduce inequality, improve services and support long-term sustainability in practice. The following essay is written in full paragraph form, uses Harvard referencing, and is designed to be close to 2,000 words. [england.nhs](https://www.england.nhs.uk/about/equality/equality-hub/national-healthcare-inequalities-improvement-programme/our-approach-to-reducing-healthcare-inequalities/)</w:t>
      </w:r>
    </w:p>
    <w:p w14:paraId="5D7824B9" w14:textId="77777777" w:rsidR="00C1436E" w:rsidRPr="00C1436E" w:rsidRDefault="00C1436E" w:rsidP="00C1436E">
      <w:pPr>
        <w:spacing w:line="360" w:lineRule="auto"/>
        <w:rPr>
          <w:rFonts w:ascii="Arial" w:hAnsi="Arial" w:cs="Arial"/>
          <w:sz w:val="22"/>
          <w:szCs w:val="22"/>
        </w:rPr>
      </w:pPr>
    </w:p>
    <w:p w14:paraId="6525B761" w14:textId="77777777" w:rsidR="00C1436E" w:rsidRPr="00C1436E" w:rsidRDefault="00C1436E" w:rsidP="00C1436E">
      <w:pPr>
        <w:spacing w:line="360" w:lineRule="auto"/>
        <w:rPr>
          <w:rFonts w:ascii="Arial" w:hAnsi="Arial" w:cs="Arial"/>
          <w:sz w:val="22"/>
          <w:szCs w:val="22"/>
        </w:rPr>
      </w:pPr>
      <w:r w:rsidRPr="00C1436E">
        <w:rPr>
          <w:rFonts w:ascii="Arial" w:hAnsi="Arial" w:cs="Arial"/>
          <w:sz w:val="22"/>
          <w:szCs w:val="22"/>
        </w:rPr>
        <w:t>The relationship between health, wellbeing and sustainability has become increasingly central to public policy because governments are trying to respond to chronic disease, mental health need, climate change and social inequality at the same time. Health is no longer understood simply as the absence of disease; it is a broad state of physical, mental and social wellbeing, while sustainable development requires current needs to be met without compromising the ability of future generations to meet theirs (World Health Organization, 2021; World Health Organization, 2025a). These ideas matter because the policies that shape them are not confined to healthcare systems. They also include education, housing, employment, transport, environmental protection and social security, all of which influence whether citizens can live healthy lives. In this sense, health policy is now inseparable from wider social and environmental policy, and any serious assessment must examine whether those policies are actually improving lived experience rather than simply creating well-written strategies.</w:t>
      </w:r>
    </w:p>
    <w:p w14:paraId="72F8ECD6" w14:textId="77777777" w:rsidR="00C1436E" w:rsidRPr="00C1436E" w:rsidRDefault="00C1436E" w:rsidP="00C1436E">
      <w:pPr>
        <w:spacing w:line="360" w:lineRule="auto"/>
        <w:rPr>
          <w:rFonts w:ascii="Arial" w:hAnsi="Arial" w:cs="Arial"/>
          <w:sz w:val="22"/>
          <w:szCs w:val="22"/>
        </w:rPr>
      </w:pPr>
    </w:p>
    <w:p w14:paraId="52A2BD76" w14:textId="77777777" w:rsidR="00C1436E" w:rsidRPr="00C1436E" w:rsidRDefault="00C1436E" w:rsidP="00C1436E">
      <w:pPr>
        <w:spacing w:line="360" w:lineRule="auto"/>
        <w:rPr>
          <w:rFonts w:ascii="Arial" w:hAnsi="Arial" w:cs="Arial"/>
          <w:sz w:val="22"/>
          <w:szCs w:val="22"/>
        </w:rPr>
      </w:pPr>
      <w:r w:rsidRPr="00C1436E">
        <w:rPr>
          <w:rFonts w:ascii="Arial" w:hAnsi="Arial" w:cs="Arial"/>
          <w:sz w:val="22"/>
          <w:szCs w:val="22"/>
        </w:rPr>
        <w:t xml:space="preserve">At a global level, the Sustainable Development Goals provide the main framework for linking health and sustainability. SDG 3, Good Health and Wellbeing, is one of the most important because it aims to ensure healthy lives and promote wellbeing for all at all ages, with targets relating to universal health coverage, communicable and non-communicable disease, maternal and child health, mental health and access to essential medicines and vaccines (United Nations, 2015; World Health Organization, 2024b). In policy terms, SDG 3 is strong because it offers a shared international language for action and allows governments to align their health systems around fairness, prevention and access. For citizens, the benefit is obvious: if the goal is achieved, people should live longer, healthier lives and be protected from avoidable financial hardship caused by illness. However, the goal also has limits because health outcomes are not created by health services alone. WHO’s 2025 report on social determinants of health equity shows that social disadvantage, discrimination and unequal access to power and resources continue to shape health outcomes across and </w:t>
      </w:r>
      <w:r w:rsidRPr="00C1436E">
        <w:rPr>
          <w:rFonts w:ascii="Arial" w:hAnsi="Arial" w:cs="Arial"/>
          <w:sz w:val="22"/>
          <w:szCs w:val="22"/>
        </w:rPr>
        <w:lastRenderedPageBreak/>
        <w:t>within countries, and that these inequalities can shorten healthy life expectancy by decades (World Health Organization, 2025b). This means SDG 3 is necessary but insufficient. A government can improve hospitals and still fail to improve population health if poverty, poor housing and weak social protection remain unaddressed.</w:t>
      </w:r>
    </w:p>
    <w:p w14:paraId="484B2B1D" w14:textId="77777777" w:rsidR="00C1436E" w:rsidRPr="00C1436E" w:rsidRDefault="00C1436E" w:rsidP="00C1436E">
      <w:pPr>
        <w:spacing w:line="360" w:lineRule="auto"/>
        <w:rPr>
          <w:rFonts w:ascii="Arial" w:hAnsi="Arial" w:cs="Arial"/>
          <w:sz w:val="22"/>
          <w:szCs w:val="22"/>
        </w:rPr>
      </w:pPr>
    </w:p>
    <w:p w14:paraId="06C1C9CF" w14:textId="77777777" w:rsidR="00C1436E" w:rsidRPr="00C1436E" w:rsidRDefault="00C1436E" w:rsidP="00C1436E">
      <w:pPr>
        <w:spacing w:line="360" w:lineRule="auto"/>
        <w:rPr>
          <w:rFonts w:ascii="Arial" w:hAnsi="Arial" w:cs="Arial"/>
          <w:sz w:val="22"/>
          <w:szCs w:val="22"/>
        </w:rPr>
      </w:pPr>
      <w:r w:rsidRPr="00C1436E">
        <w:rPr>
          <w:rFonts w:ascii="Arial" w:hAnsi="Arial" w:cs="Arial"/>
          <w:sz w:val="22"/>
          <w:szCs w:val="22"/>
        </w:rPr>
        <w:t>SDG 13, Climate Action, is equally important because climate change now directly affects health and wellbeing. WHO explains that climate change harms health through heatwaves, air pollution, extreme weather, changing patterns of infectious disease, food insecurity and water insecurity, while also placing pressure on health systems themselves (World Health Organization, 2024a). The impacts are not evenly shared. People living in poverty are more likely to live in poor-quality housing, have less resilience to environmental shocks and experience greater exposure to pollution and overcrowding, which means climate change intensifies existing health inequalities rather than affecting everyone in the same way. The policy value of SDG 13 is therefore not only environmental; it is also deeply connected to public health. If governments invest in greener transport, low-carbon buildings, cleaner air and climate-resilient services, they can improve health at the same time as reducing emissions. The weakness is that these benefits are usually long-term while the costs are immediate, so climate-health policy is often vulnerable to short-term political pressures. Even so, SDG 13 strengthens the public health agenda because it shifts attention from treating the consequences of environmental harm to preventing those harms from occurring in the first place.</w:t>
      </w:r>
    </w:p>
    <w:p w14:paraId="5367CE9C" w14:textId="77777777" w:rsidR="00C1436E" w:rsidRPr="00C1436E" w:rsidRDefault="00C1436E" w:rsidP="00C1436E">
      <w:pPr>
        <w:spacing w:line="360" w:lineRule="auto"/>
        <w:rPr>
          <w:rFonts w:ascii="Arial" w:hAnsi="Arial" w:cs="Arial"/>
          <w:sz w:val="22"/>
          <w:szCs w:val="22"/>
        </w:rPr>
      </w:pPr>
    </w:p>
    <w:p w14:paraId="506E0A4B" w14:textId="77777777" w:rsidR="00C1436E" w:rsidRPr="00C1436E" w:rsidRDefault="00C1436E" w:rsidP="00C1436E">
      <w:pPr>
        <w:spacing w:line="360" w:lineRule="auto"/>
        <w:rPr>
          <w:rFonts w:ascii="Arial" w:hAnsi="Arial" w:cs="Arial"/>
          <w:sz w:val="22"/>
          <w:szCs w:val="22"/>
        </w:rPr>
      </w:pPr>
      <w:r w:rsidRPr="00C1436E">
        <w:rPr>
          <w:rFonts w:ascii="Arial" w:hAnsi="Arial" w:cs="Arial"/>
          <w:sz w:val="22"/>
          <w:szCs w:val="22"/>
        </w:rPr>
        <w:t>The relevance of these goals is even clearer in the WHO’s current global health strategy. The Fourteenth General Programme of Work, 2025–2028, states that WHO’s overarching aim is to promote, provide and protect the health and well-being of all people, everywhere, while also addressing climate change, health determinants and the root causes of ill health across sectors (World Health Organization, 2025a). This matters because it shows that global policy is increasingly moving away from a narrow clinical model and towards a more integrated view of health equity and resilience. For citizens, this broader approach should mean systems that are more preventive, more coordinated and more able to cope with future shocks. However, it is important to remain critical. Global frameworks are influential, but they depend on national governments for implementation. They can inspire policy change, but they cannot enforce it. As a result, the real test is whether global commitments are translated into meaningful local and national action.</w:t>
      </w:r>
    </w:p>
    <w:p w14:paraId="288DADFF" w14:textId="77777777" w:rsidR="00C1436E" w:rsidRPr="00C1436E" w:rsidRDefault="00C1436E" w:rsidP="00C1436E">
      <w:pPr>
        <w:spacing w:line="360" w:lineRule="auto"/>
        <w:rPr>
          <w:rFonts w:ascii="Arial" w:hAnsi="Arial" w:cs="Arial"/>
          <w:sz w:val="22"/>
          <w:szCs w:val="22"/>
        </w:rPr>
      </w:pPr>
    </w:p>
    <w:p w14:paraId="5E58E5CD" w14:textId="77777777" w:rsidR="00C1436E" w:rsidRPr="00C1436E" w:rsidRDefault="00C1436E" w:rsidP="00C1436E">
      <w:pPr>
        <w:spacing w:line="360" w:lineRule="auto"/>
        <w:rPr>
          <w:rFonts w:ascii="Arial" w:hAnsi="Arial" w:cs="Arial"/>
          <w:sz w:val="22"/>
          <w:szCs w:val="22"/>
        </w:rPr>
      </w:pPr>
      <w:r w:rsidRPr="00C1436E">
        <w:rPr>
          <w:rFonts w:ascii="Arial" w:hAnsi="Arial" w:cs="Arial"/>
          <w:sz w:val="22"/>
          <w:szCs w:val="22"/>
        </w:rPr>
        <w:t xml:space="preserve">In England, national policy increasingly reflects the recognition that health inequalities are structural and must be tackled systematically. NHS England’s National Healthcare </w:t>
      </w:r>
      <w:r w:rsidRPr="00C1436E">
        <w:rPr>
          <w:rFonts w:ascii="Arial" w:hAnsi="Arial" w:cs="Arial"/>
          <w:sz w:val="22"/>
          <w:szCs w:val="22"/>
        </w:rPr>
        <w:lastRenderedPageBreak/>
        <w:t>Inequalities Improvement Programme was established to support equitable access, excellent experience and optimal outcomes, particularly for disadvantaged groups (NHS England, 2021). This is a significant development because it moves policy away from a one-size-fits-all approach and towards a more targeted and data-driven model. NHS England also states that the NHS Long Term Plan placed tackling health inequalities at the heart of NHS goals, and that the main priorities include restoring services inclusively, mitigating digital exclusion, ensuring complete and timely data, accelerating preventive programmes, and strengthening leadership and accountability (NHS England, 2025). This is a policy strength because it recognises that average performance is not enough; the system must also improve outcomes for those who currently experience the worst access and the poorest results.</w:t>
      </w:r>
    </w:p>
    <w:p w14:paraId="1374E555" w14:textId="77777777" w:rsidR="00C1436E" w:rsidRPr="00C1436E" w:rsidRDefault="00C1436E" w:rsidP="00C1436E">
      <w:pPr>
        <w:spacing w:line="360" w:lineRule="auto"/>
        <w:rPr>
          <w:rFonts w:ascii="Arial" w:hAnsi="Arial" w:cs="Arial"/>
          <w:sz w:val="22"/>
          <w:szCs w:val="22"/>
        </w:rPr>
      </w:pPr>
    </w:p>
    <w:p w14:paraId="068EAB06" w14:textId="77777777" w:rsidR="00C1436E" w:rsidRPr="00C1436E" w:rsidRDefault="00C1436E" w:rsidP="00C1436E">
      <w:pPr>
        <w:spacing w:line="360" w:lineRule="auto"/>
        <w:rPr>
          <w:rFonts w:ascii="Arial" w:hAnsi="Arial" w:cs="Arial"/>
          <w:sz w:val="22"/>
          <w:szCs w:val="22"/>
        </w:rPr>
      </w:pPr>
      <w:r w:rsidRPr="00C1436E">
        <w:rPr>
          <w:rFonts w:ascii="Arial" w:hAnsi="Arial" w:cs="Arial"/>
          <w:sz w:val="22"/>
          <w:szCs w:val="22"/>
        </w:rPr>
        <w:t>Nevertheless, the effectiveness of national policy remains uneven. The NHS Long Term Plan and inequalities programme provide a strong strategic direction, but implementation is constrained by workforce shortages, financial pressures, high demand and fragmentation between health and social care (NHS England, 2019; NHS England, 2025). This creates a recurring problem in public policy: the system formally endorses prevention and equity, yet day-to-day pressures push it back towards reactive treatment. Digital transformation illustrates this clearly. Remote consultations and online services can improve convenience and reduce travel, but they can also widen inequality if people do not have devices, internet access, digital confidence or the ability to engage with online systems. NHS England recognises this risk and makes digital exclusion one of its central priorities, but recognition alone does not solve the problem (NHS England, 2021; NHS England, 2023). The policy intent is progressive, but the benefit depends on whether digital care is designed inclusively. National policy is therefore best described as strategically strong but operationally constrained.</w:t>
      </w:r>
    </w:p>
    <w:p w14:paraId="2A43C10D" w14:textId="77777777" w:rsidR="00C1436E" w:rsidRPr="00C1436E" w:rsidRDefault="00C1436E" w:rsidP="00C1436E">
      <w:pPr>
        <w:spacing w:line="360" w:lineRule="auto"/>
        <w:rPr>
          <w:rFonts w:ascii="Arial" w:hAnsi="Arial" w:cs="Arial"/>
          <w:sz w:val="22"/>
          <w:szCs w:val="22"/>
        </w:rPr>
      </w:pPr>
    </w:p>
    <w:p w14:paraId="0451C839" w14:textId="2ACF52F1" w:rsidR="00C1436E" w:rsidRPr="00C1436E" w:rsidRDefault="00C1436E" w:rsidP="00C1436E">
      <w:pPr>
        <w:spacing w:line="360" w:lineRule="auto"/>
        <w:rPr>
          <w:rFonts w:ascii="Arial" w:hAnsi="Arial" w:cs="Arial"/>
          <w:sz w:val="22"/>
          <w:szCs w:val="22"/>
        </w:rPr>
      </w:pPr>
      <w:r w:rsidRPr="00C1436E">
        <w:rPr>
          <w:rFonts w:ascii="Arial" w:hAnsi="Arial" w:cs="Arial"/>
          <w:sz w:val="22"/>
          <w:szCs w:val="22"/>
        </w:rPr>
        <w:t xml:space="preserve">Local policy is where the impact becomes most visible to citizens. Birmingham’s Creating a Bolder, Healthier City (2022 to 2030) strategy is a strong example of place-based action because it aims to reduce inequalities and improve wellbeing through prevention, partnership and a life-course perspective (Birmingham City Council, 2022). This is especially important in a city with high levels of deprivation and significant differences in health outcomes across neighbourhoods. Local strategies matter because they can target specific communities, work with local services and voluntary organisations, and adapt interventions to real patterns of need rather than national averages. They also fit the Health in All Policies approach, which argues that health should be considered across sectors such as housing, education, employment and transport because these all shape wellbeing (World Health </w:t>
      </w:r>
      <w:r w:rsidRPr="00C1436E">
        <w:rPr>
          <w:rFonts w:ascii="Arial" w:hAnsi="Arial" w:cs="Arial"/>
          <w:sz w:val="22"/>
          <w:szCs w:val="22"/>
        </w:rPr>
        <w:lastRenderedPageBreak/>
        <w:t>Organization, 2023). In principle, this makes local policy one of the most effective ways to turn broad goals into practical action.</w:t>
      </w:r>
    </w:p>
    <w:p w14:paraId="507AE489" w14:textId="77777777" w:rsidR="00C1436E" w:rsidRPr="00C1436E" w:rsidRDefault="00C1436E" w:rsidP="00C1436E">
      <w:pPr>
        <w:spacing w:line="360" w:lineRule="auto"/>
        <w:rPr>
          <w:rFonts w:ascii="Arial" w:hAnsi="Arial" w:cs="Arial"/>
          <w:sz w:val="22"/>
          <w:szCs w:val="22"/>
        </w:rPr>
      </w:pPr>
    </w:p>
    <w:p w14:paraId="159E2D98" w14:textId="77777777" w:rsidR="00C1436E" w:rsidRPr="00C1436E" w:rsidRDefault="00C1436E" w:rsidP="00C1436E">
      <w:pPr>
        <w:spacing w:line="360" w:lineRule="auto"/>
        <w:rPr>
          <w:rFonts w:ascii="Arial" w:hAnsi="Arial" w:cs="Arial"/>
          <w:sz w:val="22"/>
          <w:szCs w:val="22"/>
        </w:rPr>
      </w:pPr>
      <w:r w:rsidRPr="00C1436E">
        <w:rPr>
          <w:rFonts w:ascii="Arial" w:hAnsi="Arial" w:cs="Arial"/>
          <w:sz w:val="22"/>
          <w:szCs w:val="22"/>
        </w:rPr>
        <w:t>Yet local policy also has major limitations. Birmingham can set priorities and coordinate partners, but it cannot fully control the wider structural causes of poor health, such as poverty, wages, welfare policy or NHS funding levels. Local initiatives are also vulnerable to short-term budgets, service fragmentation and unequal organisational capacity. That means they may improve coordination and community engagement without fully transforming outcomes. Local plans often sound ambitious, but long-term impact depends on whether they are backed by stable investment and strong accountability. In practice, the success of local health and wellbeing strategies depends on the wider policy environment as much as on local leadership. This is why local policy should be seen as necessary but not sufficient. It can reduce barriers and improve services, but it cannot on its own overcome structural inequality.</w:t>
      </w:r>
    </w:p>
    <w:p w14:paraId="7047E12E" w14:textId="77777777" w:rsidR="00C1436E" w:rsidRPr="00C1436E" w:rsidRDefault="00C1436E" w:rsidP="00C1436E">
      <w:pPr>
        <w:spacing w:line="360" w:lineRule="auto"/>
        <w:rPr>
          <w:rFonts w:ascii="Arial" w:hAnsi="Arial" w:cs="Arial"/>
          <w:sz w:val="22"/>
          <w:szCs w:val="22"/>
        </w:rPr>
      </w:pPr>
    </w:p>
    <w:p w14:paraId="10968E0F" w14:textId="77777777" w:rsidR="00C1436E" w:rsidRPr="00C1436E" w:rsidRDefault="00C1436E" w:rsidP="00C1436E">
      <w:pPr>
        <w:spacing w:line="360" w:lineRule="auto"/>
        <w:rPr>
          <w:rFonts w:ascii="Arial" w:hAnsi="Arial" w:cs="Arial"/>
          <w:sz w:val="22"/>
          <w:szCs w:val="22"/>
        </w:rPr>
      </w:pPr>
      <w:r w:rsidRPr="00C1436E">
        <w:rPr>
          <w:rFonts w:ascii="Arial" w:hAnsi="Arial" w:cs="Arial"/>
          <w:sz w:val="22"/>
          <w:szCs w:val="22"/>
        </w:rPr>
        <w:t>A critical evaluation of the overall policy landscape suggests that the current direction is positive, but the scale of change is still inadequate. The greatest strength of current frameworks is that they recognise health as a whole-system issue. Global SDGs, national NHS inequalities programmes and local strategies all move towards prevention, fairness and sustainability rather than simply treating illness after it develops (United Nations, 2015; NHS England, 2025; Birmingham City Council, 2022). This is a major advance because it acknowledges that services alone cannot create healthy societies. The weakness, however, is that policy ambition is often greater than delivery capacity. Health systems remain under pressure, public health investment is uneven, and disadvantaged groups still face the greatest barriers to support. WHO’s 2025 report is particularly important because it shows that health inequities are not narrowing fast enough and in some settings are still widening, meaning current efforts are not yet strong enough to achieve real equity (World Health Organization, 2025b).</w:t>
      </w:r>
    </w:p>
    <w:p w14:paraId="7AD4A219" w14:textId="77777777" w:rsidR="00C1436E" w:rsidRPr="00C1436E" w:rsidRDefault="00C1436E" w:rsidP="00C1436E">
      <w:pPr>
        <w:spacing w:line="360" w:lineRule="auto"/>
        <w:rPr>
          <w:rFonts w:ascii="Arial" w:hAnsi="Arial" w:cs="Arial"/>
          <w:sz w:val="22"/>
          <w:szCs w:val="22"/>
        </w:rPr>
      </w:pPr>
    </w:p>
    <w:p w14:paraId="4A5B9251" w14:textId="77777777" w:rsidR="00C1436E" w:rsidRPr="00C1436E" w:rsidRDefault="00C1436E" w:rsidP="00C1436E">
      <w:pPr>
        <w:spacing w:line="360" w:lineRule="auto"/>
        <w:rPr>
          <w:rFonts w:ascii="Arial" w:hAnsi="Arial" w:cs="Arial"/>
          <w:sz w:val="22"/>
          <w:szCs w:val="22"/>
        </w:rPr>
      </w:pPr>
      <w:r w:rsidRPr="00C1436E">
        <w:rPr>
          <w:rFonts w:ascii="Arial" w:hAnsi="Arial" w:cs="Arial"/>
          <w:sz w:val="22"/>
          <w:szCs w:val="22"/>
        </w:rPr>
        <w:t xml:space="preserve">The implications for future policy are clear. First, prevention needs more consistent funding, especially in deprived communities, because preventing illness is more sustainable than repeatedly treating avoidable crisis. Second, digital healthcare must remain inclusive, with face-to-face and telephone alternatives always available for people who cannot access digital systems. Third, health, social care and local government should work more closely through shared planning, pooled budgets and integrated data so that responsibility is not fragmented. Fourth, sustainability should be measured more clearly, including greener buildings, lower-carbon procurement and transport planning. Fifth, inequality monitoring </w:t>
      </w:r>
      <w:r w:rsidRPr="00C1436E">
        <w:rPr>
          <w:rFonts w:ascii="Arial" w:hAnsi="Arial" w:cs="Arial"/>
          <w:sz w:val="22"/>
          <w:szCs w:val="22"/>
        </w:rPr>
        <w:lastRenderedPageBreak/>
        <w:t>should be embedded in all major programmes so that policy success is judged by improvements for the least advantaged groups rather than by averages alone. These recommendations would not solve every problem, but they would make policy more realistic, effective and fair.</w:t>
      </w:r>
    </w:p>
    <w:p w14:paraId="3609035F" w14:textId="77777777" w:rsidR="00C1436E" w:rsidRPr="00C1436E" w:rsidRDefault="00C1436E" w:rsidP="00C1436E">
      <w:pPr>
        <w:spacing w:line="360" w:lineRule="auto"/>
        <w:rPr>
          <w:rFonts w:ascii="Arial" w:hAnsi="Arial" w:cs="Arial"/>
          <w:sz w:val="22"/>
          <w:szCs w:val="22"/>
        </w:rPr>
      </w:pPr>
    </w:p>
    <w:p w14:paraId="12D3141A" w14:textId="77777777" w:rsidR="00C1436E" w:rsidRPr="00C1436E" w:rsidRDefault="00C1436E" w:rsidP="00C1436E">
      <w:pPr>
        <w:spacing w:line="360" w:lineRule="auto"/>
        <w:rPr>
          <w:rFonts w:ascii="Arial" w:hAnsi="Arial" w:cs="Arial"/>
          <w:sz w:val="22"/>
          <w:szCs w:val="22"/>
        </w:rPr>
      </w:pPr>
      <w:r w:rsidRPr="00C1436E">
        <w:rPr>
          <w:rFonts w:ascii="Arial" w:hAnsi="Arial" w:cs="Arial"/>
          <w:sz w:val="22"/>
          <w:szCs w:val="22"/>
        </w:rPr>
        <w:t>In conclusion, health, wellbeing and sustainability are now tightly connected because the conditions that shape life chances are social, economic and environmental as well as medical. SDG 3 and SDG 13 are especially important because they link health outcomes to the wider systems that support or undermine them (World Health Organization, 2024a; World Health Organization, 2024b). National policy in England shows real progress in recognising inequality and prevention, while Birmingham’s local strategy demonstrates how those priorities can be translated into place-based action (NHS England, 2025; Birmingham City Council, 2022). However, the strongest criticism is that implementation still lags behind ambition. Citizens will only experience meaningful improvement if governments and services convert strategic commitments into well-funded, inclusive and sustainable practice.</w:t>
      </w:r>
    </w:p>
    <w:p w14:paraId="46B6F2F3" w14:textId="77777777" w:rsidR="00C1436E" w:rsidRPr="00C1436E" w:rsidRDefault="00C1436E" w:rsidP="00C1436E">
      <w:pPr>
        <w:spacing w:line="360" w:lineRule="auto"/>
        <w:rPr>
          <w:rFonts w:ascii="Arial" w:hAnsi="Arial" w:cs="Arial"/>
          <w:sz w:val="22"/>
          <w:szCs w:val="22"/>
        </w:rPr>
      </w:pPr>
    </w:p>
    <w:p w14:paraId="1A681E03" w14:textId="27541123" w:rsidR="00613E7F" w:rsidRDefault="00613E7F" w:rsidP="00C1436E">
      <w:pPr>
        <w:spacing w:line="360" w:lineRule="auto"/>
        <w:rPr>
          <w:rFonts w:ascii="Arial" w:hAnsi="Arial" w:cs="Arial"/>
          <w:sz w:val="22"/>
          <w:szCs w:val="22"/>
        </w:rPr>
      </w:pPr>
    </w:p>
    <w:p w14:paraId="5F224075" w14:textId="400FB30D" w:rsidR="00613E7F" w:rsidRDefault="00613E7F" w:rsidP="00C1436E">
      <w:pPr>
        <w:spacing w:line="360" w:lineRule="auto"/>
        <w:rPr>
          <w:rFonts w:ascii="Arial" w:hAnsi="Arial" w:cs="Arial"/>
          <w:sz w:val="22"/>
          <w:szCs w:val="22"/>
        </w:rPr>
      </w:pPr>
    </w:p>
    <w:p w14:paraId="3554DECD" w14:textId="13F43997" w:rsidR="00613E7F" w:rsidRDefault="00613E7F" w:rsidP="00C1436E">
      <w:pPr>
        <w:spacing w:line="360" w:lineRule="auto"/>
        <w:rPr>
          <w:rFonts w:ascii="Arial" w:hAnsi="Arial" w:cs="Arial"/>
          <w:sz w:val="22"/>
          <w:szCs w:val="22"/>
        </w:rPr>
      </w:pPr>
    </w:p>
    <w:p w14:paraId="1B52048A" w14:textId="3484DBD4" w:rsidR="00613E7F" w:rsidRDefault="00613E7F" w:rsidP="00C1436E">
      <w:pPr>
        <w:spacing w:line="360" w:lineRule="auto"/>
        <w:rPr>
          <w:rFonts w:ascii="Arial" w:hAnsi="Arial" w:cs="Arial"/>
          <w:sz w:val="22"/>
          <w:szCs w:val="22"/>
        </w:rPr>
      </w:pPr>
    </w:p>
    <w:p w14:paraId="67F2289C" w14:textId="500CC548" w:rsidR="00613E7F" w:rsidRDefault="00613E7F" w:rsidP="00C1436E">
      <w:pPr>
        <w:spacing w:line="360" w:lineRule="auto"/>
        <w:rPr>
          <w:rFonts w:ascii="Arial" w:hAnsi="Arial" w:cs="Arial"/>
          <w:sz w:val="22"/>
          <w:szCs w:val="22"/>
        </w:rPr>
      </w:pPr>
    </w:p>
    <w:p w14:paraId="14F9487B" w14:textId="3A5E4AAF" w:rsidR="00613E7F" w:rsidRDefault="00613E7F" w:rsidP="00C1436E">
      <w:pPr>
        <w:spacing w:line="360" w:lineRule="auto"/>
        <w:rPr>
          <w:rFonts w:ascii="Arial" w:hAnsi="Arial" w:cs="Arial"/>
          <w:sz w:val="22"/>
          <w:szCs w:val="22"/>
        </w:rPr>
      </w:pPr>
    </w:p>
    <w:p w14:paraId="4E63F7A9" w14:textId="6C20F14C" w:rsidR="00613E7F" w:rsidRDefault="00613E7F" w:rsidP="00C1436E">
      <w:pPr>
        <w:spacing w:line="360" w:lineRule="auto"/>
        <w:rPr>
          <w:rFonts w:ascii="Arial" w:hAnsi="Arial" w:cs="Arial"/>
          <w:sz w:val="22"/>
          <w:szCs w:val="22"/>
        </w:rPr>
      </w:pPr>
    </w:p>
    <w:p w14:paraId="46D5E7D2" w14:textId="172B3CD5" w:rsidR="00613E7F" w:rsidRDefault="00613E7F" w:rsidP="00C1436E">
      <w:pPr>
        <w:spacing w:line="360" w:lineRule="auto"/>
        <w:rPr>
          <w:rFonts w:ascii="Arial" w:hAnsi="Arial" w:cs="Arial"/>
          <w:sz w:val="22"/>
          <w:szCs w:val="22"/>
        </w:rPr>
      </w:pPr>
    </w:p>
    <w:p w14:paraId="70C96D2D" w14:textId="7A6E4138" w:rsidR="00613E7F" w:rsidRDefault="00613E7F" w:rsidP="00C1436E">
      <w:pPr>
        <w:spacing w:line="360" w:lineRule="auto"/>
        <w:rPr>
          <w:rFonts w:ascii="Arial" w:hAnsi="Arial" w:cs="Arial"/>
          <w:sz w:val="22"/>
          <w:szCs w:val="22"/>
        </w:rPr>
      </w:pPr>
    </w:p>
    <w:p w14:paraId="72C8F481" w14:textId="2259001C" w:rsidR="00613E7F" w:rsidRDefault="00613E7F" w:rsidP="00C1436E">
      <w:pPr>
        <w:spacing w:line="360" w:lineRule="auto"/>
        <w:rPr>
          <w:rFonts w:ascii="Arial" w:hAnsi="Arial" w:cs="Arial"/>
          <w:sz w:val="22"/>
          <w:szCs w:val="22"/>
        </w:rPr>
      </w:pPr>
    </w:p>
    <w:p w14:paraId="4B6606C4" w14:textId="241E69D1" w:rsidR="00613E7F" w:rsidRDefault="00613E7F" w:rsidP="00C1436E">
      <w:pPr>
        <w:spacing w:line="360" w:lineRule="auto"/>
        <w:rPr>
          <w:rFonts w:ascii="Arial" w:hAnsi="Arial" w:cs="Arial"/>
          <w:sz w:val="22"/>
          <w:szCs w:val="22"/>
        </w:rPr>
      </w:pPr>
    </w:p>
    <w:p w14:paraId="3DCE3DE2" w14:textId="2C28E177" w:rsidR="00613E7F" w:rsidRDefault="00613E7F" w:rsidP="00C1436E">
      <w:pPr>
        <w:spacing w:line="360" w:lineRule="auto"/>
        <w:rPr>
          <w:rFonts w:ascii="Arial" w:hAnsi="Arial" w:cs="Arial"/>
          <w:sz w:val="22"/>
          <w:szCs w:val="22"/>
        </w:rPr>
      </w:pPr>
    </w:p>
    <w:p w14:paraId="375E6E51" w14:textId="3CBAFC55" w:rsidR="00613E7F" w:rsidRDefault="00613E7F" w:rsidP="00C1436E">
      <w:pPr>
        <w:spacing w:line="360" w:lineRule="auto"/>
        <w:rPr>
          <w:rFonts w:ascii="Arial" w:hAnsi="Arial" w:cs="Arial"/>
          <w:sz w:val="22"/>
          <w:szCs w:val="22"/>
        </w:rPr>
      </w:pPr>
    </w:p>
    <w:p w14:paraId="6C6F19B9" w14:textId="7D3ACE08" w:rsidR="00613E7F" w:rsidRDefault="00613E7F" w:rsidP="00C1436E">
      <w:pPr>
        <w:spacing w:line="360" w:lineRule="auto"/>
        <w:rPr>
          <w:rFonts w:ascii="Arial" w:hAnsi="Arial" w:cs="Arial"/>
          <w:sz w:val="22"/>
          <w:szCs w:val="22"/>
        </w:rPr>
      </w:pPr>
    </w:p>
    <w:p w14:paraId="53FF049D" w14:textId="7960D0AD" w:rsidR="00613E7F" w:rsidRDefault="00613E7F" w:rsidP="00C1436E">
      <w:pPr>
        <w:spacing w:line="360" w:lineRule="auto"/>
        <w:rPr>
          <w:rFonts w:ascii="Arial" w:hAnsi="Arial" w:cs="Arial"/>
          <w:sz w:val="22"/>
          <w:szCs w:val="22"/>
        </w:rPr>
      </w:pPr>
    </w:p>
    <w:p w14:paraId="12326E4B" w14:textId="33BDE706" w:rsidR="00613E7F" w:rsidRDefault="00613E7F" w:rsidP="00C1436E">
      <w:pPr>
        <w:spacing w:line="360" w:lineRule="auto"/>
        <w:rPr>
          <w:rFonts w:ascii="Arial" w:hAnsi="Arial" w:cs="Arial"/>
          <w:sz w:val="22"/>
          <w:szCs w:val="22"/>
        </w:rPr>
      </w:pPr>
    </w:p>
    <w:p w14:paraId="1754985D" w14:textId="2365F0B1" w:rsidR="00613E7F" w:rsidRDefault="00613E7F" w:rsidP="00C1436E">
      <w:pPr>
        <w:spacing w:line="360" w:lineRule="auto"/>
        <w:rPr>
          <w:rFonts w:ascii="Arial" w:hAnsi="Arial" w:cs="Arial"/>
          <w:sz w:val="22"/>
          <w:szCs w:val="22"/>
        </w:rPr>
      </w:pPr>
    </w:p>
    <w:p w14:paraId="18CF8607" w14:textId="6C557835" w:rsidR="00613E7F" w:rsidRDefault="00613E7F" w:rsidP="00C1436E">
      <w:pPr>
        <w:spacing w:line="360" w:lineRule="auto"/>
        <w:rPr>
          <w:rFonts w:ascii="Arial" w:hAnsi="Arial" w:cs="Arial"/>
          <w:sz w:val="22"/>
          <w:szCs w:val="22"/>
        </w:rPr>
      </w:pPr>
    </w:p>
    <w:p w14:paraId="25F175E7" w14:textId="3B44E115" w:rsidR="00613E7F" w:rsidRDefault="00613E7F" w:rsidP="00C1436E">
      <w:pPr>
        <w:spacing w:line="360" w:lineRule="auto"/>
        <w:rPr>
          <w:rFonts w:ascii="Arial" w:hAnsi="Arial" w:cs="Arial"/>
          <w:sz w:val="22"/>
          <w:szCs w:val="22"/>
        </w:rPr>
      </w:pPr>
    </w:p>
    <w:p w14:paraId="5A86223F" w14:textId="66DCA240" w:rsidR="00613E7F" w:rsidRDefault="00613E7F" w:rsidP="00C1436E">
      <w:pPr>
        <w:spacing w:line="360" w:lineRule="auto"/>
        <w:rPr>
          <w:rFonts w:ascii="Arial" w:hAnsi="Arial" w:cs="Arial"/>
          <w:sz w:val="22"/>
          <w:szCs w:val="22"/>
        </w:rPr>
      </w:pPr>
    </w:p>
    <w:p w14:paraId="39496983" w14:textId="77777777" w:rsidR="00613E7F" w:rsidRDefault="00613E7F" w:rsidP="00C1436E">
      <w:pPr>
        <w:spacing w:line="360" w:lineRule="auto"/>
        <w:rPr>
          <w:rFonts w:ascii="Arial" w:hAnsi="Arial" w:cs="Arial"/>
          <w:sz w:val="22"/>
          <w:szCs w:val="22"/>
        </w:rPr>
      </w:pPr>
    </w:p>
    <w:p w14:paraId="73933562" w14:textId="60D65AD9" w:rsidR="00C1436E" w:rsidRPr="00C1436E" w:rsidRDefault="00C1436E" w:rsidP="00C1436E">
      <w:pPr>
        <w:spacing w:line="360" w:lineRule="auto"/>
        <w:rPr>
          <w:rFonts w:ascii="Arial" w:hAnsi="Arial" w:cs="Arial"/>
          <w:sz w:val="22"/>
          <w:szCs w:val="22"/>
        </w:rPr>
      </w:pPr>
      <w:r w:rsidRPr="00C1436E">
        <w:rPr>
          <w:rFonts w:ascii="Arial" w:hAnsi="Arial" w:cs="Arial"/>
          <w:sz w:val="22"/>
          <w:szCs w:val="22"/>
        </w:rPr>
        <w:lastRenderedPageBreak/>
        <w:t>Reference list</w:t>
      </w:r>
    </w:p>
    <w:p w14:paraId="7173DA06" w14:textId="18AAA47B" w:rsidR="00C1436E" w:rsidRPr="00613E7F" w:rsidRDefault="00C1436E" w:rsidP="00C1436E">
      <w:pPr>
        <w:spacing w:line="360" w:lineRule="auto"/>
        <w:rPr>
          <w:rFonts w:ascii="Arial" w:hAnsi="Arial" w:cs="Arial"/>
          <w:sz w:val="21"/>
          <w:szCs w:val="21"/>
        </w:rPr>
      </w:pPr>
      <w:r w:rsidRPr="00613E7F">
        <w:rPr>
          <w:rFonts w:ascii="Arial" w:hAnsi="Arial" w:cs="Arial"/>
          <w:sz w:val="21"/>
          <w:szCs w:val="21"/>
        </w:rPr>
        <w:t>Birmingham City Council (2022) Creating a Bolder, Healthier City (2022 to 2030): Health and wellbeing strategy. Available at: [https://www.birmingham.gov.uk/downloads/download/5242/health_and_wellbeing_strategy](https://www.birmingham.gov.uk/downloads/download/5242/health_and_wellbeing_strategy).</w:t>
      </w:r>
    </w:p>
    <w:p w14:paraId="048007E7" w14:textId="77777777" w:rsidR="00C1436E" w:rsidRPr="00613E7F" w:rsidRDefault="00C1436E" w:rsidP="00C1436E">
      <w:pPr>
        <w:spacing w:line="360" w:lineRule="auto"/>
        <w:rPr>
          <w:rFonts w:ascii="Arial" w:hAnsi="Arial" w:cs="Arial"/>
          <w:sz w:val="21"/>
          <w:szCs w:val="21"/>
        </w:rPr>
      </w:pPr>
    </w:p>
    <w:p w14:paraId="3EBBD5CD" w14:textId="4A5D4A7B" w:rsidR="00C1436E" w:rsidRPr="00613E7F" w:rsidRDefault="00C1436E" w:rsidP="00C1436E">
      <w:pPr>
        <w:spacing w:line="360" w:lineRule="auto"/>
        <w:rPr>
          <w:rFonts w:ascii="Arial" w:hAnsi="Arial" w:cs="Arial"/>
          <w:sz w:val="21"/>
          <w:szCs w:val="21"/>
        </w:rPr>
      </w:pPr>
      <w:r w:rsidRPr="00613E7F">
        <w:rPr>
          <w:rFonts w:ascii="Arial" w:hAnsi="Arial" w:cs="Arial"/>
          <w:sz w:val="21"/>
          <w:szCs w:val="21"/>
        </w:rPr>
        <w:t>NHS England (2019) NHS Long Term Plan. Available at: [https://www.england.nhs.uk](https://www.england.nhs.uk).</w:t>
      </w:r>
    </w:p>
    <w:p w14:paraId="4705EBBE" w14:textId="77777777" w:rsidR="00C1436E" w:rsidRPr="00613E7F" w:rsidRDefault="00C1436E" w:rsidP="00C1436E">
      <w:pPr>
        <w:spacing w:line="360" w:lineRule="auto"/>
        <w:rPr>
          <w:rFonts w:ascii="Arial" w:hAnsi="Arial" w:cs="Arial"/>
          <w:sz w:val="21"/>
          <w:szCs w:val="21"/>
        </w:rPr>
      </w:pPr>
    </w:p>
    <w:p w14:paraId="4931C2CC" w14:textId="10D04238" w:rsidR="00C1436E" w:rsidRPr="00613E7F" w:rsidRDefault="00C1436E" w:rsidP="00C1436E">
      <w:pPr>
        <w:spacing w:line="360" w:lineRule="auto"/>
        <w:rPr>
          <w:rFonts w:ascii="Arial" w:hAnsi="Arial" w:cs="Arial"/>
          <w:sz w:val="21"/>
          <w:szCs w:val="21"/>
        </w:rPr>
      </w:pPr>
      <w:r w:rsidRPr="00613E7F">
        <w:rPr>
          <w:rFonts w:ascii="Arial" w:hAnsi="Arial" w:cs="Arial"/>
          <w:sz w:val="21"/>
          <w:szCs w:val="21"/>
        </w:rPr>
        <w:t>NHS England (2021) National Healthcare Inequalities Improvement Programme. Available at: [https://www.england.nhs.uk](https://www.england.nhs.uk).</w:t>
      </w:r>
    </w:p>
    <w:p w14:paraId="150ADFBB" w14:textId="77777777" w:rsidR="00C1436E" w:rsidRPr="00613E7F" w:rsidRDefault="00C1436E" w:rsidP="00C1436E">
      <w:pPr>
        <w:spacing w:line="360" w:lineRule="auto"/>
        <w:rPr>
          <w:rFonts w:ascii="Arial" w:hAnsi="Arial" w:cs="Arial"/>
          <w:sz w:val="21"/>
          <w:szCs w:val="21"/>
        </w:rPr>
      </w:pPr>
    </w:p>
    <w:p w14:paraId="5D35D7AF" w14:textId="483AD768" w:rsidR="00C1436E" w:rsidRPr="00613E7F" w:rsidRDefault="00C1436E" w:rsidP="00C1436E">
      <w:pPr>
        <w:spacing w:line="360" w:lineRule="auto"/>
        <w:rPr>
          <w:rFonts w:ascii="Arial" w:hAnsi="Arial" w:cs="Arial"/>
          <w:sz w:val="21"/>
          <w:szCs w:val="21"/>
        </w:rPr>
      </w:pPr>
      <w:r w:rsidRPr="00613E7F">
        <w:rPr>
          <w:rFonts w:ascii="Arial" w:hAnsi="Arial" w:cs="Arial"/>
          <w:sz w:val="21"/>
          <w:szCs w:val="21"/>
        </w:rPr>
        <w:t>NHS England (2023) Inclusive digital healthcare: a framework for NHS action on digital inclusion. Available at: [https://www.england.nhs.uk](https://www.england.nhs.uk).</w:t>
      </w:r>
    </w:p>
    <w:p w14:paraId="75A02ABD" w14:textId="77777777" w:rsidR="00C1436E" w:rsidRPr="00613E7F" w:rsidRDefault="00C1436E" w:rsidP="00C1436E">
      <w:pPr>
        <w:spacing w:line="360" w:lineRule="auto"/>
        <w:rPr>
          <w:rFonts w:ascii="Arial" w:hAnsi="Arial" w:cs="Arial"/>
          <w:sz w:val="21"/>
          <w:szCs w:val="21"/>
        </w:rPr>
      </w:pPr>
    </w:p>
    <w:p w14:paraId="1C949085" w14:textId="3B99162D" w:rsidR="00C1436E" w:rsidRPr="00613E7F" w:rsidRDefault="00C1436E" w:rsidP="00C1436E">
      <w:pPr>
        <w:spacing w:line="360" w:lineRule="auto"/>
        <w:rPr>
          <w:rFonts w:ascii="Arial" w:hAnsi="Arial" w:cs="Arial"/>
          <w:sz w:val="21"/>
          <w:szCs w:val="21"/>
        </w:rPr>
      </w:pPr>
      <w:r w:rsidRPr="00613E7F">
        <w:rPr>
          <w:rFonts w:ascii="Arial" w:hAnsi="Arial" w:cs="Arial"/>
          <w:sz w:val="21"/>
          <w:szCs w:val="21"/>
        </w:rPr>
        <w:t>NHS England (2025) Our approach to reducing healthcare inequalities. Available at: [https://www.england.nhs.uk](https://www.england.nhs.uk).</w:t>
      </w:r>
    </w:p>
    <w:p w14:paraId="0A78FB89" w14:textId="77777777" w:rsidR="00C1436E" w:rsidRPr="00613E7F" w:rsidRDefault="00C1436E" w:rsidP="00C1436E">
      <w:pPr>
        <w:spacing w:line="360" w:lineRule="auto"/>
        <w:rPr>
          <w:rFonts w:ascii="Arial" w:hAnsi="Arial" w:cs="Arial"/>
          <w:sz w:val="21"/>
          <w:szCs w:val="21"/>
        </w:rPr>
      </w:pPr>
    </w:p>
    <w:p w14:paraId="5E56799B" w14:textId="158B7198" w:rsidR="00C1436E" w:rsidRPr="00613E7F" w:rsidRDefault="00C1436E" w:rsidP="00C1436E">
      <w:pPr>
        <w:spacing w:line="360" w:lineRule="auto"/>
        <w:rPr>
          <w:rFonts w:ascii="Arial" w:hAnsi="Arial" w:cs="Arial"/>
          <w:sz w:val="21"/>
          <w:szCs w:val="21"/>
        </w:rPr>
      </w:pPr>
      <w:r w:rsidRPr="00613E7F">
        <w:rPr>
          <w:rFonts w:ascii="Arial" w:hAnsi="Arial" w:cs="Arial"/>
          <w:sz w:val="21"/>
          <w:szCs w:val="21"/>
        </w:rPr>
        <w:t>United Nations (2015) Sustainable Development Goals. Available at: [https://sdgs.un.org/goals](https://sdgs.un.org/goals).</w:t>
      </w:r>
    </w:p>
    <w:p w14:paraId="36840A0C" w14:textId="77777777" w:rsidR="00C1436E" w:rsidRPr="00613E7F" w:rsidRDefault="00C1436E" w:rsidP="00C1436E">
      <w:pPr>
        <w:spacing w:line="360" w:lineRule="auto"/>
        <w:rPr>
          <w:rFonts w:ascii="Arial" w:hAnsi="Arial" w:cs="Arial"/>
          <w:sz w:val="21"/>
          <w:szCs w:val="21"/>
        </w:rPr>
      </w:pPr>
    </w:p>
    <w:p w14:paraId="028246EE" w14:textId="67A5029C" w:rsidR="00C1436E" w:rsidRPr="00613E7F" w:rsidRDefault="00C1436E" w:rsidP="00C1436E">
      <w:pPr>
        <w:spacing w:line="360" w:lineRule="auto"/>
        <w:rPr>
          <w:rFonts w:ascii="Arial" w:hAnsi="Arial" w:cs="Arial"/>
          <w:sz w:val="21"/>
          <w:szCs w:val="21"/>
        </w:rPr>
      </w:pPr>
      <w:r w:rsidRPr="00613E7F">
        <w:rPr>
          <w:rFonts w:ascii="Arial" w:hAnsi="Arial" w:cs="Arial"/>
          <w:sz w:val="21"/>
          <w:szCs w:val="21"/>
        </w:rPr>
        <w:t>World Health Organization (2021) Health equity. Available at: [https://www.who.int](https://www.who.int).</w:t>
      </w:r>
    </w:p>
    <w:p w14:paraId="5AE7C065" w14:textId="77777777" w:rsidR="00C1436E" w:rsidRPr="00613E7F" w:rsidRDefault="00C1436E" w:rsidP="00C1436E">
      <w:pPr>
        <w:spacing w:line="360" w:lineRule="auto"/>
        <w:rPr>
          <w:rFonts w:ascii="Arial" w:hAnsi="Arial" w:cs="Arial"/>
          <w:sz w:val="21"/>
          <w:szCs w:val="21"/>
        </w:rPr>
      </w:pPr>
    </w:p>
    <w:p w14:paraId="07CCDBC8" w14:textId="0B3E3CA0" w:rsidR="00C1436E" w:rsidRPr="00613E7F" w:rsidRDefault="00C1436E" w:rsidP="00C1436E">
      <w:pPr>
        <w:spacing w:line="360" w:lineRule="auto"/>
        <w:rPr>
          <w:rFonts w:ascii="Arial" w:hAnsi="Arial" w:cs="Arial"/>
          <w:sz w:val="21"/>
          <w:szCs w:val="21"/>
        </w:rPr>
      </w:pPr>
      <w:r w:rsidRPr="00613E7F">
        <w:rPr>
          <w:rFonts w:ascii="Arial" w:hAnsi="Arial" w:cs="Arial"/>
          <w:sz w:val="21"/>
          <w:szCs w:val="21"/>
        </w:rPr>
        <w:t>World Health Organization (2023) Promoting Health in All Policies and intersectoral action capacities. Available at: [https://www.who.int](https://www.who.int).</w:t>
      </w:r>
    </w:p>
    <w:p w14:paraId="59184027" w14:textId="77777777" w:rsidR="00C1436E" w:rsidRPr="00613E7F" w:rsidRDefault="00C1436E" w:rsidP="00C1436E">
      <w:pPr>
        <w:spacing w:line="360" w:lineRule="auto"/>
        <w:rPr>
          <w:rFonts w:ascii="Arial" w:hAnsi="Arial" w:cs="Arial"/>
          <w:sz w:val="21"/>
          <w:szCs w:val="21"/>
        </w:rPr>
      </w:pPr>
    </w:p>
    <w:p w14:paraId="1261F05D" w14:textId="727EE3ED" w:rsidR="00C1436E" w:rsidRPr="00613E7F" w:rsidRDefault="00C1436E" w:rsidP="00C1436E">
      <w:pPr>
        <w:spacing w:line="360" w:lineRule="auto"/>
        <w:rPr>
          <w:rFonts w:ascii="Arial" w:hAnsi="Arial" w:cs="Arial"/>
          <w:sz w:val="21"/>
          <w:szCs w:val="21"/>
        </w:rPr>
      </w:pPr>
      <w:r w:rsidRPr="00613E7F">
        <w:rPr>
          <w:rFonts w:ascii="Arial" w:hAnsi="Arial" w:cs="Arial"/>
          <w:sz w:val="21"/>
          <w:szCs w:val="21"/>
        </w:rPr>
        <w:t>World Health Organization (2024a) SDG 13 Climate Action. Available at: [https://www.who.int](https://www.who.int).</w:t>
      </w:r>
    </w:p>
    <w:p w14:paraId="524ECB3E" w14:textId="77777777" w:rsidR="00C1436E" w:rsidRPr="00613E7F" w:rsidRDefault="00C1436E" w:rsidP="00C1436E">
      <w:pPr>
        <w:spacing w:line="360" w:lineRule="auto"/>
        <w:rPr>
          <w:rFonts w:ascii="Arial" w:hAnsi="Arial" w:cs="Arial"/>
          <w:sz w:val="21"/>
          <w:szCs w:val="21"/>
        </w:rPr>
      </w:pPr>
    </w:p>
    <w:p w14:paraId="33D7F0DA" w14:textId="707BAE25" w:rsidR="00C1436E" w:rsidRPr="00613E7F" w:rsidRDefault="00C1436E" w:rsidP="00C1436E">
      <w:pPr>
        <w:spacing w:line="360" w:lineRule="auto"/>
        <w:rPr>
          <w:rFonts w:ascii="Arial" w:hAnsi="Arial" w:cs="Arial"/>
          <w:sz w:val="21"/>
          <w:szCs w:val="21"/>
        </w:rPr>
      </w:pPr>
      <w:r w:rsidRPr="00613E7F">
        <w:rPr>
          <w:rFonts w:ascii="Arial" w:hAnsi="Arial" w:cs="Arial"/>
          <w:sz w:val="21"/>
          <w:szCs w:val="21"/>
        </w:rPr>
        <w:t>World Health Organization (2024b) SDG 3 Good Health and Well-being. Available at: [https://www.who.int](https://www.who.int).</w:t>
      </w:r>
    </w:p>
    <w:p w14:paraId="7E3FA12D" w14:textId="77777777" w:rsidR="00C1436E" w:rsidRPr="00613E7F" w:rsidRDefault="00C1436E" w:rsidP="00C1436E">
      <w:pPr>
        <w:spacing w:line="360" w:lineRule="auto"/>
        <w:rPr>
          <w:rFonts w:ascii="Arial" w:hAnsi="Arial" w:cs="Arial"/>
          <w:sz w:val="21"/>
          <w:szCs w:val="21"/>
        </w:rPr>
      </w:pPr>
    </w:p>
    <w:p w14:paraId="6A172E36" w14:textId="229759F7" w:rsidR="00C1436E" w:rsidRPr="00613E7F" w:rsidRDefault="00C1436E" w:rsidP="00C1436E">
      <w:pPr>
        <w:spacing w:line="360" w:lineRule="auto"/>
        <w:rPr>
          <w:rFonts w:ascii="Arial" w:hAnsi="Arial" w:cs="Arial"/>
          <w:sz w:val="21"/>
          <w:szCs w:val="21"/>
        </w:rPr>
      </w:pPr>
      <w:r w:rsidRPr="00613E7F">
        <w:rPr>
          <w:rFonts w:ascii="Arial" w:hAnsi="Arial" w:cs="Arial"/>
          <w:sz w:val="21"/>
          <w:szCs w:val="21"/>
        </w:rPr>
        <w:t>World Health Organization (2025a) Fourteenth General Programme of Work, 2025–2028. Available at: [https://www.who.int](https://www.who.int).</w:t>
      </w:r>
    </w:p>
    <w:p w14:paraId="1654B8FE" w14:textId="77777777" w:rsidR="00C1436E" w:rsidRPr="00613E7F" w:rsidRDefault="00C1436E" w:rsidP="00C1436E">
      <w:pPr>
        <w:spacing w:line="360" w:lineRule="auto"/>
        <w:rPr>
          <w:rFonts w:ascii="Arial" w:hAnsi="Arial" w:cs="Arial"/>
          <w:sz w:val="21"/>
          <w:szCs w:val="21"/>
        </w:rPr>
      </w:pPr>
    </w:p>
    <w:p w14:paraId="02E9B865" w14:textId="2D8414A3" w:rsidR="00306CF3" w:rsidRPr="00613E7F" w:rsidRDefault="00C1436E" w:rsidP="00C1436E">
      <w:pPr>
        <w:spacing w:line="360" w:lineRule="auto"/>
        <w:rPr>
          <w:rFonts w:ascii="Arial" w:hAnsi="Arial" w:cs="Arial"/>
          <w:sz w:val="21"/>
          <w:szCs w:val="21"/>
        </w:rPr>
      </w:pPr>
      <w:r w:rsidRPr="00613E7F">
        <w:rPr>
          <w:rFonts w:ascii="Arial" w:hAnsi="Arial" w:cs="Arial"/>
          <w:sz w:val="21"/>
          <w:szCs w:val="21"/>
        </w:rPr>
        <w:t>World Health Organization (2025b) World report on social determinants of health equity. Available at: [https://www.who.int](https://www.who.int).</w:t>
      </w:r>
    </w:p>
    <w:sectPr w:rsidR="00306CF3" w:rsidRPr="00613E7F" w:rsidSect="00C1436E">
      <w:pgSz w:w="11900" w:h="16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436E"/>
    <w:rsid w:val="003C1E1B"/>
    <w:rsid w:val="00520211"/>
    <w:rsid w:val="00613E7F"/>
    <w:rsid w:val="00817F04"/>
    <w:rsid w:val="00C1436E"/>
    <w:rsid w:val="00CC2F2B"/>
    <w:rsid w:val="00D56C2A"/>
    <w:rsid w:val="00D750CF"/>
    <w:rsid w:val="00F618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8D0D79"/>
  <w14:defaultImageDpi w14:val="32767"/>
  <w15:chartTrackingRefBased/>
  <w15:docId w15:val="{9AD5E194-3EB6-9342-9B8E-8284689B7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1436E"/>
    <w:rPr>
      <w:rFonts w:eastAsiaTheme="minorEastAsia"/>
      <w:sz w:val="22"/>
      <w:szCs w:val="22"/>
      <w:lang w:val="en-US" w:eastAsia="zh-CN"/>
    </w:rPr>
  </w:style>
  <w:style w:type="character" w:customStyle="1" w:styleId="NoSpacingChar">
    <w:name w:val="No Spacing Char"/>
    <w:basedOn w:val="DefaultParagraphFont"/>
    <w:link w:val="NoSpacing"/>
    <w:uiPriority w:val="1"/>
    <w:rsid w:val="00C1436E"/>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129303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7</Pages>
  <Words>1906</Words>
  <Characters>12752</Characters>
  <Application>Microsoft Office Word</Application>
  <DocSecurity>0</DocSecurity>
  <Lines>289</Lines>
  <Paragraphs>108</Paragraphs>
  <ScaleCrop>false</ScaleCrop>
  <Company/>
  <LinksUpToDate>false</LinksUpToDate>
  <CharactersWithSpaces>14550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(Hons) Health and Social Care 
Health, Wellbeing and Sustainable Development
BMHP6030
Philip Jones 
Component 2: Written Assignment (Report) 
Sunday 19th July 2026 
17:00 (5PM) - (Week 10)</dc:title>
  <dc:subject/>
  <dc:creator>kohinoor sultan</dc:creator>
  <cp:keywords/>
  <dc:description/>
  <cp:lastModifiedBy>kohinoor sultan</cp:lastModifiedBy>
  <cp:revision>3</cp:revision>
  <dcterms:created xsi:type="dcterms:W3CDTF">2026-07-10T11:39:00Z</dcterms:created>
  <dcterms:modified xsi:type="dcterms:W3CDTF">2026-07-10T11:45:00Z</dcterms:modified>
</cp:coreProperties>
</file>