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47BA7" w14:textId="5BD897E7" w:rsidR="00764E52" w:rsidRPr="00DA2349" w:rsidRDefault="00C4593A">
      <w:pPr>
        <w:rPr>
          <w:rFonts w:ascii="Arial" w:hAnsi="Arial" w:cs="Arial"/>
          <w:b/>
          <w:bCs/>
          <w:sz w:val="44"/>
          <w:szCs w:val="44"/>
        </w:rPr>
      </w:pPr>
      <w:r w:rsidRPr="00DA2349">
        <w:rPr>
          <w:rFonts w:ascii="Arial" w:hAnsi="Arial" w:cs="Arial"/>
          <w:b/>
          <w:bCs/>
          <w:sz w:val="44"/>
          <w:szCs w:val="44"/>
        </w:rPr>
        <w:t>Dementia Awareness</w:t>
      </w:r>
    </w:p>
    <w:p w14:paraId="1C4BA844" w14:textId="1BEAC331" w:rsidR="00061E06" w:rsidRDefault="007F3377">
      <w:pPr>
        <w:rPr>
          <w:rFonts w:ascii="Arial" w:hAnsi="Arial" w:cs="Arial"/>
          <w:b/>
          <w:bCs/>
          <w:sz w:val="24"/>
          <w:szCs w:val="24"/>
        </w:rPr>
      </w:pPr>
      <w:r w:rsidRPr="00C4593A">
        <w:rPr>
          <w:noProof/>
          <w:sz w:val="18"/>
          <w:szCs w:val="18"/>
        </w:rPr>
        <w:drawing>
          <wp:anchor distT="0" distB="0" distL="114300" distR="114300" simplePos="0" relativeHeight="251658240" behindDoc="1" locked="0" layoutInCell="1" allowOverlap="1" wp14:anchorId="662BF841" wp14:editId="6FA2348F">
            <wp:simplePos x="0" y="0"/>
            <wp:positionH relativeFrom="column">
              <wp:posOffset>4582072</wp:posOffset>
            </wp:positionH>
            <wp:positionV relativeFrom="paragraph">
              <wp:posOffset>14124</wp:posOffset>
            </wp:positionV>
            <wp:extent cx="5023485" cy="5266055"/>
            <wp:effectExtent l="0" t="0" r="5715" b="0"/>
            <wp:wrapTight wrapText="bothSides">
              <wp:wrapPolygon edited="0">
                <wp:start x="0" y="0"/>
                <wp:lineTo x="0" y="21488"/>
                <wp:lineTo x="21543" y="21488"/>
                <wp:lineTo x="21543" y="0"/>
                <wp:lineTo x="0" y="0"/>
              </wp:wrapPolygon>
            </wp:wrapTight>
            <wp:docPr id="1" name="Picture 1" descr="It-Could-Be-You – Brentford Cha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Could-Be-You – Brentford Chamb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3485" cy="5266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AC223" w14:textId="2FE91581" w:rsidR="003B7844" w:rsidRPr="00DA2349" w:rsidRDefault="00764E52">
      <w:pPr>
        <w:rPr>
          <w:rFonts w:ascii="Arial" w:hAnsi="Arial" w:cs="Arial"/>
          <w:b/>
          <w:bCs/>
          <w:sz w:val="24"/>
          <w:szCs w:val="24"/>
        </w:rPr>
      </w:pPr>
      <w:r w:rsidRPr="00DA2349">
        <w:rPr>
          <w:rFonts w:ascii="Arial" w:hAnsi="Arial" w:cs="Arial"/>
          <w:b/>
          <w:bCs/>
          <w:sz w:val="24"/>
          <w:szCs w:val="24"/>
        </w:rPr>
        <w:t>What is dementia?</w:t>
      </w:r>
    </w:p>
    <w:p w14:paraId="2894C639" w14:textId="7284BE6C" w:rsidR="00764E52" w:rsidRDefault="00764E52">
      <w:pPr>
        <w:rPr>
          <w:rFonts w:ascii="Arial" w:hAnsi="Arial" w:cs="Arial"/>
        </w:rPr>
      </w:pPr>
      <w:r>
        <w:rPr>
          <w:rFonts w:ascii="Arial" w:hAnsi="Arial" w:cs="Arial"/>
        </w:rPr>
        <w:t xml:space="preserve">It is a clinical illness which causes memory loss from an individual as well as many other symptoms such as the decline of cognitive abilities </w:t>
      </w:r>
      <w:sdt>
        <w:sdtPr>
          <w:rPr>
            <w:rFonts w:ascii="Arial" w:hAnsi="Arial" w:cs="Arial"/>
          </w:rPr>
          <w:id w:val="-2059549158"/>
          <w:citation/>
        </w:sdtPr>
        <w:sdtContent>
          <w:r>
            <w:rPr>
              <w:rFonts w:ascii="Arial" w:hAnsi="Arial" w:cs="Arial"/>
            </w:rPr>
            <w:fldChar w:fldCharType="begin"/>
          </w:r>
          <w:r>
            <w:rPr>
              <w:rFonts w:ascii="Arial" w:hAnsi="Arial" w:cs="Arial"/>
            </w:rPr>
            <w:instrText xml:space="preserve"> CITATION Gel96 \l 2057 </w:instrText>
          </w:r>
          <w:r>
            <w:rPr>
              <w:rFonts w:ascii="Arial" w:hAnsi="Arial" w:cs="Arial"/>
            </w:rPr>
            <w:fldChar w:fldCharType="separate"/>
          </w:r>
          <w:r w:rsidRPr="00764E52">
            <w:rPr>
              <w:rFonts w:ascii="Arial" w:hAnsi="Arial" w:cs="Arial"/>
              <w:noProof/>
            </w:rPr>
            <w:t>(Geldmacher &amp; Whitehouse, 1996)</w:t>
          </w:r>
          <w:r>
            <w:rPr>
              <w:rFonts w:ascii="Arial" w:hAnsi="Arial" w:cs="Arial"/>
            </w:rPr>
            <w:fldChar w:fldCharType="end"/>
          </w:r>
        </w:sdtContent>
      </w:sdt>
      <w:r>
        <w:rPr>
          <w:rFonts w:ascii="Arial" w:hAnsi="Arial" w:cs="Arial"/>
        </w:rPr>
        <w:t xml:space="preserve">.  </w:t>
      </w:r>
    </w:p>
    <w:p w14:paraId="6FE696A6" w14:textId="350E3EFA" w:rsidR="007F3377" w:rsidRDefault="007F3377">
      <w:pPr>
        <w:rPr>
          <w:rFonts w:ascii="Arial" w:hAnsi="Arial" w:cs="Arial"/>
        </w:rPr>
      </w:pPr>
      <w:r>
        <w:rPr>
          <w:rFonts w:ascii="Arial" w:hAnsi="Arial" w:cs="Arial"/>
        </w:rPr>
        <w:t xml:space="preserve">It can be caused by brain injury or disease, such as Alzheimer’s. This and stroke are leading factors for the cause of dementia and the risks of it happening only increase as an individual ages </w:t>
      </w:r>
      <w:sdt>
        <w:sdtPr>
          <w:rPr>
            <w:rFonts w:ascii="Arial" w:hAnsi="Arial" w:cs="Arial"/>
          </w:rPr>
          <w:id w:val="1900553436"/>
          <w:citation/>
        </w:sdtPr>
        <w:sdtContent>
          <w:r>
            <w:rPr>
              <w:rFonts w:ascii="Arial" w:hAnsi="Arial" w:cs="Arial"/>
            </w:rPr>
            <w:fldChar w:fldCharType="begin"/>
          </w:r>
          <w:r>
            <w:rPr>
              <w:rFonts w:ascii="Arial" w:hAnsi="Arial" w:cs="Arial"/>
            </w:rPr>
            <w:instrText xml:space="preserve"> CITATION Arv19 \l 2057 </w:instrText>
          </w:r>
          <w:r>
            <w:rPr>
              <w:rFonts w:ascii="Arial" w:hAnsi="Arial" w:cs="Arial"/>
            </w:rPr>
            <w:fldChar w:fldCharType="separate"/>
          </w:r>
          <w:r w:rsidRPr="007F3377">
            <w:rPr>
              <w:rFonts w:ascii="Arial" w:hAnsi="Arial" w:cs="Arial"/>
              <w:noProof/>
            </w:rPr>
            <w:t>(Arvanitakis &amp; Bennett, 2019)</w:t>
          </w:r>
          <w:r>
            <w:rPr>
              <w:rFonts w:ascii="Arial" w:hAnsi="Arial" w:cs="Arial"/>
            </w:rPr>
            <w:fldChar w:fldCharType="end"/>
          </w:r>
        </w:sdtContent>
      </w:sdt>
      <w:r>
        <w:rPr>
          <w:rFonts w:ascii="Arial" w:hAnsi="Arial" w:cs="Arial"/>
        </w:rPr>
        <w:t>.</w:t>
      </w:r>
    </w:p>
    <w:p w14:paraId="56C834AA" w14:textId="34C846E9" w:rsidR="00974BE0" w:rsidRDefault="00974BE0">
      <w:pPr>
        <w:rPr>
          <w:rFonts w:ascii="Arial" w:hAnsi="Arial" w:cs="Arial"/>
        </w:rPr>
      </w:pPr>
      <w:r>
        <w:rPr>
          <w:rFonts w:ascii="Arial" w:hAnsi="Arial" w:cs="Arial"/>
        </w:rPr>
        <w:t>Dementia can be different for each person as</w:t>
      </w:r>
      <w:r w:rsidR="00061E06">
        <w:rPr>
          <w:rFonts w:ascii="Arial" w:hAnsi="Arial" w:cs="Arial"/>
        </w:rPr>
        <w:t xml:space="preserve"> their experiences would either be better or worse for their condition with dementia </w:t>
      </w:r>
      <w:sdt>
        <w:sdtPr>
          <w:rPr>
            <w:rFonts w:ascii="Arial" w:hAnsi="Arial" w:cs="Arial"/>
          </w:rPr>
          <w:id w:val="187032962"/>
          <w:citation/>
        </w:sdtPr>
        <w:sdtContent>
          <w:r w:rsidR="00061E06">
            <w:rPr>
              <w:rFonts w:ascii="Arial" w:hAnsi="Arial" w:cs="Arial"/>
            </w:rPr>
            <w:fldChar w:fldCharType="begin"/>
          </w:r>
          <w:r w:rsidR="00061E06">
            <w:rPr>
              <w:rFonts w:ascii="Arial" w:hAnsi="Arial" w:cs="Arial"/>
            </w:rPr>
            <w:instrText xml:space="preserve"> CITATION Kit97 \l 2057 </w:instrText>
          </w:r>
          <w:r w:rsidR="00061E06">
            <w:rPr>
              <w:rFonts w:ascii="Arial" w:hAnsi="Arial" w:cs="Arial"/>
            </w:rPr>
            <w:fldChar w:fldCharType="separate"/>
          </w:r>
          <w:r w:rsidR="00061E06" w:rsidRPr="00061E06">
            <w:rPr>
              <w:rFonts w:ascii="Arial" w:hAnsi="Arial" w:cs="Arial"/>
              <w:noProof/>
            </w:rPr>
            <w:t>(Kitwood, 1997)</w:t>
          </w:r>
          <w:r w:rsidR="00061E06">
            <w:rPr>
              <w:rFonts w:ascii="Arial" w:hAnsi="Arial" w:cs="Arial"/>
            </w:rPr>
            <w:fldChar w:fldCharType="end"/>
          </w:r>
        </w:sdtContent>
      </w:sdt>
      <w:r w:rsidR="00061E06">
        <w:rPr>
          <w:rFonts w:ascii="Arial" w:hAnsi="Arial" w:cs="Arial"/>
        </w:rPr>
        <w:t>.</w:t>
      </w:r>
    </w:p>
    <w:p w14:paraId="0255308A" w14:textId="65DFEA11" w:rsidR="00061E06" w:rsidRDefault="00061E06">
      <w:pPr>
        <w:rPr>
          <w:rFonts w:ascii="Arial" w:hAnsi="Arial" w:cs="Arial"/>
        </w:rPr>
      </w:pPr>
      <w:r>
        <w:rPr>
          <w:rFonts w:ascii="Arial" w:hAnsi="Arial" w:cs="Arial"/>
        </w:rPr>
        <w:t>Dementia can be  scary to have, as patients would know they have dementia making them unaware of several situations</w:t>
      </w:r>
      <w:sdt>
        <w:sdtPr>
          <w:rPr>
            <w:rFonts w:ascii="Arial" w:hAnsi="Arial" w:cs="Arial"/>
          </w:rPr>
          <w:id w:val="1717928784"/>
          <w:citation/>
        </w:sdtPr>
        <w:sdtContent>
          <w:r>
            <w:rPr>
              <w:rFonts w:ascii="Arial" w:hAnsi="Arial" w:cs="Arial"/>
            </w:rPr>
            <w:fldChar w:fldCharType="begin"/>
          </w:r>
          <w:r>
            <w:rPr>
              <w:rFonts w:ascii="Arial" w:hAnsi="Arial" w:cs="Arial"/>
            </w:rPr>
            <w:instrText xml:space="preserve"> CITATION Sri05 \l 2057 </w:instrText>
          </w:r>
          <w:r>
            <w:rPr>
              <w:rFonts w:ascii="Arial" w:hAnsi="Arial" w:cs="Arial"/>
            </w:rPr>
            <w:fldChar w:fldCharType="separate"/>
          </w:r>
          <w:r>
            <w:rPr>
              <w:rFonts w:ascii="Arial" w:hAnsi="Arial" w:cs="Arial"/>
              <w:noProof/>
            </w:rPr>
            <w:t xml:space="preserve"> </w:t>
          </w:r>
          <w:r w:rsidRPr="00061E06">
            <w:rPr>
              <w:rFonts w:ascii="Arial" w:hAnsi="Arial" w:cs="Arial"/>
              <w:noProof/>
            </w:rPr>
            <w:t>(Srinkath &amp; Ratnavalli, 2005)</w:t>
          </w:r>
          <w:r>
            <w:rPr>
              <w:rFonts w:ascii="Arial" w:hAnsi="Arial" w:cs="Arial"/>
            </w:rPr>
            <w:fldChar w:fldCharType="end"/>
          </w:r>
        </w:sdtContent>
      </w:sdt>
      <w:r>
        <w:rPr>
          <w:rFonts w:ascii="Arial" w:hAnsi="Arial" w:cs="Arial"/>
        </w:rPr>
        <w:t>.</w:t>
      </w:r>
    </w:p>
    <w:p w14:paraId="43BC72A0" w14:textId="7A263D70" w:rsidR="00C4593A" w:rsidRDefault="00C4593A">
      <w:pPr>
        <w:rPr>
          <w:rFonts w:ascii="Arial" w:hAnsi="Arial" w:cs="Arial"/>
        </w:rPr>
      </w:pPr>
    </w:p>
    <w:p w14:paraId="03D686E9" w14:textId="728D5F4A" w:rsidR="00764E52" w:rsidRPr="00DA2349" w:rsidRDefault="00C4593A">
      <w:pPr>
        <w:rPr>
          <w:rFonts w:ascii="Arial" w:hAnsi="Arial" w:cs="Arial"/>
          <w:b/>
          <w:bCs/>
          <w:sz w:val="24"/>
          <w:szCs w:val="24"/>
        </w:rPr>
      </w:pPr>
      <w:r w:rsidRPr="00DA2349">
        <w:rPr>
          <w:rFonts w:ascii="Arial" w:hAnsi="Arial" w:cs="Arial"/>
          <w:b/>
          <w:bCs/>
          <w:sz w:val="24"/>
          <w:szCs w:val="24"/>
        </w:rPr>
        <w:t>Types of dementia:</w:t>
      </w:r>
    </w:p>
    <w:p w14:paraId="1FBC12A6" w14:textId="7021C8ED" w:rsidR="00C4593A" w:rsidRDefault="00C4593A">
      <w:pPr>
        <w:rPr>
          <w:rFonts w:ascii="Arial" w:hAnsi="Arial" w:cs="Arial"/>
        </w:rPr>
      </w:pPr>
      <w:r w:rsidRPr="00C4593A">
        <w:rPr>
          <w:rFonts w:ascii="Arial" w:hAnsi="Arial" w:cs="Arial"/>
        </w:rPr>
        <w:t xml:space="preserve">Alzheimer’s is the most common type of dementia and </w:t>
      </w:r>
      <w:r>
        <w:rPr>
          <w:rFonts w:ascii="Arial" w:hAnsi="Arial" w:cs="Arial"/>
        </w:rPr>
        <w:t xml:space="preserve">can cause a person to be more forgetful and eventually struggle with basic tasks </w:t>
      </w:r>
      <w:sdt>
        <w:sdtPr>
          <w:rPr>
            <w:rFonts w:ascii="Arial" w:hAnsi="Arial" w:cs="Arial"/>
          </w:rPr>
          <w:id w:val="936413019"/>
          <w:citation/>
        </w:sdtPr>
        <w:sdtContent>
          <w:r>
            <w:rPr>
              <w:rFonts w:ascii="Arial" w:hAnsi="Arial" w:cs="Arial"/>
            </w:rPr>
            <w:fldChar w:fldCharType="begin"/>
          </w:r>
          <w:r>
            <w:rPr>
              <w:rFonts w:ascii="Arial" w:hAnsi="Arial" w:cs="Arial"/>
            </w:rPr>
            <w:instrText xml:space="preserve"> CITATION Cum02 \l 2057 </w:instrText>
          </w:r>
          <w:r>
            <w:rPr>
              <w:rFonts w:ascii="Arial" w:hAnsi="Arial" w:cs="Arial"/>
            </w:rPr>
            <w:fldChar w:fldCharType="separate"/>
          </w:r>
          <w:r w:rsidRPr="00C4593A">
            <w:rPr>
              <w:rFonts w:ascii="Arial" w:hAnsi="Arial" w:cs="Arial"/>
              <w:noProof/>
            </w:rPr>
            <w:t>(Cummings &amp; Cole, 2002)</w:t>
          </w:r>
          <w:r>
            <w:rPr>
              <w:rFonts w:ascii="Arial" w:hAnsi="Arial" w:cs="Arial"/>
            </w:rPr>
            <w:fldChar w:fldCharType="end"/>
          </w:r>
        </w:sdtContent>
      </w:sdt>
      <w:r>
        <w:rPr>
          <w:rFonts w:ascii="Arial" w:hAnsi="Arial" w:cs="Arial"/>
        </w:rPr>
        <w:t>.</w:t>
      </w:r>
    </w:p>
    <w:p w14:paraId="383B8A55" w14:textId="33C601AA" w:rsidR="00C4593A" w:rsidRDefault="00C4593A">
      <w:pPr>
        <w:rPr>
          <w:rFonts w:ascii="Arial" w:hAnsi="Arial" w:cs="Arial"/>
        </w:rPr>
      </w:pPr>
      <w:r>
        <w:rPr>
          <w:rFonts w:ascii="Arial" w:hAnsi="Arial" w:cs="Arial"/>
        </w:rPr>
        <w:t xml:space="preserve">Lewy body dementia is the cause of an abnormal amounts of protein in the brain which can lead to problems with basic functions like thinking and movement </w:t>
      </w:r>
      <w:sdt>
        <w:sdtPr>
          <w:rPr>
            <w:rFonts w:ascii="Arial" w:hAnsi="Arial" w:cs="Arial"/>
          </w:rPr>
          <w:id w:val="-1367832667"/>
          <w:citation/>
        </w:sdtPr>
        <w:sdtContent>
          <w:r>
            <w:rPr>
              <w:rFonts w:ascii="Arial" w:hAnsi="Arial" w:cs="Arial"/>
            </w:rPr>
            <w:fldChar w:fldCharType="begin"/>
          </w:r>
          <w:r>
            <w:rPr>
              <w:rFonts w:ascii="Arial" w:hAnsi="Arial" w:cs="Arial"/>
            </w:rPr>
            <w:instrText xml:space="preserve"> CITATION Wal15 \l 2057 </w:instrText>
          </w:r>
          <w:r>
            <w:rPr>
              <w:rFonts w:ascii="Arial" w:hAnsi="Arial" w:cs="Arial"/>
            </w:rPr>
            <w:fldChar w:fldCharType="separate"/>
          </w:r>
          <w:r w:rsidRPr="00C4593A">
            <w:rPr>
              <w:rFonts w:ascii="Arial" w:hAnsi="Arial" w:cs="Arial"/>
              <w:noProof/>
            </w:rPr>
            <w:t>(Walker, et al., 2015)</w:t>
          </w:r>
          <w:r>
            <w:rPr>
              <w:rFonts w:ascii="Arial" w:hAnsi="Arial" w:cs="Arial"/>
            </w:rPr>
            <w:fldChar w:fldCharType="end"/>
          </w:r>
        </w:sdtContent>
      </w:sdt>
      <w:r w:rsidR="003E19F6">
        <w:rPr>
          <w:rFonts w:ascii="Arial" w:hAnsi="Arial" w:cs="Arial"/>
        </w:rPr>
        <w:t>.</w:t>
      </w:r>
    </w:p>
    <w:p w14:paraId="3E02F367" w14:textId="40CF7C49" w:rsidR="003E19F6" w:rsidRDefault="003E19F6" w:rsidP="003E19F6">
      <w:pPr>
        <w:rPr>
          <w:rFonts w:ascii="Arial" w:hAnsi="Arial" w:cs="Arial"/>
        </w:rPr>
      </w:pPr>
      <w:r w:rsidRPr="003E19F6">
        <w:rPr>
          <w:rFonts w:ascii="Arial" w:hAnsi="Arial" w:cs="Arial"/>
        </w:rPr>
        <w:t xml:space="preserve">Vascular dementia is the cause of blood restriction in the brain, which would cause a person to be more confused and have slower thinking </w:t>
      </w:r>
      <w:sdt>
        <w:sdtPr>
          <w:id w:val="-2123286487"/>
          <w:citation/>
        </w:sdtPr>
        <w:sdtContent>
          <w:r w:rsidRPr="003E19F6">
            <w:rPr>
              <w:rFonts w:ascii="Arial" w:hAnsi="Arial" w:cs="Arial"/>
            </w:rPr>
            <w:fldChar w:fldCharType="begin"/>
          </w:r>
          <w:r w:rsidRPr="003E19F6">
            <w:rPr>
              <w:rFonts w:ascii="Arial" w:hAnsi="Arial" w:cs="Arial"/>
            </w:rPr>
            <w:instrText xml:space="preserve"> CITATION Kor12 \l 2057 </w:instrText>
          </w:r>
          <w:r w:rsidRPr="003E19F6">
            <w:rPr>
              <w:rFonts w:ascii="Arial" w:hAnsi="Arial" w:cs="Arial"/>
            </w:rPr>
            <w:fldChar w:fldCharType="separate"/>
          </w:r>
          <w:r w:rsidRPr="003E19F6">
            <w:rPr>
              <w:rFonts w:ascii="Arial" w:hAnsi="Arial" w:cs="Arial"/>
              <w:noProof/>
            </w:rPr>
            <w:t>(Korczyn, et al., 2012)</w:t>
          </w:r>
          <w:r w:rsidRPr="003E19F6">
            <w:rPr>
              <w:rFonts w:ascii="Arial" w:hAnsi="Arial" w:cs="Arial"/>
            </w:rPr>
            <w:fldChar w:fldCharType="end"/>
          </w:r>
        </w:sdtContent>
      </w:sdt>
      <w:r w:rsidRPr="003E19F6">
        <w:rPr>
          <w:rFonts w:ascii="Arial" w:hAnsi="Arial" w:cs="Arial"/>
        </w:rPr>
        <w:t>.</w:t>
      </w:r>
      <w:r w:rsidR="007A07BE">
        <w:rPr>
          <w:rFonts w:ascii="Arial" w:hAnsi="Arial" w:cs="Arial"/>
        </w:rPr>
        <w:t xml:space="preserve"> </w:t>
      </w:r>
    </w:p>
    <w:p w14:paraId="2256BDD4" w14:textId="60DBF200" w:rsidR="007A07BE" w:rsidRDefault="00F772D1" w:rsidP="003E19F6">
      <w:pPr>
        <w:rPr>
          <w:rFonts w:ascii="Arial" w:hAnsi="Arial" w:cs="Arial"/>
        </w:rPr>
      </w:pPr>
      <w:r>
        <w:rPr>
          <w:noProof/>
        </w:rPr>
        <w:drawing>
          <wp:anchor distT="0" distB="0" distL="114300" distR="114300" simplePos="0" relativeHeight="251659264" behindDoc="0" locked="0" layoutInCell="1" allowOverlap="1" wp14:anchorId="59D9604E" wp14:editId="47CAFE67">
            <wp:simplePos x="0" y="0"/>
            <wp:positionH relativeFrom="margin">
              <wp:align>left</wp:align>
            </wp:positionH>
            <wp:positionV relativeFrom="paragraph">
              <wp:posOffset>224434</wp:posOffset>
            </wp:positionV>
            <wp:extent cx="3886200" cy="2997200"/>
            <wp:effectExtent l="0" t="0" r="0" b="0"/>
            <wp:wrapSquare wrapText="bothSides"/>
            <wp:docPr id="2" name="Picture 2" descr="Dementia Carers Support Group – Kings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mentia Carers Support Group – Kingsca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299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99E71" w14:textId="5D3CF474" w:rsidR="00F772D1" w:rsidRDefault="00F772D1" w:rsidP="003E19F6">
      <w:pPr>
        <w:rPr>
          <w:rFonts w:ascii="Arial" w:hAnsi="Arial" w:cs="Arial"/>
          <w:b/>
          <w:bCs/>
        </w:rPr>
      </w:pPr>
    </w:p>
    <w:p w14:paraId="359487DA" w14:textId="1DEB0D9E" w:rsidR="007A07BE" w:rsidRPr="00B26D8C" w:rsidRDefault="007A07BE" w:rsidP="003E19F6">
      <w:pPr>
        <w:rPr>
          <w:rFonts w:ascii="Arial" w:hAnsi="Arial" w:cs="Arial"/>
          <w:b/>
          <w:bCs/>
          <w:sz w:val="24"/>
          <w:szCs w:val="24"/>
        </w:rPr>
      </w:pPr>
      <w:r w:rsidRPr="00B26D8C">
        <w:rPr>
          <w:rFonts w:ascii="Arial" w:hAnsi="Arial" w:cs="Arial"/>
          <w:b/>
          <w:bCs/>
          <w:sz w:val="24"/>
          <w:szCs w:val="24"/>
        </w:rPr>
        <w:t>The signs of dementia:</w:t>
      </w:r>
    </w:p>
    <w:p w14:paraId="3E0F7293" w14:textId="46D2CA18" w:rsidR="007A07BE" w:rsidRDefault="007A07BE" w:rsidP="003E19F6">
      <w:pPr>
        <w:rPr>
          <w:rFonts w:ascii="Arial" w:hAnsi="Arial" w:cs="Arial"/>
        </w:rPr>
      </w:pPr>
      <w:r>
        <w:rPr>
          <w:rFonts w:ascii="Arial" w:hAnsi="Arial" w:cs="Arial"/>
        </w:rPr>
        <w:t xml:space="preserve">These signs would consist of memory loss, struggling to focus and struggling with everyday activities </w:t>
      </w:r>
      <w:sdt>
        <w:sdtPr>
          <w:rPr>
            <w:rFonts w:ascii="Arial" w:hAnsi="Arial" w:cs="Arial"/>
          </w:rPr>
          <w:id w:val="-1898504476"/>
          <w:citation/>
        </w:sdtPr>
        <w:sdtContent>
          <w:r>
            <w:rPr>
              <w:rFonts w:ascii="Arial" w:hAnsi="Arial" w:cs="Arial"/>
            </w:rPr>
            <w:fldChar w:fldCharType="begin"/>
          </w:r>
          <w:r>
            <w:rPr>
              <w:rFonts w:ascii="Arial" w:hAnsi="Arial" w:cs="Arial"/>
            </w:rPr>
            <w:instrText xml:space="preserve"> CITATION Roc01 \l 2057 </w:instrText>
          </w:r>
          <w:r>
            <w:rPr>
              <w:rFonts w:ascii="Arial" w:hAnsi="Arial" w:cs="Arial"/>
            </w:rPr>
            <w:fldChar w:fldCharType="separate"/>
          </w:r>
          <w:r w:rsidRPr="007A07BE">
            <w:rPr>
              <w:rFonts w:ascii="Arial" w:hAnsi="Arial" w:cs="Arial"/>
              <w:noProof/>
            </w:rPr>
            <w:t>(Rock, et al., 2001)</w:t>
          </w:r>
          <w:r>
            <w:rPr>
              <w:rFonts w:ascii="Arial" w:hAnsi="Arial" w:cs="Arial"/>
            </w:rPr>
            <w:fldChar w:fldCharType="end"/>
          </w:r>
        </w:sdtContent>
      </w:sdt>
      <w:r>
        <w:rPr>
          <w:rFonts w:ascii="Arial" w:hAnsi="Arial" w:cs="Arial"/>
        </w:rPr>
        <w:t>.</w:t>
      </w:r>
    </w:p>
    <w:p w14:paraId="1F9FE3C5" w14:textId="58984759" w:rsidR="00DA2349" w:rsidRDefault="00DA2349" w:rsidP="003E19F6">
      <w:pPr>
        <w:rPr>
          <w:rFonts w:ascii="Arial" w:hAnsi="Arial" w:cs="Arial"/>
        </w:rPr>
      </w:pPr>
      <w:r>
        <w:rPr>
          <w:rFonts w:ascii="Arial" w:hAnsi="Arial" w:cs="Arial"/>
        </w:rPr>
        <w:t>Another few symptoms would be aberrant behaviour,</w:t>
      </w:r>
      <w:r w:rsidR="00C83605">
        <w:rPr>
          <w:rFonts w:ascii="Arial" w:hAnsi="Arial" w:cs="Arial"/>
        </w:rPr>
        <w:t xml:space="preserve"> anxiety, and overall irritation </w:t>
      </w:r>
      <w:sdt>
        <w:sdtPr>
          <w:rPr>
            <w:rFonts w:ascii="Arial" w:hAnsi="Arial" w:cs="Arial"/>
          </w:rPr>
          <w:id w:val="-2146657100"/>
          <w:citation/>
        </w:sdtPr>
        <w:sdtContent>
          <w:r w:rsidR="00C83605">
            <w:rPr>
              <w:rFonts w:ascii="Arial" w:hAnsi="Arial" w:cs="Arial"/>
            </w:rPr>
            <w:fldChar w:fldCharType="begin"/>
          </w:r>
          <w:r w:rsidR="00C83605">
            <w:rPr>
              <w:rFonts w:ascii="Arial" w:hAnsi="Arial" w:cs="Arial"/>
            </w:rPr>
            <w:instrText xml:space="preserve"> CITATION Cer12 \l 2057 </w:instrText>
          </w:r>
          <w:r w:rsidR="00C83605">
            <w:rPr>
              <w:rFonts w:ascii="Arial" w:hAnsi="Arial" w:cs="Arial"/>
            </w:rPr>
            <w:fldChar w:fldCharType="separate"/>
          </w:r>
          <w:r w:rsidR="00C83605" w:rsidRPr="00C83605">
            <w:rPr>
              <w:rFonts w:ascii="Arial" w:hAnsi="Arial" w:cs="Arial"/>
              <w:noProof/>
            </w:rPr>
            <w:t>(Cerejeira, et al., 2012)</w:t>
          </w:r>
          <w:r w:rsidR="00C83605">
            <w:rPr>
              <w:rFonts w:ascii="Arial" w:hAnsi="Arial" w:cs="Arial"/>
            </w:rPr>
            <w:fldChar w:fldCharType="end"/>
          </w:r>
        </w:sdtContent>
      </w:sdt>
      <w:r w:rsidR="00C83605">
        <w:rPr>
          <w:rFonts w:ascii="Arial" w:hAnsi="Arial" w:cs="Arial"/>
        </w:rPr>
        <w:t>.</w:t>
      </w:r>
    </w:p>
    <w:p w14:paraId="6DE05AB1" w14:textId="4F223136" w:rsidR="007A07BE" w:rsidRDefault="007A07BE" w:rsidP="003E19F6">
      <w:pPr>
        <w:rPr>
          <w:rFonts w:ascii="Arial" w:hAnsi="Arial" w:cs="Arial"/>
          <w:b/>
          <w:bCs/>
        </w:rPr>
      </w:pPr>
    </w:p>
    <w:p w14:paraId="5A389602" w14:textId="24BCC2DF" w:rsidR="007A07BE" w:rsidRDefault="007A07BE" w:rsidP="003E19F6">
      <w:pPr>
        <w:rPr>
          <w:rFonts w:ascii="Arial" w:hAnsi="Arial" w:cs="Arial"/>
          <w:b/>
          <w:bCs/>
        </w:rPr>
      </w:pPr>
      <w:r w:rsidRPr="007A07BE">
        <w:rPr>
          <w:rFonts w:ascii="Arial" w:hAnsi="Arial" w:cs="Arial"/>
          <w:b/>
          <w:bCs/>
        </w:rPr>
        <w:t xml:space="preserve">Types of </w:t>
      </w:r>
      <w:r w:rsidR="00F772D1">
        <w:rPr>
          <w:rFonts w:ascii="Arial" w:hAnsi="Arial" w:cs="Arial"/>
          <w:b/>
          <w:bCs/>
        </w:rPr>
        <w:t>treatment</w:t>
      </w:r>
      <w:r w:rsidRPr="007A07BE">
        <w:rPr>
          <w:rFonts w:ascii="Arial" w:hAnsi="Arial" w:cs="Arial"/>
          <w:b/>
          <w:bCs/>
        </w:rPr>
        <w:t>:</w:t>
      </w:r>
    </w:p>
    <w:p w14:paraId="5FD6AE33" w14:textId="19CF36EF" w:rsidR="007A07BE" w:rsidRDefault="00386E10" w:rsidP="003E19F6">
      <w:pPr>
        <w:rPr>
          <w:rFonts w:ascii="Arial" w:hAnsi="Arial" w:cs="Arial"/>
        </w:rPr>
      </w:pPr>
      <w:r w:rsidRPr="00386E10">
        <w:rPr>
          <w:rFonts w:ascii="Arial" w:hAnsi="Arial" w:cs="Arial"/>
        </w:rPr>
        <w:t xml:space="preserve">Physical </w:t>
      </w:r>
      <w:r>
        <w:rPr>
          <w:rFonts w:ascii="Arial" w:hAnsi="Arial" w:cs="Arial"/>
        </w:rPr>
        <w:t>training is a good way to help someone with dementia, as it can slow down cognitive decline</w:t>
      </w:r>
      <w:r w:rsidR="00F772D1">
        <w:rPr>
          <w:rFonts w:ascii="Arial" w:hAnsi="Arial" w:cs="Arial"/>
        </w:rPr>
        <w:t xml:space="preserve"> and help with better focus </w:t>
      </w:r>
      <w:sdt>
        <w:sdtPr>
          <w:rPr>
            <w:rFonts w:ascii="Arial" w:hAnsi="Arial" w:cs="Arial"/>
          </w:rPr>
          <w:id w:val="1347369749"/>
          <w:citation/>
        </w:sdtPr>
        <w:sdtContent>
          <w:r w:rsidR="00F772D1">
            <w:rPr>
              <w:rFonts w:ascii="Arial" w:hAnsi="Arial" w:cs="Arial"/>
            </w:rPr>
            <w:fldChar w:fldCharType="begin"/>
          </w:r>
          <w:r w:rsidR="00F772D1">
            <w:rPr>
              <w:rFonts w:ascii="Arial" w:hAnsi="Arial" w:cs="Arial"/>
            </w:rPr>
            <w:instrText xml:space="preserve"> CITATION GKe10 \l 2057 </w:instrText>
          </w:r>
          <w:r w:rsidR="00F772D1">
            <w:rPr>
              <w:rFonts w:ascii="Arial" w:hAnsi="Arial" w:cs="Arial"/>
            </w:rPr>
            <w:fldChar w:fldCharType="separate"/>
          </w:r>
          <w:r w:rsidR="00F772D1" w:rsidRPr="00F772D1">
            <w:rPr>
              <w:rFonts w:ascii="Arial" w:hAnsi="Arial" w:cs="Arial"/>
              <w:noProof/>
            </w:rPr>
            <w:t>(G, et al., 2010)</w:t>
          </w:r>
          <w:r w:rsidR="00F772D1">
            <w:rPr>
              <w:rFonts w:ascii="Arial" w:hAnsi="Arial" w:cs="Arial"/>
            </w:rPr>
            <w:fldChar w:fldCharType="end"/>
          </w:r>
        </w:sdtContent>
      </w:sdt>
      <w:r w:rsidR="00F772D1">
        <w:rPr>
          <w:rFonts w:ascii="Arial" w:hAnsi="Arial" w:cs="Arial"/>
        </w:rPr>
        <w:t xml:space="preserve">. </w:t>
      </w:r>
    </w:p>
    <w:p w14:paraId="3D7B1EA1" w14:textId="474E844C" w:rsidR="00E21E6B" w:rsidRDefault="00E21E6B" w:rsidP="003E19F6">
      <w:pPr>
        <w:rPr>
          <w:rFonts w:ascii="Arial" w:hAnsi="Arial" w:cs="Arial"/>
        </w:rPr>
      </w:pPr>
      <w:r>
        <w:rPr>
          <w:rFonts w:ascii="Arial" w:hAnsi="Arial" w:cs="Arial"/>
        </w:rPr>
        <w:t xml:space="preserve">There is also symptomatic treatment or vascular dementia, which also slows down the rate of decline in cognitive ability </w:t>
      </w:r>
      <w:sdt>
        <w:sdtPr>
          <w:rPr>
            <w:rFonts w:ascii="Arial" w:hAnsi="Arial" w:cs="Arial"/>
          </w:rPr>
          <w:id w:val="-709572123"/>
          <w:citation/>
        </w:sdtPr>
        <w:sdtContent>
          <w:r>
            <w:rPr>
              <w:rFonts w:ascii="Arial" w:hAnsi="Arial" w:cs="Arial"/>
            </w:rPr>
            <w:fldChar w:fldCharType="begin"/>
          </w:r>
          <w:r>
            <w:rPr>
              <w:rFonts w:ascii="Arial" w:hAnsi="Arial" w:cs="Arial"/>
            </w:rPr>
            <w:instrText xml:space="preserve"> CITATION Per18 \l 2057 </w:instrText>
          </w:r>
          <w:r>
            <w:rPr>
              <w:rFonts w:ascii="Arial" w:hAnsi="Arial" w:cs="Arial"/>
            </w:rPr>
            <w:fldChar w:fldCharType="separate"/>
          </w:r>
          <w:r w:rsidRPr="00E21E6B">
            <w:rPr>
              <w:rFonts w:ascii="Arial" w:hAnsi="Arial" w:cs="Arial"/>
              <w:noProof/>
            </w:rPr>
            <w:t>(Perng, et al., 2018)</w:t>
          </w:r>
          <w:r>
            <w:rPr>
              <w:rFonts w:ascii="Arial" w:hAnsi="Arial" w:cs="Arial"/>
            </w:rPr>
            <w:fldChar w:fldCharType="end"/>
          </w:r>
        </w:sdtContent>
      </w:sdt>
      <w:r>
        <w:rPr>
          <w:rFonts w:ascii="Arial" w:hAnsi="Arial" w:cs="Arial"/>
        </w:rPr>
        <w:t xml:space="preserve">. </w:t>
      </w:r>
    </w:p>
    <w:p w14:paraId="4AF3E131" w14:textId="77777777" w:rsidR="00C83605" w:rsidRDefault="00C83605" w:rsidP="003E19F6">
      <w:pPr>
        <w:rPr>
          <w:rFonts w:ascii="Arial" w:hAnsi="Arial" w:cs="Arial"/>
        </w:rPr>
      </w:pPr>
    </w:p>
    <w:p w14:paraId="678D4C74" w14:textId="64F5F639" w:rsidR="007F3377" w:rsidRDefault="007F3377" w:rsidP="003E19F6">
      <w:pP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21F1F5F6" wp14:editId="30A578D0">
                <wp:simplePos x="0" y="0"/>
                <wp:positionH relativeFrom="column">
                  <wp:posOffset>4391774</wp:posOffset>
                </wp:positionH>
                <wp:positionV relativeFrom="paragraph">
                  <wp:posOffset>202422</wp:posOffset>
                </wp:positionV>
                <wp:extent cx="4356100" cy="3378200"/>
                <wp:effectExtent l="0" t="0" r="25400" b="12700"/>
                <wp:wrapSquare wrapText="bothSides"/>
                <wp:docPr id="3" name="Rectangle 3"/>
                <wp:cNvGraphicFramePr/>
                <a:graphic xmlns:a="http://schemas.openxmlformats.org/drawingml/2006/main">
                  <a:graphicData uri="http://schemas.microsoft.com/office/word/2010/wordprocessingShape">
                    <wps:wsp>
                      <wps:cNvSpPr/>
                      <wps:spPr>
                        <a:xfrm>
                          <a:off x="0" y="0"/>
                          <a:ext cx="4356100" cy="3378200"/>
                        </a:xfrm>
                        <a:prstGeom prst="rect">
                          <a:avLst/>
                        </a:prstGeom>
                        <a:solidFill>
                          <a:schemeClr val="tx2">
                            <a:lumMod val="40000"/>
                            <a:lumOff val="60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14:paraId="5989909B" w14:textId="48AB4BB6" w:rsidR="00CB5AAD" w:rsidRDefault="00CB5AAD" w:rsidP="00DA0AB9">
                            <w:pPr>
                              <w:rPr>
                                <w:rFonts w:ascii="Arial" w:hAnsi="Arial" w:cs="Arial"/>
                                <w:b/>
                                <w:bCs/>
                                <w:color w:val="000000" w:themeColor="text1"/>
                              </w:rPr>
                            </w:pPr>
                            <w:r w:rsidRPr="00DA2349">
                              <w:rPr>
                                <w:rFonts w:ascii="Arial" w:hAnsi="Arial" w:cs="Arial"/>
                                <w:b/>
                                <w:bCs/>
                                <w:color w:val="000000" w:themeColor="text1"/>
                                <w:sz w:val="24"/>
                                <w:szCs w:val="24"/>
                              </w:rPr>
                              <w:t>Institutions</w:t>
                            </w:r>
                            <w:r>
                              <w:rPr>
                                <w:rFonts w:ascii="Arial" w:hAnsi="Arial" w:cs="Arial"/>
                                <w:b/>
                                <w:bCs/>
                                <w:color w:val="000000" w:themeColor="text1"/>
                              </w:rPr>
                              <w:t>:</w:t>
                            </w:r>
                          </w:p>
                          <w:p w14:paraId="6E844F4B" w14:textId="46B90388" w:rsidR="00CB5AAD" w:rsidRPr="001A2788" w:rsidRDefault="00CB5AAD" w:rsidP="00DA0AB9">
                            <w:pPr>
                              <w:rPr>
                                <w:rFonts w:ascii="Arial" w:hAnsi="Arial" w:cs="Arial"/>
                                <w:color w:val="000000" w:themeColor="text1"/>
                              </w:rPr>
                            </w:pPr>
                            <w:r w:rsidRPr="001A2788">
                              <w:rPr>
                                <w:rFonts w:ascii="Arial" w:hAnsi="Arial" w:cs="Arial"/>
                                <w:color w:val="000000" w:themeColor="text1"/>
                              </w:rPr>
                              <w:t>A care home is suitable for patients with Alzheimer’s as it can produce good results</w:t>
                            </w:r>
                            <w:r w:rsidR="00DA0AB9" w:rsidRPr="001A2788">
                              <w:rPr>
                                <w:rFonts w:ascii="Arial" w:hAnsi="Arial" w:cs="Arial"/>
                                <w:color w:val="000000" w:themeColor="text1"/>
                              </w:rPr>
                              <w:t xml:space="preserve">. This is because of the routine maintained in a care home which helps with their emotional and mental state </w:t>
                            </w:r>
                            <w:sdt>
                              <w:sdtPr>
                                <w:rPr>
                                  <w:rFonts w:ascii="Arial" w:hAnsi="Arial" w:cs="Arial"/>
                                  <w:color w:val="000000" w:themeColor="text1"/>
                                </w:rPr>
                                <w:id w:val="1671907267"/>
                                <w:citation/>
                              </w:sdtPr>
                              <w:sdtContent>
                                <w:r w:rsidR="00DA0AB9" w:rsidRPr="001A2788">
                                  <w:rPr>
                                    <w:rFonts w:ascii="Arial" w:hAnsi="Arial" w:cs="Arial"/>
                                    <w:color w:val="000000" w:themeColor="text1"/>
                                  </w:rPr>
                                  <w:fldChar w:fldCharType="begin"/>
                                </w:r>
                                <w:r w:rsidR="00DA0AB9" w:rsidRPr="001A2788">
                                  <w:rPr>
                                    <w:rFonts w:ascii="Arial" w:hAnsi="Arial" w:cs="Arial"/>
                                    <w:color w:val="000000" w:themeColor="text1"/>
                                  </w:rPr>
                                  <w:instrText xml:space="preserve"> CITATION Hoe18 \l 2057 </w:instrText>
                                </w:r>
                                <w:r w:rsidR="00DA0AB9" w:rsidRPr="001A2788">
                                  <w:rPr>
                                    <w:rFonts w:ascii="Arial" w:hAnsi="Arial" w:cs="Arial"/>
                                    <w:color w:val="000000" w:themeColor="text1"/>
                                  </w:rPr>
                                  <w:fldChar w:fldCharType="separate"/>
                                </w:r>
                                <w:r w:rsidR="00DA0AB9" w:rsidRPr="001A2788">
                                  <w:rPr>
                                    <w:rFonts w:ascii="Arial" w:hAnsi="Arial" w:cs="Arial"/>
                                    <w:noProof/>
                                    <w:color w:val="000000" w:themeColor="text1"/>
                                  </w:rPr>
                                  <w:t>(Hoe, et al., 2018)</w:t>
                                </w:r>
                                <w:r w:rsidR="00DA0AB9" w:rsidRPr="001A2788">
                                  <w:rPr>
                                    <w:rFonts w:ascii="Arial" w:hAnsi="Arial" w:cs="Arial"/>
                                    <w:color w:val="000000" w:themeColor="text1"/>
                                  </w:rPr>
                                  <w:fldChar w:fldCharType="end"/>
                                </w:r>
                              </w:sdtContent>
                            </w:sdt>
                            <w:r w:rsidR="001A2788">
                              <w:rPr>
                                <w:rFonts w:ascii="Arial" w:hAnsi="Arial" w:cs="Arial"/>
                                <w:color w:val="000000" w:themeColor="text1"/>
                              </w:rPr>
                              <w:t>.</w:t>
                            </w:r>
                          </w:p>
                          <w:p w14:paraId="51398115" w14:textId="2619E264" w:rsidR="001A2788" w:rsidRDefault="001A2788" w:rsidP="00DA0AB9">
                            <w:pPr>
                              <w:rPr>
                                <w:rFonts w:ascii="Arial" w:hAnsi="Arial" w:cs="Arial"/>
                                <w:b/>
                                <w:bCs/>
                                <w:color w:val="000000" w:themeColor="text1"/>
                              </w:rPr>
                            </w:pPr>
                          </w:p>
                          <w:p w14:paraId="4A0ECF0C" w14:textId="35382A3C" w:rsidR="001A2788" w:rsidRPr="001A2788" w:rsidRDefault="001A2788" w:rsidP="00DA0AB9">
                            <w:pPr>
                              <w:rPr>
                                <w:rFonts w:ascii="Arial" w:hAnsi="Arial" w:cs="Arial"/>
                                <w:color w:val="000000" w:themeColor="text1"/>
                              </w:rPr>
                            </w:pPr>
                            <w:r w:rsidRPr="001A2788">
                              <w:rPr>
                                <w:rFonts w:ascii="Arial" w:hAnsi="Arial" w:cs="Arial"/>
                                <w:color w:val="000000" w:themeColor="text1"/>
                              </w:rPr>
                              <w:t>However, this can also be the opposite depending on the treatment given</w:t>
                            </w:r>
                            <w:r>
                              <w:rPr>
                                <w:rFonts w:ascii="Arial" w:hAnsi="Arial" w:cs="Arial"/>
                                <w:color w:val="000000" w:themeColor="text1"/>
                              </w:rPr>
                              <w:t xml:space="preserve"> by</w:t>
                            </w:r>
                            <w:r w:rsidRPr="001A2788">
                              <w:rPr>
                                <w:rFonts w:ascii="Arial" w:hAnsi="Arial" w:cs="Arial"/>
                                <w:color w:val="000000" w:themeColor="text1"/>
                              </w:rPr>
                              <w:t xml:space="preserve"> said institution</w:t>
                            </w:r>
                            <w:r>
                              <w:rPr>
                                <w:rFonts w:ascii="Arial" w:hAnsi="Arial" w:cs="Arial"/>
                                <w:color w:val="000000" w:themeColor="text1"/>
                              </w:rPr>
                              <w:t xml:space="preserve">. It can prove to worsen the emotional state of some dementia patients and decrease their cognitive ability </w:t>
                            </w:r>
                            <w:sdt>
                              <w:sdtPr>
                                <w:rPr>
                                  <w:rFonts w:ascii="Arial" w:hAnsi="Arial" w:cs="Arial"/>
                                  <w:color w:val="000000" w:themeColor="text1"/>
                                </w:rPr>
                                <w:id w:val="-1500346752"/>
                                <w:citation/>
                              </w:sdtPr>
                              <w:sdtContent>
                                <w:r>
                                  <w:rPr>
                                    <w:rFonts w:ascii="Arial" w:hAnsi="Arial" w:cs="Arial"/>
                                    <w:color w:val="000000" w:themeColor="text1"/>
                                  </w:rPr>
                                  <w:fldChar w:fldCharType="begin"/>
                                </w:r>
                                <w:r>
                                  <w:rPr>
                                    <w:rFonts w:ascii="Arial" w:hAnsi="Arial" w:cs="Arial"/>
                                    <w:color w:val="000000" w:themeColor="text1"/>
                                  </w:rPr>
                                  <w:instrText xml:space="preserve"> CITATION LBa11 \l 2057 </w:instrText>
                                </w:r>
                                <w:r>
                                  <w:rPr>
                                    <w:rFonts w:ascii="Arial" w:hAnsi="Arial" w:cs="Arial"/>
                                    <w:color w:val="000000" w:themeColor="text1"/>
                                  </w:rPr>
                                  <w:fldChar w:fldCharType="separate"/>
                                </w:r>
                                <w:r w:rsidRPr="001A2788">
                                  <w:rPr>
                                    <w:rFonts w:ascii="Arial" w:hAnsi="Arial" w:cs="Arial"/>
                                    <w:noProof/>
                                    <w:color w:val="000000" w:themeColor="text1"/>
                                  </w:rPr>
                                  <w:t>(L, et al., 2011)</w:t>
                                </w:r>
                                <w:r>
                                  <w:rPr>
                                    <w:rFonts w:ascii="Arial" w:hAnsi="Arial" w:cs="Arial"/>
                                    <w:color w:val="000000" w:themeColor="text1"/>
                                  </w:rPr>
                                  <w:fldChar w:fldCharType="end"/>
                                </w:r>
                              </w:sdtContent>
                            </w:sdt>
                            <w:r>
                              <w:rPr>
                                <w:rFonts w:ascii="Arial" w:hAnsi="Arial" w:cs="Arial"/>
                                <w:color w:val="000000" w:themeColor="text1"/>
                              </w:rPr>
                              <w:t>.</w:t>
                            </w:r>
                            <w:r w:rsidRPr="001A2788">
                              <w:rPr>
                                <w:rFonts w:ascii="Arial" w:hAnsi="Arial" w:cs="Arial"/>
                                <w:color w:val="000000" w:themeColor="text1"/>
                              </w:rPr>
                              <w:t xml:space="preserve"> </w:t>
                            </w:r>
                          </w:p>
                          <w:p w14:paraId="31189D97" w14:textId="18627157" w:rsidR="00DA0AB9" w:rsidRDefault="00DA0AB9" w:rsidP="00DA0AB9">
                            <w:pPr>
                              <w:rPr>
                                <w:rFonts w:ascii="Arial" w:hAnsi="Arial" w:cs="Arial"/>
                                <w:b/>
                                <w:bCs/>
                                <w:color w:val="000000" w:themeColor="text1"/>
                              </w:rPr>
                            </w:pPr>
                          </w:p>
                          <w:p w14:paraId="13A2D506" w14:textId="77777777" w:rsidR="00DA0AB9" w:rsidRDefault="00DA0AB9" w:rsidP="00CB5AAD">
                            <w:pPr>
                              <w:jc w:val="center"/>
                              <w:rPr>
                                <w:rFonts w:ascii="Arial" w:hAnsi="Arial" w:cs="Arial"/>
                                <w:b/>
                                <w:bCs/>
                                <w:color w:val="000000" w:themeColor="text1"/>
                              </w:rPr>
                            </w:pPr>
                          </w:p>
                          <w:p w14:paraId="5629A435" w14:textId="77777777" w:rsidR="00CB5AAD" w:rsidRDefault="00CB5AAD" w:rsidP="00CB5AAD">
                            <w:pPr>
                              <w:jc w:val="center"/>
                              <w:rPr>
                                <w:rFonts w:ascii="Arial" w:hAnsi="Arial" w:cs="Arial"/>
                                <w:b/>
                                <w:bCs/>
                                <w:color w:val="000000" w:themeColor="text1"/>
                              </w:rPr>
                            </w:pPr>
                          </w:p>
                          <w:p w14:paraId="293C9D07" w14:textId="77777777" w:rsidR="00CB5AAD" w:rsidRPr="00CB5AAD" w:rsidRDefault="00CB5AAD" w:rsidP="00CB5AAD">
                            <w:pP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F1F5F6" id="Rectangle 3" o:spid="_x0000_s1026" style="position:absolute;margin-left:345.8pt;margin-top:15.95pt;width:343pt;height:26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" fillcolor="#acb9ca [1311]" strokecolor="#525252 [1606]" strokeweight="1pt">
                <v:textbox>
                  <w:txbxContent>
                    <w:p w14:paraId="5989909B" w14:textId="48AB4BB6" w:rsidR="00CB5AAD" w:rsidRDefault="00CB5AAD" w:rsidP="00DA0AB9">
                      <w:pPr>
                        <w:rPr>
                          <w:rFonts w:ascii="Arial" w:hAnsi="Arial" w:cs="Arial"/>
                          <w:b/>
                          <w:bCs/>
                          <w:color w:val="000000" w:themeColor="text1"/>
                        </w:rPr>
                      </w:pPr>
                      <w:r w:rsidRPr="00DA2349">
                        <w:rPr>
                          <w:rFonts w:ascii="Arial" w:hAnsi="Arial" w:cs="Arial"/>
                          <w:b/>
                          <w:bCs/>
                          <w:color w:val="000000" w:themeColor="text1"/>
                          <w:sz w:val="24"/>
                          <w:szCs w:val="24"/>
                        </w:rPr>
                        <w:t>Institutions</w:t>
                      </w:r>
                      <w:r>
                        <w:rPr>
                          <w:rFonts w:ascii="Arial" w:hAnsi="Arial" w:cs="Arial"/>
                          <w:b/>
                          <w:bCs/>
                          <w:color w:val="000000" w:themeColor="text1"/>
                        </w:rPr>
                        <w:t>:</w:t>
                      </w:r>
                    </w:p>
                    <w:p w14:paraId="6E844F4B" w14:textId="46B90388" w:rsidR="00CB5AAD" w:rsidRPr="001A2788" w:rsidRDefault="00CB5AAD" w:rsidP="00DA0AB9">
                      <w:pPr>
                        <w:rPr>
                          <w:rFonts w:ascii="Arial" w:hAnsi="Arial" w:cs="Arial"/>
                          <w:color w:val="000000" w:themeColor="text1"/>
                        </w:rPr>
                      </w:pPr>
                      <w:r w:rsidRPr="001A2788">
                        <w:rPr>
                          <w:rFonts w:ascii="Arial" w:hAnsi="Arial" w:cs="Arial"/>
                          <w:color w:val="000000" w:themeColor="text1"/>
                        </w:rPr>
                        <w:t>A care home is suitable for patients with Alzheimer’s as it can produce good results</w:t>
                      </w:r>
                      <w:r w:rsidR="00DA0AB9" w:rsidRPr="001A2788">
                        <w:rPr>
                          <w:rFonts w:ascii="Arial" w:hAnsi="Arial" w:cs="Arial"/>
                          <w:color w:val="000000" w:themeColor="text1"/>
                        </w:rPr>
                        <w:t xml:space="preserve">. This is because of the routine maintained in a care home which helps with their emotional and mental state </w:t>
                      </w:r>
                      <w:sdt>
                        <w:sdtPr>
                          <w:rPr>
                            <w:rFonts w:ascii="Arial" w:hAnsi="Arial" w:cs="Arial"/>
                            <w:color w:val="000000" w:themeColor="text1"/>
                          </w:rPr>
                          <w:id w:val="1671907267"/>
                          <w:citation/>
                        </w:sdtPr>
                        <w:sdtContent>
                          <w:r w:rsidR="00DA0AB9" w:rsidRPr="001A2788">
                            <w:rPr>
                              <w:rFonts w:ascii="Arial" w:hAnsi="Arial" w:cs="Arial"/>
                              <w:color w:val="000000" w:themeColor="text1"/>
                            </w:rPr>
                            <w:fldChar w:fldCharType="begin"/>
                          </w:r>
                          <w:r w:rsidR="00DA0AB9" w:rsidRPr="001A2788">
                            <w:rPr>
                              <w:rFonts w:ascii="Arial" w:hAnsi="Arial" w:cs="Arial"/>
                              <w:color w:val="000000" w:themeColor="text1"/>
                            </w:rPr>
                            <w:instrText xml:space="preserve"> CITATION Hoe18 \l 2057 </w:instrText>
                          </w:r>
                          <w:r w:rsidR="00DA0AB9" w:rsidRPr="001A2788">
                            <w:rPr>
                              <w:rFonts w:ascii="Arial" w:hAnsi="Arial" w:cs="Arial"/>
                              <w:color w:val="000000" w:themeColor="text1"/>
                            </w:rPr>
                            <w:fldChar w:fldCharType="separate"/>
                          </w:r>
                          <w:r w:rsidR="00DA0AB9" w:rsidRPr="001A2788">
                            <w:rPr>
                              <w:rFonts w:ascii="Arial" w:hAnsi="Arial" w:cs="Arial"/>
                              <w:noProof/>
                              <w:color w:val="000000" w:themeColor="text1"/>
                            </w:rPr>
                            <w:t>(Hoe, et al., 2018)</w:t>
                          </w:r>
                          <w:r w:rsidR="00DA0AB9" w:rsidRPr="001A2788">
                            <w:rPr>
                              <w:rFonts w:ascii="Arial" w:hAnsi="Arial" w:cs="Arial"/>
                              <w:color w:val="000000" w:themeColor="text1"/>
                            </w:rPr>
                            <w:fldChar w:fldCharType="end"/>
                          </w:r>
                        </w:sdtContent>
                      </w:sdt>
                      <w:r w:rsidR="001A2788">
                        <w:rPr>
                          <w:rFonts w:ascii="Arial" w:hAnsi="Arial" w:cs="Arial"/>
                          <w:color w:val="000000" w:themeColor="text1"/>
                        </w:rPr>
                        <w:t>.</w:t>
                      </w:r>
                    </w:p>
                    <w:p w14:paraId="51398115" w14:textId="2619E264" w:rsidR="001A2788" w:rsidRDefault="001A2788" w:rsidP="00DA0AB9">
                      <w:pPr>
                        <w:rPr>
                          <w:rFonts w:ascii="Arial" w:hAnsi="Arial" w:cs="Arial"/>
                          <w:b/>
                          <w:bCs/>
                          <w:color w:val="000000" w:themeColor="text1"/>
                        </w:rPr>
                      </w:pPr>
                    </w:p>
                    <w:p w14:paraId="4A0ECF0C" w14:textId="35382A3C" w:rsidR="001A2788" w:rsidRPr="001A2788" w:rsidRDefault="001A2788" w:rsidP="00DA0AB9">
                      <w:pPr>
                        <w:rPr>
                          <w:rFonts w:ascii="Arial" w:hAnsi="Arial" w:cs="Arial"/>
                          <w:color w:val="000000" w:themeColor="text1"/>
                        </w:rPr>
                      </w:pPr>
                      <w:r w:rsidRPr="001A2788">
                        <w:rPr>
                          <w:rFonts w:ascii="Arial" w:hAnsi="Arial" w:cs="Arial"/>
                          <w:color w:val="000000" w:themeColor="text1"/>
                        </w:rPr>
                        <w:t>However, this can also be the opposite depending on the treatment given</w:t>
                      </w:r>
                      <w:r>
                        <w:rPr>
                          <w:rFonts w:ascii="Arial" w:hAnsi="Arial" w:cs="Arial"/>
                          <w:color w:val="000000" w:themeColor="text1"/>
                        </w:rPr>
                        <w:t xml:space="preserve"> by</w:t>
                      </w:r>
                      <w:r w:rsidRPr="001A2788">
                        <w:rPr>
                          <w:rFonts w:ascii="Arial" w:hAnsi="Arial" w:cs="Arial"/>
                          <w:color w:val="000000" w:themeColor="text1"/>
                        </w:rPr>
                        <w:t xml:space="preserve"> said institution</w:t>
                      </w:r>
                      <w:r>
                        <w:rPr>
                          <w:rFonts w:ascii="Arial" w:hAnsi="Arial" w:cs="Arial"/>
                          <w:color w:val="000000" w:themeColor="text1"/>
                        </w:rPr>
                        <w:t xml:space="preserve">. It can prove to worsen the emotional state of some dementia patients and decrease their cognitive ability </w:t>
                      </w:r>
                      <w:sdt>
                        <w:sdtPr>
                          <w:rPr>
                            <w:rFonts w:ascii="Arial" w:hAnsi="Arial" w:cs="Arial"/>
                            <w:color w:val="000000" w:themeColor="text1"/>
                          </w:rPr>
                          <w:id w:val="-1500346752"/>
                          <w:citation/>
                        </w:sdtPr>
                        <w:sdtContent>
                          <w:r>
                            <w:rPr>
                              <w:rFonts w:ascii="Arial" w:hAnsi="Arial" w:cs="Arial"/>
                              <w:color w:val="000000" w:themeColor="text1"/>
                            </w:rPr>
                            <w:fldChar w:fldCharType="begin"/>
                          </w:r>
                          <w:r>
                            <w:rPr>
                              <w:rFonts w:ascii="Arial" w:hAnsi="Arial" w:cs="Arial"/>
                              <w:color w:val="000000" w:themeColor="text1"/>
                            </w:rPr>
                            <w:instrText xml:space="preserve"> CITATION LBa11 \l 2057 </w:instrText>
                          </w:r>
                          <w:r>
                            <w:rPr>
                              <w:rFonts w:ascii="Arial" w:hAnsi="Arial" w:cs="Arial"/>
                              <w:color w:val="000000" w:themeColor="text1"/>
                            </w:rPr>
                            <w:fldChar w:fldCharType="separate"/>
                          </w:r>
                          <w:r w:rsidRPr="001A2788">
                            <w:rPr>
                              <w:rFonts w:ascii="Arial" w:hAnsi="Arial" w:cs="Arial"/>
                              <w:noProof/>
                              <w:color w:val="000000" w:themeColor="text1"/>
                            </w:rPr>
                            <w:t>(L, et al., 2011)</w:t>
                          </w:r>
                          <w:r>
                            <w:rPr>
                              <w:rFonts w:ascii="Arial" w:hAnsi="Arial" w:cs="Arial"/>
                              <w:color w:val="000000" w:themeColor="text1"/>
                            </w:rPr>
                            <w:fldChar w:fldCharType="end"/>
                          </w:r>
                        </w:sdtContent>
                      </w:sdt>
                      <w:r>
                        <w:rPr>
                          <w:rFonts w:ascii="Arial" w:hAnsi="Arial" w:cs="Arial"/>
                          <w:color w:val="000000" w:themeColor="text1"/>
                        </w:rPr>
                        <w:t>.</w:t>
                      </w:r>
                      <w:r w:rsidRPr="001A2788">
                        <w:rPr>
                          <w:rFonts w:ascii="Arial" w:hAnsi="Arial" w:cs="Arial"/>
                          <w:color w:val="000000" w:themeColor="text1"/>
                        </w:rPr>
                        <w:t xml:space="preserve"> </w:t>
                      </w:r>
                    </w:p>
                    <w:p w14:paraId="31189D97" w14:textId="18627157" w:rsidR="00DA0AB9" w:rsidRDefault="00DA0AB9" w:rsidP="00DA0AB9">
                      <w:pPr>
                        <w:rPr>
                          <w:rFonts w:ascii="Arial" w:hAnsi="Arial" w:cs="Arial"/>
                          <w:b/>
                          <w:bCs/>
                          <w:color w:val="000000" w:themeColor="text1"/>
                        </w:rPr>
                      </w:pPr>
                    </w:p>
                    <w:p w14:paraId="13A2D506" w14:textId="77777777" w:rsidR="00DA0AB9" w:rsidRDefault="00DA0AB9" w:rsidP="00CB5AAD">
                      <w:pPr>
                        <w:jc w:val="center"/>
                        <w:rPr>
                          <w:rFonts w:ascii="Arial" w:hAnsi="Arial" w:cs="Arial"/>
                          <w:b/>
                          <w:bCs/>
                          <w:color w:val="000000" w:themeColor="text1"/>
                        </w:rPr>
                      </w:pPr>
                    </w:p>
                    <w:p w14:paraId="5629A435" w14:textId="77777777" w:rsidR="00CB5AAD" w:rsidRDefault="00CB5AAD" w:rsidP="00CB5AAD">
                      <w:pPr>
                        <w:jc w:val="center"/>
                        <w:rPr>
                          <w:rFonts w:ascii="Arial" w:hAnsi="Arial" w:cs="Arial"/>
                          <w:b/>
                          <w:bCs/>
                          <w:color w:val="000000" w:themeColor="text1"/>
                        </w:rPr>
                      </w:pPr>
                    </w:p>
                    <w:p w14:paraId="293C9D07" w14:textId="77777777" w:rsidR="00CB5AAD" w:rsidRPr="00CB5AAD" w:rsidRDefault="00CB5AAD" w:rsidP="00CB5AAD">
                      <w:pPr>
                        <w:rPr>
                          <w:b/>
                          <w:bCs/>
                          <w:color w:val="000000" w:themeColor="text1"/>
                        </w:rPr>
                      </w:pPr>
                    </w:p>
                  </w:txbxContent>
                </v:textbox>
                <w10:wrap type="square"/>
              </v:rect>
            </w:pict>
          </mc:Fallback>
        </mc:AlternateContent>
      </w:r>
    </w:p>
    <w:p w14:paraId="00F902A1" w14:textId="518E9F97" w:rsidR="00252D93" w:rsidRDefault="00252D93" w:rsidP="003E19F6">
      <w:pPr>
        <w:rPr>
          <w:rFonts w:ascii="Arial" w:hAnsi="Arial" w:cs="Arial"/>
          <w:b/>
          <w:bCs/>
        </w:rPr>
      </w:pPr>
      <w:r>
        <w:rPr>
          <w:rFonts w:ascii="Arial" w:hAnsi="Arial" w:cs="Arial"/>
          <w:b/>
          <w:bCs/>
        </w:rPr>
        <w:t>What age dementia comes about?</w:t>
      </w:r>
    </w:p>
    <w:p w14:paraId="30E3F253" w14:textId="7ABFB3EA" w:rsidR="00252D93" w:rsidRDefault="00252D93" w:rsidP="003E19F6">
      <w:pPr>
        <w:rPr>
          <w:rFonts w:ascii="Arial" w:hAnsi="Arial" w:cs="Arial"/>
        </w:rPr>
      </w:pPr>
      <w:r>
        <w:rPr>
          <w:rFonts w:ascii="Arial" w:hAnsi="Arial" w:cs="Arial"/>
        </w:rPr>
        <w:t>It is most common for dementia to take affect on people when they are in their 60’s as they are more vulnerable to it.</w:t>
      </w:r>
      <w:r w:rsidR="00974BE0">
        <w:rPr>
          <w:rFonts w:ascii="Arial" w:hAnsi="Arial" w:cs="Arial"/>
        </w:rPr>
        <w:t xml:space="preserve"> It is said that an elderly person’s brain is not as strong as that of a young person </w:t>
      </w:r>
      <w:sdt>
        <w:sdtPr>
          <w:rPr>
            <w:rFonts w:ascii="Arial" w:hAnsi="Arial" w:cs="Arial"/>
          </w:rPr>
          <w:id w:val="1985660869"/>
          <w:citation/>
        </w:sdtPr>
        <w:sdtContent>
          <w:r w:rsidR="00974BE0">
            <w:rPr>
              <w:rFonts w:ascii="Arial" w:hAnsi="Arial" w:cs="Arial"/>
            </w:rPr>
            <w:fldChar w:fldCharType="begin"/>
          </w:r>
          <w:r w:rsidR="00974BE0">
            <w:rPr>
              <w:rFonts w:ascii="Arial" w:hAnsi="Arial" w:cs="Arial"/>
            </w:rPr>
            <w:instrText xml:space="preserve"> CITATION Sav09 \l 2057 </w:instrText>
          </w:r>
          <w:r w:rsidR="00974BE0">
            <w:rPr>
              <w:rFonts w:ascii="Arial" w:hAnsi="Arial" w:cs="Arial"/>
            </w:rPr>
            <w:fldChar w:fldCharType="separate"/>
          </w:r>
          <w:r w:rsidR="00974BE0" w:rsidRPr="00974BE0">
            <w:rPr>
              <w:rFonts w:ascii="Arial" w:hAnsi="Arial" w:cs="Arial"/>
              <w:noProof/>
            </w:rPr>
            <w:t>(Savva, et al., 2009)</w:t>
          </w:r>
          <w:r w:rsidR="00974BE0">
            <w:rPr>
              <w:rFonts w:ascii="Arial" w:hAnsi="Arial" w:cs="Arial"/>
            </w:rPr>
            <w:fldChar w:fldCharType="end"/>
          </w:r>
        </w:sdtContent>
      </w:sdt>
    </w:p>
    <w:p w14:paraId="418FFF1C" w14:textId="79AE49A9" w:rsidR="001A2788" w:rsidRDefault="001A2788" w:rsidP="003E19F6">
      <w:pPr>
        <w:rPr>
          <w:rFonts w:ascii="Arial" w:hAnsi="Arial" w:cs="Arial"/>
        </w:rPr>
      </w:pPr>
    </w:p>
    <w:p w14:paraId="2E4CE14A" w14:textId="27CE3DEF" w:rsidR="007F3377" w:rsidRDefault="007F3377" w:rsidP="003E19F6">
      <w:pPr>
        <w:rPr>
          <w:rFonts w:ascii="Arial" w:hAnsi="Arial" w:cs="Arial"/>
          <w:b/>
          <w:bCs/>
        </w:rPr>
      </w:pPr>
      <w:r w:rsidRPr="007F3377">
        <w:rPr>
          <w:rFonts w:ascii="Arial" w:hAnsi="Arial" w:cs="Arial"/>
          <w:b/>
          <w:bCs/>
        </w:rPr>
        <w:t>Advocacy:</w:t>
      </w:r>
    </w:p>
    <w:p w14:paraId="2E2ACB33" w14:textId="650EB8A4" w:rsidR="007F3377" w:rsidRDefault="00B26D8C" w:rsidP="003E19F6">
      <w:pPr>
        <w:rPr>
          <w:rFonts w:ascii="Arial" w:hAnsi="Arial" w:cs="Arial"/>
        </w:rPr>
      </w:pPr>
      <w:r>
        <w:rPr>
          <w:rFonts w:ascii="Arial" w:hAnsi="Arial" w:cs="Arial"/>
        </w:rPr>
        <w:t>Advocacy is when a person speaks and acts on behalf of another individual expressing their best interests. The advocate will stand up for the rights to which the person believes in while using that person’s experience and views on the matter</w:t>
      </w:r>
      <w:sdt>
        <w:sdtPr>
          <w:rPr>
            <w:rFonts w:ascii="Arial" w:hAnsi="Arial" w:cs="Arial"/>
          </w:rPr>
          <w:id w:val="-672345986"/>
          <w:citation/>
        </w:sdtPr>
        <w:sdtContent>
          <w:r>
            <w:rPr>
              <w:rFonts w:ascii="Arial" w:hAnsi="Arial" w:cs="Arial"/>
            </w:rPr>
            <w:fldChar w:fldCharType="begin"/>
          </w:r>
          <w:r>
            <w:rPr>
              <w:rFonts w:ascii="Arial" w:hAnsi="Arial" w:cs="Arial"/>
            </w:rPr>
            <w:instrText xml:space="preserve"> CITATION Gre97 \l 2057 </w:instrText>
          </w:r>
          <w:r>
            <w:rPr>
              <w:rFonts w:ascii="Arial" w:hAnsi="Arial" w:cs="Arial"/>
            </w:rPr>
            <w:fldChar w:fldCharType="separate"/>
          </w:r>
          <w:r>
            <w:rPr>
              <w:rFonts w:ascii="Arial" w:hAnsi="Arial" w:cs="Arial"/>
              <w:noProof/>
            </w:rPr>
            <w:t xml:space="preserve"> </w:t>
          </w:r>
          <w:r w:rsidRPr="00B26D8C">
            <w:rPr>
              <w:rFonts w:ascii="Arial" w:hAnsi="Arial" w:cs="Arial"/>
              <w:noProof/>
            </w:rPr>
            <w:t>(Greene, 1997)</w:t>
          </w:r>
          <w:r>
            <w:rPr>
              <w:rFonts w:ascii="Arial" w:hAnsi="Arial" w:cs="Arial"/>
            </w:rPr>
            <w:fldChar w:fldCharType="end"/>
          </w:r>
        </w:sdtContent>
      </w:sdt>
      <w:r>
        <w:rPr>
          <w:rFonts w:ascii="Arial" w:hAnsi="Arial" w:cs="Arial"/>
        </w:rPr>
        <w:t>.</w:t>
      </w:r>
    </w:p>
    <w:p w14:paraId="6195DE38" w14:textId="452CB3A2" w:rsidR="00B26D8C" w:rsidRDefault="00B26D8C" w:rsidP="003E19F6">
      <w:pPr>
        <w:rPr>
          <w:rFonts w:ascii="Arial" w:hAnsi="Arial" w:cs="Arial"/>
        </w:rPr>
      </w:pPr>
    </w:p>
    <w:p w14:paraId="0392B712" w14:textId="3C1B9F59" w:rsidR="00B26D8C" w:rsidRPr="007F3377" w:rsidRDefault="00B26D8C" w:rsidP="003E19F6">
      <w:pPr>
        <w:rPr>
          <w:rFonts w:ascii="Arial" w:hAnsi="Arial" w:cs="Arial"/>
        </w:rPr>
      </w:pPr>
    </w:p>
    <w:p w14:paraId="2CBF2E40" w14:textId="46372698" w:rsidR="00974BE0" w:rsidRDefault="00974BE0" w:rsidP="003E19F6">
      <w:pPr>
        <w:rPr>
          <w:rFonts w:ascii="Arial" w:hAnsi="Arial" w:cs="Arial"/>
          <w:b/>
          <w:bCs/>
        </w:rPr>
      </w:pPr>
    </w:p>
    <w:p w14:paraId="18BF1D95" w14:textId="77777777" w:rsidR="00974BE0" w:rsidRPr="00974BE0" w:rsidRDefault="00974BE0" w:rsidP="003E19F6">
      <w:pPr>
        <w:rPr>
          <w:rFonts w:ascii="Arial" w:hAnsi="Arial" w:cs="Arial"/>
        </w:rPr>
      </w:pPr>
    </w:p>
    <w:sdt>
      <w:sdtPr>
        <w:id w:val="185453824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E89E895" w14:textId="310D4B8A" w:rsidR="00F57D7A" w:rsidRDefault="00F57D7A">
          <w:pPr>
            <w:pStyle w:val="Heading1"/>
          </w:pPr>
          <w:r>
            <w:t>References</w:t>
          </w:r>
        </w:p>
        <w:p w14:paraId="6617C805" w14:textId="77777777" w:rsidR="00F57D7A" w:rsidRPr="00F57D7A" w:rsidRDefault="00F57D7A" w:rsidP="00F57D7A">
          <w:pPr>
            <w:rPr>
              <w:lang w:val="en-US"/>
            </w:rPr>
          </w:pPr>
        </w:p>
        <w:sdt>
          <w:sdtPr>
            <w:id w:val="-573587230"/>
            <w:bibliography/>
          </w:sdtPr>
          <w:sdtEndPr/>
          <w:sdtContent>
            <w:p w14:paraId="7E81BFAC" w14:textId="64816AD3" w:rsidR="00F57D7A" w:rsidRPr="00F57D7A" w:rsidRDefault="00F57D7A" w:rsidP="00F57D7A">
              <w:pPr>
                <w:pStyle w:val="Bibliography"/>
                <w:rPr>
                  <w:noProof/>
                  <w:lang w:val="en-US"/>
                </w:rPr>
              </w:pPr>
              <w:r w:rsidRPr="00F57D7A">
                <w:fldChar w:fldCharType="begin"/>
              </w:r>
              <w:r w:rsidRPr="00F57D7A">
                <w:instrText xml:space="preserve"> BIBLIOGRAPHY </w:instrText>
              </w:r>
              <w:r w:rsidRPr="00F57D7A">
                <w:fldChar w:fldCharType="separate"/>
              </w:r>
              <w:r w:rsidRPr="00F57D7A">
                <w:rPr>
                  <w:noProof/>
                  <w:lang w:val="en-US"/>
                </w:rPr>
                <w:t xml:space="preserve">Anon., 2018. </w:t>
              </w:r>
              <w:r w:rsidRPr="00F57D7A">
                <w:rPr>
                  <w:i/>
                  <w:iCs/>
                  <w:noProof/>
                  <w:lang w:val="en-US"/>
                </w:rPr>
                <w:t xml:space="preserve">Equality and Human Rights Commission. </w:t>
              </w:r>
              <w:r w:rsidRPr="00F57D7A">
                <w:rPr>
                  <w:noProof/>
                  <w:lang w:val="en-US"/>
                </w:rPr>
                <w:t xml:space="preserve">[Online] </w:t>
              </w:r>
              <w:r w:rsidRPr="00F57D7A">
                <w:rPr>
                  <w:noProof/>
                  <w:lang w:val="en-US"/>
                </w:rPr>
                <w:br/>
                <w:t xml:space="preserve">Available at: </w:t>
              </w:r>
              <w:r w:rsidRPr="00F57D7A">
                <w:rPr>
                  <w:noProof/>
                  <w:u w:val="single"/>
                  <w:lang w:val="en-US"/>
                </w:rPr>
                <w:t>www.equalityhumanrights.com/en/human-rights/human-rights-act</w:t>
              </w:r>
              <w:r w:rsidRPr="00F57D7A">
                <w:rPr>
                  <w:noProof/>
                  <w:lang w:val="en-US"/>
                </w:rPr>
                <w:br/>
                <w:t>[Accessed 16 March 2022].</w:t>
              </w:r>
            </w:p>
            <w:p w14:paraId="53EBFBD7" w14:textId="77777777" w:rsidR="00F57D7A" w:rsidRPr="00F57D7A" w:rsidRDefault="00F57D7A" w:rsidP="00F57D7A">
              <w:pPr>
                <w:rPr>
                  <w:lang w:val="en-US"/>
                </w:rPr>
              </w:pPr>
            </w:p>
            <w:p w14:paraId="52A31F6C" w14:textId="27BCCF6D" w:rsidR="00F57D7A" w:rsidRPr="00F57D7A" w:rsidRDefault="00F57D7A" w:rsidP="00F57D7A">
              <w:pPr>
                <w:pStyle w:val="Bibliography"/>
                <w:rPr>
                  <w:noProof/>
                  <w:lang w:val="en-US"/>
                </w:rPr>
              </w:pPr>
              <w:r w:rsidRPr="00F57D7A">
                <w:rPr>
                  <w:noProof/>
                  <w:lang w:val="en-US"/>
                </w:rPr>
                <w:t xml:space="preserve">Arvanitakis, Z. &amp; Bennett, D. A., 2019. What Is Dementia?. </w:t>
              </w:r>
              <w:r w:rsidRPr="00F57D7A">
                <w:rPr>
                  <w:i/>
                  <w:iCs/>
                  <w:noProof/>
                  <w:lang w:val="en-US"/>
                </w:rPr>
                <w:t xml:space="preserve">JAMA, </w:t>
              </w:r>
              <w:r w:rsidRPr="00F57D7A">
                <w:rPr>
                  <w:noProof/>
                  <w:lang w:val="en-US"/>
                </w:rPr>
                <w:t>322(17), pp. 1589-1599.</w:t>
              </w:r>
            </w:p>
            <w:p w14:paraId="116E5E05" w14:textId="77777777" w:rsidR="00F57D7A" w:rsidRPr="00F57D7A" w:rsidRDefault="00F57D7A" w:rsidP="00F57D7A">
              <w:pPr>
                <w:rPr>
                  <w:lang w:val="en-US"/>
                </w:rPr>
              </w:pPr>
            </w:p>
            <w:p w14:paraId="56F9487A" w14:textId="52199BFD" w:rsidR="00F57D7A" w:rsidRPr="00F57D7A" w:rsidRDefault="00F57D7A" w:rsidP="00F57D7A">
              <w:pPr>
                <w:pStyle w:val="Bibliography"/>
                <w:rPr>
                  <w:noProof/>
                  <w:lang w:val="en-US"/>
                </w:rPr>
              </w:pPr>
              <w:r w:rsidRPr="00F57D7A">
                <w:rPr>
                  <w:noProof/>
                  <w:lang w:val="en-US"/>
                </w:rPr>
                <w:t xml:space="preserve">Balestrino, R. &amp; Schapira, A., 2019. Parkinson disease. </w:t>
              </w:r>
              <w:r w:rsidRPr="00F57D7A">
                <w:rPr>
                  <w:i/>
                  <w:iCs/>
                  <w:noProof/>
                  <w:lang w:val="en-US"/>
                </w:rPr>
                <w:t xml:space="preserve">European Journal of neurology, </w:t>
              </w:r>
              <w:r w:rsidRPr="00F57D7A">
                <w:rPr>
                  <w:noProof/>
                  <w:lang w:val="en-US"/>
                </w:rPr>
                <w:t>27(1), pp. 27-42.</w:t>
              </w:r>
            </w:p>
            <w:p w14:paraId="3B821F43" w14:textId="77777777" w:rsidR="00F57D7A" w:rsidRPr="00F57D7A" w:rsidRDefault="00F57D7A" w:rsidP="00F57D7A">
              <w:pPr>
                <w:rPr>
                  <w:lang w:val="en-US"/>
                </w:rPr>
              </w:pPr>
            </w:p>
            <w:p w14:paraId="345E4CC8" w14:textId="09F62BD4" w:rsidR="00F57D7A" w:rsidRPr="00F57D7A" w:rsidRDefault="00F57D7A" w:rsidP="00F57D7A">
              <w:pPr>
                <w:pStyle w:val="Bibliography"/>
                <w:rPr>
                  <w:noProof/>
                  <w:lang w:val="en-US"/>
                </w:rPr>
              </w:pPr>
              <w:r w:rsidRPr="00F57D7A">
                <w:rPr>
                  <w:noProof/>
                  <w:lang w:val="en-US"/>
                </w:rPr>
                <w:t xml:space="preserve">Cerejeira, J., Lagarto, L. &amp; Ladinska, M., 2012. Behavioral and psychological symptoms of dementia. </w:t>
              </w:r>
              <w:r w:rsidRPr="00F57D7A">
                <w:rPr>
                  <w:i/>
                  <w:iCs/>
                  <w:noProof/>
                  <w:lang w:val="en-US"/>
                </w:rPr>
                <w:t xml:space="preserve">Frontiers in Neurology, </w:t>
              </w:r>
              <w:r w:rsidRPr="00F57D7A">
                <w:rPr>
                  <w:noProof/>
                  <w:lang w:val="en-US"/>
                </w:rPr>
                <w:t>Issue 1.</w:t>
              </w:r>
            </w:p>
            <w:p w14:paraId="43FC195D" w14:textId="77777777" w:rsidR="00F57D7A" w:rsidRPr="00F57D7A" w:rsidRDefault="00F57D7A" w:rsidP="00F57D7A">
              <w:pPr>
                <w:rPr>
                  <w:lang w:val="en-US"/>
                </w:rPr>
              </w:pPr>
            </w:p>
            <w:p w14:paraId="20B4740B" w14:textId="3965EB36" w:rsidR="00F57D7A" w:rsidRPr="00F57D7A" w:rsidRDefault="00F57D7A" w:rsidP="00F57D7A">
              <w:pPr>
                <w:pStyle w:val="Bibliography"/>
                <w:rPr>
                  <w:noProof/>
                  <w:lang w:val="en-US"/>
                </w:rPr>
              </w:pPr>
              <w:r w:rsidRPr="00F57D7A">
                <w:rPr>
                  <w:noProof/>
                  <w:lang w:val="en-US"/>
                </w:rPr>
                <w:t xml:space="preserve">Collinge, J., 1999. Variant Creutzfeldt-Jakob disease. </w:t>
              </w:r>
              <w:r w:rsidRPr="00F57D7A">
                <w:rPr>
                  <w:i/>
                  <w:iCs/>
                  <w:noProof/>
                  <w:lang w:val="en-US"/>
                </w:rPr>
                <w:t xml:space="preserve">The Lancet, </w:t>
              </w:r>
              <w:r w:rsidRPr="00F57D7A">
                <w:rPr>
                  <w:noProof/>
                  <w:lang w:val="en-US"/>
                </w:rPr>
                <w:t>354(9175), pp. 317-323.</w:t>
              </w:r>
            </w:p>
            <w:p w14:paraId="330C36CA" w14:textId="77777777" w:rsidR="00F57D7A" w:rsidRPr="00F57D7A" w:rsidRDefault="00F57D7A" w:rsidP="00F57D7A">
              <w:pPr>
                <w:rPr>
                  <w:lang w:val="en-US"/>
                </w:rPr>
              </w:pPr>
            </w:p>
            <w:p w14:paraId="45D4863D" w14:textId="545C42A7" w:rsidR="00F57D7A" w:rsidRDefault="00F57D7A" w:rsidP="00F57D7A">
              <w:pPr>
                <w:pStyle w:val="Bibliography"/>
                <w:rPr>
                  <w:noProof/>
                  <w:lang w:val="en-US"/>
                </w:rPr>
              </w:pPr>
              <w:r w:rsidRPr="00F57D7A">
                <w:rPr>
                  <w:noProof/>
                  <w:lang w:val="en-US"/>
                </w:rPr>
                <w:t xml:space="preserve">Cummings, J. L. &amp; Cole, G., 2002. Alzheimer Disease. </w:t>
              </w:r>
              <w:r w:rsidRPr="00F57D7A">
                <w:rPr>
                  <w:i/>
                  <w:iCs/>
                  <w:noProof/>
                  <w:lang w:val="en-US"/>
                </w:rPr>
                <w:t xml:space="preserve">JAMA, </w:t>
              </w:r>
              <w:r w:rsidRPr="00F57D7A">
                <w:rPr>
                  <w:noProof/>
                  <w:lang w:val="en-US"/>
                </w:rPr>
                <w:t>287(18), pp. 2335-2338.</w:t>
              </w:r>
            </w:p>
            <w:p w14:paraId="7275F3D4" w14:textId="77777777" w:rsidR="00F57D7A" w:rsidRPr="00F57D7A" w:rsidRDefault="00F57D7A" w:rsidP="00F57D7A">
              <w:pPr>
                <w:rPr>
                  <w:lang w:val="en-US"/>
                </w:rPr>
              </w:pPr>
            </w:p>
            <w:p w14:paraId="052EAD80" w14:textId="769EC550" w:rsidR="00F57D7A" w:rsidRPr="00F57D7A" w:rsidRDefault="00F57D7A" w:rsidP="00F57D7A">
              <w:pPr>
                <w:pStyle w:val="Bibliography"/>
                <w:rPr>
                  <w:noProof/>
                  <w:lang w:val="en-US"/>
                </w:rPr>
              </w:pPr>
              <w:r w:rsidRPr="00F57D7A">
                <w:rPr>
                  <w:noProof/>
                  <w:lang w:val="en-US"/>
                </w:rPr>
                <w:t xml:space="preserve">Davidoff, P., 2007. ADVOCACY AND PLURALISM IN PLANNING. </w:t>
              </w:r>
              <w:r w:rsidRPr="00F57D7A">
                <w:rPr>
                  <w:i/>
                  <w:iCs/>
                  <w:noProof/>
                  <w:lang w:val="en-US"/>
                </w:rPr>
                <w:t xml:space="preserve">Journal of the American Institute of Planners, </w:t>
              </w:r>
              <w:r w:rsidRPr="00F57D7A">
                <w:rPr>
                  <w:noProof/>
                  <w:lang w:val="en-US"/>
                </w:rPr>
                <w:t>31(4), pp. 331-338.</w:t>
              </w:r>
            </w:p>
            <w:p w14:paraId="44047769" w14:textId="77777777" w:rsidR="00F57D7A" w:rsidRPr="00F57D7A" w:rsidRDefault="00F57D7A" w:rsidP="00F57D7A">
              <w:pPr>
                <w:rPr>
                  <w:lang w:val="en-US"/>
                </w:rPr>
              </w:pPr>
            </w:p>
            <w:p w14:paraId="6AC2CB15" w14:textId="7A65DFF7" w:rsidR="00F57D7A" w:rsidRPr="00F57D7A" w:rsidRDefault="00F57D7A" w:rsidP="00F57D7A">
              <w:pPr>
                <w:pStyle w:val="Bibliography"/>
                <w:rPr>
                  <w:noProof/>
                  <w:lang w:val="en-US"/>
                </w:rPr>
              </w:pPr>
              <w:r w:rsidRPr="00F57D7A">
                <w:rPr>
                  <w:noProof/>
                  <w:lang w:val="en-US"/>
                </w:rPr>
                <w:t xml:space="preserve">Davis, K., Abrams, M. &amp; Stremikis, K., 2011. How the Affordable Care Act Will Strengthen the Nation's Primary Care Foundation. </w:t>
              </w:r>
              <w:r w:rsidRPr="00F57D7A">
                <w:rPr>
                  <w:i/>
                  <w:iCs/>
                  <w:noProof/>
                  <w:lang w:val="en-US"/>
                </w:rPr>
                <w:t xml:space="preserve">Journal of General Internal Medicine, </w:t>
              </w:r>
              <w:r w:rsidRPr="00F57D7A">
                <w:rPr>
                  <w:noProof/>
                  <w:lang w:val="en-US"/>
                </w:rPr>
                <w:t>Volume 26.</w:t>
              </w:r>
            </w:p>
            <w:p w14:paraId="314E0B5B" w14:textId="77777777" w:rsidR="00F57D7A" w:rsidRPr="00F57D7A" w:rsidRDefault="00F57D7A" w:rsidP="00F57D7A">
              <w:pPr>
                <w:rPr>
                  <w:lang w:val="en-US"/>
                </w:rPr>
              </w:pPr>
            </w:p>
            <w:p w14:paraId="4DF5DEB0" w14:textId="1A166905" w:rsidR="00F57D7A" w:rsidRPr="00F57D7A" w:rsidRDefault="00F57D7A" w:rsidP="00F57D7A">
              <w:pPr>
                <w:pStyle w:val="Bibliography"/>
                <w:rPr>
                  <w:noProof/>
                  <w:lang w:val="en-US"/>
                </w:rPr>
              </w:pPr>
              <w:r w:rsidRPr="00F57D7A">
                <w:rPr>
                  <w:noProof/>
                  <w:lang w:val="en-US"/>
                </w:rPr>
                <w:t xml:space="preserve">Geldmacher, D. S. &amp; Whitehouse, P. J., 1996. Evaluation of Dementia. </w:t>
              </w:r>
              <w:r w:rsidRPr="00F57D7A">
                <w:rPr>
                  <w:i/>
                  <w:iCs/>
                  <w:noProof/>
                  <w:lang w:val="en-US"/>
                </w:rPr>
                <w:t xml:space="preserve">The New England Journal of Medicine, </w:t>
              </w:r>
              <w:r w:rsidRPr="00F57D7A">
                <w:rPr>
                  <w:noProof/>
                  <w:lang w:val="en-US"/>
                </w:rPr>
                <w:t>335(1), pp. 330-336.</w:t>
              </w:r>
            </w:p>
            <w:p w14:paraId="68C798D1" w14:textId="77777777" w:rsidR="00F57D7A" w:rsidRPr="00F57D7A" w:rsidRDefault="00F57D7A" w:rsidP="00F57D7A">
              <w:pPr>
                <w:rPr>
                  <w:lang w:val="en-US"/>
                </w:rPr>
              </w:pPr>
            </w:p>
            <w:p w14:paraId="6C6CDBA7" w14:textId="71F4FE7B" w:rsidR="00F57D7A" w:rsidRPr="00F57D7A" w:rsidRDefault="00F57D7A" w:rsidP="00F57D7A">
              <w:pPr>
                <w:pStyle w:val="Bibliography"/>
                <w:rPr>
                  <w:noProof/>
                  <w:lang w:val="en-US"/>
                </w:rPr>
              </w:pPr>
              <w:r w:rsidRPr="00F57D7A">
                <w:rPr>
                  <w:noProof/>
                  <w:lang w:val="en-US"/>
                </w:rPr>
                <w:t xml:space="preserve">G, K. et al., 2010. Effects of a Physical Training Programme on Cognitive Function and Walking Efficiency in Elderly Persons with Dementia. </w:t>
              </w:r>
              <w:r w:rsidRPr="00F57D7A">
                <w:rPr>
                  <w:i/>
                  <w:iCs/>
                  <w:noProof/>
                  <w:lang w:val="en-US"/>
                </w:rPr>
                <w:t xml:space="preserve">Dement Geriatr Cogn Disord, </w:t>
              </w:r>
              <w:r w:rsidRPr="00F57D7A">
                <w:rPr>
                  <w:noProof/>
                  <w:lang w:val="en-US"/>
                </w:rPr>
                <w:t>29(1), pp. 109-114.</w:t>
              </w:r>
            </w:p>
            <w:p w14:paraId="5ED3B482" w14:textId="77777777" w:rsidR="00F57D7A" w:rsidRPr="00F57D7A" w:rsidRDefault="00F57D7A" w:rsidP="00F57D7A">
              <w:pPr>
                <w:rPr>
                  <w:lang w:val="en-US"/>
                </w:rPr>
              </w:pPr>
            </w:p>
            <w:p w14:paraId="27338E14" w14:textId="4C3E6603" w:rsidR="00F57D7A" w:rsidRPr="00F57D7A" w:rsidRDefault="00F57D7A" w:rsidP="00F57D7A">
              <w:pPr>
                <w:pStyle w:val="Bibliography"/>
                <w:rPr>
                  <w:noProof/>
                  <w:lang w:val="en-US"/>
                </w:rPr>
              </w:pPr>
              <w:r w:rsidRPr="00F57D7A">
                <w:rPr>
                  <w:noProof/>
                  <w:lang w:val="en-US"/>
                </w:rPr>
                <w:t xml:space="preserve">Greene, J. C., 1997. Evaluation as advocacy. </w:t>
              </w:r>
              <w:r w:rsidRPr="00F57D7A">
                <w:rPr>
                  <w:i/>
                  <w:iCs/>
                  <w:noProof/>
                  <w:lang w:val="en-US"/>
                </w:rPr>
                <w:t xml:space="preserve">Evaluation Practice, </w:t>
              </w:r>
              <w:r w:rsidRPr="00F57D7A">
                <w:rPr>
                  <w:noProof/>
                  <w:lang w:val="en-US"/>
                </w:rPr>
                <w:t>18(1), pp. 25-35.</w:t>
              </w:r>
            </w:p>
            <w:p w14:paraId="10DC6400" w14:textId="77777777" w:rsidR="00F57D7A" w:rsidRPr="00F57D7A" w:rsidRDefault="00F57D7A" w:rsidP="00F57D7A">
              <w:pPr>
                <w:rPr>
                  <w:lang w:val="en-US"/>
                </w:rPr>
              </w:pPr>
            </w:p>
            <w:p w14:paraId="7FDE6B34" w14:textId="7AC0DAEE" w:rsidR="00F57D7A" w:rsidRPr="00F57D7A" w:rsidRDefault="00F57D7A" w:rsidP="00F57D7A">
              <w:pPr>
                <w:pStyle w:val="Bibliography"/>
                <w:rPr>
                  <w:noProof/>
                  <w:lang w:val="en-US"/>
                </w:rPr>
              </w:pPr>
              <w:r w:rsidRPr="00F57D7A">
                <w:rPr>
                  <w:noProof/>
                  <w:lang w:val="en-US"/>
                </w:rPr>
                <w:t xml:space="preserve">Hoe, J., Hancock, G., Livingston, G. &amp; Orrell, M., 2018. Quality of life of people with dementia in residential care homes. </w:t>
              </w:r>
              <w:r w:rsidRPr="00F57D7A">
                <w:rPr>
                  <w:i/>
                  <w:iCs/>
                  <w:noProof/>
                  <w:lang w:val="en-US"/>
                </w:rPr>
                <w:t xml:space="preserve">The British Journal of Psychiatry, </w:t>
              </w:r>
              <w:r w:rsidRPr="00F57D7A">
                <w:rPr>
                  <w:noProof/>
                  <w:lang w:val="en-US"/>
                </w:rPr>
                <w:t>188(5), pp. 460-464.</w:t>
              </w:r>
            </w:p>
            <w:p w14:paraId="539BD864" w14:textId="77777777" w:rsidR="00F57D7A" w:rsidRPr="00F57D7A" w:rsidRDefault="00F57D7A" w:rsidP="00F57D7A">
              <w:pPr>
                <w:rPr>
                  <w:lang w:val="en-US"/>
                </w:rPr>
              </w:pPr>
            </w:p>
            <w:p w14:paraId="12C3B735" w14:textId="1CC95EF4" w:rsidR="00F57D7A" w:rsidRPr="00F57D7A" w:rsidRDefault="00F57D7A" w:rsidP="00F57D7A">
              <w:pPr>
                <w:pStyle w:val="Bibliography"/>
                <w:rPr>
                  <w:noProof/>
                  <w:lang w:val="en-US"/>
                </w:rPr>
              </w:pPr>
              <w:r w:rsidRPr="00F57D7A">
                <w:rPr>
                  <w:noProof/>
                  <w:lang w:val="en-US"/>
                </w:rPr>
                <w:t xml:space="preserve">Isenberg-Grzeda, E., Kutner, H. E. &amp; Nicolson, S. E., 2012. Wernicke-Korsakoff-Syndrome: Under-Recognized and Under-Treated. </w:t>
              </w:r>
              <w:r w:rsidRPr="00F57D7A">
                <w:rPr>
                  <w:i/>
                  <w:iCs/>
                  <w:noProof/>
                  <w:lang w:val="en-US"/>
                </w:rPr>
                <w:t xml:space="preserve">Psychosomatics, </w:t>
              </w:r>
              <w:r w:rsidRPr="00F57D7A">
                <w:rPr>
                  <w:noProof/>
                  <w:lang w:val="en-US"/>
                </w:rPr>
                <w:t>53(6), pp. 507-516.</w:t>
              </w:r>
            </w:p>
            <w:p w14:paraId="744C7C52" w14:textId="77777777" w:rsidR="00F57D7A" w:rsidRPr="00F57D7A" w:rsidRDefault="00F57D7A" w:rsidP="00F57D7A">
              <w:pPr>
                <w:rPr>
                  <w:lang w:val="en-US"/>
                </w:rPr>
              </w:pPr>
            </w:p>
            <w:p w14:paraId="795835E8" w14:textId="354A5325" w:rsidR="00F57D7A" w:rsidRPr="00F57D7A" w:rsidRDefault="00F57D7A" w:rsidP="00F57D7A">
              <w:pPr>
                <w:pStyle w:val="Bibliography"/>
                <w:rPr>
                  <w:noProof/>
                  <w:lang w:val="en-US"/>
                </w:rPr>
              </w:pPr>
              <w:r w:rsidRPr="00F57D7A">
                <w:rPr>
                  <w:noProof/>
                  <w:lang w:val="en-US"/>
                </w:rPr>
                <w:t xml:space="preserve">Jellinger, K. &amp; Attems, J., 2007. Neuropathological evaluation of mixed dementia. </w:t>
              </w:r>
              <w:r w:rsidRPr="00F57D7A">
                <w:rPr>
                  <w:i/>
                  <w:iCs/>
                  <w:noProof/>
                  <w:lang w:val="en-US"/>
                </w:rPr>
                <w:t xml:space="preserve">Journal of the Neurological Sciences, </w:t>
              </w:r>
              <w:r w:rsidRPr="00F57D7A">
                <w:rPr>
                  <w:noProof/>
                  <w:lang w:val="en-US"/>
                </w:rPr>
                <w:t>257(1-2), pp. 80-87.</w:t>
              </w:r>
            </w:p>
            <w:p w14:paraId="7F6487EE" w14:textId="77777777" w:rsidR="00F57D7A" w:rsidRPr="00F57D7A" w:rsidRDefault="00F57D7A" w:rsidP="00F57D7A">
              <w:pPr>
                <w:rPr>
                  <w:lang w:val="en-US"/>
                </w:rPr>
              </w:pPr>
            </w:p>
            <w:p w14:paraId="4818F453" w14:textId="4EBFBF54" w:rsidR="00F57D7A" w:rsidRPr="00F57D7A" w:rsidRDefault="00F57D7A" w:rsidP="00F57D7A">
              <w:pPr>
                <w:pStyle w:val="Bibliography"/>
                <w:rPr>
                  <w:noProof/>
                  <w:lang w:val="en-US"/>
                </w:rPr>
              </w:pPr>
              <w:r w:rsidRPr="00F57D7A">
                <w:rPr>
                  <w:noProof/>
                  <w:lang w:val="en-US"/>
                </w:rPr>
                <w:t xml:space="preserve">Kitwood, T., 1997. The experience of dementia. </w:t>
              </w:r>
              <w:r w:rsidRPr="00F57D7A">
                <w:rPr>
                  <w:i/>
                  <w:iCs/>
                  <w:noProof/>
                  <w:lang w:val="en-US"/>
                </w:rPr>
                <w:t xml:space="preserve">Aging and Mental Health, </w:t>
              </w:r>
              <w:r w:rsidRPr="00F57D7A">
                <w:rPr>
                  <w:noProof/>
                  <w:lang w:val="en-US"/>
                </w:rPr>
                <w:t>1(1), pp. 13-22.</w:t>
              </w:r>
            </w:p>
            <w:p w14:paraId="2D1BDBC0" w14:textId="77777777" w:rsidR="00F57D7A" w:rsidRPr="00F57D7A" w:rsidRDefault="00F57D7A" w:rsidP="00F57D7A">
              <w:pPr>
                <w:rPr>
                  <w:lang w:val="en-US"/>
                </w:rPr>
              </w:pPr>
            </w:p>
            <w:p w14:paraId="0061F57D" w14:textId="20CA0D40" w:rsidR="00F57D7A" w:rsidRPr="00F57D7A" w:rsidRDefault="00F57D7A" w:rsidP="00F57D7A">
              <w:pPr>
                <w:pStyle w:val="Bibliography"/>
                <w:rPr>
                  <w:noProof/>
                  <w:lang w:val="en-US"/>
                </w:rPr>
              </w:pPr>
              <w:r w:rsidRPr="00F57D7A">
                <w:rPr>
                  <w:noProof/>
                  <w:lang w:val="en-US"/>
                </w:rPr>
                <w:t xml:space="preserve">Korczyn, A. D., Vakhapova, V. &amp; Grinberg, L. T., 2012. Vascular dementia. </w:t>
              </w:r>
              <w:r w:rsidRPr="00F57D7A">
                <w:rPr>
                  <w:i/>
                  <w:iCs/>
                  <w:noProof/>
                  <w:lang w:val="en-US"/>
                </w:rPr>
                <w:t xml:space="preserve">Journal of the Neurological Sciences, </w:t>
              </w:r>
              <w:r w:rsidRPr="00F57D7A">
                <w:rPr>
                  <w:noProof/>
                  <w:lang w:val="en-US"/>
                </w:rPr>
                <w:t>322(1-2), pp. 2-10.</w:t>
              </w:r>
            </w:p>
            <w:p w14:paraId="026B0215" w14:textId="77777777" w:rsidR="00F57D7A" w:rsidRPr="00F57D7A" w:rsidRDefault="00F57D7A" w:rsidP="00F57D7A">
              <w:pPr>
                <w:rPr>
                  <w:lang w:val="en-US"/>
                </w:rPr>
              </w:pPr>
            </w:p>
            <w:p w14:paraId="49136E03" w14:textId="5E3B8B16" w:rsidR="00F57D7A" w:rsidRPr="00F57D7A" w:rsidRDefault="00F57D7A" w:rsidP="00F57D7A">
              <w:pPr>
                <w:pStyle w:val="Bibliography"/>
                <w:rPr>
                  <w:noProof/>
                  <w:lang w:val="en-US"/>
                </w:rPr>
              </w:pPr>
              <w:r w:rsidRPr="00F57D7A">
                <w:rPr>
                  <w:noProof/>
                  <w:lang w:val="en-US"/>
                </w:rPr>
                <w:t xml:space="preserve">L, B. M., K, E., J, L. &amp; G, S., 2011. Quality of Life among Elderly Patients with Dementia in Institutions. </w:t>
              </w:r>
              <w:r w:rsidRPr="00F57D7A">
                <w:rPr>
                  <w:i/>
                  <w:iCs/>
                  <w:noProof/>
                  <w:lang w:val="en-US"/>
                </w:rPr>
                <w:t xml:space="preserve">Dementia and Geriatric Cognitive Disorders, </w:t>
              </w:r>
              <w:r w:rsidRPr="00F57D7A">
                <w:rPr>
                  <w:noProof/>
                  <w:lang w:val="en-US"/>
                </w:rPr>
                <w:t>31(6), pp. 435-442.</w:t>
              </w:r>
            </w:p>
            <w:p w14:paraId="2D53B252" w14:textId="77777777" w:rsidR="00F57D7A" w:rsidRPr="00F57D7A" w:rsidRDefault="00F57D7A" w:rsidP="00F57D7A">
              <w:pPr>
                <w:rPr>
                  <w:lang w:val="en-US"/>
                </w:rPr>
              </w:pPr>
            </w:p>
            <w:p w14:paraId="09704C60" w14:textId="7EECD0C6" w:rsidR="00F57D7A" w:rsidRPr="00F57D7A" w:rsidRDefault="00F57D7A" w:rsidP="00F57D7A">
              <w:pPr>
                <w:pStyle w:val="Bibliography"/>
                <w:rPr>
                  <w:noProof/>
                  <w:lang w:val="en-US"/>
                </w:rPr>
              </w:pPr>
              <w:r w:rsidRPr="00F57D7A">
                <w:rPr>
                  <w:noProof/>
                  <w:lang w:val="en-US"/>
                </w:rPr>
                <w:t xml:space="preserve">Maund, S. &amp; Tinkler, P., 2017. </w:t>
              </w:r>
              <w:r w:rsidRPr="00F57D7A">
                <w:rPr>
                  <w:i/>
                  <w:iCs/>
                  <w:noProof/>
                  <w:lang w:val="en-US"/>
                </w:rPr>
                <w:t xml:space="preserve">Skills for the workplace student yearbook. </w:t>
              </w:r>
              <w:r w:rsidRPr="00F57D7A">
                <w:rPr>
                  <w:noProof/>
                  <w:lang w:val="en-US"/>
                </w:rPr>
                <w:t>1 ed. London: Sage Publications.</w:t>
              </w:r>
            </w:p>
            <w:p w14:paraId="5E1225BA" w14:textId="77777777" w:rsidR="00F57D7A" w:rsidRPr="00F57D7A" w:rsidRDefault="00F57D7A" w:rsidP="00F57D7A">
              <w:pPr>
                <w:rPr>
                  <w:lang w:val="en-US"/>
                </w:rPr>
              </w:pPr>
            </w:p>
            <w:p w14:paraId="342EB43A" w14:textId="793E3CB0" w:rsidR="00F57D7A" w:rsidRPr="00F57D7A" w:rsidRDefault="00F57D7A" w:rsidP="00F57D7A">
              <w:pPr>
                <w:pStyle w:val="Bibliography"/>
                <w:rPr>
                  <w:noProof/>
                  <w:lang w:val="en-US"/>
                </w:rPr>
              </w:pPr>
              <w:r w:rsidRPr="00F57D7A">
                <w:rPr>
                  <w:noProof/>
                  <w:lang w:val="en-US"/>
                </w:rPr>
                <w:t xml:space="preserve">Perng, C. H., Chang, Y. C. &amp; Tzang, R. F., 2018. The treatment of cognitive dysfunction in dementia: a multiple treatments meta-analysis. </w:t>
              </w:r>
              <w:r w:rsidRPr="00F57D7A">
                <w:rPr>
                  <w:i/>
                  <w:iCs/>
                  <w:noProof/>
                  <w:lang w:val="en-US"/>
                </w:rPr>
                <w:t xml:space="preserve">Psychopharmacology, </w:t>
              </w:r>
              <w:r w:rsidRPr="00F57D7A">
                <w:rPr>
                  <w:noProof/>
                  <w:lang w:val="en-US"/>
                </w:rPr>
                <w:t>235(1), p. 1571–1580.</w:t>
              </w:r>
            </w:p>
            <w:p w14:paraId="63AB3042" w14:textId="77777777" w:rsidR="00F57D7A" w:rsidRPr="00F57D7A" w:rsidRDefault="00F57D7A" w:rsidP="00F57D7A">
              <w:pPr>
                <w:rPr>
                  <w:lang w:val="en-US"/>
                </w:rPr>
              </w:pPr>
            </w:p>
            <w:p w14:paraId="7EC4D521" w14:textId="39674BCA" w:rsidR="00F57D7A" w:rsidRPr="00F57D7A" w:rsidRDefault="00F57D7A" w:rsidP="00F57D7A">
              <w:pPr>
                <w:pStyle w:val="Bibliography"/>
                <w:rPr>
                  <w:noProof/>
                  <w:lang w:val="en-US"/>
                </w:rPr>
              </w:pPr>
              <w:r w:rsidRPr="00F57D7A">
                <w:rPr>
                  <w:noProof/>
                  <w:lang w:val="en-US"/>
                </w:rPr>
                <w:t xml:space="preserve">Rock, M. H., Tak, E. C. &amp; Staats, P. G., 2001. Development and validation of the Observation List for early signs of Dementia. </w:t>
              </w:r>
              <w:r w:rsidRPr="00F57D7A">
                <w:rPr>
                  <w:i/>
                  <w:iCs/>
                  <w:noProof/>
                  <w:lang w:val="en-US"/>
                </w:rPr>
                <w:t xml:space="preserve">International journal of Geriatric Psychiatry, </w:t>
              </w:r>
              <w:r w:rsidRPr="00F57D7A">
                <w:rPr>
                  <w:noProof/>
                  <w:lang w:val="en-US"/>
                </w:rPr>
                <w:t>16(4), pp. 406-414.</w:t>
              </w:r>
            </w:p>
            <w:p w14:paraId="4AD348DE" w14:textId="77777777" w:rsidR="00F57D7A" w:rsidRPr="00F57D7A" w:rsidRDefault="00F57D7A" w:rsidP="00F57D7A">
              <w:pPr>
                <w:rPr>
                  <w:lang w:val="en-US"/>
                </w:rPr>
              </w:pPr>
            </w:p>
            <w:p w14:paraId="60315ECE" w14:textId="269F473D" w:rsidR="00F57D7A" w:rsidRPr="00F57D7A" w:rsidRDefault="00F57D7A" w:rsidP="00F57D7A">
              <w:pPr>
                <w:pStyle w:val="Bibliography"/>
                <w:rPr>
                  <w:noProof/>
                  <w:lang w:val="en-US"/>
                </w:rPr>
              </w:pPr>
              <w:r w:rsidRPr="00F57D7A">
                <w:rPr>
                  <w:noProof/>
                  <w:lang w:val="en-US"/>
                </w:rPr>
                <w:t xml:space="preserve">Savva, G. M. et al., 2009. Age, Neuropathology, and Dementia. </w:t>
              </w:r>
              <w:r w:rsidRPr="00F57D7A">
                <w:rPr>
                  <w:i/>
                  <w:iCs/>
                  <w:noProof/>
                  <w:lang w:val="en-US"/>
                </w:rPr>
                <w:t xml:space="preserve">The New England Journal of Medicine, </w:t>
              </w:r>
              <w:r w:rsidRPr="00F57D7A">
                <w:rPr>
                  <w:noProof/>
                  <w:lang w:val="en-US"/>
                </w:rPr>
                <w:t>360(1), pp. 2302-2309.</w:t>
              </w:r>
            </w:p>
            <w:p w14:paraId="477CB9CA" w14:textId="77777777" w:rsidR="00F57D7A" w:rsidRPr="00F57D7A" w:rsidRDefault="00F57D7A" w:rsidP="00F57D7A">
              <w:pPr>
                <w:rPr>
                  <w:lang w:val="en-US"/>
                </w:rPr>
              </w:pPr>
            </w:p>
            <w:p w14:paraId="610EDC93" w14:textId="16F050EE" w:rsidR="00F57D7A" w:rsidRPr="00F57D7A" w:rsidRDefault="00F57D7A" w:rsidP="00F57D7A">
              <w:pPr>
                <w:pStyle w:val="Bibliography"/>
                <w:rPr>
                  <w:noProof/>
                  <w:lang w:val="en-US"/>
                </w:rPr>
              </w:pPr>
              <w:r w:rsidRPr="00F57D7A">
                <w:rPr>
                  <w:noProof/>
                  <w:lang w:val="en-US"/>
                </w:rPr>
                <w:t xml:space="preserve">Snowden, J. S., Neary, D. &amp; Mann, D. M., 2018. Frontotemporal dementia. </w:t>
              </w:r>
              <w:r w:rsidRPr="00F57D7A">
                <w:rPr>
                  <w:i/>
                  <w:iCs/>
                  <w:noProof/>
                  <w:lang w:val="en-US"/>
                </w:rPr>
                <w:t xml:space="preserve">The British Journal of Psychiatry, </w:t>
              </w:r>
              <w:r w:rsidRPr="00F57D7A">
                <w:rPr>
                  <w:noProof/>
                  <w:lang w:val="en-US"/>
                </w:rPr>
                <w:t>180(2), pp. 140-143.</w:t>
              </w:r>
            </w:p>
            <w:p w14:paraId="1C5D6612" w14:textId="77777777" w:rsidR="00F57D7A" w:rsidRPr="00F57D7A" w:rsidRDefault="00F57D7A" w:rsidP="00F57D7A">
              <w:pPr>
                <w:rPr>
                  <w:lang w:val="en-US"/>
                </w:rPr>
              </w:pPr>
            </w:p>
            <w:p w14:paraId="1230E825" w14:textId="46218F70" w:rsidR="00F57D7A" w:rsidRPr="00F57D7A" w:rsidRDefault="00F57D7A" w:rsidP="00F57D7A">
              <w:pPr>
                <w:pStyle w:val="Bibliography"/>
                <w:rPr>
                  <w:noProof/>
                  <w:lang w:val="en-US"/>
                </w:rPr>
              </w:pPr>
              <w:r w:rsidRPr="00F57D7A">
                <w:rPr>
                  <w:noProof/>
                  <w:lang w:val="en-US"/>
                </w:rPr>
                <w:t xml:space="preserve">Srinkath, S. &amp; Ratnavalli, A. N., 2005. Neuropsychiatric symptoms in dementia-frequency, relationship to dementia severity and comparison in Alzheimer's disease, vascular dementia and frontotemporal dementia. </w:t>
              </w:r>
              <w:r w:rsidRPr="00F57D7A">
                <w:rPr>
                  <w:i/>
                  <w:iCs/>
                  <w:noProof/>
                  <w:lang w:val="en-US"/>
                </w:rPr>
                <w:t xml:space="preserve">Journal of the Neurological Sciences, </w:t>
              </w:r>
              <w:r w:rsidRPr="00F57D7A">
                <w:rPr>
                  <w:noProof/>
                  <w:lang w:val="en-US"/>
                </w:rPr>
                <w:t>236(1-2), pp. 43-48.</w:t>
              </w:r>
            </w:p>
            <w:p w14:paraId="10889FCB" w14:textId="77777777" w:rsidR="00F57D7A" w:rsidRPr="00F57D7A" w:rsidRDefault="00F57D7A" w:rsidP="00F57D7A">
              <w:pPr>
                <w:rPr>
                  <w:lang w:val="en-US"/>
                </w:rPr>
              </w:pPr>
            </w:p>
            <w:p w14:paraId="794686C4" w14:textId="6466FBFF" w:rsidR="00F57D7A" w:rsidRPr="00F57D7A" w:rsidRDefault="00F57D7A" w:rsidP="00F57D7A">
              <w:pPr>
                <w:pStyle w:val="Bibliography"/>
                <w:rPr>
                  <w:noProof/>
                  <w:lang w:val="en-US"/>
                </w:rPr>
              </w:pPr>
              <w:r w:rsidRPr="00F57D7A">
                <w:rPr>
                  <w:noProof/>
                  <w:lang w:val="en-US"/>
                </w:rPr>
                <w:t xml:space="preserve">Walker, Z., Possin, K. L., Boeve, B. F. &amp; Aarsland, D., 2015. Lewy body dementias. </w:t>
              </w:r>
              <w:r w:rsidRPr="00F57D7A">
                <w:rPr>
                  <w:i/>
                  <w:iCs/>
                  <w:noProof/>
                  <w:lang w:val="en-US"/>
                </w:rPr>
                <w:t xml:space="preserve">The Lancet, </w:t>
              </w:r>
              <w:r w:rsidRPr="00F57D7A">
                <w:rPr>
                  <w:noProof/>
                  <w:lang w:val="en-US"/>
                </w:rPr>
                <w:t>386(10004), pp. 1683-1697.</w:t>
              </w:r>
            </w:p>
            <w:p w14:paraId="5DDE49E4" w14:textId="77777777" w:rsidR="00F57D7A" w:rsidRPr="00F57D7A" w:rsidRDefault="00F57D7A" w:rsidP="00F57D7A">
              <w:pPr>
                <w:rPr>
                  <w:lang w:val="en-US"/>
                </w:rPr>
              </w:pPr>
            </w:p>
            <w:p w14:paraId="21ACF74E" w14:textId="77777777" w:rsidR="00F57D7A" w:rsidRPr="00F57D7A" w:rsidRDefault="00F57D7A" w:rsidP="00F57D7A">
              <w:pPr>
                <w:pStyle w:val="Bibliography"/>
                <w:rPr>
                  <w:noProof/>
                  <w:lang w:val="en-US"/>
                </w:rPr>
              </w:pPr>
              <w:r w:rsidRPr="00F57D7A">
                <w:rPr>
                  <w:noProof/>
                  <w:lang w:val="en-US"/>
                </w:rPr>
                <w:t xml:space="preserve">Zhang, X. &amp; Lin, H., 2021. Disengagement Theory. </w:t>
              </w:r>
              <w:r w:rsidRPr="00F57D7A">
                <w:rPr>
                  <w:i/>
                  <w:iCs/>
                  <w:noProof/>
                  <w:lang w:val="en-US"/>
                </w:rPr>
                <w:t xml:space="preserve">Encyclopedia of Gerontology and Population Aging, </w:t>
              </w:r>
              <w:r w:rsidRPr="00F57D7A">
                <w:rPr>
                  <w:noProof/>
                  <w:lang w:val="en-US"/>
                </w:rPr>
                <w:t>1(1), p. 40.</w:t>
              </w:r>
            </w:p>
            <w:p w14:paraId="5BAC4EDB" w14:textId="50CF52D1" w:rsidR="00F57D7A" w:rsidRDefault="00F57D7A" w:rsidP="00F57D7A">
              <w:r w:rsidRPr="00F57D7A">
                <w:rPr>
                  <w:b/>
                  <w:bCs/>
                  <w:noProof/>
                </w:rPr>
                <w:fldChar w:fldCharType="end"/>
              </w:r>
            </w:p>
          </w:sdtContent>
        </w:sdt>
      </w:sdtContent>
    </w:sdt>
    <w:p w14:paraId="389099A7" w14:textId="0FEA879D" w:rsidR="00F772D1" w:rsidRDefault="00F772D1" w:rsidP="003E19F6">
      <w:pPr>
        <w:rPr>
          <w:rFonts w:ascii="Arial" w:hAnsi="Arial" w:cs="Arial"/>
        </w:rPr>
      </w:pPr>
    </w:p>
    <w:p w14:paraId="5E45BDEB" w14:textId="3ED9197A" w:rsidR="00F772D1" w:rsidRPr="00386E10" w:rsidRDefault="00F772D1" w:rsidP="003E19F6">
      <w:pPr>
        <w:rPr>
          <w:rFonts w:ascii="Arial" w:hAnsi="Arial" w:cs="Arial"/>
        </w:rPr>
      </w:pPr>
    </w:p>
    <w:p w14:paraId="19D12CE2" w14:textId="3EB9FB57" w:rsidR="007A07BE" w:rsidRPr="007A07BE" w:rsidRDefault="007A07BE" w:rsidP="003E19F6">
      <w:pPr>
        <w:rPr>
          <w:rFonts w:ascii="Arial" w:hAnsi="Arial" w:cs="Arial"/>
          <w:b/>
          <w:bCs/>
        </w:rPr>
      </w:pPr>
    </w:p>
    <w:p w14:paraId="799E7BA0" w14:textId="20AF9A37" w:rsidR="007A07BE" w:rsidRPr="003E19F6" w:rsidRDefault="007A07BE" w:rsidP="003E19F6">
      <w:pPr>
        <w:rPr>
          <w:rFonts w:ascii="Arial" w:hAnsi="Arial" w:cs="Arial"/>
        </w:rPr>
      </w:pPr>
    </w:p>
    <w:p w14:paraId="6500C093" w14:textId="352F732D" w:rsidR="003E19F6" w:rsidRDefault="003E19F6">
      <w:pPr>
        <w:rPr>
          <w:rFonts w:ascii="Arial" w:hAnsi="Arial" w:cs="Arial"/>
        </w:rPr>
      </w:pPr>
    </w:p>
    <w:p w14:paraId="49FB7CF4" w14:textId="12A14C56" w:rsidR="003E19F6" w:rsidRPr="00C4593A" w:rsidRDefault="003E19F6">
      <w:pPr>
        <w:rPr>
          <w:rFonts w:ascii="Arial" w:hAnsi="Arial" w:cs="Arial"/>
        </w:rPr>
      </w:pPr>
      <w:r>
        <w:rPr>
          <w:rFonts w:ascii="Arial" w:hAnsi="Arial" w:cs="Arial"/>
        </w:rPr>
        <w:t xml:space="preserve"> </w:t>
      </w:r>
    </w:p>
    <w:p w14:paraId="0D29503D" w14:textId="77777777" w:rsidR="00C4593A" w:rsidRPr="00764E52" w:rsidRDefault="00C4593A">
      <w:pPr>
        <w:rPr>
          <w:rFonts w:ascii="Arial" w:hAnsi="Arial" w:cs="Arial"/>
        </w:rPr>
      </w:pPr>
    </w:p>
    <w:sectPr w:rsidR="00C4593A" w:rsidRPr="00764E52" w:rsidSect="007A07BE">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1A2BF" w14:textId="77777777" w:rsidR="004E39CE" w:rsidRDefault="004E39CE" w:rsidP="00F57D7A">
      <w:pPr>
        <w:spacing w:after="0" w:line="240" w:lineRule="auto"/>
      </w:pPr>
      <w:r>
        <w:separator/>
      </w:r>
    </w:p>
  </w:endnote>
  <w:endnote w:type="continuationSeparator" w:id="0">
    <w:p w14:paraId="22AA54BD" w14:textId="77777777" w:rsidR="004E39CE" w:rsidRDefault="004E39CE" w:rsidP="00F57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B8827" w14:textId="77777777" w:rsidR="004E39CE" w:rsidRDefault="004E39CE" w:rsidP="00F57D7A">
      <w:pPr>
        <w:spacing w:after="0" w:line="240" w:lineRule="auto"/>
      </w:pPr>
      <w:r>
        <w:separator/>
      </w:r>
    </w:p>
  </w:footnote>
  <w:footnote w:type="continuationSeparator" w:id="0">
    <w:p w14:paraId="08F798BC" w14:textId="77777777" w:rsidR="004E39CE" w:rsidRDefault="004E39CE" w:rsidP="00F57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7472C"/>
    <w:multiLevelType w:val="hybridMultilevel"/>
    <w:tmpl w:val="557CD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B5"/>
    <w:rsid w:val="00061E06"/>
    <w:rsid w:val="001A2788"/>
    <w:rsid w:val="00252D93"/>
    <w:rsid w:val="00316844"/>
    <w:rsid w:val="00386E10"/>
    <w:rsid w:val="003B7844"/>
    <w:rsid w:val="003E19F6"/>
    <w:rsid w:val="004E39CE"/>
    <w:rsid w:val="00764E52"/>
    <w:rsid w:val="007A07BE"/>
    <w:rsid w:val="007F3377"/>
    <w:rsid w:val="00974BE0"/>
    <w:rsid w:val="00B26D8C"/>
    <w:rsid w:val="00C4593A"/>
    <w:rsid w:val="00C83605"/>
    <w:rsid w:val="00CB5AAD"/>
    <w:rsid w:val="00D1684B"/>
    <w:rsid w:val="00DA0AB9"/>
    <w:rsid w:val="00DA2349"/>
    <w:rsid w:val="00DF06B5"/>
    <w:rsid w:val="00E21E6B"/>
    <w:rsid w:val="00F57D7A"/>
    <w:rsid w:val="00F77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BD13D"/>
  <w15:chartTrackingRefBased/>
  <w15:docId w15:val="{6A9A33ED-AB25-4A1E-AF05-D939B617F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7D7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9F6"/>
    <w:pPr>
      <w:ind w:left="720"/>
      <w:contextualSpacing/>
    </w:pPr>
  </w:style>
  <w:style w:type="character" w:customStyle="1" w:styleId="Heading1Char">
    <w:name w:val="Heading 1 Char"/>
    <w:basedOn w:val="DefaultParagraphFont"/>
    <w:link w:val="Heading1"/>
    <w:uiPriority w:val="9"/>
    <w:rsid w:val="00F57D7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7D7A"/>
  </w:style>
  <w:style w:type="paragraph" w:styleId="Header">
    <w:name w:val="header"/>
    <w:basedOn w:val="Normal"/>
    <w:link w:val="HeaderChar"/>
    <w:uiPriority w:val="99"/>
    <w:unhideWhenUsed/>
    <w:rsid w:val="00F57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D7A"/>
  </w:style>
  <w:style w:type="paragraph" w:styleId="Footer">
    <w:name w:val="footer"/>
    <w:basedOn w:val="Normal"/>
    <w:link w:val="FooterChar"/>
    <w:uiPriority w:val="99"/>
    <w:unhideWhenUsed/>
    <w:rsid w:val="00F57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6009">
      <w:bodyDiv w:val="1"/>
      <w:marLeft w:val="0"/>
      <w:marRight w:val="0"/>
      <w:marTop w:val="0"/>
      <w:marBottom w:val="0"/>
      <w:divBdr>
        <w:top w:val="none" w:sz="0" w:space="0" w:color="auto"/>
        <w:left w:val="none" w:sz="0" w:space="0" w:color="auto"/>
        <w:bottom w:val="none" w:sz="0" w:space="0" w:color="auto"/>
        <w:right w:val="none" w:sz="0" w:space="0" w:color="auto"/>
      </w:divBdr>
    </w:div>
    <w:div w:id="135998855">
      <w:bodyDiv w:val="1"/>
      <w:marLeft w:val="0"/>
      <w:marRight w:val="0"/>
      <w:marTop w:val="0"/>
      <w:marBottom w:val="0"/>
      <w:divBdr>
        <w:top w:val="none" w:sz="0" w:space="0" w:color="auto"/>
        <w:left w:val="none" w:sz="0" w:space="0" w:color="auto"/>
        <w:bottom w:val="none" w:sz="0" w:space="0" w:color="auto"/>
        <w:right w:val="none" w:sz="0" w:space="0" w:color="auto"/>
      </w:divBdr>
    </w:div>
    <w:div w:id="222256222">
      <w:bodyDiv w:val="1"/>
      <w:marLeft w:val="0"/>
      <w:marRight w:val="0"/>
      <w:marTop w:val="0"/>
      <w:marBottom w:val="0"/>
      <w:divBdr>
        <w:top w:val="none" w:sz="0" w:space="0" w:color="auto"/>
        <w:left w:val="none" w:sz="0" w:space="0" w:color="auto"/>
        <w:bottom w:val="none" w:sz="0" w:space="0" w:color="auto"/>
        <w:right w:val="none" w:sz="0" w:space="0" w:color="auto"/>
      </w:divBdr>
    </w:div>
    <w:div w:id="379524215">
      <w:bodyDiv w:val="1"/>
      <w:marLeft w:val="0"/>
      <w:marRight w:val="0"/>
      <w:marTop w:val="0"/>
      <w:marBottom w:val="0"/>
      <w:divBdr>
        <w:top w:val="none" w:sz="0" w:space="0" w:color="auto"/>
        <w:left w:val="none" w:sz="0" w:space="0" w:color="auto"/>
        <w:bottom w:val="none" w:sz="0" w:space="0" w:color="auto"/>
        <w:right w:val="none" w:sz="0" w:space="0" w:color="auto"/>
      </w:divBdr>
    </w:div>
    <w:div w:id="395082409">
      <w:bodyDiv w:val="1"/>
      <w:marLeft w:val="0"/>
      <w:marRight w:val="0"/>
      <w:marTop w:val="0"/>
      <w:marBottom w:val="0"/>
      <w:divBdr>
        <w:top w:val="none" w:sz="0" w:space="0" w:color="auto"/>
        <w:left w:val="none" w:sz="0" w:space="0" w:color="auto"/>
        <w:bottom w:val="none" w:sz="0" w:space="0" w:color="auto"/>
        <w:right w:val="none" w:sz="0" w:space="0" w:color="auto"/>
      </w:divBdr>
    </w:div>
    <w:div w:id="458379434">
      <w:bodyDiv w:val="1"/>
      <w:marLeft w:val="0"/>
      <w:marRight w:val="0"/>
      <w:marTop w:val="0"/>
      <w:marBottom w:val="0"/>
      <w:divBdr>
        <w:top w:val="none" w:sz="0" w:space="0" w:color="auto"/>
        <w:left w:val="none" w:sz="0" w:space="0" w:color="auto"/>
        <w:bottom w:val="none" w:sz="0" w:space="0" w:color="auto"/>
        <w:right w:val="none" w:sz="0" w:space="0" w:color="auto"/>
      </w:divBdr>
    </w:div>
    <w:div w:id="495804850">
      <w:bodyDiv w:val="1"/>
      <w:marLeft w:val="0"/>
      <w:marRight w:val="0"/>
      <w:marTop w:val="0"/>
      <w:marBottom w:val="0"/>
      <w:divBdr>
        <w:top w:val="none" w:sz="0" w:space="0" w:color="auto"/>
        <w:left w:val="none" w:sz="0" w:space="0" w:color="auto"/>
        <w:bottom w:val="none" w:sz="0" w:space="0" w:color="auto"/>
        <w:right w:val="none" w:sz="0" w:space="0" w:color="auto"/>
      </w:divBdr>
    </w:div>
    <w:div w:id="506292880">
      <w:bodyDiv w:val="1"/>
      <w:marLeft w:val="0"/>
      <w:marRight w:val="0"/>
      <w:marTop w:val="0"/>
      <w:marBottom w:val="0"/>
      <w:divBdr>
        <w:top w:val="none" w:sz="0" w:space="0" w:color="auto"/>
        <w:left w:val="none" w:sz="0" w:space="0" w:color="auto"/>
        <w:bottom w:val="none" w:sz="0" w:space="0" w:color="auto"/>
        <w:right w:val="none" w:sz="0" w:space="0" w:color="auto"/>
      </w:divBdr>
    </w:div>
    <w:div w:id="564413958">
      <w:bodyDiv w:val="1"/>
      <w:marLeft w:val="0"/>
      <w:marRight w:val="0"/>
      <w:marTop w:val="0"/>
      <w:marBottom w:val="0"/>
      <w:divBdr>
        <w:top w:val="none" w:sz="0" w:space="0" w:color="auto"/>
        <w:left w:val="none" w:sz="0" w:space="0" w:color="auto"/>
        <w:bottom w:val="none" w:sz="0" w:space="0" w:color="auto"/>
        <w:right w:val="none" w:sz="0" w:space="0" w:color="auto"/>
      </w:divBdr>
    </w:div>
    <w:div w:id="584874817">
      <w:bodyDiv w:val="1"/>
      <w:marLeft w:val="0"/>
      <w:marRight w:val="0"/>
      <w:marTop w:val="0"/>
      <w:marBottom w:val="0"/>
      <w:divBdr>
        <w:top w:val="none" w:sz="0" w:space="0" w:color="auto"/>
        <w:left w:val="none" w:sz="0" w:space="0" w:color="auto"/>
        <w:bottom w:val="none" w:sz="0" w:space="0" w:color="auto"/>
        <w:right w:val="none" w:sz="0" w:space="0" w:color="auto"/>
      </w:divBdr>
    </w:div>
    <w:div w:id="848838363">
      <w:bodyDiv w:val="1"/>
      <w:marLeft w:val="0"/>
      <w:marRight w:val="0"/>
      <w:marTop w:val="0"/>
      <w:marBottom w:val="0"/>
      <w:divBdr>
        <w:top w:val="none" w:sz="0" w:space="0" w:color="auto"/>
        <w:left w:val="none" w:sz="0" w:space="0" w:color="auto"/>
        <w:bottom w:val="none" w:sz="0" w:space="0" w:color="auto"/>
        <w:right w:val="none" w:sz="0" w:space="0" w:color="auto"/>
      </w:divBdr>
    </w:div>
    <w:div w:id="890652859">
      <w:bodyDiv w:val="1"/>
      <w:marLeft w:val="0"/>
      <w:marRight w:val="0"/>
      <w:marTop w:val="0"/>
      <w:marBottom w:val="0"/>
      <w:divBdr>
        <w:top w:val="none" w:sz="0" w:space="0" w:color="auto"/>
        <w:left w:val="none" w:sz="0" w:space="0" w:color="auto"/>
        <w:bottom w:val="none" w:sz="0" w:space="0" w:color="auto"/>
        <w:right w:val="none" w:sz="0" w:space="0" w:color="auto"/>
      </w:divBdr>
    </w:div>
    <w:div w:id="927032969">
      <w:bodyDiv w:val="1"/>
      <w:marLeft w:val="0"/>
      <w:marRight w:val="0"/>
      <w:marTop w:val="0"/>
      <w:marBottom w:val="0"/>
      <w:divBdr>
        <w:top w:val="none" w:sz="0" w:space="0" w:color="auto"/>
        <w:left w:val="none" w:sz="0" w:space="0" w:color="auto"/>
        <w:bottom w:val="none" w:sz="0" w:space="0" w:color="auto"/>
        <w:right w:val="none" w:sz="0" w:space="0" w:color="auto"/>
      </w:divBdr>
    </w:div>
    <w:div w:id="1021469235">
      <w:bodyDiv w:val="1"/>
      <w:marLeft w:val="0"/>
      <w:marRight w:val="0"/>
      <w:marTop w:val="0"/>
      <w:marBottom w:val="0"/>
      <w:divBdr>
        <w:top w:val="none" w:sz="0" w:space="0" w:color="auto"/>
        <w:left w:val="none" w:sz="0" w:space="0" w:color="auto"/>
        <w:bottom w:val="none" w:sz="0" w:space="0" w:color="auto"/>
        <w:right w:val="none" w:sz="0" w:space="0" w:color="auto"/>
      </w:divBdr>
    </w:div>
    <w:div w:id="1033069813">
      <w:bodyDiv w:val="1"/>
      <w:marLeft w:val="0"/>
      <w:marRight w:val="0"/>
      <w:marTop w:val="0"/>
      <w:marBottom w:val="0"/>
      <w:divBdr>
        <w:top w:val="none" w:sz="0" w:space="0" w:color="auto"/>
        <w:left w:val="none" w:sz="0" w:space="0" w:color="auto"/>
        <w:bottom w:val="none" w:sz="0" w:space="0" w:color="auto"/>
        <w:right w:val="none" w:sz="0" w:space="0" w:color="auto"/>
      </w:divBdr>
    </w:div>
    <w:div w:id="1261139856">
      <w:bodyDiv w:val="1"/>
      <w:marLeft w:val="0"/>
      <w:marRight w:val="0"/>
      <w:marTop w:val="0"/>
      <w:marBottom w:val="0"/>
      <w:divBdr>
        <w:top w:val="none" w:sz="0" w:space="0" w:color="auto"/>
        <w:left w:val="none" w:sz="0" w:space="0" w:color="auto"/>
        <w:bottom w:val="none" w:sz="0" w:space="0" w:color="auto"/>
        <w:right w:val="none" w:sz="0" w:space="0" w:color="auto"/>
      </w:divBdr>
    </w:div>
    <w:div w:id="1389453774">
      <w:bodyDiv w:val="1"/>
      <w:marLeft w:val="0"/>
      <w:marRight w:val="0"/>
      <w:marTop w:val="0"/>
      <w:marBottom w:val="0"/>
      <w:divBdr>
        <w:top w:val="none" w:sz="0" w:space="0" w:color="auto"/>
        <w:left w:val="none" w:sz="0" w:space="0" w:color="auto"/>
        <w:bottom w:val="none" w:sz="0" w:space="0" w:color="auto"/>
        <w:right w:val="none" w:sz="0" w:space="0" w:color="auto"/>
      </w:divBdr>
    </w:div>
    <w:div w:id="1485194021">
      <w:bodyDiv w:val="1"/>
      <w:marLeft w:val="0"/>
      <w:marRight w:val="0"/>
      <w:marTop w:val="0"/>
      <w:marBottom w:val="0"/>
      <w:divBdr>
        <w:top w:val="none" w:sz="0" w:space="0" w:color="auto"/>
        <w:left w:val="none" w:sz="0" w:space="0" w:color="auto"/>
        <w:bottom w:val="none" w:sz="0" w:space="0" w:color="auto"/>
        <w:right w:val="none" w:sz="0" w:space="0" w:color="auto"/>
      </w:divBdr>
    </w:div>
    <w:div w:id="1598245927">
      <w:bodyDiv w:val="1"/>
      <w:marLeft w:val="0"/>
      <w:marRight w:val="0"/>
      <w:marTop w:val="0"/>
      <w:marBottom w:val="0"/>
      <w:divBdr>
        <w:top w:val="none" w:sz="0" w:space="0" w:color="auto"/>
        <w:left w:val="none" w:sz="0" w:space="0" w:color="auto"/>
        <w:bottom w:val="none" w:sz="0" w:space="0" w:color="auto"/>
        <w:right w:val="none" w:sz="0" w:space="0" w:color="auto"/>
      </w:divBdr>
    </w:div>
    <w:div w:id="1784492424">
      <w:bodyDiv w:val="1"/>
      <w:marLeft w:val="0"/>
      <w:marRight w:val="0"/>
      <w:marTop w:val="0"/>
      <w:marBottom w:val="0"/>
      <w:divBdr>
        <w:top w:val="none" w:sz="0" w:space="0" w:color="auto"/>
        <w:left w:val="none" w:sz="0" w:space="0" w:color="auto"/>
        <w:bottom w:val="none" w:sz="0" w:space="0" w:color="auto"/>
        <w:right w:val="none" w:sz="0" w:space="0" w:color="auto"/>
      </w:divBdr>
    </w:div>
    <w:div w:id="1820657110">
      <w:bodyDiv w:val="1"/>
      <w:marLeft w:val="0"/>
      <w:marRight w:val="0"/>
      <w:marTop w:val="0"/>
      <w:marBottom w:val="0"/>
      <w:divBdr>
        <w:top w:val="none" w:sz="0" w:space="0" w:color="auto"/>
        <w:left w:val="none" w:sz="0" w:space="0" w:color="auto"/>
        <w:bottom w:val="none" w:sz="0" w:space="0" w:color="auto"/>
        <w:right w:val="none" w:sz="0" w:space="0" w:color="auto"/>
      </w:divBdr>
    </w:div>
    <w:div w:id="1833056988">
      <w:bodyDiv w:val="1"/>
      <w:marLeft w:val="0"/>
      <w:marRight w:val="0"/>
      <w:marTop w:val="0"/>
      <w:marBottom w:val="0"/>
      <w:divBdr>
        <w:top w:val="none" w:sz="0" w:space="0" w:color="auto"/>
        <w:left w:val="none" w:sz="0" w:space="0" w:color="auto"/>
        <w:bottom w:val="none" w:sz="0" w:space="0" w:color="auto"/>
        <w:right w:val="none" w:sz="0" w:space="0" w:color="auto"/>
      </w:divBdr>
    </w:div>
    <w:div w:id="1849755033">
      <w:bodyDiv w:val="1"/>
      <w:marLeft w:val="0"/>
      <w:marRight w:val="0"/>
      <w:marTop w:val="0"/>
      <w:marBottom w:val="0"/>
      <w:divBdr>
        <w:top w:val="none" w:sz="0" w:space="0" w:color="auto"/>
        <w:left w:val="none" w:sz="0" w:space="0" w:color="auto"/>
        <w:bottom w:val="none" w:sz="0" w:space="0" w:color="auto"/>
        <w:right w:val="none" w:sz="0" w:space="0" w:color="auto"/>
      </w:divBdr>
    </w:div>
    <w:div w:id="1869488538">
      <w:bodyDiv w:val="1"/>
      <w:marLeft w:val="0"/>
      <w:marRight w:val="0"/>
      <w:marTop w:val="0"/>
      <w:marBottom w:val="0"/>
      <w:divBdr>
        <w:top w:val="none" w:sz="0" w:space="0" w:color="auto"/>
        <w:left w:val="none" w:sz="0" w:space="0" w:color="auto"/>
        <w:bottom w:val="none" w:sz="0" w:space="0" w:color="auto"/>
        <w:right w:val="none" w:sz="0" w:space="0" w:color="auto"/>
      </w:divBdr>
    </w:div>
    <w:div w:id="1962688228">
      <w:bodyDiv w:val="1"/>
      <w:marLeft w:val="0"/>
      <w:marRight w:val="0"/>
      <w:marTop w:val="0"/>
      <w:marBottom w:val="0"/>
      <w:divBdr>
        <w:top w:val="none" w:sz="0" w:space="0" w:color="auto"/>
        <w:left w:val="none" w:sz="0" w:space="0" w:color="auto"/>
        <w:bottom w:val="none" w:sz="0" w:space="0" w:color="auto"/>
        <w:right w:val="none" w:sz="0" w:space="0" w:color="auto"/>
      </w:divBdr>
    </w:div>
    <w:div w:id="2086216650">
      <w:bodyDiv w:val="1"/>
      <w:marLeft w:val="0"/>
      <w:marRight w:val="0"/>
      <w:marTop w:val="0"/>
      <w:marBottom w:val="0"/>
      <w:divBdr>
        <w:top w:val="none" w:sz="0" w:space="0" w:color="auto"/>
        <w:left w:val="none" w:sz="0" w:space="0" w:color="auto"/>
        <w:bottom w:val="none" w:sz="0" w:space="0" w:color="auto"/>
        <w:right w:val="none" w:sz="0" w:space="0" w:color="auto"/>
      </w:divBdr>
    </w:div>
    <w:div w:id="212816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Gel96</b:Tag>
    <b:SourceType>JournalArticle</b:SourceType>
    <b:Guid>{BA3F0394-6058-4617-97E6-D794810E7CAA}</b:Guid>
    <b:Title>Evaluation of Dementia</b:Title>
    <b:JournalName>The New England Journal of Medicine</b:JournalName>
    <b:Year>1996</b:Year>
    <b:Pages>330-336</b:Pages>
    <b:Volume>335</b:Volume>
    <b:Issue>1</b:Issue>
    <b:Author>
      <b:Author>
        <b:NameList>
          <b:Person>
            <b:Last>Geldmacher</b:Last>
            <b:Middle>S</b:Middle>
            <b:First>David</b:First>
          </b:Person>
          <b:Person>
            <b:Last>Whitehouse</b:Last>
            <b:Middle>J</b:Middle>
            <b:First>Peter</b:First>
          </b:Person>
        </b:NameList>
      </b:Author>
    </b:Author>
    <b:RefOrder>1</b:RefOrder>
  </b:Source>
  <b:Source>
    <b:Tag>Cum02</b:Tag>
    <b:SourceType>JournalArticle</b:SourceType>
    <b:Guid>{05648FF7-31CF-4CFF-B4BC-400B429C5314}</b:Guid>
    <b:Title>Alzheimer Disease</b:Title>
    <b:JournalName>JAMA</b:JournalName>
    <b:Year>2002</b:Year>
    <b:Pages>2335-2338</b:Pages>
    <b:Volume>287</b:Volume>
    <b:Issue>18</b:Issue>
    <b:Author>
      <b:Author>
        <b:NameList>
          <b:Person>
            <b:Last>Cummings</b:Last>
            <b:Middle>L</b:Middle>
            <b:First>Jeffrey</b:First>
          </b:Person>
          <b:Person>
            <b:Last>Cole</b:Last>
            <b:First>Greg</b:First>
          </b:Person>
        </b:NameList>
      </b:Author>
    </b:Author>
    <b:RefOrder>5</b:RefOrder>
  </b:Source>
  <b:Source>
    <b:Tag>Wal15</b:Tag>
    <b:SourceType>JournalArticle</b:SourceType>
    <b:Guid>{9971BB03-16F9-45DC-81D5-F66941B5CDA4}</b:Guid>
    <b:Title>Lewy body dementias</b:Title>
    <b:JournalName>The Lancet</b:JournalName>
    <b:Year>2015</b:Year>
    <b:Pages>1683-1697</b:Pages>
    <b:Volume>386</b:Volume>
    <b:Issue>10004</b:Issue>
    <b:Author>
      <b:Author>
        <b:NameList>
          <b:Person>
            <b:Last>Walker</b:Last>
            <b:First>Zuzana</b:First>
          </b:Person>
          <b:Person>
            <b:Last>Possin</b:Last>
            <b:Middle>L</b:Middle>
            <b:First>Katherine</b:First>
          </b:Person>
          <b:Person>
            <b:Last>Boeve</b:Last>
            <b:Middle>F</b:Middle>
            <b:First>Bradley</b:First>
          </b:Person>
          <b:Person>
            <b:Last>Aarsland</b:Last>
            <b:First>Dag</b:First>
          </b:Person>
        </b:NameList>
      </b:Author>
    </b:Author>
    <b:RefOrder>6</b:RefOrder>
  </b:Source>
  <b:Source>
    <b:Tag>Kor12</b:Tag>
    <b:SourceType>JournalArticle</b:SourceType>
    <b:Guid>{12EDB18A-637A-453D-8589-70FCD71A31C0}</b:Guid>
    <b:Title>Vascular dementia</b:Title>
    <b:JournalName>Journal of the Neurological Sciences</b:JournalName>
    <b:Year>2012</b:Year>
    <b:Pages>2-10</b:Pages>
    <b:Volume>322</b:Volume>
    <b:Issue>1-2</b:Issue>
    <b:Author>
      <b:Author>
        <b:NameList>
          <b:Person>
            <b:Last>Korczyn</b:Last>
            <b:Middle>D</b:Middle>
            <b:First>Amos</b:First>
          </b:Person>
          <b:Person>
            <b:Last>Vakhapova</b:Last>
            <b:First>Veronika</b:First>
          </b:Person>
          <b:Person>
            <b:Last>Grinberg</b:Last>
            <b:Middle>T</b:Middle>
            <b:First>Lea</b:First>
          </b:Person>
        </b:NameList>
      </b:Author>
    </b:Author>
    <b:RefOrder>7</b:RefOrder>
  </b:Source>
  <b:Source>
    <b:Tag>Roc01</b:Tag>
    <b:SourceType>JournalArticle</b:SourceType>
    <b:Guid>{F8D451BB-EF9E-44E3-86EC-616DB257479E}</b:Guid>
    <b:Title>Development and validation of the Observation List for early signs of Dementia </b:Title>
    <b:JournalName>International journal of Geriatric Psychiatry</b:JournalName>
    <b:Year>2001</b:Year>
    <b:Pages>406-414</b:Pages>
    <b:Volume>16</b:Volume>
    <b:Issue>4</b:Issue>
    <b:Author>
      <b:Author>
        <b:NameList>
          <b:Person>
            <b:Last>Rock</b:Last>
            <b:Middle>Hopman</b:Middle>
            <b:First>Marijke</b:First>
          </b:Person>
          <b:Person>
            <b:Last>Tak</b:Last>
            <b:Middle>C.P.M</b:Middle>
            <b:First>Erwin</b:First>
          </b:Person>
          <b:Person>
            <b:Last>Staats</b:Last>
            <b:Middle>G.M</b:Middle>
            <b:First>Patricia</b:First>
          </b:Person>
        </b:NameList>
      </b:Author>
    </b:Author>
    <b:RefOrder>8</b:RefOrder>
  </b:Source>
  <b:Source>
    <b:Tag>GKe10</b:Tag>
    <b:SourceType>JournalArticle</b:SourceType>
    <b:Guid>{F40062E7-E1F3-442C-A749-56715DEEF7F9}</b:Guid>
    <b:Title>Effects of a Physical Training Programme on Cognitive Function and Walking Efficiency in Elderly Persons with Dementia</b:Title>
    <b:JournalName>Dement Geriatr Cogn Disord</b:JournalName>
    <b:Year>2010</b:Year>
    <b:Pages>109-114</b:Pages>
    <b:Volume>29</b:Volume>
    <b:Issue>1</b:Issue>
    <b:Author>
      <b:Author>
        <b:NameList>
          <b:Person>
            <b:Last>G</b:Last>
            <b:First>Kemoun</b:First>
          </b:Person>
          <b:Person>
            <b:Last>M</b:Last>
            <b:First>Thibaud </b:First>
          </b:Person>
          <b:Person>
            <b:Last>N</b:Last>
            <b:First>Roumagne</b:First>
          </b:Person>
          <b:Person>
            <b:Last>P</b:Last>
            <b:First>Carette</b:First>
          </b:Person>
          <b:Person>
            <b:Last>C</b:Last>
            <b:First>Albinet</b:First>
          </b:Person>
          <b:Person>
            <b:Last>L</b:Last>
            <b:First>Toussaint</b:First>
          </b:Person>
          <b:Person>
            <b:Last>M</b:Last>
            <b:First>Paccalin</b:First>
          </b:Person>
          <b:Person>
            <b:Last>B</b:Last>
            <b:First> Dugué</b:First>
          </b:Person>
        </b:NameList>
      </b:Author>
    </b:Author>
    <b:RefOrder>10</b:RefOrder>
  </b:Source>
  <b:Source>
    <b:Tag>Per18</b:Tag>
    <b:SourceType>JournalArticle</b:SourceType>
    <b:Guid>{ACBCF6A3-FA73-4CD2-B7F0-559021108A57}</b:Guid>
    <b:Title>The treatment of cognitive dysfunction in dementia: a multiple treatments meta-analysis</b:Title>
    <b:JournalName>Psychopharmacology</b:JournalName>
    <b:Year>2018</b:Year>
    <b:Pages>1571–1580</b:Pages>
    <b:Volume>235</b:Volume>
    <b:Issue>1</b:Issue>
    <b:Author>
      <b:Author>
        <b:NameList>
          <b:Person>
            <b:Last>Perng</b:Last>
            <b:Middle>Hwang</b:Middle>
            <b:First>Cheng</b:First>
          </b:Person>
          <b:Person>
            <b:Last>Chang</b:Last>
            <b:Middle>Cune</b:Middle>
            <b:First>Yue</b:First>
          </b:Person>
          <b:Person>
            <b:Last>Tzang</b:Last>
            <b:Middle>Fen</b:Middle>
            <b:First>Ruu</b:First>
          </b:Person>
        </b:NameList>
      </b:Author>
    </b:Author>
    <b:RefOrder>11</b:RefOrder>
  </b:Source>
  <b:Source>
    <b:Tag>Zha21</b:Tag>
    <b:SourceType>JournalArticle</b:SourceType>
    <b:Guid>{DE228BB2-983B-4FD4-AE42-3C3600C01C7F}</b:Guid>
    <b:Title>Disengagement Theory</b:Title>
    <b:JournalName>Encyclopedia of Gerontology and Population Aging</b:JournalName>
    <b:Year>2021</b:Year>
    <b:Pages>40</b:Pages>
    <b:Volume>1</b:Volume>
    <b:Issue>1</b:Issue>
    <b:Author>
      <b:Author>
        <b:NameList>
          <b:Person>
            <b:Last>Zhang</b:Last>
            <b:First>Xin</b:First>
          </b:Person>
          <b:Person>
            <b:Last>Lin</b:Last>
            <b:First>Hongmei</b:First>
          </b:Person>
        </b:NameList>
      </b:Author>
    </b:Author>
    <b:RefOrder>14</b:RefOrder>
  </b:Source>
  <b:Source>
    <b:Tag>Dav11</b:Tag>
    <b:SourceType>JournalArticle</b:SourceType>
    <b:Guid>{33BBD81E-F6DD-48F4-9FCA-296DED1B3B11}</b:Guid>
    <b:Title>How the Affordable Care Act Will Strengthen the Nation's Primary Care Foundation</b:Title>
    <b:JournalName>Journal of General Internal Medicine</b:JournalName>
    <b:Year>2011</b:Year>
    <b:Volume>26</b:Volume>
    <b:Author>
      <b:Author>
        <b:NameList>
          <b:Person>
            <b:Last>Davis</b:Last>
            <b:First>Karen</b:First>
          </b:Person>
          <b:Person>
            <b:Last>Abrams</b:Last>
            <b:First>Melinda</b:First>
          </b:Person>
          <b:Person>
            <b:Last>Stremikis</b:Last>
            <b:First>Kristof</b:First>
          </b:Person>
        </b:NameList>
      </b:Author>
    </b:Author>
    <b:RefOrder>15</b:RefOrder>
  </b:Source>
  <b:Source>
    <b:Tag>Equ18</b:Tag>
    <b:SourceType>InternetSite</b:SourceType>
    <b:Guid>{06FB2A40-9BFF-49A0-AEF0-23ECC274B8F5}</b:Guid>
    <b:Title>Equality and Human Rights Commission</b:Title>
    <b:Year>2018</b:Year>
    <b:YearAccessed>2022</b:YearAccessed>
    <b:MonthAccessed>March</b:MonthAccessed>
    <b:DayAccessed>16</b:DayAccessed>
    <b:URL>www.equalityhumanrights.com/en/human-rights/human-rights-act</b:URL>
    <b:RefOrder>16</b:RefOrder>
  </b:Source>
  <b:Source>
    <b:Tag>Sav09</b:Tag>
    <b:SourceType>JournalArticle</b:SourceType>
    <b:Guid>{35DD0B4D-C400-4DA9-BA65-BB39875192F3}</b:Guid>
    <b:Title>Age, Neuropathology, and Dementia</b:Title>
    <b:Year>2009</b:Year>
    <b:JournalName>The New England Journal of Medicine</b:JournalName>
    <b:Pages>2302-2309</b:Pages>
    <b:Volume>360</b:Volume>
    <b:Issue>1</b:Issue>
    <b:Author>
      <b:Author>
        <b:NameList>
          <b:Person>
            <b:Last>Savva</b:Last>
            <b:Middle>M</b:Middle>
            <b:First>George</b:First>
          </b:Person>
          <b:Person>
            <b:Last>Wharton</b:Last>
            <b:Middle>B</b:Middle>
            <b:First>Stephen</b:First>
          </b:Person>
          <b:Person>
            <b:Last>Path</b:Last>
            <b:First>F.R.C</b:First>
          </b:Person>
          <b:Person>
            <b:Last>Ince</b:Last>
            <b:Middle>G</b:Middle>
            <b:First>Paul</b:First>
          </b:Person>
          <b:Person>
            <b:Last>Forster</b:Last>
            <b:First>Gillian</b:First>
          </b:Person>
          <b:Person>
            <b:Last>Mathews</b:Last>
            <b:Middle>E</b:Middle>
            <b:First>Fionna</b:First>
          </b:Person>
          <b:Person>
            <b:Last>Brayne</b:Last>
            <b:First>Carol</b:First>
          </b:Person>
        </b:NameList>
      </b:Author>
    </b:Author>
    <b:RefOrder>12</b:RefOrder>
  </b:Source>
  <b:Source>
    <b:Tag>Kit97</b:Tag>
    <b:SourceType>JournalArticle</b:SourceType>
    <b:Guid>{752A4F45-680C-4BBA-8341-0350D1B0BC80}</b:Guid>
    <b:Title>The experience of dementia</b:Title>
    <b:JournalName>Aging and Mental Health</b:JournalName>
    <b:Year>1997</b:Year>
    <b:Pages>13-22</b:Pages>
    <b:Volume>1</b:Volume>
    <b:Issue>1</b:Issue>
    <b:Author>
      <b:Author>
        <b:NameList>
          <b:Person>
            <b:Last>Kitwood</b:Last>
            <b:First>T</b:First>
          </b:Person>
        </b:NameList>
      </b:Author>
    </b:Author>
    <b:RefOrder>3</b:RefOrder>
  </b:Source>
  <b:Source>
    <b:Tag>Sri05</b:Tag>
    <b:SourceType>JournalArticle</b:SourceType>
    <b:Guid>{1F1C34EC-5BA7-4169-9574-4E228456C6EC}</b:Guid>
    <b:Title>Neuropsychiatric symptoms in dementia-frequency, relationship to dementia severity and comparison in Alzheimer's disease, vascular dementia and frontotemporal dementia</b:Title>
    <b:JournalName>Journal of the Neurological Sciences</b:JournalName>
    <b:Year>2005</b:Year>
    <b:Pages>43-48</b:Pages>
    <b:Volume>236</b:Volume>
    <b:Issue>1-2</b:Issue>
    <b:Author>
      <b:Author>
        <b:NameList>
          <b:Person>
            <b:Last>Srinkath</b:Last>
            <b:First>S</b:First>
          </b:Person>
          <b:Person>
            <b:Last>Ratnavalli</b:Last>
            <b:Middle>Nagaraja</b:Middle>
            <b:First>A.V</b:First>
          </b:Person>
        </b:NameList>
      </b:Author>
    </b:Author>
    <b:RefOrder>4</b:RefOrder>
  </b:Source>
  <b:Source>
    <b:Tag>Hoe18</b:Tag>
    <b:SourceType>JournalArticle</b:SourceType>
    <b:Guid>{666F9901-1A5A-4E94-BD47-1ACD88AFA94A}</b:Guid>
    <b:Title>Quality of life of people with dementia in residential care homes</b:Title>
    <b:JournalName>The British Journal of Psychiatry</b:JournalName>
    <b:Year>2018</b:Year>
    <b:Pages>460-464</b:Pages>
    <b:Volume>188</b:Volume>
    <b:Issue>5</b:Issue>
    <b:Author>
      <b:Author>
        <b:NameList>
          <b:Person>
            <b:Last>Hoe</b:Last>
            <b:First>J</b:First>
          </b:Person>
          <b:Person>
            <b:Last>Hancock</b:Last>
            <b:First>G</b:First>
          </b:Person>
          <b:Person>
            <b:Last>Livingston</b:Last>
            <b:First>G</b:First>
          </b:Person>
          <b:Person>
            <b:Last>Orrell</b:Last>
            <b:First>M</b:First>
          </b:Person>
        </b:NameList>
      </b:Author>
    </b:Author>
    <b:RefOrder>17</b:RefOrder>
  </b:Source>
  <b:Source>
    <b:Tag>LBa11</b:Tag>
    <b:SourceType>JournalArticle</b:SourceType>
    <b:Guid>{2D417B60-CBF4-4295-AF4B-0AAEBA42D858}</b:Guid>
    <b:Title>Quality of Life among Elderly Patients with Dementia in Institutions</b:Title>
    <b:JournalName>Dementia and Geriatric Cognitive Disorders</b:JournalName>
    <b:Year>2011</b:Year>
    <b:Pages>435-442</b:Pages>
    <b:Volume>31</b:Volume>
    <b:Issue>6</b:Issue>
    <b:Author>
      <b:Author>
        <b:NameList>
          <b:Person>
            <b:Last>L</b:Last>
            <b:Middle>M</b:Middle>
            <b:First>Barca</b:First>
          </b:Person>
          <b:Person>
            <b:Last>K</b:Last>
            <b:First>Engedal</b:First>
          </b:Person>
          <b:Person>
            <b:Last>J</b:Last>
            <b:First>Laks</b:First>
          </b:Person>
          <b:Person>
            <b:Last>G</b:Last>
            <b:First>Selbaek</b:First>
          </b:Person>
        </b:NameList>
      </b:Author>
    </b:Author>
    <b:RefOrder>18</b:RefOrder>
  </b:Source>
  <b:Source>
    <b:Tag>Arv19</b:Tag>
    <b:SourceType>JournalArticle</b:SourceType>
    <b:Guid>{B1C6BB6B-BE28-452A-AF11-22F48B03639B}</b:Guid>
    <b:Title>What Is Dementia?</b:Title>
    <b:JournalName>JAMA</b:JournalName>
    <b:Year>2019</b:Year>
    <b:Pages>1589-1599</b:Pages>
    <b:Volume>322</b:Volume>
    <b:Issue>17</b:Issue>
    <b:Author>
      <b:Author>
        <b:NameList>
          <b:Person>
            <b:Last>Arvanitakis</b:Last>
            <b:First>Zoe</b:First>
          </b:Person>
          <b:Person>
            <b:Last>Bennett</b:Last>
            <b:Middle>A</b:Middle>
            <b:First>David</b:First>
          </b:Person>
        </b:NameList>
      </b:Author>
    </b:Author>
    <b:RefOrder>2</b:RefOrder>
  </b:Source>
  <b:Source>
    <b:Tag>Gre97</b:Tag>
    <b:SourceType>JournalArticle</b:SourceType>
    <b:Guid>{DE8CFDAD-0802-4511-8D33-69B113DF74A5}</b:Guid>
    <b:Title>Evaluation as advocacy</b:Title>
    <b:JournalName>Evaluation Practice</b:JournalName>
    <b:Year>1997</b:Year>
    <b:Pages>25-35</b:Pages>
    <b:Volume>18</b:Volume>
    <b:Issue>1</b:Issue>
    <b:Author>
      <b:Author>
        <b:NameList>
          <b:Person>
            <b:Last>Greene</b:Last>
            <b:Middle>C</b:Middle>
            <b:First>Jennifer</b:First>
          </b:Person>
        </b:NameList>
      </b:Author>
    </b:Author>
    <b:RefOrder>13</b:RefOrder>
  </b:Source>
  <b:Source>
    <b:Tag>Dav07</b:Tag>
    <b:SourceType>JournalArticle</b:SourceType>
    <b:Guid>{E901ACC1-21C2-4AD9-8454-57699283256E}</b:Guid>
    <b:Title>ADVOCACY AND PLURALISM IN PLANNING</b:Title>
    <b:JournalName>Journal of the American Institute of Planners</b:JournalName>
    <b:Year>2007</b:Year>
    <b:Pages>331-338</b:Pages>
    <b:Volume>31</b:Volume>
    <b:Issue>4</b:Issue>
    <b:Author>
      <b:Author>
        <b:NameList>
          <b:Person>
            <b:Last>Davidoff</b:Last>
            <b:First>Paul</b:First>
          </b:Person>
        </b:NameList>
      </b:Author>
    </b:Author>
    <b:RefOrder>19</b:RefOrder>
  </b:Source>
  <b:Source>
    <b:Tag>Cer12</b:Tag>
    <b:SourceType>JournalArticle</b:SourceType>
    <b:Guid>{DFBC4A9F-93FD-4640-A91E-0D190F1838D7}</b:Guid>
    <b:Title>Behavioral and psychological symptoms of dementia</b:Title>
    <b:JournalName>Frontiers in Neurology</b:JournalName>
    <b:Year>2012</b:Year>
    <b:Issue>1</b:Issue>
    <b:Author>
      <b:Author>
        <b:NameList>
          <b:Person>
            <b:Last>Cerejeira</b:Last>
            <b:First>J</b:First>
          </b:Person>
          <b:Person>
            <b:Last>Lagarto</b:Last>
            <b:First>L</b:First>
          </b:Person>
          <b:Person>
            <b:Last>Ladinska</b:Last>
            <b:First>Mukaetova</b:First>
          </b:Person>
        </b:NameList>
      </b:Author>
    </b:Author>
    <b:RefOrder>9</b:RefOrder>
  </b:Source>
  <b:Source>
    <b:Tag>Sno18</b:Tag>
    <b:SourceType>JournalArticle</b:SourceType>
    <b:Guid>{E40F48A6-680E-4BE4-984D-4E1E75FCE9D5}</b:Guid>
    <b:Title>Frontotemporal dementia</b:Title>
    <b:JournalName>The British Journal of Psychiatry</b:JournalName>
    <b:Year>2018</b:Year>
    <b:Pages>140-143</b:Pages>
    <b:Volume>180</b:Volume>
    <b:Issue>2</b:Issue>
    <b:Author>
      <b:Author>
        <b:NameList>
          <b:Person>
            <b:Last>Snowden</b:Last>
            <b:Middle>S</b:Middle>
            <b:First>Julie</b:First>
          </b:Person>
          <b:Person>
            <b:Last>Neary</b:Last>
            <b:First>David</b:First>
          </b:Person>
          <b:Person>
            <b:Last>Mann</b:Last>
            <b:Middle>M.A</b:Middle>
            <b:First>David</b:First>
          </b:Person>
        </b:NameList>
      </b:Author>
    </b:Author>
    <b:RefOrder>20</b:RefOrder>
  </b:Source>
  <b:Source>
    <b:Tag>Jel07</b:Tag>
    <b:SourceType>JournalArticle</b:SourceType>
    <b:Guid>{A8D3FFCC-45FC-46EE-8E03-80D723D0CD0F}</b:Guid>
    <b:Title>Neuropathological evaluation of mixed dementia</b:Title>
    <b:JournalName>Journal of the Neurological Sciences</b:JournalName>
    <b:Year>2007</b:Year>
    <b:Pages>80-87</b:Pages>
    <b:Volume>257</b:Volume>
    <b:Issue>1-2</b:Issue>
    <b:Author>
      <b:Author>
        <b:NameList>
          <b:Person>
            <b:Last>Jellinger</b:Last>
            <b:First>K.A</b:First>
          </b:Person>
          <b:Person>
            <b:Last>Attems</b:Last>
            <b:First>J</b:First>
          </b:Person>
        </b:NameList>
      </b:Author>
    </b:Author>
    <b:RefOrder>21</b:RefOrder>
  </b:Source>
  <b:Source>
    <b:Tag>Bal19</b:Tag>
    <b:SourceType>JournalArticle</b:SourceType>
    <b:Guid>{BE215CBD-1A4A-4EF4-A712-9688A627AEA1}</b:Guid>
    <b:Title>Parkinson disease</b:Title>
    <b:JournalName>European Journal of neurology</b:JournalName>
    <b:Year>2019</b:Year>
    <b:Pages>27-42</b:Pages>
    <b:Volume>27</b:Volume>
    <b:Issue>1</b:Issue>
    <b:Author>
      <b:Author>
        <b:NameList>
          <b:Person>
            <b:Last>Balestrino</b:Last>
            <b:First>R</b:First>
          </b:Person>
          <b:Person>
            <b:Last>Schapira</b:Last>
            <b:First>A.H.V</b:First>
          </b:Person>
        </b:NameList>
      </b:Author>
    </b:Author>
    <b:RefOrder>22</b:RefOrder>
  </b:Source>
  <b:Source>
    <b:Tag>Col99</b:Tag>
    <b:SourceType>JournalArticle</b:SourceType>
    <b:Guid>{399BCDE4-1855-4E60-81F7-82123A5C7DA8}</b:Guid>
    <b:Title>Variant Creutzfeldt-Jakob disease</b:Title>
    <b:JournalName>The Lancet</b:JournalName>
    <b:Year>1999</b:Year>
    <b:Pages>317-323</b:Pages>
    <b:Volume>354</b:Volume>
    <b:Issue>9175</b:Issue>
    <b:Author>
      <b:Author>
        <b:NameList>
          <b:Person>
            <b:Last>Collinge</b:Last>
            <b:First>John</b:First>
          </b:Person>
        </b:NameList>
      </b:Author>
    </b:Author>
    <b:RefOrder>23</b:RefOrder>
  </b:Source>
  <b:Source>
    <b:Tag>Mau171</b:Tag>
    <b:SourceType>Book</b:SourceType>
    <b:Guid>{A32D9556-B2B2-4D8D-AF3E-889F11A818C5}</b:Guid>
    <b:Title>Skills for the workplace student yearbook</b:Title>
    <b:Year>2017</b:Year>
    <b:Author>
      <b:Author>
        <b:NameList>
          <b:Person>
            <b:Last>Maund</b:Last>
            <b:First>S.A</b:First>
          </b:Person>
          <b:Person>
            <b:Last>Tinkler</b:Last>
            <b:First>P</b:First>
          </b:Person>
        </b:NameList>
      </b:Author>
    </b:Author>
    <b:City>London</b:City>
    <b:Publisher>Sage Publications</b:Publisher>
    <b:Edition>1</b:Edition>
    <b:RefOrder>24</b:RefOrder>
  </b:Source>
  <b:Source>
    <b:Tag>Ise12</b:Tag>
    <b:SourceType>JournalArticle</b:SourceType>
    <b:Guid>{B8CCE787-4E2D-4778-899B-20DAEF342B88}</b:Guid>
    <b:Title>Wernicke-Korsakoff-Syndrome: Under-Recognized and Under-Treated</b:Title>
    <b:Year>2012</b:Year>
    <b:Author>
      <b:Author>
        <b:NameList>
          <b:Person>
            <b:Last>Isenberg-Grzeda</b:Last>
            <b:First>Elie</b:First>
          </b:Person>
          <b:Person>
            <b:Last>Kutner</b:Last>
            <b:Middle>E</b:Middle>
            <b:First>Haley</b:First>
          </b:Person>
          <b:Person>
            <b:Last>Nicolson</b:Last>
            <b:Middle>E</b:Middle>
            <b:First>Stephen</b:First>
          </b:Person>
        </b:NameList>
      </b:Author>
    </b:Author>
    <b:JournalName>Psychosomatics</b:JournalName>
    <b:Pages>507-516</b:Pages>
    <b:Volume>53</b:Volume>
    <b:Issue>6</b:Issue>
    <b:RefOrder>25</b:RefOrder>
  </b:Source>
</b:Sources>
</file>

<file path=customXml/itemProps1.xml><?xml version="1.0" encoding="utf-8"?>
<ds:datastoreItem xmlns:ds="http://schemas.openxmlformats.org/officeDocument/2006/customXml" ds:itemID="{A7C204C3-080C-479F-B3D1-09056B6C9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3</Pages>
  <Words>936</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Halal Uddin Ali (1709379)</dc:creator>
  <cp:keywords/>
  <dc:description/>
  <cp:lastModifiedBy>Halal Uddin Ali (1709379)</cp:lastModifiedBy>
  <cp:revision>2</cp:revision>
  <dcterms:created xsi:type="dcterms:W3CDTF">2022-03-17T21:06:00Z</dcterms:created>
  <dcterms:modified xsi:type="dcterms:W3CDTF">2022-03-18T01:19:00Z</dcterms:modified>
</cp:coreProperties>
</file>