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32A8EC" w14:textId="453EA2DE" w:rsidR="00B7001B" w:rsidRDefault="00B7001B" w:rsidP="00C73B4E">
      <w:pPr>
        <w:rPr>
          <w:rFonts w:ascii="Arial" w:hAnsi="Arial" w:cs="Arial"/>
        </w:rPr>
      </w:pPr>
      <w:r>
        <w:rPr>
          <w:rFonts w:ascii="Arial" w:hAnsi="Arial" w:cs="Arial"/>
        </w:rPr>
        <w:t>Shere M Sattar 2211969</w:t>
      </w:r>
    </w:p>
    <w:p w14:paraId="4A783A7A" w14:textId="087093A1" w:rsidR="00B7001B" w:rsidRDefault="00B7001B" w:rsidP="00C73B4E">
      <w:pPr>
        <w:rPr>
          <w:rFonts w:ascii="Arial" w:hAnsi="Arial" w:cs="Arial"/>
        </w:rPr>
      </w:pPr>
      <w:r>
        <w:rPr>
          <w:rFonts w:ascii="Arial" w:hAnsi="Arial" w:cs="Arial"/>
        </w:rPr>
        <w:t>Assignment 2: Criminal Law</w:t>
      </w:r>
    </w:p>
    <w:p w14:paraId="1802DD83" w14:textId="177696EA" w:rsidR="00EA1C81" w:rsidRDefault="00EA1C81" w:rsidP="00C73B4E">
      <w:pPr>
        <w:rPr>
          <w:rFonts w:ascii="Arial" w:hAnsi="Arial" w:cs="Arial"/>
        </w:rPr>
      </w:pPr>
      <w:r>
        <w:rPr>
          <w:rFonts w:ascii="Arial" w:hAnsi="Arial" w:cs="Arial"/>
        </w:rPr>
        <w:t>May 2024</w:t>
      </w:r>
    </w:p>
    <w:p w14:paraId="22593CA6" w14:textId="77777777" w:rsidR="00B7001B" w:rsidRDefault="00B7001B" w:rsidP="00C73B4E">
      <w:pPr>
        <w:rPr>
          <w:rFonts w:ascii="Arial" w:hAnsi="Arial" w:cs="Arial"/>
        </w:rPr>
      </w:pPr>
    </w:p>
    <w:p w14:paraId="67ECB0C4" w14:textId="1B69E9EE" w:rsidR="00C73B4E" w:rsidRPr="00C73B4E" w:rsidRDefault="00C73B4E" w:rsidP="00EA1C81">
      <w:pPr>
        <w:jc w:val="center"/>
        <w:rPr>
          <w:rFonts w:ascii="Arial" w:hAnsi="Arial" w:cs="Arial"/>
          <w:b/>
          <w:bCs/>
          <w:u w:val="single"/>
        </w:rPr>
      </w:pPr>
      <w:r w:rsidRPr="00C73B4E">
        <w:rPr>
          <w:rFonts w:ascii="Arial" w:hAnsi="Arial" w:cs="Arial"/>
          <w:b/>
          <w:bCs/>
          <w:u w:val="single"/>
        </w:rPr>
        <w:t>The Concept of Dishonesty and its Role in Offences of Theft in the UK: An Analysis</w:t>
      </w:r>
    </w:p>
    <w:p w14:paraId="7B484C8E" w14:textId="77777777" w:rsidR="00EA1C81" w:rsidRDefault="00EA1C81" w:rsidP="00B7001B">
      <w:pPr>
        <w:jc w:val="both"/>
        <w:rPr>
          <w:rFonts w:ascii="Arial" w:hAnsi="Arial" w:cs="Arial"/>
        </w:rPr>
      </w:pPr>
    </w:p>
    <w:p w14:paraId="5E3EAF3A" w14:textId="25D519B7" w:rsidR="00EA1C81" w:rsidRDefault="00C73B4E" w:rsidP="00B7001B">
      <w:pPr>
        <w:jc w:val="both"/>
        <w:rPr>
          <w:rFonts w:ascii="Arial" w:hAnsi="Arial" w:cs="Arial"/>
        </w:rPr>
      </w:pPr>
      <w:r w:rsidRPr="00C73B4E">
        <w:rPr>
          <w:rFonts w:ascii="Arial" w:hAnsi="Arial" w:cs="Arial"/>
        </w:rPr>
        <w:t>Dishonesty stands as a fundamental concept in the realm of criminal law, particularly in the context of offences related to theft in the United Kingdom. This essay aims to dissect the intricate nature of dishonesty and its pivotal role in the commission of theft offences. By delving into the common law test of dishonesty and examining significant case law such as Ivey v Genting Casinos UK Ltd (2017) and R v Ghosh (1982), this paper seeks to provide a comprehensive understanding of how the concept of dishonesty operates within the legal framework.</w:t>
      </w:r>
    </w:p>
    <w:p w14:paraId="5BE9FFA5" w14:textId="40999039" w:rsidR="00C73B4E" w:rsidRPr="00C73B4E" w:rsidRDefault="00C73B4E" w:rsidP="00B7001B">
      <w:pPr>
        <w:jc w:val="both"/>
        <w:rPr>
          <w:rFonts w:ascii="Arial" w:hAnsi="Arial" w:cs="Arial"/>
        </w:rPr>
      </w:pPr>
      <w:r w:rsidRPr="00B7001B">
        <w:rPr>
          <w:rFonts w:ascii="Arial" w:hAnsi="Arial" w:cs="Arial"/>
        </w:rPr>
        <w:br/>
      </w:r>
      <w:r w:rsidRPr="00B7001B">
        <w:rPr>
          <w:rFonts w:ascii="Arial" w:hAnsi="Arial" w:cs="Arial"/>
          <w:color w:val="0D0D0D"/>
          <w:shd w:val="clear" w:color="auto" w:fill="FFFFFF"/>
        </w:rPr>
        <w:t>The concept of dishonesty is a fundamental pillar in criminal law, particularly in the context of offences such as theft in the UK. Dishonesty, in its essence, refers to a lack of honesty or integrity in one's actions or intentions. Within the legal framework, dishonesty encompasses both subjective and objective elements. Subjectively, it involves an individual's state of mind, whether they knew their actions were dishonest according to the standards of ordinary reasonable people. Objectively, it considers whether a reasonable person would deem the conduct dishonest in the given circumstances. Over time, the legal definition of dishonesty has evolved through pivotal cases, reflecting societal norms and judicial interpretations. Key cases such as R v Ghosh (1982) have contributed to shaping the understanding of dishonesty, highlighting the complexity and nuances involved in its assessment within the realm of criminal law.</w:t>
      </w:r>
    </w:p>
    <w:p w14:paraId="4A44A472" w14:textId="77777777" w:rsidR="00C73B4E" w:rsidRPr="00B7001B" w:rsidRDefault="00C73B4E" w:rsidP="00B7001B">
      <w:pPr>
        <w:jc w:val="both"/>
        <w:rPr>
          <w:rFonts w:ascii="Arial" w:hAnsi="Arial" w:cs="Arial"/>
        </w:rPr>
      </w:pPr>
      <w:r w:rsidRPr="00B7001B">
        <w:rPr>
          <w:rFonts w:ascii="Arial" w:hAnsi="Arial" w:cs="Arial"/>
        </w:rPr>
        <w:t>The common law test of dishonesty, as established in the landmark case of R v Ghosh (1982), remains a pivotal benchmark in determining culpability in cases of alleged dishonest conduct. This test involves a two-part assessment: first, whether the defendant's actions were dishonest according to the standards of ordinary reasonable people, and second, whether the defendant was aware that their actions were dishonest by those standards. While the Ghosh test has provided clarity in some instances, its application has also sparked debate and criticism within the legal community.</w:t>
      </w:r>
    </w:p>
    <w:p w14:paraId="46658E6B" w14:textId="77777777" w:rsidR="00C73B4E" w:rsidRPr="00B7001B" w:rsidRDefault="00C73B4E" w:rsidP="00B7001B">
      <w:pPr>
        <w:jc w:val="both"/>
        <w:rPr>
          <w:rFonts w:ascii="Arial" w:hAnsi="Arial" w:cs="Arial"/>
        </w:rPr>
      </w:pPr>
    </w:p>
    <w:p w14:paraId="41157304" w14:textId="77777777" w:rsidR="00C73B4E" w:rsidRPr="00B7001B" w:rsidRDefault="00C73B4E" w:rsidP="00B7001B">
      <w:pPr>
        <w:jc w:val="both"/>
        <w:rPr>
          <w:rFonts w:ascii="Arial" w:hAnsi="Arial" w:cs="Arial"/>
        </w:rPr>
      </w:pPr>
      <w:r w:rsidRPr="00B7001B">
        <w:rPr>
          <w:rFonts w:ascii="Arial" w:hAnsi="Arial" w:cs="Arial"/>
        </w:rPr>
        <w:t>One strength of the Ghosh test is its recognition of the subjective element of dishonesty, acknowledging that individual intent and perception play a crucial role in determining culpability. However, this subjectivity also presents a weakness, as it can lead to inconsistency and uncertainty in judicial decision-making. Furthermore, the requirement of proving the defendant's awareness of their dishonesty adds another layer of complexity, potentially complicating the prosecution's burden of proof.</w:t>
      </w:r>
    </w:p>
    <w:p w14:paraId="6EEA399E" w14:textId="77777777" w:rsidR="00C73B4E" w:rsidRPr="00B7001B" w:rsidRDefault="00C73B4E" w:rsidP="00B7001B">
      <w:pPr>
        <w:jc w:val="both"/>
        <w:rPr>
          <w:rFonts w:ascii="Arial" w:hAnsi="Arial" w:cs="Arial"/>
        </w:rPr>
      </w:pPr>
    </w:p>
    <w:p w14:paraId="2AB14215" w14:textId="77777777" w:rsidR="00C73B4E" w:rsidRPr="00B7001B" w:rsidRDefault="00C73B4E" w:rsidP="00B7001B">
      <w:pPr>
        <w:jc w:val="both"/>
        <w:rPr>
          <w:rFonts w:ascii="Arial" w:hAnsi="Arial" w:cs="Arial"/>
        </w:rPr>
      </w:pPr>
      <w:r w:rsidRPr="00B7001B">
        <w:rPr>
          <w:rFonts w:ascii="Arial" w:hAnsi="Arial" w:cs="Arial"/>
        </w:rPr>
        <w:t xml:space="preserve">In subsequent case law, the Ghosh test has been applied with varying degrees of success. While it has provided a framework for assessing dishonesty, its application has sometimes led to contentious outcomes. For instance, in cases where defendants may genuinely believe their </w:t>
      </w:r>
      <w:r w:rsidRPr="00B7001B">
        <w:rPr>
          <w:rFonts w:ascii="Arial" w:hAnsi="Arial" w:cs="Arial"/>
        </w:rPr>
        <w:lastRenderedPageBreak/>
        <w:t>actions were not dishonest despite societal norms suggesting otherwise, the Ghosh test's reliance on subjective perception can be problematic.</w:t>
      </w:r>
    </w:p>
    <w:p w14:paraId="6D40F7D1" w14:textId="77777777" w:rsidR="00C73B4E" w:rsidRPr="00B7001B" w:rsidRDefault="00C73B4E" w:rsidP="00B7001B">
      <w:pPr>
        <w:jc w:val="both"/>
        <w:rPr>
          <w:rFonts w:ascii="Arial" w:hAnsi="Arial" w:cs="Arial"/>
        </w:rPr>
      </w:pPr>
    </w:p>
    <w:p w14:paraId="5266067A" w14:textId="2CFC8BD8" w:rsidR="00C73B4E" w:rsidRPr="00B7001B" w:rsidRDefault="00C73B4E" w:rsidP="00B7001B">
      <w:pPr>
        <w:jc w:val="both"/>
        <w:rPr>
          <w:rFonts w:ascii="Arial" w:hAnsi="Arial" w:cs="Arial"/>
        </w:rPr>
      </w:pPr>
      <w:r w:rsidRPr="00B7001B">
        <w:rPr>
          <w:rFonts w:ascii="Arial" w:hAnsi="Arial" w:cs="Arial"/>
        </w:rPr>
        <w:t>Overall, while the Ghosh test has been instrumental in shaping the legal landscape surrounding dishonesty, its limitations and criticisms underscore the need for a more refined approach. The evolving nature of societal values and legal interpretation necessitates ongoing scrutiny and potential reform to ensure the effective and equitable application of dishonesty principles in the adjudication of criminal cases.</w:t>
      </w:r>
      <w:r w:rsidRPr="00B7001B">
        <w:rPr>
          <w:rFonts w:ascii="Arial" w:hAnsi="Arial" w:cs="Arial"/>
        </w:rPr>
        <w:t xml:space="preserve"> </w:t>
      </w:r>
    </w:p>
    <w:p w14:paraId="022C9BEB" w14:textId="77777777" w:rsidR="00B7001B" w:rsidRPr="00B7001B" w:rsidRDefault="00B7001B" w:rsidP="00B7001B">
      <w:pPr>
        <w:jc w:val="both"/>
        <w:rPr>
          <w:rFonts w:ascii="Arial" w:hAnsi="Arial" w:cs="Arial"/>
        </w:rPr>
      </w:pPr>
      <w:r w:rsidRPr="00B7001B">
        <w:rPr>
          <w:rFonts w:ascii="Arial" w:hAnsi="Arial" w:cs="Arial"/>
        </w:rPr>
        <w:t>The case of Ivey v Genting Casinos UK Ltd (2017) marked a significant departure from the established precedent set by the Ghosh test in assessing dishonesty. In this case, the Supreme Court ruled that the subjective element of dishonesty should be determined solely based on the defendant's state of mind, without regard to whether their conduct was perceived as dishonest by ordinary reasonable people [Ivey v Genting Casinos UK Ltd [2017] UKSC 67]. This shift in approach aimed to provide greater clarity and consistency in determining culpability for dishonest acts.</w:t>
      </w:r>
    </w:p>
    <w:p w14:paraId="0466295E" w14:textId="77777777" w:rsidR="00B7001B" w:rsidRPr="00B7001B" w:rsidRDefault="00B7001B" w:rsidP="00B7001B">
      <w:pPr>
        <w:jc w:val="both"/>
        <w:rPr>
          <w:rFonts w:ascii="Arial" w:hAnsi="Arial" w:cs="Arial"/>
        </w:rPr>
      </w:pPr>
    </w:p>
    <w:p w14:paraId="5E4DA7F5" w14:textId="77777777" w:rsidR="00B7001B" w:rsidRPr="00B7001B" w:rsidRDefault="00B7001B" w:rsidP="00B7001B">
      <w:pPr>
        <w:jc w:val="both"/>
        <w:rPr>
          <w:rFonts w:ascii="Arial" w:hAnsi="Arial" w:cs="Arial"/>
        </w:rPr>
      </w:pPr>
      <w:r w:rsidRPr="00B7001B">
        <w:rPr>
          <w:rFonts w:ascii="Arial" w:hAnsi="Arial" w:cs="Arial"/>
        </w:rPr>
        <w:t>The decision to depart from the Ghosh test was grounded in the belief that the objective element of dishonesty was unnecessary and potentially misleading. By focusing solely on the defendant's state of mind, the Ivey test sought to align the legal definition of dishonesty more closely with moral principles and individual accountability [Ivey v Genting Casinos UK Ltd [2017] UKSC 67].</w:t>
      </w:r>
    </w:p>
    <w:p w14:paraId="6431444C" w14:textId="77777777" w:rsidR="00B7001B" w:rsidRPr="00B7001B" w:rsidRDefault="00B7001B" w:rsidP="00B7001B">
      <w:pPr>
        <w:jc w:val="both"/>
        <w:rPr>
          <w:rFonts w:ascii="Arial" w:hAnsi="Arial" w:cs="Arial"/>
        </w:rPr>
      </w:pPr>
    </w:p>
    <w:p w14:paraId="51161484" w14:textId="77777777" w:rsidR="00B7001B" w:rsidRPr="00B7001B" w:rsidRDefault="00B7001B" w:rsidP="00B7001B">
      <w:pPr>
        <w:jc w:val="both"/>
        <w:rPr>
          <w:rFonts w:ascii="Arial" w:hAnsi="Arial" w:cs="Arial"/>
        </w:rPr>
      </w:pPr>
      <w:r w:rsidRPr="00B7001B">
        <w:rPr>
          <w:rFonts w:ascii="Arial" w:hAnsi="Arial" w:cs="Arial"/>
        </w:rPr>
        <w:t>The implications of the Ivey test in determining dishonesty are far-reaching. By removing the subjective perception of ordinary reasonable people from the equation, the Ivey test streamlines the assessment process and reduces the risk of subjective bias influencing judicial decisions. However, critics argue that this approach may lead to a narrower interpretation of dishonesty and could potentially undermine public confidence in the legal system's ability to uphold moral standards.</w:t>
      </w:r>
    </w:p>
    <w:p w14:paraId="571DDDEC" w14:textId="77777777" w:rsidR="00B7001B" w:rsidRPr="00B7001B" w:rsidRDefault="00B7001B" w:rsidP="00B7001B">
      <w:pPr>
        <w:jc w:val="both"/>
        <w:rPr>
          <w:rFonts w:ascii="Arial" w:hAnsi="Arial" w:cs="Arial"/>
        </w:rPr>
      </w:pPr>
    </w:p>
    <w:p w14:paraId="4F61802F" w14:textId="2FD79C00" w:rsidR="00B7001B" w:rsidRPr="00B7001B" w:rsidRDefault="00B7001B" w:rsidP="00B7001B">
      <w:pPr>
        <w:jc w:val="both"/>
        <w:rPr>
          <w:rFonts w:ascii="Arial" w:hAnsi="Arial" w:cs="Arial"/>
        </w:rPr>
      </w:pPr>
      <w:r w:rsidRPr="00B7001B">
        <w:rPr>
          <w:rFonts w:ascii="Arial" w:hAnsi="Arial" w:cs="Arial"/>
        </w:rPr>
        <w:t>Overall, the Ivey case represents a significant shift in the legal landscape surrounding dishonesty, prompting ongoing debate and reflection on the appropriate criteria for assessing culpability in cases of alleged dishonest conduct [Ivey v Genting Casinos UK Ltd [2017] UKSC 67].</w:t>
      </w:r>
    </w:p>
    <w:p w14:paraId="36864FA1" w14:textId="71DCB719" w:rsidR="00B7001B" w:rsidRPr="00B7001B" w:rsidRDefault="00B7001B" w:rsidP="00B7001B">
      <w:pPr>
        <w:jc w:val="both"/>
        <w:rPr>
          <w:rFonts w:ascii="Arial" w:hAnsi="Arial" w:cs="Arial"/>
        </w:rPr>
      </w:pPr>
      <w:r w:rsidRPr="00B7001B">
        <w:rPr>
          <w:rFonts w:ascii="Arial" w:hAnsi="Arial" w:cs="Arial"/>
        </w:rPr>
        <w:t xml:space="preserve">Dishonesty stands as a cornerstone in the offence of theft, serving as an essential element in establishing criminal liability. In theft cases, dishonesty manifests through various forms of deceptive or fraudulent </w:t>
      </w:r>
      <w:proofErr w:type="spellStart"/>
      <w:r w:rsidRPr="00B7001B">
        <w:rPr>
          <w:rFonts w:ascii="Arial" w:hAnsi="Arial" w:cs="Arial"/>
        </w:rPr>
        <w:t>behavior</w:t>
      </w:r>
      <w:proofErr w:type="spellEnd"/>
      <w:r w:rsidRPr="00B7001B">
        <w:rPr>
          <w:rFonts w:ascii="Arial" w:hAnsi="Arial" w:cs="Arial"/>
        </w:rPr>
        <w:t xml:space="preserve">, such as appropriation of property without the owner's consent or with the intention to permanently deprive [R v Morris (1983) 76 Cr App R 225]. Case law is replete with examples where dishonesty played a central role in convicting offenders of theft, demonstrating the judiciary's commitment to upholding integrity in property relations. For instance, in R v Lawrence (1971) 55 Cr App R 500, the defendant's deceitful actions in misappropriating funds led to a conviction for theft. However, there are scenarios where the absence of dishonesty may negate a charge of theft, such as situations involving genuine belief in a legal right to the property or mistake as to the ownership [R v </w:t>
      </w:r>
      <w:proofErr w:type="spellStart"/>
      <w:r w:rsidRPr="00B7001B">
        <w:rPr>
          <w:rFonts w:ascii="Arial" w:hAnsi="Arial" w:cs="Arial"/>
        </w:rPr>
        <w:t>Velumyl</w:t>
      </w:r>
      <w:proofErr w:type="spellEnd"/>
      <w:r w:rsidRPr="00B7001B">
        <w:rPr>
          <w:rFonts w:ascii="Arial" w:hAnsi="Arial" w:cs="Arial"/>
        </w:rPr>
        <w:t xml:space="preserve"> (1989) 1 WLR 250]. Thus, while dishonesty is typically a crucial element in theft offences, exceptions exist where other factors may mitigate culpability.</w:t>
      </w:r>
    </w:p>
    <w:p w14:paraId="2859483B" w14:textId="7D6681B6" w:rsidR="00B7001B" w:rsidRPr="00B7001B" w:rsidRDefault="00B7001B" w:rsidP="00B7001B">
      <w:pPr>
        <w:jc w:val="both"/>
        <w:rPr>
          <w:rFonts w:ascii="Arial" w:hAnsi="Arial" w:cs="Arial"/>
        </w:rPr>
      </w:pPr>
      <w:r w:rsidRPr="00B7001B">
        <w:rPr>
          <w:rFonts w:ascii="Arial" w:hAnsi="Arial" w:cs="Arial"/>
        </w:rPr>
        <w:lastRenderedPageBreak/>
        <w:t>Establishing dishonesty holds paramount importance in theft cases as it serves as a fundamental criterion for determining criminal liability. Dishonest conduct undermines the integrity of property rights and erodes trust within society. Convicting individuals based on dishonesty carries significant societal implications, as it reinforces the principle of accountability and deters future misconduct. However, there are concerns regarding the potential impact on individuals' lives and reputations, especially in cases where subjective perceptions of dishonesty may vary. Balancing legal principles with moral considerations is crucial in assessing dishonesty, as it ensures fairness and equity in the administration of justice. Striking this balance requires careful deliberation to safeguard both legal integrity and individual rights, thereby upholding the principles of justice and societal harmony.</w:t>
      </w:r>
    </w:p>
    <w:p w14:paraId="626B576A" w14:textId="79BF1AED" w:rsidR="00EA1C81" w:rsidRDefault="00C73B4E" w:rsidP="00B7001B">
      <w:pPr>
        <w:jc w:val="both"/>
        <w:rPr>
          <w:rFonts w:ascii="Arial" w:hAnsi="Arial" w:cs="Arial"/>
        </w:rPr>
      </w:pPr>
      <w:r w:rsidRPr="00C73B4E">
        <w:rPr>
          <w:rFonts w:ascii="Arial" w:hAnsi="Arial" w:cs="Arial"/>
        </w:rPr>
        <w:t>In conclusion, the concept of dishonesty serves as a cornerstone in the prosecution of theft offences in the UK. Through the examination of both the common law test of dishonesty and pivotal case law such as Ivey v Genting Casinos UK Ltd and R v Ghosh, it is evident that the determination of dishonesty is crucial in upholding the principles of justice and integrity within the legal system. As the legal landscape evolves, it becomes imperative to reassess the criteria for establishing dishonesty to ensure fairness and consistency in the adjudication of theft cases. By striking a balance between legal precedent and contemporary societal values, the UK judiciary can continue to uphold the integrity of the criminal justice system.</w:t>
      </w:r>
      <w:r w:rsidR="00EA1C81">
        <w:rPr>
          <w:rFonts w:ascii="Arial" w:hAnsi="Arial" w:cs="Arial"/>
        </w:rPr>
        <w:t xml:space="preserve"> </w:t>
      </w:r>
    </w:p>
    <w:p w14:paraId="68147FDA" w14:textId="77777777" w:rsidR="00EA1C81" w:rsidRPr="00EA1C81" w:rsidRDefault="00EA1C81" w:rsidP="00EA1C81">
      <w:pPr>
        <w:jc w:val="both"/>
        <w:rPr>
          <w:rFonts w:ascii="Arial" w:hAnsi="Arial" w:cs="Arial"/>
        </w:rPr>
      </w:pPr>
      <w:r w:rsidRPr="00EA1C81">
        <w:rPr>
          <w:rFonts w:ascii="Arial" w:hAnsi="Arial" w:cs="Arial"/>
        </w:rPr>
        <w:t>Establishing dishonesty serves as a linchpin in the adjudication of theft cases, playing a pivotal role in delineating criminal liability. The significance of this criterion cannot be overstated, as it not only upholds the sanctity of property rights but also preserves the fabric of trust essential for societal cohesion. When individuals engage in dishonest conduct, they not only infringe upon the rights of others but also undermine the foundational principles of fairness and integrity upon which the legal system operates. Convicting individuals based on dishonesty is not merely a matter of punishing wrongdoing; it is an assertion of accountability that reinforces societal norms and serves as a deterrent against future transgressions.</w:t>
      </w:r>
    </w:p>
    <w:p w14:paraId="7579BE0F" w14:textId="77777777" w:rsidR="00EA1C81" w:rsidRPr="00EA1C81" w:rsidRDefault="00EA1C81" w:rsidP="00EA1C81">
      <w:pPr>
        <w:jc w:val="both"/>
        <w:rPr>
          <w:rFonts w:ascii="Arial" w:hAnsi="Arial" w:cs="Arial"/>
        </w:rPr>
      </w:pPr>
    </w:p>
    <w:p w14:paraId="5A7D4CEB" w14:textId="77777777" w:rsidR="00EA1C81" w:rsidRPr="00EA1C81" w:rsidRDefault="00EA1C81" w:rsidP="00EA1C81">
      <w:pPr>
        <w:jc w:val="both"/>
        <w:rPr>
          <w:rFonts w:ascii="Arial" w:hAnsi="Arial" w:cs="Arial"/>
        </w:rPr>
      </w:pPr>
      <w:r w:rsidRPr="00EA1C81">
        <w:rPr>
          <w:rFonts w:ascii="Arial" w:hAnsi="Arial" w:cs="Arial"/>
        </w:rPr>
        <w:t>However, the ramifications of convicting individuals based on dishonesty extend beyond the courtroom. There exists a delicate balance between holding individuals accountable for their actions and safeguarding against potential injustices. Concerns arise regarding the subjective nature of dishonesty and its potential impact on individuals' lives and reputations. In cases where perceptions of dishonesty vary, there is a risk of unfair outcomes that may irreparably harm individuals' livelihoods and standing within their communities.</w:t>
      </w:r>
    </w:p>
    <w:p w14:paraId="13FCBCCC" w14:textId="77777777" w:rsidR="00EA1C81" w:rsidRPr="00EA1C81" w:rsidRDefault="00EA1C81" w:rsidP="00EA1C81">
      <w:pPr>
        <w:jc w:val="both"/>
        <w:rPr>
          <w:rFonts w:ascii="Arial" w:hAnsi="Arial" w:cs="Arial"/>
        </w:rPr>
      </w:pPr>
    </w:p>
    <w:p w14:paraId="61E3A763" w14:textId="77777777" w:rsidR="00EA1C81" w:rsidRPr="00EA1C81" w:rsidRDefault="00EA1C81" w:rsidP="00EA1C81">
      <w:pPr>
        <w:jc w:val="both"/>
        <w:rPr>
          <w:rFonts w:ascii="Arial" w:hAnsi="Arial" w:cs="Arial"/>
        </w:rPr>
      </w:pPr>
      <w:r w:rsidRPr="00EA1C81">
        <w:rPr>
          <w:rFonts w:ascii="Arial" w:hAnsi="Arial" w:cs="Arial"/>
        </w:rPr>
        <w:t xml:space="preserve">Therefore, striking a balance between legal principles and moral considerations is imperative in the assessment of dishonesty. While the law provides a framework for determining criminal culpability, it must also be cognizant of the broader societal implications of its decisions. Fairness and equity demand a nuanced approach that considers the complexities of human </w:t>
      </w:r>
      <w:proofErr w:type="spellStart"/>
      <w:r w:rsidRPr="00EA1C81">
        <w:rPr>
          <w:rFonts w:ascii="Arial" w:hAnsi="Arial" w:cs="Arial"/>
        </w:rPr>
        <w:t>behavior</w:t>
      </w:r>
      <w:proofErr w:type="spellEnd"/>
      <w:r w:rsidRPr="00EA1C81">
        <w:rPr>
          <w:rFonts w:ascii="Arial" w:hAnsi="Arial" w:cs="Arial"/>
        </w:rPr>
        <w:t xml:space="preserve"> and the multifaceted nature of justice. Upholding this balance requires not only rigorous adherence to legal standards but also a commitment to ethical principles that promote dignity and respect for all individuals involved.</w:t>
      </w:r>
    </w:p>
    <w:p w14:paraId="75997387" w14:textId="77777777" w:rsidR="00EA1C81" w:rsidRPr="00EA1C81" w:rsidRDefault="00EA1C81" w:rsidP="00EA1C81">
      <w:pPr>
        <w:jc w:val="both"/>
        <w:rPr>
          <w:rFonts w:ascii="Arial" w:hAnsi="Arial" w:cs="Arial"/>
        </w:rPr>
      </w:pPr>
    </w:p>
    <w:p w14:paraId="28FFEB78" w14:textId="1AF1F7D5" w:rsidR="00EA1C81" w:rsidRPr="00C73B4E" w:rsidRDefault="00EA1C81" w:rsidP="00EA1C81">
      <w:pPr>
        <w:jc w:val="both"/>
        <w:rPr>
          <w:rFonts w:ascii="Arial" w:hAnsi="Arial" w:cs="Arial"/>
        </w:rPr>
      </w:pPr>
      <w:r w:rsidRPr="00EA1C81">
        <w:rPr>
          <w:rFonts w:ascii="Arial" w:hAnsi="Arial" w:cs="Arial"/>
        </w:rPr>
        <w:t xml:space="preserve">In essence, the quest for justice necessitates careful deliberation and conscientious application of the law. By navigating the intricacies of dishonesty with diligence and compassion, the legal system can </w:t>
      </w:r>
      <w:proofErr w:type="spellStart"/>
      <w:r w:rsidRPr="00EA1C81">
        <w:rPr>
          <w:rFonts w:ascii="Arial" w:hAnsi="Arial" w:cs="Arial"/>
        </w:rPr>
        <w:t>fulfill</w:t>
      </w:r>
      <w:proofErr w:type="spellEnd"/>
      <w:r w:rsidRPr="00EA1C81">
        <w:rPr>
          <w:rFonts w:ascii="Arial" w:hAnsi="Arial" w:cs="Arial"/>
        </w:rPr>
        <w:t xml:space="preserve"> its mandate of preserving order and promoting societal harmony while safeguarding the rights and dignity of every individual.</w:t>
      </w:r>
    </w:p>
    <w:p w14:paraId="151EE830" w14:textId="77777777" w:rsidR="005161C6" w:rsidRPr="00B7001B" w:rsidRDefault="005161C6">
      <w:pPr>
        <w:rPr>
          <w:rFonts w:ascii="Arial" w:hAnsi="Arial" w:cs="Arial"/>
        </w:rPr>
      </w:pPr>
    </w:p>
    <w:sectPr w:rsidR="005161C6" w:rsidRPr="00B70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2651D8"/>
    <w:multiLevelType w:val="multilevel"/>
    <w:tmpl w:val="100638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0725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4E"/>
    <w:rsid w:val="005161C6"/>
    <w:rsid w:val="00A86610"/>
    <w:rsid w:val="00B7001B"/>
    <w:rsid w:val="00C73B4E"/>
    <w:rsid w:val="00EA1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3115A"/>
  <w15:chartTrackingRefBased/>
  <w15:docId w15:val="{25A89D27-3806-4A93-BFDE-89DB20057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B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3B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3B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3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3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3B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B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B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B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B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B4E"/>
    <w:rPr>
      <w:rFonts w:eastAsiaTheme="majorEastAsia" w:cstheme="majorBidi"/>
      <w:color w:val="272727" w:themeColor="text1" w:themeTint="D8"/>
    </w:rPr>
  </w:style>
  <w:style w:type="paragraph" w:styleId="Title">
    <w:name w:val="Title"/>
    <w:basedOn w:val="Normal"/>
    <w:next w:val="Normal"/>
    <w:link w:val="TitleChar"/>
    <w:uiPriority w:val="10"/>
    <w:qFormat/>
    <w:rsid w:val="00C73B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B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B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B4E"/>
    <w:pPr>
      <w:spacing w:before="160"/>
      <w:jc w:val="center"/>
    </w:pPr>
    <w:rPr>
      <w:i/>
      <w:iCs/>
      <w:color w:val="404040" w:themeColor="text1" w:themeTint="BF"/>
    </w:rPr>
  </w:style>
  <w:style w:type="character" w:customStyle="1" w:styleId="QuoteChar">
    <w:name w:val="Quote Char"/>
    <w:basedOn w:val="DefaultParagraphFont"/>
    <w:link w:val="Quote"/>
    <w:uiPriority w:val="29"/>
    <w:rsid w:val="00C73B4E"/>
    <w:rPr>
      <w:i/>
      <w:iCs/>
      <w:color w:val="404040" w:themeColor="text1" w:themeTint="BF"/>
    </w:rPr>
  </w:style>
  <w:style w:type="paragraph" w:styleId="ListParagraph">
    <w:name w:val="List Paragraph"/>
    <w:basedOn w:val="Normal"/>
    <w:uiPriority w:val="34"/>
    <w:qFormat/>
    <w:rsid w:val="00C73B4E"/>
    <w:pPr>
      <w:ind w:left="720"/>
      <w:contextualSpacing/>
    </w:pPr>
  </w:style>
  <w:style w:type="character" w:styleId="IntenseEmphasis">
    <w:name w:val="Intense Emphasis"/>
    <w:basedOn w:val="DefaultParagraphFont"/>
    <w:uiPriority w:val="21"/>
    <w:qFormat/>
    <w:rsid w:val="00C73B4E"/>
    <w:rPr>
      <w:i/>
      <w:iCs/>
      <w:color w:val="0F4761" w:themeColor="accent1" w:themeShade="BF"/>
    </w:rPr>
  </w:style>
  <w:style w:type="paragraph" w:styleId="IntenseQuote">
    <w:name w:val="Intense Quote"/>
    <w:basedOn w:val="Normal"/>
    <w:next w:val="Normal"/>
    <w:link w:val="IntenseQuoteChar"/>
    <w:uiPriority w:val="30"/>
    <w:qFormat/>
    <w:rsid w:val="00C73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B4E"/>
    <w:rPr>
      <w:i/>
      <w:iCs/>
      <w:color w:val="0F4761" w:themeColor="accent1" w:themeShade="BF"/>
    </w:rPr>
  </w:style>
  <w:style w:type="character" w:styleId="IntenseReference">
    <w:name w:val="Intense Reference"/>
    <w:basedOn w:val="DefaultParagraphFont"/>
    <w:uiPriority w:val="32"/>
    <w:qFormat/>
    <w:rsid w:val="00C73B4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33057">
      <w:bodyDiv w:val="1"/>
      <w:marLeft w:val="0"/>
      <w:marRight w:val="0"/>
      <w:marTop w:val="0"/>
      <w:marBottom w:val="0"/>
      <w:divBdr>
        <w:top w:val="none" w:sz="0" w:space="0" w:color="auto"/>
        <w:left w:val="none" w:sz="0" w:space="0" w:color="auto"/>
        <w:bottom w:val="none" w:sz="0" w:space="0" w:color="auto"/>
        <w:right w:val="none" w:sz="0" w:space="0" w:color="auto"/>
      </w:divBdr>
    </w:div>
    <w:div w:id="385110419">
      <w:bodyDiv w:val="1"/>
      <w:marLeft w:val="0"/>
      <w:marRight w:val="0"/>
      <w:marTop w:val="0"/>
      <w:marBottom w:val="0"/>
      <w:divBdr>
        <w:top w:val="none" w:sz="0" w:space="0" w:color="auto"/>
        <w:left w:val="none" w:sz="0" w:space="0" w:color="auto"/>
        <w:bottom w:val="none" w:sz="0" w:space="0" w:color="auto"/>
        <w:right w:val="none" w:sz="0" w:space="0" w:color="auto"/>
      </w:divBdr>
    </w:div>
    <w:div w:id="426731211">
      <w:bodyDiv w:val="1"/>
      <w:marLeft w:val="0"/>
      <w:marRight w:val="0"/>
      <w:marTop w:val="0"/>
      <w:marBottom w:val="0"/>
      <w:divBdr>
        <w:top w:val="none" w:sz="0" w:space="0" w:color="auto"/>
        <w:left w:val="none" w:sz="0" w:space="0" w:color="auto"/>
        <w:bottom w:val="none" w:sz="0" w:space="0" w:color="auto"/>
        <w:right w:val="none" w:sz="0" w:space="0" w:color="auto"/>
      </w:divBdr>
    </w:div>
    <w:div w:id="734932395">
      <w:bodyDiv w:val="1"/>
      <w:marLeft w:val="0"/>
      <w:marRight w:val="0"/>
      <w:marTop w:val="0"/>
      <w:marBottom w:val="0"/>
      <w:divBdr>
        <w:top w:val="none" w:sz="0" w:space="0" w:color="auto"/>
        <w:left w:val="none" w:sz="0" w:space="0" w:color="auto"/>
        <w:bottom w:val="none" w:sz="0" w:space="0" w:color="auto"/>
        <w:right w:val="none" w:sz="0" w:space="0" w:color="auto"/>
      </w:divBdr>
    </w:div>
    <w:div w:id="1166746863">
      <w:bodyDiv w:val="1"/>
      <w:marLeft w:val="0"/>
      <w:marRight w:val="0"/>
      <w:marTop w:val="0"/>
      <w:marBottom w:val="0"/>
      <w:divBdr>
        <w:top w:val="none" w:sz="0" w:space="0" w:color="auto"/>
        <w:left w:val="none" w:sz="0" w:space="0" w:color="auto"/>
        <w:bottom w:val="none" w:sz="0" w:space="0" w:color="auto"/>
        <w:right w:val="none" w:sz="0" w:space="0" w:color="auto"/>
      </w:divBdr>
    </w:div>
    <w:div w:id="1317107197">
      <w:bodyDiv w:val="1"/>
      <w:marLeft w:val="0"/>
      <w:marRight w:val="0"/>
      <w:marTop w:val="0"/>
      <w:marBottom w:val="0"/>
      <w:divBdr>
        <w:top w:val="none" w:sz="0" w:space="0" w:color="auto"/>
        <w:left w:val="none" w:sz="0" w:space="0" w:color="auto"/>
        <w:bottom w:val="none" w:sz="0" w:space="0" w:color="auto"/>
        <w:right w:val="none" w:sz="0" w:space="0" w:color="auto"/>
      </w:divBdr>
    </w:div>
    <w:div w:id="1330527050">
      <w:bodyDiv w:val="1"/>
      <w:marLeft w:val="0"/>
      <w:marRight w:val="0"/>
      <w:marTop w:val="0"/>
      <w:marBottom w:val="0"/>
      <w:divBdr>
        <w:top w:val="none" w:sz="0" w:space="0" w:color="auto"/>
        <w:left w:val="none" w:sz="0" w:space="0" w:color="auto"/>
        <w:bottom w:val="none" w:sz="0" w:space="0" w:color="auto"/>
        <w:right w:val="none" w:sz="0" w:space="0" w:color="auto"/>
      </w:divBdr>
    </w:div>
    <w:div w:id="1574703790">
      <w:bodyDiv w:val="1"/>
      <w:marLeft w:val="0"/>
      <w:marRight w:val="0"/>
      <w:marTop w:val="0"/>
      <w:marBottom w:val="0"/>
      <w:divBdr>
        <w:top w:val="none" w:sz="0" w:space="0" w:color="auto"/>
        <w:left w:val="none" w:sz="0" w:space="0" w:color="auto"/>
        <w:bottom w:val="none" w:sz="0" w:space="0" w:color="auto"/>
        <w:right w:val="none" w:sz="0" w:space="0" w:color="auto"/>
      </w:divBdr>
    </w:div>
    <w:div w:id="164646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1526</Words>
  <Characters>8700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Shere-Mohammod (2211969)</dc:creator>
  <cp:keywords/>
  <dc:description/>
  <cp:lastModifiedBy>Abdul Shere-Mohammod (2211969)</cp:lastModifiedBy>
  <cp:revision>1</cp:revision>
  <dcterms:created xsi:type="dcterms:W3CDTF">2024-05-02T13:57:00Z</dcterms:created>
  <dcterms:modified xsi:type="dcterms:W3CDTF">2024-05-02T14:25:00Z</dcterms:modified>
</cp:coreProperties>
</file>