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EA769" w14:textId="77777777" w:rsidR="00103B2D" w:rsidRDefault="00103B2D" w:rsidP="00103B2D">
      <w:pPr>
        <w:pStyle w:val="NormalWeb"/>
        <w:spacing w:line="360" w:lineRule="auto"/>
        <w:jc w:val="center"/>
        <w:rPr>
          <w:rFonts w:ascii="Arial" w:hAnsi="Arial" w:cs="Arial"/>
          <w:sz w:val="22"/>
          <w:szCs w:val="22"/>
          <w:lang w:val="en-US"/>
        </w:rPr>
      </w:pPr>
    </w:p>
    <w:p w14:paraId="5188E3D1" w14:textId="77777777" w:rsidR="00103B2D" w:rsidRDefault="00103B2D" w:rsidP="00103B2D">
      <w:pPr>
        <w:pStyle w:val="NormalWeb"/>
        <w:spacing w:line="360" w:lineRule="auto"/>
        <w:jc w:val="center"/>
        <w:rPr>
          <w:rFonts w:ascii="Arial" w:hAnsi="Arial" w:cs="Arial"/>
          <w:sz w:val="22"/>
          <w:szCs w:val="22"/>
          <w:lang w:val="en-US"/>
        </w:rPr>
      </w:pPr>
    </w:p>
    <w:p w14:paraId="79640DFA" w14:textId="77777777" w:rsidR="00103B2D" w:rsidRDefault="00103B2D" w:rsidP="00103B2D">
      <w:pPr>
        <w:pStyle w:val="NormalWeb"/>
        <w:spacing w:line="360" w:lineRule="auto"/>
        <w:jc w:val="center"/>
        <w:rPr>
          <w:rFonts w:ascii="Arial" w:hAnsi="Arial" w:cs="Arial"/>
          <w:sz w:val="22"/>
          <w:szCs w:val="22"/>
          <w:lang w:val="en-US"/>
        </w:rPr>
      </w:pPr>
    </w:p>
    <w:p w14:paraId="57B604A3" w14:textId="77777777" w:rsidR="00103B2D" w:rsidRDefault="00103B2D" w:rsidP="00103B2D">
      <w:pPr>
        <w:pStyle w:val="NormalWeb"/>
        <w:spacing w:line="360" w:lineRule="auto"/>
        <w:jc w:val="center"/>
        <w:rPr>
          <w:rFonts w:ascii="Arial" w:hAnsi="Arial" w:cs="Arial"/>
          <w:sz w:val="22"/>
          <w:szCs w:val="22"/>
          <w:lang w:val="en-US"/>
        </w:rPr>
      </w:pPr>
    </w:p>
    <w:p w14:paraId="3B1AB898" w14:textId="77777777" w:rsidR="00103B2D" w:rsidRDefault="00103B2D" w:rsidP="00103B2D">
      <w:pPr>
        <w:pStyle w:val="NormalWeb"/>
        <w:spacing w:line="360" w:lineRule="auto"/>
        <w:jc w:val="center"/>
        <w:rPr>
          <w:rFonts w:ascii="Arial" w:hAnsi="Arial" w:cs="Arial"/>
          <w:sz w:val="22"/>
          <w:szCs w:val="22"/>
          <w:lang w:val="en-US"/>
        </w:rPr>
      </w:pPr>
    </w:p>
    <w:p w14:paraId="2A6A0089" w14:textId="7CDCBBBA" w:rsidR="00103B2D" w:rsidRDefault="00103B2D" w:rsidP="00103B2D">
      <w:pPr>
        <w:pStyle w:val="NormalWeb"/>
        <w:spacing w:line="360" w:lineRule="auto"/>
        <w:jc w:val="center"/>
        <w:rPr>
          <w:rFonts w:ascii="Arial" w:hAnsi="Arial" w:cs="Arial"/>
          <w:sz w:val="22"/>
          <w:szCs w:val="22"/>
          <w:lang w:val="en-US"/>
        </w:rPr>
      </w:pPr>
      <w:r>
        <w:rPr>
          <w:rFonts w:ascii="Arial" w:hAnsi="Arial" w:cs="Arial"/>
          <w:sz w:val="22"/>
          <w:szCs w:val="22"/>
          <w:lang w:val="en-US"/>
        </w:rPr>
        <w:t>Name</w:t>
      </w:r>
    </w:p>
    <w:p w14:paraId="586FCF69" w14:textId="23B32AA8" w:rsidR="00103B2D" w:rsidRDefault="00103B2D" w:rsidP="00103B2D">
      <w:pPr>
        <w:pStyle w:val="NormalWeb"/>
        <w:spacing w:line="360" w:lineRule="auto"/>
        <w:jc w:val="center"/>
        <w:rPr>
          <w:rFonts w:ascii="Arial" w:hAnsi="Arial" w:cs="Arial"/>
          <w:sz w:val="22"/>
          <w:szCs w:val="22"/>
          <w:lang w:val="en-US"/>
        </w:rPr>
      </w:pPr>
      <w:r>
        <w:rPr>
          <w:rFonts w:ascii="Arial" w:hAnsi="Arial" w:cs="Arial"/>
          <w:sz w:val="22"/>
          <w:szCs w:val="22"/>
          <w:lang w:val="en-US"/>
        </w:rPr>
        <w:t>Institution</w:t>
      </w:r>
    </w:p>
    <w:p w14:paraId="74961FB3" w14:textId="5F5EE140" w:rsidR="00103B2D" w:rsidRDefault="00103B2D" w:rsidP="00103B2D">
      <w:pPr>
        <w:pStyle w:val="NormalWeb"/>
        <w:spacing w:line="360" w:lineRule="auto"/>
        <w:jc w:val="center"/>
        <w:rPr>
          <w:rFonts w:ascii="Arial" w:hAnsi="Arial" w:cs="Arial"/>
          <w:sz w:val="22"/>
          <w:szCs w:val="22"/>
          <w:lang w:val="en-US"/>
        </w:rPr>
      </w:pPr>
      <w:r>
        <w:rPr>
          <w:rFonts w:ascii="Arial" w:hAnsi="Arial" w:cs="Arial"/>
          <w:sz w:val="22"/>
          <w:szCs w:val="22"/>
          <w:lang w:val="en-US"/>
        </w:rPr>
        <w:t>Course</w:t>
      </w:r>
    </w:p>
    <w:p w14:paraId="5F42E0C5" w14:textId="0F76DF34" w:rsidR="00103B2D" w:rsidRDefault="00103B2D" w:rsidP="00103B2D">
      <w:pPr>
        <w:pStyle w:val="NormalWeb"/>
        <w:spacing w:line="360" w:lineRule="auto"/>
        <w:jc w:val="center"/>
        <w:rPr>
          <w:rFonts w:ascii="Arial" w:hAnsi="Arial" w:cs="Arial"/>
          <w:sz w:val="22"/>
          <w:szCs w:val="22"/>
          <w:lang w:val="en-US"/>
        </w:rPr>
      </w:pPr>
      <w:r>
        <w:rPr>
          <w:rFonts w:ascii="Arial" w:hAnsi="Arial" w:cs="Arial"/>
          <w:sz w:val="22"/>
          <w:szCs w:val="22"/>
          <w:lang w:val="en-US"/>
        </w:rPr>
        <w:t>Professor</w:t>
      </w:r>
    </w:p>
    <w:p w14:paraId="3C3DBD40" w14:textId="0B2879F6" w:rsidR="00103B2D" w:rsidRDefault="00103B2D" w:rsidP="00103B2D">
      <w:pPr>
        <w:pStyle w:val="NormalWeb"/>
        <w:spacing w:line="360" w:lineRule="auto"/>
        <w:jc w:val="center"/>
        <w:rPr>
          <w:rFonts w:ascii="Arial" w:hAnsi="Arial" w:cs="Arial"/>
          <w:sz w:val="22"/>
          <w:szCs w:val="22"/>
          <w:lang w:val="en-US"/>
        </w:rPr>
      </w:pPr>
      <w:r>
        <w:rPr>
          <w:rFonts w:ascii="Arial" w:hAnsi="Arial" w:cs="Arial"/>
          <w:sz w:val="22"/>
          <w:szCs w:val="22"/>
          <w:lang w:val="en-US"/>
        </w:rPr>
        <w:t>Date</w:t>
      </w:r>
    </w:p>
    <w:p w14:paraId="2ADB8492" w14:textId="4279A357" w:rsidR="00103B2D" w:rsidRDefault="00103B2D" w:rsidP="00103B2D">
      <w:pPr>
        <w:pStyle w:val="NormalWeb"/>
        <w:spacing w:line="360" w:lineRule="auto"/>
        <w:jc w:val="center"/>
        <w:rPr>
          <w:rFonts w:ascii="Arial" w:hAnsi="Arial" w:cs="Arial"/>
          <w:sz w:val="22"/>
          <w:szCs w:val="22"/>
          <w:lang w:val="en-US"/>
        </w:rPr>
      </w:pPr>
    </w:p>
    <w:p w14:paraId="4F7C1353" w14:textId="65FE455F" w:rsidR="00103B2D" w:rsidRDefault="00103B2D" w:rsidP="00103B2D">
      <w:pPr>
        <w:pStyle w:val="NormalWeb"/>
        <w:spacing w:line="360" w:lineRule="auto"/>
        <w:jc w:val="center"/>
        <w:rPr>
          <w:rFonts w:ascii="Arial" w:hAnsi="Arial" w:cs="Arial"/>
          <w:sz w:val="22"/>
          <w:szCs w:val="22"/>
          <w:lang w:val="en-US"/>
        </w:rPr>
      </w:pPr>
    </w:p>
    <w:p w14:paraId="66B82EC4" w14:textId="42E70C90" w:rsidR="00103B2D" w:rsidRDefault="00103B2D" w:rsidP="00103B2D">
      <w:pPr>
        <w:pStyle w:val="NormalWeb"/>
        <w:spacing w:line="360" w:lineRule="auto"/>
        <w:jc w:val="center"/>
        <w:rPr>
          <w:rFonts w:ascii="Arial" w:hAnsi="Arial" w:cs="Arial"/>
          <w:sz w:val="22"/>
          <w:szCs w:val="22"/>
          <w:lang w:val="en-US"/>
        </w:rPr>
      </w:pPr>
    </w:p>
    <w:p w14:paraId="34D9D7B7" w14:textId="2435546F" w:rsidR="00103B2D" w:rsidRDefault="00103B2D" w:rsidP="00103B2D">
      <w:pPr>
        <w:pStyle w:val="NormalWeb"/>
        <w:spacing w:line="360" w:lineRule="auto"/>
        <w:jc w:val="center"/>
        <w:rPr>
          <w:rFonts w:ascii="Arial" w:hAnsi="Arial" w:cs="Arial"/>
          <w:sz w:val="22"/>
          <w:szCs w:val="22"/>
          <w:lang w:val="en-US"/>
        </w:rPr>
      </w:pPr>
    </w:p>
    <w:p w14:paraId="2CF4EEB5" w14:textId="4B765B10" w:rsidR="00103B2D" w:rsidRDefault="00103B2D" w:rsidP="00103B2D">
      <w:pPr>
        <w:pStyle w:val="NormalWeb"/>
        <w:spacing w:line="360" w:lineRule="auto"/>
        <w:jc w:val="center"/>
        <w:rPr>
          <w:rFonts w:ascii="Arial" w:hAnsi="Arial" w:cs="Arial"/>
          <w:sz w:val="22"/>
          <w:szCs w:val="22"/>
          <w:lang w:val="en-US"/>
        </w:rPr>
      </w:pPr>
    </w:p>
    <w:p w14:paraId="16904F54" w14:textId="39400D2D" w:rsidR="00103B2D" w:rsidRDefault="00103B2D" w:rsidP="00103B2D">
      <w:pPr>
        <w:pStyle w:val="NormalWeb"/>
        <w:spacing w:line="360" w:lineRule="auto"/>
        <w:jc w:val="center"/>
        <w:rPr>
          <w:rFonts w:ascii="Arial" w:hAnsi="Arial" w:cs="Arial"/>
          <w:sz w:val="22"/>
          <w:szCs w:val="22"/>
          <w:lang w:val="en-US"/>
        </w:rPr>
      </w:pPr>
    </w:p>
    <w:p w14:paraId="69465202" w14:textId="49C50EB0" w:rsidR="00103B2D" w:rsidRDefault="00103B2D" w:rsidP="00103B2D">
      <w:pPr>
        <w:pStyle w:val="NormalWeb"/>
        <w:spacing w:line="360" w:lineRule="auto"/>
        <w:jc w:val="center"/>
        <w:rPr>
          <w:rFonts w:ascii="Arial" w:hAnsi="Arial" w:cs="Arial"/>
          <w:sz w:val="22"/>
          <w:szCs w:val="22"/>
          <w:lang w:val="en-US"/>
        </w:rPr>
      </w:pPr>
    </w:p>
    <w:p w14:paraId="27D1485C" w14:textId="22D1C3C5" w:rsidR="00103B2D" w:rsidRDefault="00103B2D" w:rsidP="00103B2D">
      <w:pPr>
        <w:pStyle w:val="NormalWeb"/>
        <w:spacing w:line="360" w:lineRule="auto"/>
        <w:jc w:val="center"/>
        <w:rPr>
          <w:rFonts w:ascii="Arial" w:hAnsi="Arial" w:cs="Arial"/>
          <w:sz w:val="22"/>
          <w:szCs w:val="22"/>
          <w:lang w:val="en-US"/>
        </w:rPr>
      </w:pPr>
    </w:p>
    <w:p w14:paraId="645027F1" w14:textId="72193E69" w:rsidR="00103B2D" w:rsidRDefault="00103B2D" w:rsidP="00103B2D">
      <w:pPr>
        <w:pStyle w:val="NormalWeb"/>
        <w:spacing w:line="360" w:lineRule="auto"/>
        <w:jc w:val="center"/>
        <w:rPr>
          <w:rFonts w:ascii="Arial" w:hAnsi="Arial" w:cs="Arial"/>
          <w:sz w:val="22"/>
          <w:szCs w:val="22"/>
          <w:lang w:val="en-US"/>
        </w:rPr>
      </w:pPr>
    </w:p>
    <w:p w14:paraId="60ED28A1" w14:textId="053C8734" w:rsidR="00103B2D" w:rsidRDefault="00103B2D" w:rsidP="00103B2D">
      <w:pPr>
        <w:pStyle w:val="NormalWeb"/>
        <w:spacing w:line="360" w:lineRule="auto"/>
        <w:jc w:val="center"/>
        <w:rPr>
          <w:rFonts w:ascii="Arial" w:hAnsi="Arial" w:cs="Arial"/>
          <w:sz w:val="22"/>
          <w:szCs w:val="22"/>
          <w:lang w:val="en-US"/>
        </w:rPr>
      </w:pPr>
    </w:p>
    <w:p w14:paraId="7E1B79C7" w14:textId="77777777" w:rsidR="00103B2D" w:rsidRDefault="00103B2D" w:rsidP="00103B2D">
      <w:pPr>
        <w:pStyle w:val="NormalWeb"/>
        <w:spacing w:line="360" w:lineRule="auto"/>
        <w:jc w:val="center"/>
        <w:rPr>
          <w:rFonts w:ascii="Arial" w:hAnsi="Arial" w:cs="Arial"/>
          <w:sz w:val="22"/>
          <w:szCs w:val="22"/>
          <w:lang w:val="en-US"/>
        </w:rPr>
      </w:pPr>
    </w:p>
    <w:p w14:paraId="485E48AC" w14:textId="792C86D6"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lastRenderedPageBreak/>
        <w:t xml:space="preserve">Job Role Selected </w:t>
      </w:r>
    </w:p>
    <w:p w14:paraId="6416C89F"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I am seeking the position of Public Health Practitioner (Band 6) in a local authority or NHS integrated care system, in an environment aimed at health improvement, reduced health inequalities, and mental health and neurodiversity cross-community support. This role normally means developing and implementing evidence-based interventions, collaborative work with voluntary and statutory organizations, health needs assessment, project management, community contact, and assessment of the outcomes at the population level. The role presupposes practitioners who will be working at Level 6 of the Public Health Skills and Knowledge Framework (where necessary) and will be striving towards or attaining UKPHR registration (UKPHR, 2024; Faculty of Public Health, 2025). </w:t>
      </w:r>
    </w:p>
    <w:p w14:paraId="591B694E"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The combination of my own experience with ADHD with my academic background in health and social care is one of the reasons why I am particularly inspired and interested in inclusive community health practices that accommodate neurodiversity and mental health—these are priority areas as enshrined in the recent health policy in the UK. This Band 6 position perfectly suits my career objective, which is to become a reflective, resilient, and impactful practitioner that will help make the society fairer and healthier.</w:t>
      </w:r>
    </w:p>
    <w:p w14:paraId="0BA3C49C"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Most of these competencies as found in the SWOT analyses I completed on LCHS4009 are already reflected in me as identified:</w:t>
      </w:r>
    </w:p>
    <w:p w14:paraId="24BA3E09"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Communication &amp; empathy: It is my strongest strength (</w:t>
      </w:r>
      <w:proofErr w:type="spellStart"/>
      <w:r w:rsidRPr="003C309C">
        <w:rPr>
          <w:rFonts w:ascii="Arial" w:hAnsi="Arial" w:cs="Arial"/>
          <w:sz w:val="22"/>
          <w:szCs w:val="22"/>
        </w:rPr>
        <w:t>Sequeira</w:t>
      </w:r>
      <w:proofErr w:type="spellEnd"/>
      <w:r w:rsidRPr="003C309C">
        <w:rPr>
          <w:rFonts w:ascii="Arial" w:hAnsi="Arial" w:cs="Arial"/>
          <w:sz w:val="22"/>
          <w:szCs w:val="22"/>
        </w:rPr>
        <w:t>, 2025a, slide 12) that enables me to establish trust among different communities and stakeholders, and that is a key to co-producing interventions in collaboration with neurodiverse or marginalized populations (</w:t>
      </w:r>
      <w:proofErr w:type="spellStart"/>
      <w:r w:rsidRPr="003C309C">
        <w:rPr>
          <w:rFonts w:ascii="Arial" w:hAnsi="Arial" w:cs="Arial"/>
          <w:sz w:val="22"/>
          <w:szCs w:val="22"/>
        </w:rPr>
        <w:t>Czabanowska</w:t>
      </w:r>
      <w:proofErr w:type="spellEnd"/>
      <w:r w:rsidRPr="003C309C">
        <w:rPr>
          <w:rFonts w:ascii="Arial" w:hAnsi="Arial" w:cs="Arial"/>
          <w:sz w:val="22"/>
          <w:szCs w:val="22"/>
        </w:rPr>
        <w:t>, Smith, 2023). </w:t>
      </w:r>
    </w:p>
    <w:p w14:paraId="17EA9CF0"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Leadership and collaboration: I worked on university group projects and health promotion simulations, which are similar to the kind of multi-agency work needed in Band 6 positions (</w:t>
      </w:r>
      <w:proofErr w:type="spellStart"/>
      <w:r w:rsidRPr="003C309C">
        <w:rPr>
          <w:rFonts w:ascii="Arial" w:hAnsi="Arial" w:cs="Arial"/>
          <w:sz w:val="22"/>
          <w:szCs w:val="22"/>
        </w:rPr>
        <w:t>Sequeira</w:t>
      </w:r>
      <w:proofErr w:type="spellEnd"/>
      <w:r w:rsidRPr="003C309C">
        <w:rPr>
          <w:rFonts w:ascii="Arial" w:hAnsi="Arial" w:cs="Arial"/>
          <w:sz w:val="22"/>
          <w:szCs w:val="22"/>
        </w:rPr>
        <w:t>, 2025b, p. 7). </w:t>
      </w:r>
    </w:p>
    <w:p w14:paraId="1E936979"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Evidence-based practice and adaptability: Studies on health inequality, as well as my interest in inclusive population health, demonstrate that I am able to articulate medical information through actual programs, which address the UKPHR Standard 4.2 (UKPHR, 2024). </w:t>
      </w:r>
    </w:p>
    <w:p w14:paraId="184208F9" w14:textId="19AE17E0"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 xml:space="preserve">Reflective practice: Both SWOTs demonstrate that I actively practice structured reflections to enhance the performance—now considered a leader competency </w:t>
      </w:r>
    </w:p>
    <w:p w14:paraId="385EECE8"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lastRenderedPageBreak/>
        <w:t>Spotted skill gaps and personal development plan (PDP). </w:t>
      </w:r>
    </w:p>
    <w:p w14:paraId="2CB35FD1" w14:textId="46D6BF05"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 xml:space="preserve">My SWOT analyses would indicate that three primary gaps will have an impact on the performance of Band </w:t>
      </w:r>
    </w:p>
    <w:p w14:paraId="786F9F1A"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Little practical experience of the implementation of the UK policies of health and multi-agency working. </w:t>
      </w:r>
    </w:p>
    <w:p w14:paraId="1A27217B"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Problems with long-term organization and administrative burden caused by ADHD. </w:t>
      </w:r>
    </w:p>
    <w:p w14:paraId="6A3C1F4F"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Burnout potential in stressful settings without official resilience plans. </w:t>
      </w:r>
    </w:p>
    <w:p w14:paraId="3FA5F74F" w14:textId="707C98D2" w:rsidR="00651C53" w:rsidRPr="003C309C" w:rsidRDefault="00651C53" w:rsidP="003C309C">
      <w:pPr>
        <w:spacing w:line="360" w:lineRule="auto"/>
        <w:rPr>
          <w:rFonts w:ascii="Arial" w:hAnsi="Arial" w:cs="Arial"/>
        </w:rPr>
      </w:pPr>
      <w:r w:rsidRPr="003C309C">
        <w:rPr>
          <w:rFonts w:ascii="Arial" w:hAnsi="Arial" w:cs="Arial"/>
        </w:rPr>
        <w:t xml:space="preserve"> </w:t>
      </w:r>
    </w:p>
    <w:tbl>
      <w:tblPr>
        <w:tblStyle w:val="TableGrid"/>
        <w:tblW w:w="0" w:type="auto"/>
        <w:tblLook w:val="04A0" w:firstRow="1" w:lastRow="0" w:firstColumn="1" w:lastColumn="0" w:noHBand="0" w:noVBand="1"/>
      </w:tblPr>
      <w:tblGrid>
        <w:gridCol w:w="1648"/>
        <w:gridCol w:w="2390"/>
        <w:gridCol w:w="1079"/>
        <w:gridCol w:w="1425"/>
        <w:gridCol w:w="2474"/>
      </w:tblGrid>
      <w:tr w:rsidR="00365741" w:rsidRPr="003C309C" w14:paraId="11A730A8" w14:textId="77777777" w:rsidTr="00651C53">
        <w:tc>
          <w:tcPr>
            <w:tcW w:w="0" w:type="auto"/>
          </w:tcPr>
          <w:p w14:paraId="29E3E3E7" w14:textId="0B4B51FB" w:rsidR="00651C53" w:rsidRPr="003C309C" w:rsidRDefault="00651C53" w:rsidP="003C309C">
            <w:pPr>
              <w:spacing w:line="360" w:lineRule="auto"/>
              <w:rPr>
                <w:rFonts w:ascii="Arial" w:hAnsi="Arial" w:cs="Arial"/>
              </w:rPr>
            </w:pPr>
            <w:r w:rsidRPr="003C309C">
              <w:rPr>
                <w:rFonts w:ascii="Arial" w:hAnsi="Arial" w:cs="Arial"/>
              </w:rPr>
              <w:t>objectives</w:t>
            </w:r>
          </w:p>
        </w:tc>
        <w:tc>
          <w:tcPr>
            <w:tcW w:w="0" w:type="auto"/>
          </w:tcPr>
          <w:p w14:paraId="26AAEDDC" w14:textId="3A0991F5" w:rsidR="00651C53" w:rsidRPr="003C309C" w:rsidRDefault="00651C53" w:rsidP="003C309C">
            <w:pPr>
              <w:spacing w:line="360" w:lineRule="auto"/>
              <w:rPr>
                <w:rFonts w:ascii="Arial" w:hAnsi="Arial" w:cs="Arial"/>
              </w:rPr>
            </w:pPr>
            <w:r w:rsidRPr="003C309C">
              <w:rPr>
                <w:rFonts w:ascii="Arial" w:hAnsi="Arial" w:cs="Arial"/>
              </w:rPr>
              <w:t>Specific action</w:t>
            </w:r>
          </w:p>
        </w:tc>
        <w:tc>
          <w:tcPr>
            <w:tcW w:w="0" w:type="auto"/>
          </w:tcPr>
          <w:p w14:paraId="0673DBB4" w14:textId="66738303" w:rsidR="00651C53" w:rsidRPr="003C309C" w:rsidRDefault="00651C53" w:rsidP="003C309C">
            <w:pPr>
              <w:spacing w:line="360" w:lineRule="auto"/>
              <w:rPr>
                <w:rFonts w:ascii="Arial" w:hAnsi="Arial" w:cs="Arial"/>
              </w:rPr>
            </w:pPr>
            <w:r w:rsidRPr="003C309C">
              <w:rPr>
                <w:rFonts w:ascii="Arial" w:hAnsi="Arial" w:cs="Arial"/>
              </w:rPr>
              <w:t>timeline</w:t>
            </w:r>
          </w:p>
        </w:tc>
        <w:tc>
          <w:tcPr>
            <w:tcW w:w="0" w:type="auto"/>
          </w:tcPr>
          <w:p w14:paraId="25C04682" w14:textId="55D10A6C" w:rsidR="00651C53" w:rsidRPr="003C309C" w:rsidRDefault="00651C53" w:rsidP="003C309C">
            <w:pPr>
              <w:spacing w:line="360" w:lineRule="auto"/>
              <w:rPr>
                <w:rFonts w:ascii="Arial" w:hAnsi="Arial" w:cs="Arial"/>
              </w:rPr>
            </w:pPr>
            <w:r w:rsidRPr="003C309C">
              <w:rPr>
                <w:rFonts w:ascii="Arial" w:hAnsi="Arial" w:cs="Arial"/>
              </w:rPr>
              <w:t>Success criteria</w:t>
            </w:r>
          </w:p>
        </w:tc>
        <w:tc>
          <w:tcPr>
            <w:tcW w:w="0" w:type="auto"/>
          </w:tcPr>
          <w:p w14:paraId="4363BD39"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Linked to SWOT</w:t>
            </w:r>
          </w:p>
          <w:p w14:paraId="5C5DB2F4" w14:textId="77777777" w:rsidR="00651C53" w:rsidRPr="003C309C" w:rsidRDefault="00651C53" w:rsidP="003C309C">
            <w:pPr>
              <w:spacing w:line="360" w:lineRule="auto"/>
              <w:rPr>
                <w:rFonts w:ascii="Arial" w:hAnsi="Arial" w:cs="Arial"/>
              </w:rPr>
            </w:pPr>
          </w:p>
        </w:tc>
      </w:tr>
      <w:tr w:rsidR="00365741" w:rsidRPr="003C309C" w14:paraId="14293256" w14:textId="77777777" w:rsidTr="00651C53">
        <w:tc>
          <w:tcPr>
            <w:tcW w:w="0" w:type="auto"/>
          </w:tcPr>
          <w:p w14:paraId="613A83D0"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Gain hands-on UK policy &amp; partnership experience</w:t>
            </w:r>
          </w:p>
          <w:p w14:paraId="560253BA" w14:textId="77777777" w:rsidR="00651C53" w:rsidRPr="003C309C" w:rsidRDefault="00651C53" w:rsidP="003C309C">
            <w:pPr>
              <w:spacing w:line="360" w:lineRule="auto"/>
              <w:rPr>
                <w:rFonts w:ascii="Arial" w:hAnsi="Arial" w:cs="Arial"/>
              </w:rPr>
            </w:pPr>
          </w:p>
        </w:tc>
        <w:tc>
          <w:tcPr>
            <w:tcW w:w="0" w:type="auto"/>
          </w:tcPr>
          <w:p w14:paraId="4243E4B0"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Secure 60-hour placement/volunteer role in local authority public health team • Complete RSPH Level 3 Award in Health &amp; Wellbeing</w:t>
            </w:r>
          </w:p>
          <w:p w14:paraId="3252F757" w14:textId="77777777" w:rsidR="00651C53" w:rsidRPr="003C309C" w:rsidRDefault="00651C53" w:rsidP="003C309C">
            <w:pPr>
              <w:spacing w:line="360" w:lineRule="auto"/>
              <w:rPr>
                <w:rFonts w:ascii="Arial" w:hAnsi="Arial" w:cs="Arial"/>
              </w:rPr>
            </w:pPr>
          </w:p>
        </w:tc>
        <w:tc>
          <w:tcPr>
            <w:tcW w:w="0" w:type="auto"/>
          </w:tcPr>
          <w:p w14:paraId="33E7863E" w14:textId="12D42E1B" w:rsidR="00651C53" w:rsidRPr="003C309C" w:rsidRDefault="00365741" w:rsidP="003C309C">
            <w:pPr>
              <w:spacing w:line="360" w:lineRule="auto"/>
              <w:rPr>
                <w:rFonts w:ascii="Arial" w:hAnsi="Arial" w:cs="Arial"/>
              </w:rPr>
            </w:pPr>
            <w:r w:rsidRPr="003C309C">
              <w:rPr>
                <w:rFonts w:ascii="Arial" w:hAnsi="Arial" w:cs="Arial"/>
              </w:rPr>
              <w:t>Jan-</w:t>
            </w:r>
            <w:proofErr w:type="spellStart"/>
            <w:r w:rsidRPr="003C309C">
              <w:rPr>
                <w:rFonts w:ascii="Arial" w:hAnsi="Arial" w:cs="Arial"/>
              </w:rPr>
              <w:t>july</w:t>
            </w:r>
            <w:proofErr w:type="spellEnd"/>
            <w:r w:rsidRPr="003C309C">
              <w:rPr>
                <w:rFonts w:ascii="Arial" w:hAnsi="Arial" w:cs="Arial"/>
              </w:rPr>
              <w:t xml:space="preserve"> 2026</w:t>
            </w:r>
          </w:p>
        </w:tc>
        <w:tc>
          <w:tcPr>
            <w:tcW w:w="0" w:type="auto"/>
          </w:tcPr>
          <w:p w14:paraId="3A790E91"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Positive supervisor report + RSPH certificate</w:t>
            </w:r>
          </w:p>
          <w:p w14:paraId="5415D6DB" w14:textId="77777777" w:rsidR="00651C53" w:rsidRPr="003C309C" w:rsidRDefault="00651C53" w:rsidP="003C309C">
            <w:pPr>
              <w:spacing w:line="360" w:lineRule="auto"/>
              <w:rPr>
                <w:rFonts w:ascii="Arial" w:hAnsi="Arial" w:cs="Arial"/>
              </w:rPr>
            </w:pPr>
          </w:p>
        </w:tc>
        <w:tc>
          <w:tcPr>
            <w:tcW w:w="0" w:type="auto"/>
          </w:tcPr>
          <w:p w14:paraId="357AD25F"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Weakness/Opportunity (</w:t>
            </w:r>
            <w:proofErr w:type="spellStart"/>
            <w:r w:rsidRPr="003C309C">
              <w:rPr>
                <w:rFonts w:ascii="Arial" w:hAnsi="Arial" w:cs="Arial"/>
                <w:sz w:val="22"/>
                <w:szCs w:val="22"/>
              </w:rPr>
              <w:t>Sequeira</w:t>
            </w:r>
            <w:proofErr w:type="spellEnd"/>
            <w:r w:rsidRPr="003C309C">
              <w:rPr>
                <w:rFonts w:ascii="Arial" w:hAnsi="Arial" w:cs="Arial"/>
                <w:sz w:val="22"/>
                <w:szCs w:val="22"/>
              </w:rPr>
              <w:t>, 2025b)</w:t>
            </w:r>
          </w:p>
          <w:p w14:paraId="64E083B2" w14:textId="77777777" w:rsidR="00651C53" w:rsidRPr="003C309C" w:rsidRDefault="00651C53" w:rsidP="003C309C">
            <w:pPr>
              <w:spacing w:line="360" w:lineRule="auto"/>
              <w:rPr>
                <w:rFonts w:ascii="Arial" w:hAnsi="Arial" w:cs="Arial"/>
              </w:rPr>
            </w:pPr>
          </w:p>
        </w:tc>
      </w:tr>
      <w:tr w:rsidR="00365741" w:rsidRPr="003C309C" w14:paraId="545D64C8" w14:textId="77777777" w:rsidTr="00651C53">
        <w:tc>
          <w:tcPr>
            <w:tcW w:w="0" w:type="auto"/>
          </w:tcPr>
          <w:p w14:paraId="72B260B8"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Master public health administration &amp; data skills</w:t>
            </w:r>
          </w:p>
          <w:p w14:paraId="0B7CCB96" w14:textId="77777777" w:rsidR="00651C53" w:rsidRPr="003C309C" w:rsidRDefault="00651C53" w:rsidP="003C309C">
            <w:pPr>
              <w:spacing w:line="360" w:lineRule="auto"/>
              <w:rPr>
                <w:rFonts w:ascii="Arial" w:hAnsi="Arial" w:cs="Arial"/>
              </w:rPr>
            </w:pPr>
          </w:p>
        </w:tc>
        <w:tc>
          <w:tcPr>
            <w:tcW w:w="0" w:type="auto"/>
          </w:tcPr>
          <w:p w14:paraId="1F200FF4"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BDA/RSPH online modules on population data &amp; evaluation • Weekly use of Notion + Pomodoro for all assignments</w:t>
            </w:r>
          </w:p>
          <w:p w14:paraId="4D9AF1C3" w14:textId="77777777" w:rsidR="00651C53" w:rsidRPr="003C309C" w:rsidRDefault="00651C53" w:rsidP="003C309C">
            <w:pPr>
              <w:spacing w:line="360" w:lineRule="auto"/>
              <w:rPr>
                <w:rFonts w:ascii="Arial" w:hAnsi="Arial" w:cs="Arial"/>
              </w:rPr>
            </w:pPr>
          </w:p>
        </w:tc>
        <w:tc>
          <w:tcPr>
            <w:tcW w:w="0" w:type="auto"/>
          </w:tcPr>
          <w:p w14:paraId="4C39AF7D" w14:textId="58F5FBA4" w:rsidR="00651C53" w:rsidRPr="003C309C" w:rsidRDefault="00365741" w:rsidP="003C309C">
            <w:pPr>
              <w:spacing w:line="360" w:lineRule="auto"/>
              <w:rPr>
                <w:rFonts w:ascii="Arial" w:hAnsi="Arial" w:cs="Arial"/>
              </w:rPr>
            </w:pPr>
            <w:r w:rsidRPr="003C309C">
              <w:rPr>
                <w:rFonts w:ascii="Arial" w:hAnsi="Arial" w:cs="Arial"/>
              </w:rPr>
              <w:t>Feb-August 2026</w:t>
            </w:r>
          </w:p>
        </w:tc>
        <w:tc>
          <w:tcPr>
            <w:tcW w:w="0" w:type="auto"/>
          </w:tcPr>
          <w:p w14:paraId="3B20E2EF"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100% on-time submission of placement portfolio; data report graded ≥75%</w:t>
            </w:r>
          </w:p>
          <w:p w14:paraId="5C0E2C98" w14:textId="77777777" w:rsidR="00651C53" w:rsidRPr="003C309C" w:rsidRDefault="00651C53" w:rsidP="003C309C">
            <w:pPr>
              <w:spacing w:line="360" w:lineRule="auto"/>
              <w:rPr>
                <w:rFonts w:ascii="Arial" w:hAnsi="Arial" w:cs="Arial"/>
              </w:rPr>
            </w:pPr>
          </w:p>
        </w:tc>
        <w:tc>
          <w:tcPr>
            <w:tcW w:w="0" w:type="auto"/>
          </w:tcPr>
          <w:p w14:paraId="124B091A"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Weakness (</w:t>
            </w:r>
            <w:proofErr w:type="spellStart"/>
            <w:r w:rsidRPr="003C309C">
              <w:rPr>
                <w:rFonts w:ascii="Arial" w:hAnsi="Arial" w:cs="Arial"/>
                <w:sz w:val="22"/>
                <w:szCs w:val="22"/>
              </w:rPr>
              <w:t>Sequeira</w:t>
            </w:r>
            <w:proofErr w:type="spellEnd"/>
            <w:r w:rsidRPr="003C309C">
              <w:rPr>
                <w:rFonts w:ascii="Arial" w:hAnsi="Arial" w:cs="Arial"/>
                <w:sz w:val="22"/>
                <w:szCs w:val="22"/>
              </w:rPr>
              <w:t>, 2025a)</w:t>
            </w:r>
          </w:p>
          <w:p w14:paraId="26D1A96C" w14:textId="77777777" w:rsidR="00651C53" w:rsidRPr="003C309C" w:rsidRDefault="00651C53" w:rsidP="003C309C">
            <w:pPr>
              <w:spacing w:line="360" w:lineRule="auto"/>
              <w:rPr>
                <w:rFonts w:ascii="Arial" w:hAnsi="Arial" w:cs="Arial"/>
              </w:rPr>
            </w:pPr>
          </w:p>
        </w:tc>
      </w:tr>
      <w:tr w:rsidR="00365741" w:rsidRPr="003C309C" w14:paraId="083704E6" w14:textId="77777777" w:rsidTr="00651C53">
        <w:tc>
          <w:tcPr>
            <w:tcW w:w="0" w:type="auto"/>
          </w:tcPr>
          <w:p w14:paraId="2C942BED"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lastRenderedPageBreak/>
              <w:t>Build long-term resilience &amp; prevent burnout</w:t>
            </w:r>
          </w:p>
          <w:p w14:paraId="1DF0309D" w14:textId="77777777" w:rsidR="00651C53" w:rsidRPr="003C309C" w:rsidRDefault="00651C53" w:rsidP="003C309C">
            <w:pPr>
              <w:spacing w:line="360" w:lineRule="auto"/>
              <w:rPr>
                <w:rFonts w:ascii="Arial" w:hAnsi="Arial" w:cs="Arial"/>
              </w:rPr>
            </w:pPr>
          </w:p>
        </w:tc>
        <w:tc>
          <w:tcPr>
            <w:tcW w:w="0" w:type="auto"/>
          </w:tcPr>
          <w:p w14:paraId="6DD6FDB4"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Join BDA Neurodiversity mentorship scheme • Weekly Headspace mindfulness + quarterly Gibbs reflective reviews with tutor</w:t>
            </w:r>
          </w:p>
          <w:p w14:paraId="2285B65A" w14:textId="77777777" w:rsidR="00651C53" w:rsidRPr="003C309C" w:rsidRDefault="00651C53" w:rsidP="003C309C">
            <w:pPr>
              <w:spacing w:line="360" w:lineRule="auto"/>
              <w:rPr>
                <w:rFonts w:ascii="Arial" w:hAnsi="Arial" w:cs="Arial"/>
              </w:rPr>
            </w:pPr>
          </w:p>
        </w:tc>
        <w:tc>
          <w:tcPr>
            <w:tcW w:w="0" w:type="auto"/>
          </w:tcPr>
          <w:p w14:paraId="4750A97A" w14:textId="119E9F3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 xml:space="preserve">Ongoing from </w:t>
            </w:r>
            <w:r w:rsidRPr="003C309C">
              <w:rPr>
                <w:rFonts w:ascii="Arial" w:hAnsi="Arial" w:cs="Arial"/>
                <w:sz w:val="22"/>
                <w:szCs w:val="22"/>
                <w:lang w:val="en-US"/>
              </w:rPr>
              <w:t>August</w:t>
            </w:r>
            <w:r w:rsidRPr="003C309C">
              <w:rPr>
                <w:rFonts w:ascii="Arial" w:hAnsi="Arial" w:cs="Arial"/>
                <w:sz w:val="22"/>
                <w:szCs w:val="22"/>
              </w:rPr>
              <w:t xml:space="preserve"> 2026</w:t>
            </w:r>
          </w:p>
          <w:p w14:paraId="7EB160D3" w14:textId="77777777" w:rsidR="00651C53" w:rsidRPr="003C309C" w:rsidRDefault="00651C53" w:rsidP="003C309C">
            <w:pPr>
              <w:spacing w:line="360" w:lineRule="auto"/>
              <w:rPr>
                <w:rFonts w:ascii="Arial" w:hAnsi="Arial" w:cs="Arial"/>
              </w:rPr>
            </w:pPr>
          </w:p>
        </w:tc>
        <w:tc>
          <w:tcPr>
            <w:tcW w:w="0" w:type="auto"/>
          </w:tcPr>
          <w:p w14:paraId="6A619090"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Wellbeing score ≥8/10 each quarter; no stress-related absences</w:t>
            </w:r>
          </w:p>
          <w:p w14:paraId="75DC7F73" w14:textId="77777777" w:rsidR="00651C53" w:rsidRPr="003C309C" w:rsidRDefault="00651C53" w:rsidP="003C309C">
            <w:pPr>
              <w:spacing w:line="360" w:lineRule="auto"/>
              <w:rPr>
                <w:rFonts w:ascii="Arial" w:hAnsi="Arial" w:cs="Arial"/>
              </w:rPr>
            </w:pPr>
          </w:p>
        </w:tc>
        <w:tc>
          <w:tcPr>
            <w:tcW w:w="0" w:type="auto"/>
          </w:tcPr>
          <w:p w14:paraId="52726FFE"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Threat (</w:t>
            </w:r>
            <w:proofErr w:type="spellStart"/>
            <w:r w:rsidRPr="003C309C">
              <w:rPr>
                <w:rFonts w:ascii="Arial" w:hAnsi="Arial" w:cs="Arial"/>
                <w:sz w:val="22"/>
                <w:szCs w:val="22"/>
              </w:rPr>
              <w:t>Sequeira</w:t>
            </w:r>
            <w:proofErr w:type="spellEnd"/>
            <w:r w:rsidRPr="003C309C">
              <w:rPr>
                <w:rFonts w:ascii="Arial" w:hAnsi="Arial" w:cs="Arial"/>
                <w:sz w:val="22"/>
                <w:szCs w:val="22"/>
              </w:rPr>
              <w:t>, 2025a, slide 28)</w:t>
            </w:r>
          </w:p>
          <w:p w14:paraId="27126846" w14:textId="77777777" w:rsidR="00651C53" w:rsidRPr="003C309C" w:rsidRDefault="00651C53" w:rsidP="003C309C">
            <w:pPr>
              <w:spacing w:line="360" w:lineRule="auto"/>
              <w:rPr>
                <w:rFonts w:ascii="Arial" w:hAnsi="Arial" w:cs="Arial"/>
              </w:rPr>
            </w:pPr>
          </w:p>
        </w:tc>
      </w:tr>
    </w:tbl>
    <w:p w14:paraId="5D0D7521" w14:textId="77777777" w:rsidR="00651C53" w:rsidRPr="003C309C" w:rsidRDefault="00651C53" w:rsidP="003C309C">
      <w:pPr>
        <w:spacing w:line="360" w:lineRule="auto"/>
        <w:rPr>
          <w:rFonts w:ascii="Arial" w:hAnsi="Arial" w:cs="Arial"/>
        </w:rPr>
      </w:pPr>
    </w:p>
    <w:p w14:paraId="6A31901D" w14:textId="77777777" w:rsidR="00651C53" w:rsidRPr="003C309C" w:rsidRDefault="00651C53" w:rsidP="003C309C">
      <w:pPr>
        <w:spacing w:line="360" w:lineRule="auto"/>
        <w:rPr>
          <w:rFonts w:ascii="Arial" w:hAnsi="Arial" w:cs="Arial"/>
        </w:rPr>
      </w:pPr>
    </w:p>
    <w:p w14:paraId="50F95416"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The given PDP thoroughly concerns the national workforce priorities related to the ongoing development of the workforce and the well-being of practitioners (Faculty of Public Health, 2025).</w:t>
      </w:r>
    </w:p>
    <w:p w14:paraId="081BA0D8" w14:textId="77777777" w:rsidR="00365741" w:rsidRPr="00103B2D" w:rsidRDefault="00365741" w:rsidP="003C309C">
      <w:pPr>
        <w:pStyle w:val="NormalWeb"/>
        <w:spacing w:line="360" w:lineRule="auto"/>
        <w:rPr>
          <w:rFonts w:ascii="Arial" w:hAnsi="Arial" w:cs="Arial"/>
          <w:i/>
          <w:iCs/>
          <w:sz w:val="22"/>
          <w:szCs w:val="22"/>
        </w:rPr>
      </w:pPr>
      <w:r w:rsidRPr="00103B2D">
        <w:rPr>
          <w:rFonts w:ascii="Arial" w:hAnsi="Arial" w:cs="Arial"/>
          <w:i/>
          <w:iCs/>
          <w:sz w:val="22"/>
          <w:szCs w:val="22"/>
        </w:rPr>
        <w:t xml:space="preserve">Three Possible Interview Questions and </w:t>
      </w:r>
      <w:proofErr w:type="spellStart"/>
      <w:r w:rsidRPr="00103B2D">
        <w:rPr>
          <w:rFonts w:ascii="Arial" w:hAnsi="Arial" w:cs="Arial"/>
          <w:i/>
          <w:iCs/>
          <w:sz w:val="22"/>
          <w:szCs w:val="22"/>
        </w:rPr>
        <w:t>Preplanned</w:t>
      </w:r>
      <w:proofErr w:type="spellEnd"/>
      <w:r w:rsidRPr="00103B2D">
        <w:rPr>
          <w:rFonts w:ascii="Arial" w:hAnsi="Arial" w:cs="Arial"/>
          <w:i/>
          <w:iCs/>
          <w:sz w:val="22"/>
          <w:szCs w:val="22"/>
        </w:rPr>
        <w:t xml:space="preserve"> Responses. </w:t>
      </w:r>
    </w:p>
    <w:p w14:paraId="26F63192" w14:textId="77777777" w:rsidR="00365741" w:rsidRPr="00103B2D" w:rsidRDefault="00365741" w:rsidP="003C309C">
      <w:pPr>
        <w:pStyle w:val="NormalWeb"/>
        <w:spacing w:line="360" w:lineRule="auto"/>
        <w:rPr>
          <w:rFonts w:ascii="Arial" w:hAnsi="Arial" w:cs="Arial"/>
          <w:b/>
          <w:bCs/>
          <w:sz w:val="22"/>
          <w:szCs w:val="22"/>
        </w:rPr>
      </w:pPr>
      <w:r w:rsidRPr="003C309C">
        <w:rPr>
          <w:rFonts w:ascii="Arial" w:hAnsi="Arial" w:cs="Arial"/>
          <w:sz w:val="22"/>
          <w:szCs w:val="22"/>
        </w:rPr>
        <w:t>Question 1: "</w:t>
      </w:r>
      <w:r w:rsidRPr="00103B2D">
        <w:rPr>
          <w:rFonts w:ascii="Arial" w:hAnsi="Arial" w:cs="Arial"/>
          <w:b/>
          <w:bCs/>
          <w:sz w:val="22"/>
          <w:szCs w:val="22"/>
        </w:rPr>
        <w:t>Provide an example of a situation where you collaborated to enhance health outcomes of a community. </w:t>
      </w:r>
    </w:p>
    <w:p w14:paraId="4DD8833B"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Answer: I co-designed a mental health promotion campaign for neurodiverse students, which was part of my LCHS4009 module. With the identified strengths on empathy and communication found in my SWOT (</w:t>
      </w:r>
      <w:proofErr w:type="spellStart"/>
      <w:r w:rsidRPr="003C309C">
        <w:rPr>
          <w:rFonts w:ascii="Arial" w:hAnsi="Arial" w:cs="Arial"/>
          <w:sz w:val="22"/>
          <w:szCs w:val="22"/>
        </w:rPr>
        <w:t>Sequeira</w:t>
      </w:r>
      <w:proofErr w:type="spellEnd"/>
      <w:r w:rsidRPr="003C309C">
        <w:rPr>
          <w:rFonts w:ascii="Arial" w:hAnsi="Arial" w:cs="Arial"/>
          <w:sz w:val="22"/>
          <w:szCs w:val="22"/>
        </w:rPr>
        <w:t xml:space="preserve">, 2025a, slide 12), I was able to make student services work collaboratively with wellbeing teams and peers. The campaign led to a simulated 22 percent increase in help-seeking </w:t>
      </w:r>
      <w:proofErr w:type="spellStart"/>
      <w:r w:rsidRPr="003C309C">
        <w:rPr>
          <w:rFonts w:ascii="Arial" w:hAnsi="Arial" w:cs="Arial"/>
          <w:sz w:val="22"/>
          <w:szCs w:val="22"/>
        </w:rPr>
        <w:t>behavior</w:t>
      </w:r>
      <w:proofErr w:type="spellEnd"/>
      <w:r w:rsidRPr="003C309C">
        <w:rPr>
          <w:rFonts w:ascii="Arial" w:hAnsi="Arial" w:cs="Arial"/>
          <w:sz w:val="22"/>
          <w:szCs w:val="22"/>
        </w:rPr>
        <w:t>. I would introduce an approach based on co-production to a local authority to satisfy the requirements of the UKPHR partnerships (UKPHR, 2024).</w:t>
      </w:r>
    </w:p>
    <w:p w14:paraId="062F5C6F" w14:textId="77777777" w:rsidR="00365741" w:rsidRPr="00103B2D" w:rsidRDefault="00365741" w:rsidP="003C309C">
      <w:pPr>
        <w:pStyle w:val="NormalWeb"/>
        <w:spacing w:line="360" w:lineRule="auto"/>
        <w:rPr>
          <w:rFonts w:ascii="Arial" w:hAnsi="Arial" w:cs="Arial"/>
          <w:b/>
          <w:bCs/>
          <w:sz w:val="22"/>
          <w:szCs w:val="22"/>
        </w:rPr>
      </w:pPr>
      <w:r w:rsidRPr="003C309C">
        <w:rPr>
          <w:rFonts w:ascii="Arial" w:hAnsi="Arial" w:cs="Arial"/>
          <w:sz w:val="22"/>
          <w:szCs w:val="22"/>
        </w:rPr>
        <w:t xml:space="preserve">Question 2: </w:t>
      </w:r>
      <w:r w:rsidRPr="00103B2D">
        <w:rPr>
          <w:rFonts w:ascii="Arial" w:hAnsi="Arial" w:cs="Arial"/>
          <w:b/>
          <w:bCs/>
          <w:sz w:val="22"/>
          <w:szCs w:val="22"/>
        </w:rPr>
        <w:t>What is your experience handling conflicting priorities and workloads? </w:t>
      </w:r>
    </w:p>
    <w:p w14:paraId="61F9B450"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Response: "Administrative tasks can be tough because of my ADHD, a weakness I was not afraid to confide to" (</w:t>
      </w:r>
      <w:proofErr w:type="spellStart"/>
      <w:r w:rsidRPr="003C309C">
        <w:rPr>
          <w:rFonts w:ascii="Arial" w:hAnsi="Arial" w:cs="Arial"/>
          <w:sz w:val="22"/>
          <w:szCs w:val="22"/>
        </w:rPr>
        <w:t>Sequeira</w:t>
      </w:r>
      <w:proofErr w:type="spellEnd"/>
      <w:r w:rsidRPr="003C309C">
        <w:rPr>
          <w:rFonts w:ascii="Arial" w:hAnsi="Arial" w:cs="Arial"/>
          <w:sz w:val="22"/>
          <w:szCs w:val="22"/>
        </w:rPr>
        <w:t>, 2025a, slide 18). In a recent group project, I worked with the help of digital planners, Pomodoro, and weekly tutor scaffolding (Vygotsky-inspired) to provide all the elements in time and attain 78%. These strategies are still being improved by me in my present PDP, and I am sure that they will be helpful in the case of a challenging caseload of a Band 6 practitioner.</w:t>
      </w:r>
    </w:p>
    <w:p w14:paraId="43873E6C"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lastRenderedPageBreak/>
        <w:t xml:space="preserve">Question 3: </w:t>
      </w:r>
      <w:r w:rsidRPr="00103B2D">
        <w:rPr>
          <w:rFonts w:ascii="Arial" w:hAnsi="Arial" w:cs="Arial"/>
          <w:b/>
          <w:bCs/>
          <w:sz w:val="22"/>
          <w:szCs w:val="22"/>
        </w:rPr>
        <w:t>"What are your current professional development requirements to put you into preparation for publicly practicing health?</w:t>
      </w:r>
      <w:r w:rsidRPr="003C309C">
        <w:rPr>
          <w:rFonts w:ascii="Arial" w:hAnsi="Arial" w:cs="Arial"/>
          <w:sz w:val="22"/>
          <w:szCs w:val="22"/>
        </w:rPr>
        <w:t> </w:t>
      </w:r>
    </w:p>
    <w:p w14:paraId="36729B83" w14:textId="77777777" w:rsidR="00365741" w:rsidRPr="003C309C" w:rsidRDefault="00365741" w:rsidP="003C309C">
      <w:pPr>
        <w:pStyle w:val="NormalWeb"/>
        <w:spacing w:line="360" w:lineRule="auto"/>
        <w:rPr>
          <w:rFonts w:ascii="Arial" w:hAnsi="Arial" w:cs="Arial"/>
          <w:sz w:val="22"/>
          <w:szCs w:val="22"/>
        </w:rPr>
      </w:pPr>
      <w:r w:rsidRPr="003C309C">
        <w:rPr>
          <w:rFonts w:ascii="Arial" w:hAnsi="Arial" w:cs="Arial"/>
          <w:sz w:val="22"/>
          <w:szCs w:val="22"/>
        </w:rPr>
        <w:t>Answer: "I have filled out two comprehensive personal SWOT analyses (</w:t>
      </w:r>
      <w:proofErr w:type="spellStart"/>
      <w:r w:rsidRPr="003C309C">
        <w:rPr>
          <w:rFonts w:ascii="Arial" w:hAnsi="Arial" w:cs="Arial"/>
          <w:sz w:val="22"/>
          <w:szCs w:val="22"/>
        </w:rPr>
        <w:t>Sequeira</w:t>
      </w:r>
      <w:proofErr w:type="spellEnd"/>
      <w:r w:rsidRPr="003C309C">
        <w:rPr>
          <w:rFonts w:ascii="Arial" w:hAnsi="Arial" w:cs="Arial"/>
          <w:sz w:val="22"/>
          <w:szCs w:val="22"/>
        </w:rPr>
        <w:t>, 2025a; 2025b) that are consistent with the current evidence supporting the idea that reflective practice should be considered a key component of being a leader in the field of public health (</w:t>
      </w:r>
      <w:proofErr w:type="spellStart"/>
      <w:r w:rsidRPr="003C309C">
        <w:rPr>
          <w:rFonts w:ascii="Arial" w:hAnsi="Arial" w:cs="Arial"/>
          <w:sz w:val="22"/>
          <w:szCs w:val="22"/>
        </w:rPr>
        <w:t>Czabanowska</w:t>
      </w:r>
      <w:proofErr w:type="spellEnd"/>
      <w:r w:rsidRPr="003C309C">
        <w:rPr>
          <w:rFonts w:ascii="Arial" w:hAnsi="Arial" w:cs="Arial"/>
          <w:sz w:val="22"/>
          <w:szCs w:val="22"/>
        </w:rPr>
        <w:t xml:space="preserve"> and Smith, 2023). These directly informed my 12-month PDP, which included a local authority placement, RSPH Level 3 qualification, and formal mentorship, so that I am attaining the priorities of the workforce development established to be in place by 2025-2030 (Faculty of Public Health, 2025).</w:t>
      </w:r>
    </w:p>
    <w:p w14:paraId="65C4C81B" w14:textId="376B0A12" w:rsidR="00365741" w:rsidRDefault="00365741" w:rsidP="003C309C">
      <w:pPr>
        <w:pStyle w:val="NormalWeb"/>
        <w:spacing w:line="360" w:lineRule="auto"/>
        <w:rPr>
          <w:rFonts w:ascii="Arial" w:hAnsi="Arial" w:cs="Arial"/>
          <w:sz w:val="22"/>
          <w:szCs w:val="22"/>
        </w:rPr>
      </w:pPr>
      <w:r w:rsidRPr="003C309C">
        <w:rPr>
          <w:rFonts w:ascii="Arial" w:hAnsi="Arial" w:cs="Arial"/>
          <w:sz w:val="22"/>
          <w:szCs w:val="22"/>
        </w:rPr>
        <w:t>This plan of action makes my application based on the reflective work that is already completed within the module and helps to reflect the proactive and evidence-based attitude of a Band 6 Public Health Practitioner.</w:t>
      </w:r>
    </w:p>
    <w:p w14:paraId="206E138E" w14:textId="18E59AFB" w:rsidR="00103B2D" w:rsidRPr="00103B2D" w:rsidRDefault="00103B2D" w:rsidP="003C309C">
      <w:pPr>
        <w:pStyle w:val="NormalWeb"/>
        <w:spacing w:line="360" w:lineRule="auto"/>
        <w:rPr>
          <w:rFonts w:ascii="Arial" w:hAnsi="Arial" w:cs="Arial"/>
          <w:sz w:val="22"/>
          <w:szCs w:val="22"/>
          <w:lang w:val="en-US"/>
        </w:rPr>
      </w:pPr>
      <w:r>
        <w:rPr>
          <w:rFonts w:ascii="Arial" w:hAnsi="Arial" w:cs="Arial"/>
          <w:sz w:val="22"/>
          <w:szCs w:val="22"/>
          <w:lang w:val="en-US"/>
        </w:rPr>
        <w:t>Part 2</w:t>
      </w:r>
    </w:p>
    <w:p w14:paraId="425E96E8"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Scholarly Report: The Major Competence of Reflective Health and Social Care Practice. </w:t>
      </w:r>
    </w:p>
    <w:p w14:paraId="41D01E98"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Introduction </w:t>
      </w:r>
    </w:p>
    <w:p w14:paraId="68327EAA"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Reflective practice is an essential professional competence in the field of health and social care revealed by regulators and employers. As part of the fundamental standards of proficiency, the Health and Care Professions Council requires that every registrant engage in reflection and review of practice (HCPC, 2023.1-3.3, 2023). We have used a variety of reflective models in our LCHS4009 module, especially the Reflective Cycle and SWOT analysis developed by Gibbs, to form a sense of self and shape our career progression. This report discusses the necessity of reflective practice to facilitate safe, effective, and resilient practice and shows that I am actively working on this skill in readiness for a position as a Band 6 Public Health Practitioner.</w:t>
      </w:r>
    </w:p>
    <w:p w14:paraId="74322A9A"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Significance of Reflective Practice. </w:t>
      </w:r>
    </w:p>
    <w:p w14:paraId="439956E6"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Reflective practice is a systematic examination of experiences with the view to enhancing further action (Gibbs, 1988). In health and social </w:t>
      </w:r>
      <w:proofErr w:type="gramStart"/>
      <w:r w:rsidRPr="003C309C">
        <w:rPr>
          <w:rFonts w:ascii="Arial" w:hAnsi="Arial" w:cs="Arial"/>
          <w:sz w:val="22"/>
          <w:szCs w:val="22"/>
        </w:rPr>
        <w:t>care</w:t>
      </w:r>
      <w:proofErr w:type="gramEnd"/>
      <w:r w:rsidRPr="003C309C">
        <w:rPr>
          <w:rFonts w:ascii="Arial" w:hAnsi="Arial" w:cs="Arial"/>
          <w:sz w:val="22"/>
          <w:szCs w:val="22"/>
        </w:rPr>
        <w:t xml:space="preserve"> it performs several imperative functions: </w:t>
      </w:r>
    </w:p>
    <w:p w14:paraId="6CA78041"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It helps to promote patient safety since practitioners will be able to learn or understand errors or near-misses (HCPC, 2023). </w:t>
      </w:r>
    </w:p>
    <w:p w14:paraId="70F0417C"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lastRenderedPageBreak/>
        <w:t>It contributes to professional resiliency and burnout prevention, particularly in neurodivergent practitioners who have to deal with conditions like ADHD (</w:t>
      </w:r>
      <w:proofErr w:type="spellStart"/>
      <w:r w:rsidRPr="003C309C">
        <w:rPr>
          <w:rFonts w:ascii="Arial" w:hAnsi="Arial" w:cs="Arial"/>
          <w:sz w:val="22"/>
          <w:szCs w:val="22"/>
        </w:rPr>
        <w:t>Czabanowska</w:t>
      </w:r>
      <w:proofErr w:type="spellEnd"/>
      <w:r w:rsidRPr="003C309C">
        <w:rPr>
          <w:rFonts w:ascii="Arial" w:hAnsi="Arial" w:cs="Arial"/>
          <w:sz w:val="22"/>
          <w:szCs w:val="22"/>
        </w:rPr>
        <w:t xml:space="preserve"> and Smith, 2023). </w:t>
      </w:r>
    </w:p>
    <w:p w14:paraId="4C0D2643"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It offers the evidence needed to revalidate, undertake appraisal, and be registered by the UKPHR (Faculty of Public Health, 2025). </w:t>
      </w:r>
    </w:p>
    <w:p w14:paraId="2F81A7B1"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Recent national strategy names reflective practice as a future </w:t>
      </w:r>
      <w:proofErr w:type="spellStart"/>
      <w:r w:rsidRPr="003C309C">
        <w:rPr>
          <w:rFonts w:ascii="Arial" w:hAnsi="Arial" w:cs="Arial"/>
          <w:sz w:val="22"/>
          <w:szCs w:val="22"/>
        </w:rPr>
        <w:t>behavioral</w:t>
      </w:r>
      <w:proofErr w:type="spellEnd"/>
      <w:r w:rsidRPr="003C309C">
        <w:rPr>
          <w:rFonts w:ascii="Arial" w:hAnsi="Arial" w:cs="Arial"/>
          <w:sz w:val="22"/>
          <w:szCs w:val="22"/>
        </w:rPr>
        <w:t xml:space="preserve"> priority in the public health workforce, which correlates it with leadership potential and retention of staff (Faculty of Public Health, 2025, p. 18). Reflection is now a regular topic of assessment by employers in the form of </w:t>
      </w:r>
      <w:proofErr w:type="spellStart"/>
      <w:r w:rsidRPr="003C309C">
        <w:rPr>
          <w:rFonts w:ascii="Arial" w:hAnsi="Arial" w:cs="Arial"/>
          <w:sz w:val="22"/>
          <w:szCs w:val="22"/>
        </w:rPr>
        <w:t>behavioral</w:t>
      </w:r>
      <w:proofErr w:type="spellEnd"/>
      <w:r w:rsidRPr="003C309C">
        <w:rPr>
          <w:rFonts w:ascii="Arial" w:hAnsi="Arial" w:cs="Arial"/>
          <w:sz w:val="22"/>
          <w:szCs w:val="22"/>
        </w:rPr>
        <w:t xml:space="preserve"> interview and portfolio questions.</w:t>
      </w:r>
    </w:p>
    <w:p w14:paraId="1C0AF27E"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Applicability to My Professional Development. </w:t>
      </w:r>
    </w:p>
    <w:p w14:paraId="6B05804C"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During LCHS4009 I have performed two significant reflective practices based on the Reflective Cycle created by Gibbs (Gibbs, 1988): </w:t>
      </w:r>
    </w:p>
    <w:p w14:paraId="4D17CA1C"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SWOT analysis of dietetics and ADHD, in fine detail, concerning a personal perspective (</w:t>
      </w:r>
      <w:proofErr w:type="spellStart"/>
      <w:r w:rsidRPr="003C309C">
        <w:rPr>
          <w:rFonts w:ascii="Arial" w:hAnsi="Arial" w:cs="Arial"/>
          <w:sz w:val="22"/>
          <w:szCs w:val="22"/>
        </w:rPr>
        <w:t>Sequeira</w:t>
      </w:r>
      <w:proofErr w:type="spellEnd"/>
      <w:r w:rsidRPr="003C309C">
        <w:rPr>
          <w:rFonts w:ascii="Arial" w:hAnsi="Arial" w:cs="Arial"/>
          <w:sz w:val="22"/>
          <w:szCs w:val="22"/>
        </w:rPr>
        <w:t>, 2025a). </w:t>
      </w:r>
    </w:p>
    <w:p w14:paraId="24B18098"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SWOT of a career in the field of public health (</w:t>
      </w:r>
      <w:proofErr w:type="spellStart"/>
      <w:r w:rsidRPr="003C309C">
        <w:rPr>
          <w:rFonts w:ascii="Arial" w:hAnsi="Arial" w:cs="Arial"/>
          <w:sz w:val="22"/>
          <w:szCs w:val="22"/>
        </w:rPr>
        <w:t>Sequeira</w:t>
      </w:r>
      <w:proofErr w:type="spellEnd"/>
      <w:r w:rsidRPr="003C309C">
        <w:rPr>
          <w:rFonts w:ascii="Arial" w:hAnsi="Arial" w:cs="Arial"/>
          <w:sz w:val="22"/>
          <w:szCs w:val="22"/>
        </w:rPr>
        <w:t>, 2025b). </w:t>
      </w:r>
    </w:p>
    <w:p w14:paraId="489F1AB0"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Using the stages of Gibbs, I established that the problem of ADHD-related deficiencies in the abilities of sustaining the organization and administrative projects is a serious vulnerability that may influence the case management in a Band 6 position. Nevertheless, my advantageous traits of empathy, creativity, and </w:t>
      </w:r>
      <w:proofErr w:type="spellStart"/>
      <w:r w:rsidRPr="003C309C">
        <w:rPr>
          <w:rFonts w:ascii="Arial" w:hAnsi="Arial" w:cs="Arial"/>
          <w:sz w:val="22"/>
          <w:szCs w:val="22"/>
        </w:rPr>
        <w:t>hyperfocus</w:t>
      </w:r>
      <w:proofErr w:type="spellEnd"/>
      <w:r w:rsidRPr="003C309C">
        <w:rPr>
          <w:rFonts w:ascii="Arial" w:hAnsi="Arial" w:cs="Arial"/>
          <w:sz w:val="22"/>
          <w:szCs w:val="22"/>
        </w:rPr>
        <w:t xml:space="preserve"> (with the assistance of mentor scaffolding) can be leveraged into the potent resources of community interaction and co-production. This facilitated reflection translated the possible vulnerabilities into purposeful growth procedures, such as journaling individually each week, enrolling in the RSPH Level 3 Award (obligatory to have a reflective portfolio), and entering a neurodiversity mentorship program. These measures have direct responses to HCPC Standard 11 and reflective leadership competencies of </w:t>
      </w:r>
      <w:proofErr w:type="spellStart"/>
      <w:r w:rsidRPr="003C309C">
        <w:rPr>
          <w:rFonts w:ascii="Arial" w:hAnsi="Arial" w:cs="Arial"/>
          <w:sz w:val="22"/>
          <w:szCs w:val="22"/>
        </w:rPr>
        <w:t>Czabanowska</w:t>
      </w:r>
      <w:proofErr w:type="spellEnd"/>
      <w:r w:rsidRPr="003C309C">
        <w:rPr>
          <w:rFonts w:ascii="Arial" w:hAnsi="Arial" w:cs="Arial"/>
          <w:sz w:val="22"/>
          <w:szCs w:val="22"/>
        </w:rPr>
        <w:t xml:space="preserve"> and Smith (2023).</w:t>
      </w:r>
    </w:p>
    <w:p w14:paraId="1ACFB91E"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Conclusion </w:t>
      </w:r>
    </w:p>
    <w:p w14:paraId="2DFD6BF2" w14:textId="0D5D6629" w:rsid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Reflective practice has ceased to be an option, having become a regulated, evidence-based requirement, which supports safe practice, lifelong learning, and workforce sustainability (HCPC, 2023; Faculty of Public Health, 2025). Through the self-creation of self-awareness, resilience, and a professional portfolio by using Gibbs Reflective Cycle (1988) regularly to module assignments and life challenges, I am able to succeed as a Band 6 Public Health </w:t>
      </w:r>
      <w:r w:rsidRPr="003C309C">
        <w:rPr>
          <w:rFonts w:ascii="Arial" w:hAnsi="Arial" w:cs="Arial"/>
          <w:sz w:val="22"/>
          <w:szCs w:val="22"/>
        </w:rPr>
        <w:lastRenderedPageBreak/>
        <w:t>Practitioner. This proactive strategy also means that I will be able to achieve not only the existing regulatory requirements but also the future standards in terms of being a leader in the sphere of public health (</w:t>
      </w:r>
      <w:proofErr w:type="spellStart"/>
      <w:r w:rsidRPr="003C309C">
        <w:rPr>
          <w:rFonts w:ascii="Arial" w:hAnsi="Arial" w:cs="Arial"/>
          <w:sz w:val="22"/>
          <w:szCs w:val="22"/>
        </w:rPr>
        <w:t>Czabanowska</w:t>
      </w:r>
      <w:proofErr w:type="spellEnd"/>
      <w:r w:rsidRPr="003C309C">
        <w:rPr>
          <w:rFonts w:ascii="Arial" w:hAnsi="Arial" w:cs="Arial"/>
          <w:sz w:val="22"/>
          <w:szCs w:val="22"/>
        </w:rPr>
        <w:t xml:space="preserve"> and Smith, 2023).</w:t>
      </w:r>
    </w:p>
    <w:p w14:paraId="5324E492" w14:textId="1F03B3D1" w:rsidR="00103B2D" w:rsidRPr="00103B2D" w:rsidRDefault="00103B2D" w:rsidP="003C309C">
      <w:pPr>
        <w:pStyle w:val="NormalWeb"/>
        <w:spacing w:line="360" w:lineRule="auto"/>
        <w:rPr>
          <w:rFonts w:ascii="Arial" w:hAnsi="Arial" w:cs="Arial"/>
          <w:sz w:val="22"/>
          <w:szCs w:val="22"/>
          <w:lang w:val="en-US"/>
        </w:rPr>
      </w:pPr>
      <w:r>
        <w:rPr>
          <w:rFonts w:ascii="Arial" w:hAnsi="Arial" w:cs="Arial"/>
          <w:sz w:val="22"/>
          <w:szCs w:val="22"/>
          <w:lang w:val="en-US"/>
        </w:rPr>
        <w:t>Task 3</w:t>
      </w:r>
    </w:p>
    <w:p w14:paraId="616D2FF6"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Reflective Observation of LCHS4009 Component 1 Presentation Assessment. </w:t>
      </w:r>
    </w:p>
    <w:p w14:paraId="34D5DA04"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Applying the ERA Model (Experience-Reflection-Action). </w:t>
      </w:r>
    </w:p>
    <w:p w14:paraId="728DB86A"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Experience </w:t>
      </w:r>
    </w:p>
    <w:p w14:paraId="41E8B16B"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My Component 1 presentation was a personal SWOT analysis about my future development as a dietitian/public health practitioner with ADHD on 9 November 2025. The 12-minute movie presentation was evaluated in terms of content, structure, visual aids, delivery, and interaction. I was very excited and very nervous beforehand; since I have ADHD, </w:t>
      </w:r>
      <w:proofErr w:type="spellStart"/>
      <w:r w:rsidRPr="003C309C">
        <w:rPr>
          <w:rFonts w:ascii="Arial" w:hAnsi="Arial" w:cs="Arial"/>
          <w:sz w:val="22"/>
          <w:szCs w:val="22"/>
        </w:rPr>
        <w:t>hyperfocusing</w:t>
      </w:r>
      <w:proofErr w:type="spellEnd"/>
      <w:r w:rsidRPr="003C309C">
        <w:rPr>
          <w:rFonts w:ascii="Arial" w:hAnsi="Arial" w:cs="Arial"/>
          <w:sz w:val="22"/>
          <w:szCs w:val="22"/>
        </w:rPr>
        <w:t xml:space="preserve"> during preparation was no problem, and I feared time management, mind-blanking, and being taken as unprofessional due to the fidgeting or rapid speech. The delivery I made was, on the one hand, confidence-based; on the other, I made use of the slides, which were successfully used, and I was even positively nodding at a peer. Nevertheless, I was nearly two minutes out of time, talked fast in the Threats section, and had forgotten to directly make a connection between the theory of Vygotsky and the conclusion.</w:t>
      </w:r>
    </w:p>
    <w:p w14:paraId="16EB39E7"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The positive verbal feedback on the program was provided by </w:t>
      </w:r>
      <w:proofErr w:type="spellStart"/>
      <w:r w:rsidRPr="003C309C">
        <w:rPr>
          <w:rFonts w:ascii="Arial" w:hAnsi="Arial" w:cs="Arial"/>
          <w:sz w:val="22"/>
          <w:szCs w:val="22"/>
        </w:rPr>
        <w:t>Arif</w:t>
      </w:r>
      <w:proofErr w:type="spellEnd"/>
      <w:r w:rsidRPr="003C309C">
        <w:rPr>
          <w:rFonts w:ascii="Arial" w:hAnsi="Arial" w:cs="Arial"/>
          <w:sz w:val="22"/>
          <w:szCs w:val="22"/>
        </w:rPr>
        <w:t xml:space="preserve"> Ahmed (9 Nov 2025): </w:t>
      </w:r>
    </w:p>
    <w:p w14:paraId="59191933"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Strengths—"Very truthful and illuminating, definitely an excellent application of lived experience, and fantastic empathy does shine through. </w:t>
      </w:r>
    </w:p>
    <w:p w14:paraId="32E8A1E7"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Improvement points—Slows down in areas, you ran out of time practicing with a timer, theoretical on-links were not as apparent at the end, and there was less text on some slides.</w:t>
      </w:r>
    </w:p>
    <w:p w14:paraId="2197F5BC"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Reflection </w:t>
      </w:r>
    </w:p>
    <w:p w14:paraId="5DBAE677"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Looking backward, the experience underscored the superpowers and the issues of neurodiversity in academic performance. My strength (empathy and authenticity) described in the SWOT itself was also confirmed by the positive feedback (</w:t>
      </w:r>
      <w:proofErr w:type="spellStart"/>
      <w:r w:rsidRPr="003C309C">
        <w:rPr>
          <w:rFonts w:ascii="Arial" w:hAnsi="Arial" w:cs="Arial"/>
          <w:sz w:val="22"/>
          <w:szCs w:val="22"/>
        </w:rPr>
        <w:t>Sequeira</w:t>
      </w:r>
      <w:proofErr w:type="spellEnd"/>
      <w:r w:rsidRPr="003C309C">
        <w:rPr>
          <w:rFonts w:ascii="Arial" w:hAnsi="Arial" w:cs="Arial"/>
          <w:sz w:val="22"/>
          <w:szCs w:val="22"/>
        </w:rPr>
        <w:t xml:space="preserve">, 2025a, slide 12). I was later informed by peers that they felt recognized by my openness on the topic of ADHD, </w:t>
      </w:r>
      <w:r w:rsidRPr="003C309C">
        <w:rPr>
          <w:rFonts w:ascii="Arial" w:hAnsi="Arial" w:cs="Arial"/>
          <w:sz w:val="22"/>
          <w:szCs w:val="22"/>
        </w:rPr>
        <w:lastRenderedPageBreak/>
        <w:t>establishing the kind of emotional response that I was hoping to achieve and that is aligned with the concept of social learning as suggested by Vygotsky (Main, 2023).</w:t>
      </w:r>
    </w:p>
    <w:p w14:paraId="662853C5"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Nonetheless, the delayed and blistering delivery time demonstrated precisely the weaknesses in organizational and self-regulation I had proclaimed as defined in SWOT (</w:t>
      </w:r>
      <w:proofErr w:type="spellStart"/>
      <w:r w:rsidRPr="003C309C">
        <w:rPr>
          <w:rFonts w:ascii="Arial" w:hAnsi="Arial" w:cs="Arial"/>
          <w:sz w:val="22"/>
          <w:szCs w:val="22"/>
        </w:rPr>
        <w:t>Sequeira</w:t>
      </w:r>
      <w:proofErr w:type="spellEnd"/>
      <w:r w:rsidRPr="003C309C">
        <w:rPr>
          <w:rFonts w:ascii="Arial" w:hAnsi="Arial" w:cs="Arial"/>
          <w:sz w:val="22"/>
          <w:szCs w:val="22"/>
        </w:rPr>
        <w:t xml:space="preserve">, 2025a, slide 18). I now understand that even though I was rehearsing, I was not rehearsing with a timer clearly in sight, and so I never had a thought about the rhythm when I got overly concerned with the reaction. The remark of the lecturer concerning cutting back on text on the slide also helped me realize that my over-elaborated bullet points were my personal safety net—the ADHD coping mechanism that, instead of supporting, actually impaired the transparent communication. The feedback was fair and not critical, emotional but not ashamed by the fact that the feedback confirmed what I had self-diagnosed. This supports the data of a study by </w:t>
      </w:r>
      <w:proofErr w:type="spellStart"/>
      <w:r w:rsidRPr="003C309C">
        <w:rPr>
          <w:rFonts w:ascii="Arial" w:hAnsi="Arial" w:cs="Arial"/>
          <w:sz w:val="22"/>
          <w:szCs w:val="22"/>
        </w:rPr>
        <w:t>Czabanowska</w:t>
      </w:r>
      <w:proofErr w:type="spellEnd"/>
      <w:r w:rsidRPr="003C309C">
        <w:rPr>
          <w:rFonts w:ascii="Arial" w:hAnsi="Arial" w:cs="Arial"/>
          <w:sz w:val="22"/>
          <w:szCs w:val="22"/>
        </w:rPr>
        <w:t xml:space="preserve"> and Smith (2023), according to which structured reflection can assist neurodivergent practitioners in transforming perceived deficits into areas of development, which can be handled.</w:t>
      </w:r>
    </w:p>
    <w:p w14:paraId="3422A607"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Action </w:t>
      </w:r>
    </w:p>
    <w:p w14:paraId="30481EE1"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To make the future presentations more effective and professional, I will conduct the following specific time-limited actions:</w:t>
      </w:r>
    </w:p>
    <w:p w14:paraId="59D56A64"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Immediate (next 4 weeks) </w:t>
      </w:r>
    </w:p>
    <w:p w14:paraId="6B5F5132"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 Rehearse all the presentations using a loud countdown timer at least thrice and record myself. </w:t>
      </w:r>
    </w:p>
    <w:p w14:paraId="42BAE752"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Keep slides brief and without too many words in them: the 6x6 rule (up to 6 lines, 6 words on a slide) does the trick.</w:t>
      </w:r>
    </w:p>
    <w:p w14:paraId="17490DE2"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Medium-term (by February 2026) </w:t>
      </w:r>
    </w:p>
    <w:p w14:paraId="68A64974"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 Reserving presenting workshop at the university (entered 15 Jan 2026). </w:t>
      </w:r>
    </w:p>
    <w:p w14:paraId="4E5CC360"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Participate in monthly practice sessions of peer and mentor feedback of the BDA Neurodiversity Special Interest Group.</w:t>
      </w:r>
    </w:p>
    <w:p w14:paraId="57C02AB7"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xml:space="preserve">Long-term (ongoing) </w:t>
      </w:r>
    </w:p>
    <w:p w14:paraId="02339D74"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lastRenderedPageBreak/>
        <w:t xml:space="preserve">- Construct a more basic presenter notebook checklist (timer on, explicit link theory at end, pause after major point) and print out a copy of it on all subsequent assessed presentations. </w:t>
      </w:r>
    </w:p>
    <w:p w14:paraId="112C1EFF"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 Keep having quarterly reflective meetings with my tutor that employ the ERA model to monitor progress in terms of reaching a slower pace and engaging with the audience.</w:t>
      </w:r>
    </w:p>
    <w:p w14:paraId="64ADC46D" w14:textId="77777777" w:rsidR="003C309C" w:rsidRP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Through these measures, I will be able to turn the pitfalls highlighted in this presentation (time management, heavy dependency on text slides, rushed presentation) into measurable strengths and ensure that I achieve the HCPC Standard 11 (reflect on and review practice) and convince at band 6 presentations of interviews.</w:t>
      </w:r>
    </w:p>
    <w:p w14:paraId="79556562" w14:textId="32DE1E5E" w:rsidR="003C309C" w:rsidRDefault="003C309C" w:rsidP="003C309C">
      <w:pPr>
        <w:pStyle w:val="NormalWeb"/>
        <w:spacing w:line="360" w:lineRule="auto"/>
        <w:rPr>
          <w:rFonts w:ascii="Arial" w:hAnsi="Arial" w:cs="Arial"/>
          <w:sz w:val="22"/>
          <w:szCs w:val="22"/>
        </w:rPr>
      </w:pPr>
      <w:r w:rsidRPr="003C309C">
        <w:rPr>
          <w:rFonts w:ascii="Arial" w:hAnsi="Arial" w:cs="Arial"/>
          <w:sz w:val="22"/>
          <w:szCs w:val="22"/>
        </w:rPr>
        <w:t>In conclusion, the overall experience with Component 1 reflected in this ERA has been both anxiety-inducing, though ultimately empowering, and the reflection as well as the evidence-based action plan realistic and measurable. The cycle has made me more self-aware and motivated to become a successful, reflective, neurodiversity-informed practitioner in the field of public health.</w:t>
      </w:r>
    </w:p>
    <w:p w14:paraId="0E3FC6DB" w14:textId="3FBC76B5" w:rsidR="00103B2D" w:rsidRDefault="00103B2D" w:rsidP="003C309C">
      <w:pPr>
        <w:pStyle w:val="NormalWeb"/>
        <w:spacing w:line="360" w:lineRule="auto"/>
        <w:rPr>
          <w:rFonts w:ascii="Arial" w:hAnsi="Arial" w:cs="Arial"/>
          <w:sz w:val="22"/>
          <w:szCs w:val="22"/>
        </w:rPr>
      </w:pPr>
    </w:p>
    <w:p w14:paraId="3C22CB9B" w14:textId="1DE9C896" w:rsidR="00103B2D" w:rsidRDefault="00103B2D" w:rsidP="003C309C">
      <w:pPr>
        <w:pStyle w:val="NormalWeb"/>
        <w:spacing w:line="360" w:lineRule="auto"/>
        <w:rPr>
          <w:rFonts w:ascii="Arial" w:hAnsi="Arial" w:cs="Arial"/>
          <w:sz w:val="22"/>
          <w:szCs w:val="22"/>
        </w:rPr>
      </w:pPr>
    </w:p>
    <w:p w14:paraId="2CC0DCB7" w14:textId="7DE0111F" w:rsidR="00103B2D" w:rsidRDefault="00103B2D" w:rsidP="003C309C">
      <w:pPr>
        <w:pStyle w:val="NormalWeb"/>
        <w:spacing w:line="360" w:lineRule="auto"/>
        <w:rPr>
          <w:rFonts w:ascii="Arial" w:hAnsi="Arial" w:cs="Arial"/>
          <w:sz w:val="22"/>
          <w:szCs w:val="22"/>
        </w:rPr>
      </w:pPr>
    </w:p>
    <w:p w14:paraId="17FDDEC1" w14:textId="01575BC6" w:rsidR="00103B2D" w:rsidRDefault="00103B2D" w:rsidP="003C309C">
      <w:pPr>
        <w:pStyle w:val="NormalWeb"/>
        <w:spacing w:line="360" w:lineRule="auto"/>
        <w:rPr>
          <w:rFonts w:ascii="Arial" w:hAnsi="Arial" w:cs="Arial"/>
          <w:sz w:val="22"/>
          <w:szCs w:val="22"/>
        </w:rPr>
      </w:pPr>
    </w:p>
    <w:p w14:paraId="0F685D40" w14:textId="31CE1B12" w:rsidR="00103B2D" w:rsidRDefault="00103B2D" w:rsidP="003C309C">
      <w:pPr>
        <w:pStyle w:val="NormalWeb"/>
        <w:spacing w:line="360" w:lineRule="auto"/>
        <w:rPr>
          <w:rFonts w:ascii="Arial" w:hAnsi="Arial" w:cs="Arial"/>
          <w:sz w:val="22"/>
          <w:szCs w:val="22"/>
        </w:rPr>
      </w:pPr>
    </w:p>
    <w:p w14:paraId="4AF15712" w14:textId="27A62159" w:rsidR="00103B2D" w:rsidRDefault="00103B2D" w:rsidP="003C309C">
      <w:pPr>
        <w:pStyle w:val="NormalWeb"/>
        <w:spacing w:line="360" w:lineRule="auto"/>
        <w:rPr>
          <w:rFonts w:ascii="Arial" w:hAnsi="Arial" w:cs="Arial"/>
          <w:sz w:val="22"/>
          <w:szCs w:val="22"/>
        </w:rPr>
      </w:pPr>
    </w:p>
    <w:p w14:paraId="2B5A205C" w14:textId="3B9838C6" w:rsidR="00103B2D" w:rsidRDefault="00103B2D" w:rsidP="003C309C">
      <w:pPr>
        <w:pStyle w:val="NormalWeb"/>
        <w:spacing w:line="360" w:lineRule="auto"/>
        <w:rPr>
          <w:rFonts w:ascii="Arial" w:hAnsi="Arial" w:cs="Arial"/>
          <w:sz w:val="22"/>
          <w:szCs w:val="22"/>
        </w:rPr>
      </w:pPr>
    </w:p>
    <w:p w14:paraId="59C6C51E" w14:textId="3984EACA" w:rsidR="00103B2D" w:rsidRDefault="00103B2D" w:rsidP="003C309C">
      <w:pPr>
        <w:pStyle w:val="NormalWeb"/>
        <w:spacing w:line="360" w:lineRule="auto"/>
        <w:rPr>
          <w:rFonts w:ascii="Arial" w:hAnsi="Arial" w:cs="Arial"/>
          <w:sz w:val="22"/>
          <w:szCs w:val="22"/>
        </w:rPr>
      </w:pPr>
    </w:p>
    <w:p w14:paraId="3B300786" w14:textId="3C9D65BD" w:rsidR="00103B2D" w:rsidRDefault="00103B2D" w:rsidP="003C309C">
      <w:pPr>
        <w:pStyle w:val="NormalWeb"/>
        <w:spacing w:line="360" w:lineRule="auto"/>
        <w:rPr>
          <w:rFonts w:ascii="Arial" w:hAnsi="Arial" w:cs="Arial"/>
          <w:sz w:val="22"/>
          <w:szCs w:val="22"/>
        </w:rPr>
      </w:pPr>
    </w:p>
    <w:p w14:paraId="7D54D720" w14:textId="3ACDF42A" w:rsidR="00103B2D" w:rsidRDefault="00103B2D" w:rsidP="003C309C">
      <w:pPr>
        <w:pStyle w:val="NormalWeb"/>
        <w:spacing w:line="360" w:lineRule="auto"/>
        <w:rPr>
          <w:rFonts w:ascii="Arial" w:hAnsi="Arial" w:cs="Arial"/>
          <w:sz w:val="22"/>
          <w:szCs w:val="22"/>
        </w:rPr>
      </w:pPr>
    </w:p>
    <w:p w14:paraId="410A8543" w14:textId="4BA744C3" w:rsidR="00103B2D" w:rsidRDefault="00103B2D" w:rsidP="003C309C">
      <w:pPr>
        <w:pStyle w:val="NormalWeb"/>
        <w:spacing w:line="360" w:lineRule="auto"/>
        <w:rPr>
          <w:rFonts w:ascii="Arial" w:hAnsi="Arial" w:cs="Arial"/>
          <w:sz w:val="22"/>
          <w:szCs w:val="22"/>
        </w:rPr>
      </w:pPr>
    </w:p>
    <w:p w14:paraId="6B05DC7B" w14:textId="77777777" w:rsidR="00103B2D" w:rsidRPr="003C309C" w:rsidRDefault="00103B2D" w:rsidP="003C309C">
      <w:pPr>
        <w:pStyle w:val="NormalWeb"/>
        <w:spacing w:line="360" w:lineRule="auto"/>
        <w:rPr>
          <w:rFonts w:ascii="Arial" w:hAnsi="Arial" w:cs="Arial"/>
          <w:sz w:val="22"/>
          <w:szCs w:val="22"/>
        </w:rPr>
      </w:pPr>
    </w:p>
    <w:p w14:paraId="3015B45B" w14:textId="280B1FE5" w:rsidR="003C309C" w:rsidRPr="00103B2D" w:rsidRDefault="003C309C" w:rsidP="00103B2D">
      <w:pPr>
        <w:pStyle w:val="NormalWeb"/>
        <w:spacing w:line="360" w:lineRule="auto"/>
        <w:ind w:left="720" w:hanging="720"/>
        <w:rPr>
          <w:rFonts w:ascii="Arial" w:hAnsi="Arial" w:cs="Arial"/>
          <w:sz w:val="22"/>
          <w:szCs w:val="22"/>
        </w:rPr>
      </w:pPr>
      <w:r w:rsidRPr="00103B2D">
        <w:rPr>
          <w:rFonts w:ascii="Arial" w:hAnsi="Arial" w:cs="Arial"/>
          <w:sz w:val="22"/>
          <w:szCs w:val="22"/>
        </w:rPr>
        <w:lastRenderedPageBreak/>
        <w:t xml:space="preserve">References </w:t>
      </w:r>
    </w:p>
    <w:p w14:paraId="4BB4CA58" w14:textId="77777777" w:rsidR="003C309C" w:rsidRPr="00103B2D" w:rsidRDefault="003C309C" w:rsidP="00103B2D">
      <w:pPr>
        <w:pStyle w:val="NormalWeb"/>
        <w:spacing w:line="360" w:lineRule="auto"/>
        <w:ind w:left="720" w:hanging="720"/>
        <w:rPr>
          <w:rFonts w:ascii="Arial" w:hAnsi="Arial" w:cs="Arial"/>
          <w:sz w:val="22"/>
          <w:szCs w:val="22"/>
        </w:rPr>
      </w:pPr>
      <w:proofErr w:type="spellStart"/>
      <w:r w:rsidRPr="00103B2D">
        <w:rPr>
          <w:rFonts w:ascii="Arial" w:hAnsi="Arial" w:cs="Arial"/>
          <w:sz w:val="22"/>
          <w:szCs w:val="22"/>
        </w:rPr>
        <w:t>Czabanowska</w:t>
      </w:r>
      <w:proofErr w:type="spellEnd"/>
      <w:r w:rsidRPr="00103B2D">
        <w:rPr>
          <w:rFonts w:ascii="Arial" w:hAnsi="Arial" w:cs="Arial"/>
          <w:sz w:val="22"/>
          <w:szCs w:val="22"/>
        </w:rPr>
        <w:t xml:space="preserve">, K. and Smith, T. (2023) ‘Reflective practice as a key competence in public health leadership and workforce development’, </w:t>
      </w:r>
      <w:r w:rsidRPr="00103B2D">
        <w:rPr>
          <w:rStyle w:val="Emphasis"/>
          <w:rFonts w:ascii="Arial" w:hAnsi="Arial" w:cs="Arial"/>
          <w:sz w:val="22"/>
          <w:szCs w:val="22"/>
        </w:rPr>
        <w:t>European Journal of Public Health</w:t>
      </w:r>
      <w:r w:rsidRPr="00103B2D">
        <w:rPr>
          <w:rFonts w:ascii="Arial" w:hAnsi="Arial" w:cs="Arial"/>
          <w:sz w:val="22"/>
          <w:szCs w:val="22"/>
        </w:rPr>
        <w:t>, 33 (Supplement 2), ckad160.078. doi:10.1093/</w:t>
      </w:r>
      <w:proofErr w:type="spellStart"/>
      <w:r w:rsidRPr="00103B2D">
        <w:rPr>
          <w:rFonts w:ascii="Arial" w:hAnsi="Arial" w:cs="Arial"/>
          <w:sz w:val="22"/>
          <w:szCs w:val="22"/>
        </w:rPr>
        <w:t>eurpub</w:t>
      </w:r>
      <w:proofErr w:type="spellEnd"/>
      <w:r w:rsidRPr="00103B2D">
        <w:rPr>
          <w:rFonts w:ascii="Arial" w:hAnsi="Arial" w:cs="Arial"/>
          <w:sz w:val="22"/>
          <w:szCs w:val="22"/>
        </w:rPr>
        <w:t xml:space="preserve">/ckad160.078. </w:t>
      </w:r>
    </w:p>
    <w:p w14:paraId="71C37027" w14:textId="1D3DF7DD" w:rsidR="003C309C" w:rsidRPr="00103B2D" w:rsidRDefault="003C309C" w:rsidP="00103B2D">
      <w:pPr>
        <w:pStyle w:val="NormalWeb"/>
        <w:spacing w:line="360" w:lineRule="auto"/>
        <w:ind w:left="720" w:hanging="720"/>
        <w:rPr>
          <w:rFonts w:ascii="Arial" w:hAnsi="Arial" w:cs="Arial"/>
          <w:sz w:val="22"/>
          <w:szCs w:val="22"/>
          <w:lang w:val="en-US"/>
        </w:rPr>
      </w:pPr>
      <w:r w:rsidRPr="00103B2D">
        <w:rPr>
          <w:rFonts w:ascii="Arial" w:hAnsi="Arial" w:cs="Arial"/>
          <w:sz w:val="22"/>
          <w:szCs w:val="22"/>
        </w:rPr>
        <w:t xml:space="preserve">Faculty of Public Health (2025). </w:t>
      </w:r>
      <w:r w:rsidRPr="00103B2D">
        <w:rPr>
          <w:rStyle w:val="Emphasis"/>
          <w:rFonts w:ascii="Arial" w:hAnsi="Arial" w:cs="Arial"/>
          <w:sz w:val="22"/>
          <w:szCs w:val="22"/>
        </w:rPr>
        <w:t>Strategy for developing the UK specialist public health workforce 2025–2030</w:t>
      </w:r>
      <w:r w:rsidRPr="00103B2D">
        <w:rPr>
          <w:rFonts w:ascii="Arial" w:hAnsi="Arial" w:cs="Arial"/>
          <w:sz w:val="22"/>
          <w:szCs w:val="22"/>
        </w:rPr>
        <w:t xml:space="preserve">. Available at: </w:t>
      </w:r>
      <w:hyperlink r:id="rId6" w:tgtFrame="_blank" w:history="1">
        <w:r w:rsidRPr="00103B2D">
          <w:rPr>
            <w:rStyle w:val="Hyperlink"/>
            <w:rFonts w:ascii="Arial" w:hAnsi="Arial" w:cs="Arial"/>
            <w:sz w:val="22"/>
            <w:szCs w:val="22"/>
          </w:rPr>
          <w:t>https://www.fph.org.uk/media/fxrjwhhj/fph-workforce-strategy-2025-30.pdf</w:t>
        </w:r>
      </w:hyperlink>
      <w:r w:rsidR="00103B2D">
        <w:rPr>
          <w:rFonts w:ascii="Arial" w:hAnsi="Arial" w:cs="Arial"/>
          <w:sz w:val="22"/>
          <w:szCs w:val="22"/>
          <w:lang w:val="en-US"/>
        </w:rPr>
        <w:t>.</w:t>
      </w:r>
    </w:p>
    <w:p w14:paraId="71B26E5E" w14:textId="77777777" w:rsidR="003C309C" w:rsidRPr="00103B2D" w:rsidRDefault="003C309C" w:rsidP="00103B2D">
      <w:pPr>
        <w:pStyle w:val="NormalWeb"/>
        <w:spacing w:line="360" w:lineRule="auto"/>
        <w:ind w:left="720" w:hanging="720"/>
        <w:rPr>
          <w:rFonts w:ascii="Arial" w:hAnsi="Arial" w:cs="Arial"/>
          <w:sz w:val="22"/>
          <w:szCs w:val="22"/>
        </w:rPr>
      </w:pPr>
      <w:r w:rsidRPr="00103B2D">
        <w:rPr>
          <w:rFonts w:ascii="Arial" w:hAnsi="Arial" w:cs="Arial"/>
          <w:sz w:val="22"/>
          <w:szCs w:val="22"/>
        </w:rPr>
        <w:t xml:space="preserve">Gibbs, G. (1988). </w:t>
      </w:r>
      <w:r w:rsidRPr="00103B2D">
        <w:rPr>
          <w:rStyle w:val="Emphasis"/>
          <w:rFonts w:ascii="Arial" w:hAnsi="Arial" w:cs="Arial"/>
          <w:sz w:val="22"/>
          <w:szCs w:val="22"/>
        </w:rPr>
        <w:t>Learning by doing: a guide to teaching and learning methods</w:t>
      </w:r>
      <w:r w:rsidRPr="00103B2D">
        <w:rPr>
          <w:rFonts w:ascii="Arial" w:hAnsi="Arial" w:cs="Arial"/>
          <w:sz w:val="22"/>
          <w:szCs w:val="22"/>
        </w:rPr>
        <w:t xml:space="preserve">. Oxford: Further Education Unit, Oxford Polytechnic. </w:t>
      </w:r>
    </w:p>
    <w:p w14:paraId="6541030F" w14:textId="1E04D50E" w:rsidR="003C309C" w:rsidRPr="00103B2D" w:rsidRDefault="003C309C" w:rsidP="00103B2D">
      <w:pPr>
        <w:pStyle w:val="NormalWeb"/>
        <w:spacing w:line="360" w:lineRule="auto"/>
        <w:ind w:left="720" w:hanging="720"/>
        <w:rPr>
          <w:rFonts w:ascii="Arial" w:hAnsi="Arial" w:cs="Arial"/>
          <w:sz w:val="22"/>
          <w:szCs w:val="22"/>
          <w:lang w:val="en-US"/>
        </w:rPr>
      </w:pPr>
      <w:r w:rsidRPr="00103B2D">
        <w:rPr>
          <w:rFonts w:ascii="Arial" w:hAnsi="Arial" w:cs="Arial"/>
          <w:sz w:val="22"/>
          <w:szCs w:val="22"/>
        </w:rPr>
        <w:t xml:space="preserve">Health and Care Professions Council (HCPC) (2023). </w:t>
      </w:r>
      <w:r w:rsidRPr="00103B2D">
        <w:rPr>
          <w:rStyle w:val="Emphasis"/>
          <w:rFonts w:ascii="Arial" w:hAnsi="Arial" w:cs="Arial"/>
          <w:sz w:val="22"/>
          <w:szCs w:val="22"/>
        </w:rPr>
        <w:t>Standards of proficiency: all professions</w:t>
      </w:r>
      <w:r w:rsidRPr="00103B2D">
        <w:rPr>
          <w:rFonts w:ascii="Arial" w:hAnsi="Arial" w:cs="Arial"/>
          <w:sz w:val="22"/>
          <w:szCs w:val="22"/>
        </w:rPr>
        <w:t xml:space="preserve">. Available at: </w:t>
      </w:r>
      <w:hyperlink r:id="rId7" w:tgtFrame="_blank" w:history="1">
        <w:r w:rsidRPr="00103B2D">
          <w:rPr>
            <w:rStyle w:val="Hyperlink"/>
            <w:rFonts w:ascii="Arial" w:hAnsi="Arial" w:cs="Arial"/>
            <w:sz w:val="22"/>
            <w:szCs w:val="22"/>
          </w:rPr>
          <w:t>https://www.hcpc-uk.org/resources/standards/standards-of-proficiency-all</w:t>
        </w:r>
      </w:hyperlink>
      <w:r w:rsidR="00103B2D">
        <w:rPr>
          <w:rFonts w:ascii="Arial" w:hAnsi="Arial" w:cs="Arial"/>
          <w:sz w:val="22"/>
          <w:szCs w:val="22"/>
          <w:lang w:val="en-US"/>
        </w:rPr>
        <w:t>.</w:t>
      </w:r>
    </w:p>
    <w:p w14:paraId="0A1F3A7B" w14:textId="1B03623D" w:rsidR="003C309C" w:rsidRPr="00103B2D" w:rsidRDefault="003C309C" w:rsidP="00103B2D">
      <w:pPr>
        <w:pStyle w:val="NormalWeb"/>
        <w:spacing w:line="360" w:lineRule="auto"/>
        <w:ind w:left="720" w:hanging="720"/>
        <w:rPr>
          <w:rFonts w:ascii="Arial" w:hAnsi="Arial" w:cs="Arial"/>
          <w:sz w:val="22"/>
          <w:szCs w:val="22"/>
          <w:lang w:val="en-US"/>
        </w:rPr>
      </w:pPr>
      <w:r w:rsidRPr="00103B2D">
        <w:rPr>
          <w:rFonts w:ascii="Arial" w:hAnsi="Arial" w:cs="Arial"/>
          <w:sz w:val="22"/>
          <w:szCs w:val="22"/>
        </w:rPr>
        <w:t xml:space="preserve">Main, P. (2023) </w:t>
      </w:r>
      <w:r w:rsidRPr="00103B2D">
        <w:rPr>
          <w:rStyle w:val="Emphasis"/>
          <w:rFonts w:ascii="Arial" w:hAnsi="Arial" w:cs="Arial"/>
          <w:sz w:val="22"/>
          <w:szCs w:val="22"/>
        </w:rPr>
        <w:t>Sociocultural theory</w:t>
      </w:r>
      <w:r w:rsidRPr="00103B2D">
        <w:rPr>
          <w:rFonts w:ascii="Arial" w:hAnsi="Arial" w:cs="Arial"/>
          <w:sz w:val="22"/>
          <w:szCs w:val="22"/>
        </w:rPr>
        <w:t xml:space="preserve">. Available at: </w:t>
      </w:r>
      <w:hyperlink r:id="rId8" w:tgtFrame="_blank" w:history="1">
        <w:r w:rsidRPr="00103B2D">
          <w:rPr>
            <w:rStyle w:val="Hyperlink"/>
            <w:rFonts w:ascii="Arial" w:hAnsi="Arial" w:cs="Arial"/>
            <w:sz w:val="22"/>
            <w:szCs w:val="22"/>
          </w:rPr>
          <w:t>https://www.structural-learning.com/post/sociocultural-theory</w:t>
        </w:r>
      </w:hyperlink>
      <w:r w:rsidR="00103B2D">
        <w:rPr>
          <w:rFonts w:ascii="Arial" w:hAnsi="Arial" w:cs="Arial"/>
          <w:sz w:val="22"/>
          <w:szCs w:val="22"/>
          <w:lang w:val="en-US"/>
        </w:rPr>
        <w:t>.</w:t>
      </w:r>
    </w:p>
    <w:p w14:paraId="5D965A1B" w14:textId="1EBDA211" w:rsidR="003C309C" w:rsidRPr="00103B2D" w:rsidRDefault="003C309C" w:rsidP="00103B2D">
      <w:pPr>
        <w:pStyle w:val="NormalWeb"/>
        <w:spacing w:line="360" w:lineRule="auto"/>
        <w:ind w:left="720" w:hanging="720"/>
        <w:rPr>
          <w:rFonts w:ascii="Arial" w:hAnsi="Arial" w:cs="Arial"/>
          <w:sz w:val="22"/>
          <w:szCs w:val="22"/>
        </w:rPr>
      </w:pPr>
      <w:proofErr w:type="spellStart"/>
      <w:r w:rsidRPr="00103B2D">
        <w:rPr>
          <w:rFonts w:ascii="Arial" w:hAnsi="Arial" w:cs="Arial"/>
          <w:sz w:val="22"/>
          <w:szCs w:val="22"/>
        </w:rPr>
        <w:t>Sequeira</w:t>
      </w:r>
      <w:proofErr w:type="spellEnd"/>
      <w:r w:rsidRPr="00103B2D">
        <w:rPr>
          <w:rFonts w:ascii="Arial" w:hAnsi="Arial" w:cs="Arial"/>
          <w:sz w:val="22"/>
          <w:szCs w:val="22"/>
        </w:rPr>
        <w:t xml:space="preserve">, S. (2025) </w:t>
      </w:r>
      <w:r w:rsidRPr="00103B2D">
        <w:rPr>
          <w:rStyle w:val="Emphasis"/>
          <w:rFonts w:ascii="Arial" w:hAnsi="Arial" w:cs="Arial"/>
          <w:sz w:val="22"/>
          <w:szCs w:val="22"/>
        </w:rPr>
        <w:t>Personal SWOT analysis: public health sector (UK)</w:t>
      </w:r>
      <w:r w:rsidRPr="00103B2D">
        <w:rPr>
          <w:rFonts w:ascii="Arial" w:hAnsi="Arial" w:cs="Arial"/>
          <w:sz w:val="22"/>
          <w:szCs w:val="22"/>
        </w:rPr>
        <w:t xml:space="preserve"> [PowerPoint presentation]. LCHS4009: Professional Career Development within Health and Social Care. University of Wales Trinity Saint David. </w:t>
      </w:r>
    </w:p>
    <w:p w14:paraId="6C0B98B2" w14:textId="3FEA68A7" w:rsidR="003C309C" w:rsidRPr="00103B2D" w:rsidRDefault="003C309C" w:rsidP="00103B2D">
      <w:pPr>
        <w:pStyle w:val="NormalWeb"/>
        <w:spacing w:line="360" w:lineRule="auto"/>
        <w:ind w:left="720" w:hanging="720"/>
        <w:rPr>
          <w:rFonts w:ascii="Arial" w:hAnsi="Arial" w:cs="Arial"/>
          <w:sz w:val="22"/>
          <w:szCs w:val="22"/>
          <w:lang w:val="en-US"/>
        </w:rPr>
      </w:pPr>
      <w:r w:rsidRPr="00103B2D">
        <w:rPr>
          <w:rFonts w:ascii="Arial" w:hAnsi="Arial" w:cs="Arial"/>
          <w:sz w:val="22"/>
          <w:szCs w:val="22"/>
        </w:rPr>
        <w:t xml:space="preserve">UK Public Health Register (2024). </w:t>
      </w:r>
      <w:r w:rsidRPr="00103B2D">
        <w:rPr>
          <w:rStyle w:val="Emphasis"/>
          <w:rFonts w:ascii="Arial" w:hAnsi="Arial" w:cs="Arial"/>
          <w:sz w:val="22"/>
          <w:szCs w:val="22"/>
        </w:rPr>
        <w:t>Public health practitioner standards and guidance (version 3.0)</w:t>
      </w:r>
      <w:r w:rsidRPr="00103B2D">
        <w:rPr>
          <w:rFonts w:ascii="Arial" w:hAnsi="Arial" w:cs="Arial"/>
          <w:sz w:val="22"/>
          <w:szCs w:val="22"/>
        </w:rPr>
        <w:t xml:space="preserve">. Available at: </w:t>
      </w:r>
      <w:hyperlink r:id="rId9" w:tgtFrame="_blank" w:history="1">
        <w:r w:rsidRPr="00103B2D">
          <w:rPr>
            <w:rStyle w:val="Hyperlink"/>
            <w:rFonts w:ascii="Arial" w:hAnsi="Arial" w:cs="Arial"/>
            <w:sz w:val="22"/>
            <w:szCs w:val="22"/>
          </w:rPr>
          <w:t>https://ukphr.org/wp-content/uploads/2024/02/Practitioner-Standards-and-Guidance-v3.0-Feb-2024.pdf</w:t>
        </w:r>
      </w:hyperlink>
      <w:r w:rsidR="00103B2D">
        <w:rPr>
          <w:rFonts w:ascii="Arial" w:hAnsi="Arial" w:cs="Arial"/>
          <w:sz w:val="22"/>
          <w:szCs w:val="22"/>
          <w:lang w:val="en-US"/>
        </w:rPr>
        <w:t>.</w:t>
      </w:r>
    </w:p>
    <w:p w14:paraId="5C150CF0" w14:textId="77777777" w:rsidR="00365741" w:rsidRPr="003C309C" w:rsidRDefault="00365741" w:rsidP="003C309C">
      <w:pPr>
        <w:spacing w:line="360" w:lineRule="auto"/>
        <w:rPr>
          <w:rFonts w:ascii="Arial" w:hAnsi="Arial" w:cs="Arial"/>
        </w:rPr>
      </w:pPr>
    </w:p>
    <w:sectPr w:rsidR="00365741" w:rsidRPr="003C309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924CC" w14:textId="77777777" w:rsidR="00AA578D" w:rsidRDefault="00AA578D" w:rsidP="00103B2D">
      <w:pPr>
        <w:spacing w:after="0" w:line="240" w:lineRule="auto"/>
      </w:pPr>
      <w:r>
        <w:separator/>
      </w:r>
    </w:p>
  </w:endnote>
  <w:endnote w:type="continuationSeparator" w:id="0">
    <w:p w14:paraId="46BD25C4" w14:textId="77777777" w:rsidR="00AA578D" w:rsidRDefault="00AA578D" w:rsidP="00103B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D0E2F" w14:textId="77777777" w:rsidR="00AA578D" w:rsidRDefault="00AA578D" w:rsidP="00103B2D">
      <w:pPr>
        <w:spacing w:after="0" w:line="240" w:lineRule="auto"/>
      </w:pPr>
      <w:r>
        <w:separator/>
      </w:r>
    </w:p>
  </w:footnote>
  <w:footnote w:type="continuationSeparator" w:id="0">
    <w:p w14:paraId="5C0FB6F4" w14:textId="77777777" w:rsidR="00AA578D" w:rsidRDefault="00AA578D" w:rsidP="00103B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146872"/>
      <w:docPartObj>
        <w:docPartGallery w:val="Page Numbers (Top of Page)"/>
        <w:docPartUnique/>
      </w:docPartObj>
    </w:sdtPr>
    <w:sdtEndPr>
      <w:rPr>
        <w:noProof/>
      </w:rPr>
    </w:sdtEndPr>
    <w:sdtContent>
      <w:p w14:paraId="6388381C" w14:textId="79ED7AC1" w:rsidR="00103B2D" w:rsidRDefault="00103B2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432E98A" w14:textId="77777777" w:rsidR="00103B2D" w:rsidRDefault="00103B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C53"/>
    <w:rsid w:val="00103B2D"/>
    <w:rsid w:val="00365741"/>
    <w:rsid w:val="00393577"/>
    <w:rsid w:val="003C309C"/>
    <w:rsid w:val="00651C53"/>
    <w:rsid w:val="00AA578D"/>
    <w:rsid w:val="00E07F95"/>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1553C"/>
  <w15:chartTrackingRefBased/>
  <w15:docId w15:val="{FA561CC1-E53A-41E8-B93D-E593E841E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1C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65741"/>
    <w:pPr>
      <w:spacing w:before="100" w:beforeAutospacing="1" w:after="100" w:afterAutospacing="1" w:line="240" w:lineRule="auto"/>
    </w:pPr>
    <w:rPr>
      <w:rFonts w:ascii="Times New Roman" w:eastAsia="Times New Roman" w:hAnsi="Times New Roman" w:cs="Times New Roman"/>
      <w:sz w:val="24"/>
      <w:szCs w:val="24"/>
      <w:lang w:val="en-KE" w:eastAsia="en-KE"/>
    </w:rPr>
  </w:style>
  <w:style w:type="character" w:styleId="Hyperlink">
    <w:name w:val="Hyperlink"/>
    <w:basedOn w:val="DefaultParagraphFont"/>
    <w:uiPriority w:val="99"/>
    <w:unhideWhenUsed/>
    <w:rsid w:val="00365741"/>
    <w:rPr>
      <w:color w:val="0563C1" w:themeColor="hyperlink"/>
      <w:u w:val="single"/>
    </w:rPr>
  </w:style>
  <w:style w:type="character" w:styleId="UnresolvedMention">
    <w:name w:val="Unresolved Mention"/>
    <w:basedOn w:val="DefaultParagraphFont"/>
    <w:uiPriority w:val="99"/>
    <w:semiHidden/>
    <w:unhideWhenUsed/>
    <w:rsid w:val="00365741"/>
    <w:rPr>
      <w:color w:val="605E5C"/>
      <w:shd w:val="clear" w:color="auto" w:fill="E1DFDD"/>
    </w:rPr>
  </w:style>
  <w:style w:type="character" w:styleId="Strong">
    <w:name w:val="Strong"/>
    <w:basedOn w:val="DefaultParagraphFont"/>
    <w:uiPriority w:val="22"/>
    <w:qFormat/>
    <w:rsid w:val="003C309C"/>
    <w:rPr>
      <w:b/>
      <w:bCs/>
    </w:rPr>
  </w:style>
  <w:style w:type="character" w:styleId="Emphasis">
    <w:name w:val="Emphasis"/>
    <w:basedOn w:val="DefaultParagraphFont"/>
    <w:uiPriority w:val="20"/>
    <w:qFormat/>
    <w:rsid w:val="003C309C"/>
    <w:rPr>
      <w:i/>
      <w:iCs/>
    </w:rPr>
  </w:style>
  <w:style w:type="paragraph" w:styleId="Header">
    <w:name w:val="header"/>
    <w:basedOn w:val="Normal"/>
    <w:link w:val="HeaderChar"/>
    <w:uiPriority w:val="99"/>
    <w:unhideWhenUsed/>
    <w:rsid w:val="00103B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B2D"/>
    <w:rPr>
      <w:lang w:val="en-GB"/>
    </w:rPr>
  </w:style>
  <w:style w:type="paragraph" w:styleId="Footer">
    <w:name w:val="footer"/>
    <w:basedOn w:val="Normal"/>
    <w:link w:val="FooterChar"/>
    <w:uiPriority w:val="99"/>
    <w:unhideWhenUsed/>
    <w:rsid w:val="00103B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B2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213352">
      <w:bodyDiv w:val="1"/>
      <w:marLeft w:val="0"/>
      <w:marRight w:val="0"/>
      <w:marTop w:val="0"/>
      <w:marBottom w:val="0"/>
      <w:divBdr>
        <w:top w:val="none" w:sz="0" w:space="0" w:color="auto"/>
        <w:left w:val="none" w:sz="0" w:space="0" w:color="auto"/>
        <w:bottom w:val="none" w:sz="0" w:space="0" w:color="auto"/>
        <w:right w:val="none" w:sz="0" w:space="0" w:color="auto"/>
      </w:divBdr>
    </w:div>
    <w:div w:id="274218568">
      <w:bodyDiv w:val="1"/>
      <w:marLeft w:val="0"/>
      <w:marRight w:val="0"/>
      <w:marTop w:val="0"/>
      <w:marBottom w:val="0"/>
      <w:divBdr>
        <w:top w:val="none" w:sz="0" w:space="0" w:color="auto"/>
        <w:left w:val="none" w:sz="0" w:space="0" w:color="auto"/>
        <w:bottom w:val="none" w:sz="0" w:space="0" w:color="auto"/>
        <w:right w:val="none" w:sz="0" w:space="0" w:color="auto"/>
      </w:divBdr>
      <w:divsChild>
        <w:div w:id="1335643645">
          <w:marLeft w:val="0"/>
          <w:marRight w:val="0"/>
          <w:marTop w:val="0"/>
          <w:marBottom w:val="0"/>
          <w:divBdr>
            <w:top w:val="none" w:sz="0" w:space="0" w:color="auto"/>
            <w:left w:val="none" w:sz="0" w:space="0" w:color="auto"/>
            <w:bottom w:val="none" w:sz="0" w:space="0" w:color="auto"/>
            <w:right w:val="none" w:sz="0" w:space="0" w:color="auto"/>
          </w:divBdr>
          <w:divsChild>
            <w:div w:id="157800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666220">
      <w:bodyDiv w:val="1"/>
      <w:marLeft w:val="0"/>
      <w:marRight w:val="0"/>
      <w:marTop w:val="0"/>
      <w:marBottom w:val="0"/>
      <w:divBdr>
        <w:top w:val="none" w:sz="0" w:space="0" w:color="auto"/>
        <w:left w:val="none" w:sz="0" w:space="0" w:color="auto"/>
        <w:bottom w:val="none" w:sz="0" w:space="0" w:color="auto"/>
        <w:right w:val="none" w:sz="0" w:space="0" w:color="auto"/>
      </w:divBdr>
    </w:div>
    <w:div w:id="393161113">
      <w:bodyDiv w:val="1"/>
      <w:marLeft w:val="0"/>
      <w:marRight w:val="0"/>
      <w:marTop w:val="0"/>
      <w:marBottom w:val="0"/>
      <w:divBdr>
        <w:top w:val="none" w:sz="0" w:space="0" w:color="auto"/>
        <w:left w:val="none" w:sz="0" w:space="0" w:color="auto"/>
        <w:bottom w:val="none" w:sz="0" w:space="0" w:color="auto"/>
        <w:right w:val="none" w:sz="0" w:space="0" w:color="auto"/>
      </w:divBdr>
    </w:div>
    <w:div w:id="427505615">
      <w:bodyDiv w:val="1"/>
      <w:marLeft w:val="0"/>
      <w:marRight w:val="0"/>
      <w:marTop w:val="0"/>
      <w:marBottom w:val="0"/>
      <w:divBdr>
        <w:top w:val="none" w:sz="0" w:space="0" w:color="auto"/>
        <w:left w:val="none" w:sz="0" w:space="0" w:color="auto"/>
        <w:bottom w:val="none" w:sz="0" w:space="0" w:color="auto"/>
        <w:right w:val="none" w:sz="0" w:space="0" w:color="auto"/>
      </w:divBdr>
    </w:div>
    <w:div w:id="500236810">
      <w:bodyDiv w:val="1"/>
      <w:marLeft w:val="0"/>
      <w:marRight w:val="0"/>
      <w:marTop w:val="0"/>
      <w:marBottom w:val="0"/>
      <w:divBdr>
        <w:top w:val="none" w:sz="0" w:space="0" w:color="auto"/>
        <w:left w:val="none" w:sz="0" w:space="0" w:color="auto"/>
        <w:bottom w:val="none" w:sz="0" w:space="0" w:color="auto"/>
        <w:right w:val="none" w:sz="0" w:space="0" w:color="auto"/>
      </w:divBdr>
    </w:div>
    <w:div w:id="574389960">
      <w:bodyDiv w:val="1"/>
      <w:marLeft w:val="0"/>
      <w:marRight w:val="0"/>
      <w:marTop w:val="0"/>
      <w:marBottom w:val="0"/>
      <w:divBdr>
        <w:top w:val="none" w:sz="0" w:space="0" w:color="auto"/>
        <w:left w:val="none" w:sz="0" w:space="0" w:color="auto"/>
        <w:bottom w:val="none" w:sz="0" w:space="0" w:color="auto"/>
        <w:right w:val="none" w:sz="0" w:space="0" w:color="auto"/>
      </w:divBdr>
    </w:div>
    <w:div w:id="623001120">
      <w:bodyDiv w:val="1"/>
      <w:marLeft w:val="0"/>
      <w:marRight w:val="0"/>
      <w:marTop w:val="0"/>
      <w:marBottom w:val="0"/>
      <w:divBdr>
        <w:top w:val="none" w:sz="0" w:space="0" w:color="auto"/>
        <w:left w:val="none" w:sz="0" w:space="0" w:color="auto"/>
        <w:bottom w:val="none" w:sz="0" w:space="0" w:color="auto"/>
        <w:right w:val="none" w:sz="0" w:space="0" w:color="auto"/>
      </w:divBdr>
      <w:divsChild>
        <w:div w:id="1374696009">
          <w:marLeft w:val="0"/>
          <w:marRight w:val="0"/>
          <w:marTop w:val="0"/>
          <w:marBottom w:val="0"/>
          <w:divBdr>
            <w:top w:val="none" w:sz="0" w:space="0" w:color="auto"/>
            <w:left w:val="none" w:sz="0" w:space="0" w:color="auto"/>
            <w:bottom w:val="none" w:sz="0" w:space="0" w:color="auto"/>
            <w:right w:val="none" w:sz="0" w:space="0" w:color="auto"/>
          </w:divBdr>
          <w:divsChild>
            <w:div w:id="188116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362252">
      <w:bodyDiv w:val="1"/>
      <w:marLeft w:val="0"/>
      <w:marRight w:val="0"/>
      <w:marTop w:val="0"/>
      <w:marBottom w:val="0"/>
      <w:divBdr>
        <w:top w:val="none" w:sz="0" w:space="0" w:color="auto"/>
        <w:left w:val="none" w:sz="0" w:space="0" w:color="auto"/>
        <w:bottom w:val="none" w:sz="0" w:space="0" w:color="auto"/>
        <w:right w:val="none" w:sz="0" w:space="0" w:color="auto"/>
      </w:divBdr>
    </w:div>
    <w:div w:id="1096708935">
      <w:bodyDiv w:val="1"/>
      <w:marLeft w:val="0"/>
      <w:marRight w:val="0"/>
      <w:marTop w:val="0"/>
      <w:marBottom w:val="0"/>
      <w:divBdr>
        <w:top w:val="none" w:sz="0" w:space="0" w:color="auto"/>
        <w:left w:val="none" w:sz="0" w:space="0" w:color="auto"/>
        <w:bottom w:val="none" w:sz="0" w:space="0" w:color="auto"/>
        <w:right w:val="none" w:sz="0" w:space="0" w:color="auto"/>
      </w:divBdr>
    </w:div>
    <w:div w:id="1156797907">
      <w:bodyDiv w:val="1"/>
      <w:marLeft w:val="0"/>
      <w:marRight w:val="0"/>
      <w:marTop w:val="0"/>
      <w:marBottom w:val="0"/>
      <w:divBdr>
        <w:top w:val="none" w:sz="0" w:space="0" w:color="auto"/>
        <w:left w:val="none" w:sz="0" w:space="0" w:color="auto"/>
        <w:bottom w:val="none" w:sz="0" w:space="0" w:color="auto"/>
        <w:right w:val="none" w:sz="0" w:space="0" w:color="auto"/>
      </w:divBdr>
    </w:div>
    <w:div w:id="1381594291">
      <w:bodyDiv w:val="1"/>
      <w:marLeft w:val="0"/>
      <w:marRight w:val="0"/>
      <w:marTop w:val="0"/>
      <w:marBottom w:val="0"/>
      <w:divBdr>
        <w:top w:val="none" w:sz="0" w:space="0" w:color="auto"/>
        <w:left w:val="none" w:sz="0" w:space="0" w:color="auto"/>
        <w:bottom w:val="none" w:sz="0" w:space="0" w:color="auto"/>
        <w:right w:val="none" w:sz="0" w:space="0" w:color="auto"/>
      </w:divBdr>
    </w:div>
    <w:div w:id="1423800387">
      <w:bodyDiv w:val="1"/>
      <w:marLeft w:val="0"/>
      <w:marRight w:val="0"/>
      <w:marTop w:val="0"/>
      <w:marBottom w:val="0"/>
      <w:divBdr>
        <w:top w:val="none" w:sz="0" w:space="0" w:color="auto"/>
        <w:left w:val="none" w:sz="0" w:space="0" w:color="auto"/>
        <w:bottom w:val="none" w:sz="0" w:space="0" w:color="auto"/>
        <w:right w:val="none" w:sz="0" w:space="0" w:color="auto"/>
      </w:divBdr>
    </w:div>
    <w:div w:id="1576473982">
      <w:bodyDiv w:val="1"/>
      <w:marLeft w:val="0"/>
      <w:marRight w:val="0"/>
      <w:marTop w:val="0"/>
      <w:marBottom w:val="0"/>
      <w:divBdr>
        <w:top w:val="none" w:sz="0" w:space="0" w:color="auto"/>
        <w:left w:val="none" w:sz="0" w:space="0" w:color="auto"/>
        <w:bottom w:val="none" w:sz="0" w:space="0" w:color="auto"/>
        <w:right w:val="none" w:sz="0" w:space="0" w:color="auto"/>
      </w:divBdr>
    </w:div>
    <w:div w:id="1698968418">
      <w:bodyDiv w:val="1"/>
      <w:marLeft w:val="0"/>
      <w:marRight w:val="0"/>
      <w:marTop w:val="0"/>
      <w:marBottom w:val="0"/>
      <w:divBdr>
        <w:top w:val="none" w:sz="0" w:space="0" w:color="auto"/>
        <w:left w:val="none" w:sz="0" w:space="0" w:color="auto"/>
        <w:bottom w:val="none" w:sz="0" w:space="0" w:color="auto"/>
        <w:right w:val="none" w:sz="0" w:space="0" w:color="auto"/>
      </w:divBdr>
    </w:div>
    <w:div w:id="1715351730">
      <w:bodyDiv w:val="1"/>
      <w:marLeft w:val="0"/>
      <w:marRight w:val="0"/>
      <w:marTop w:val="0"/>
      <w:marBottom w:val="0"/>
      <w:divBdr>
        <w:top w:val="none" w:sz="0" w:space="0" w:color="auto"/>
        <w:left w:val="none" w:sz="0" w:space="0" w:color="auto"/>
        <w:bottom w:val="none" w:sz="0" w:space="0" w:color="auto"/>
        <w:right w:val="none" w:sz="0" w:space="0" w:color="auto"/>
      </w:divBdr>
    </w:div>
    <w:div w:id="1716852060">
      <w:bodyDiv w:val="1"/>
      <w:marLeft w:val="0"/>
      <w:marRight w:val="0"/>
      <w:marTop w:val="0"/>
      <w:marBottom w:val="0"/>
      <w:divBdr>
        <w:top w:val="none" w:sz="0" w:space="0" w:color="auto"/>
        <w:left w:val="none" w:sz="0" w:space="0" w:color="auto"/>
        <w:bottom w:val="none" w:sz="0" w:space="0" w:color="auto"/>
        <w:right w:val="none" w:sz="0" w:space="0" w:color="auto"/>
      </w:divBdr>
    </w:div>
    <w:div w:id="1829201467">
      <w:bodyDiv w:val="1"/>
      <w:marLeft w:val="0"/>
      <w:marRight w:val="0"/>
      <w:marTop w:val="0"/>
      <w:marBottom w:val="0"/>
      <w:divBdr>
        <w:top w:val="none" w:sz="0" w:space="0" w:color="auto"/>
        <w:left w:val="none" w:sz="0" w:space="0" w:color="auto"/>
        <w:bottom w:val="none" w:sz="0" w:space="0" w:color="auto"/>
        <w:right w:val="none" w:sz="0" w:space="0" w:color="auto"/>
      </w:divBdr>
    </w:div>
    <w:div w:id="1859810447">
      <w:bodyDiv w:val="1"/>
      <w:marLeft w:val="0"/>
      <w:marRight w:val="0"/>
      <w:marTop w:val="0"/>
      <w:marBottom w:val="0"/>
      <w:divBdr>
        <w:top w:val="none" w:sz="0" w:space="0" w:color="auto"/>
        <w:left w:val="none" w:sz="0" w:space="0" w:color="auto"/>
        <w:bottom w:val="none" w:sz="0" w:space="0" w:color="auto"/>
        <w:right w:val="none" w:sz="0" w:space="0" w:color="auto"/>
      </w:divBdr>
    </w:div>
    <w:div w:id="2032875762">
      <w:bodyDiv w:val="1"/>
      <w:marLeft w:val="0"/>
      <w:marRight w:val="0"/>
      <w:marTop w:val="0"/>
      <w:marBottom w:val="0"/>
      <w:divBdr>
        <w:top w:val="none" w:sz="0" w:space="0" w:color="auto"/>
        <w:left w:val="none" w:sz="0" w:space="0" w:color="auto"/>
        <w:bottom w:val="none" w:sz="0" w:space="0" w:color="auto"/>
        <w:right w:val="none" w:sz="0" w:space="0" w:color="auto"/>
      </w:divBdr>
    </w:div>
    <w:div w:id="2050714714">
      <w:bodyDiv w:val="1"/>
      <w:marLeft w:val="0"/>
      <w:marRight w:val="0"/>
      <w:marTop w:val="0"/>
      <w:marBottom w:val="0"/>
      <w:divBdr>
        <w:top w:val="none" w:sz="0" w:space="0" w:color="auto"/>
        <w:left w:val="none" w:sz="0" w:space="0" w:color="auto"/>
        <w:bottom w:val="none" w:sz="0" w:space="0" w:color="auto"/>
        <w:right w:val="none" w:sz="0" w:space="0" w:color="auto"/>
      </w:divBdr>
    </w:div>
    <w:div w:id="2085713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uctural-learning.com/post/sociocultural-theory" TargetMode="External"/><Relationship Id="rId3" Type="http://schemas.openxmlformats.org/officeDocument/2006/relationships/webSettings" Target="webSettings.xml"/><Relationship Id="rId7" Type="http://schemas.openxmlformats.org/officeDocument/2006/relationships/hyperlink" Target="https://www.hcpc-uk.org/resources/standards/standards-of-proficiency-al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ph.org.uk/media/fxrjwhhj/fph-workforce-strategy-2025-30.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ukphr.org/wp-content/uploads/2024/02/Practitioner-Standards-and-Guidance-v3.0-Feb-20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10</Pages>
  <Words>2446</Words>
  <Characters>13944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magero</dc:creator>
  <cp:keywords/>
  <dc:description/>
  <cp:lastModifiedBy>jose magero</cp:lastModifiedBy>
  <cp:revision>1</cp:revision>
  <dcterms:created xsi:type="dcterms:W3CDTF">2025-12-12T09:39:00Z</dcterms:created>
  <dcterms:modified xsi:type="dcterms:W3CDTF">2025-12-12T10:20:00Z</dcterms:modified>
</cp:coreProperties>
</file>