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uppressAutoHyphens/>
        <w:spacing w:after="0"/>
        <w:rPr>
          <w:rFonts w:eastAsia="Calibri"/>
          <w:b/>
          <w:color w:val="000000"/>
          <w:sz w:val="32"/>
          <w:szCs w:val="32"/>
          <w:lang w:eastAsia="ar-SA"/>
        </w:rPr>
      </w:pPr>
      <w:r>
        <w:rPr>
          <w:rFonts w:eastAsia="Calibri"/>
          <w:b/>
          <w:color w:val="000000"/>
          <w:sz w:val="32"/>
          <w:szCs w:val="32"/>
          <w:lang w:eastAsia="ar-SA"/>
        </w:rPr>
        <w:drawing>
          <wp:anchor distT="0" distB="0" distL="114300" distR="114300" simplePos="0" relativeHeight="251662336" behindDoc="0" locked="0" layoutInCell="1" allowOverlap="1">
            <wp:simplePos x="0" y="0"/>
            <wp:positionH relativeFrom="margin">
              <wp:posOffset>-304800</wp:posOffset>
            </wp:positionH>
            <wp:positionV relativeFrom="margin">
              <wp:posOffset>-537210</wp:posOffset>
            </wp:positionV>
            <wp:extent cx="2858770" cy="1232535"/>
            <wp:effectExtent l="0" t="0" r="0" b="0"/>
            <wp:wrapSquare wrapText="bothSides"/>
            <wp:docPr id="86077130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71302" name="Picture 1" descr="A black and yellow logo&#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8770" cy="1232535"/>
                    </a:xfrm>
                    <a:prstGeom prst="rect">
                      <a:avLst/>
                    </a:prstGeom>
                  </pic:spPr>
                </pic:pic>
              </a:graphicData>
            </a:graphic>
          </wp:anchor>
        </w:drawing>
      </w:r>
    </w:p>
    <w:p>
      <w:pPr>
        <w:suppressAutoHyphens/>
        <w:spacing w:after="0"/>
        <w:jc w:val="left"/>
        <w:rPr>
          <w:rFonts w:eastAsia="Calibri"/>
          <w:b/>
          <w:color w:val="000000"/>
          <w:sz w:val="32"/>
          <w:szCs w:val="32"/>
          <w:lang w:eastAsia="ar-SA"/>
        </w:rPr>
      </w:pPr>
    </w:p>
    <w:p>
      <w:pPr>
        <w:suppressAutoHyphens/>
        <w:spacing w:after="0"/>
        <w:jc w:val="left"/>
        <w:rPr>
          <w:rFonts w:eastAsia="Calibri"/>
          <w:b/>
          <w:color w:val="000000"/>
          <w:sz w:val="32"/>
          <w:szCs w:val="32"/>
          <w:lang w:eastAsia="ar-SA"/>
        </w:rPr>
      </w:pPr>
    </w:p>
    <w:p>
      <w:pPr>
        <w:suppressAutoHyphens/>
        <w:spacing w:after="0" w:line="480" w:lineRule="auto"/>
        <w:jc w:val="center"/>
        <w:rPr>
          <w:rFonts w:ascii="Times" w:hAnsi="Times" w:eastAsia="Calibri"/>
          <w:b/>
          <w:bCs/>
          <w:color w:val="000000"/>
          <w:sz w:val="36"/>
          <w:szCs w:val="36"/>
          <w:lang w:eastAsia="ar-SA"/>
        </w:rPr>
      </w:pPr>
      <w:r>
        <w:rPr>
          <w:rFonts w:ascii="Times" w:hAnsi="Times" w:eastAsia="Calibri"/>
          <w:b/>
          <w:bCs/>
          <w:color w:val="000000"/>
          <w:sz w:val="36"/>
          <w:szCs w:val="36"/>
          <w:lang w:eastAsia="ar-SA"/>
        </w:rPr>
        <w:t>Exploring the gender differences in leadership style: A general study in manufacturing in the UK.</w:t>
      </w:r>
    </w:p>
    <w:p>
      <w:pPr>
        <w:suppressAutoHyphens/>
        <w:spacing w:after="0"/>
        <w:jc w:val="left"/>
        <w:rPr>
          <w:rFonts w:eastAsia="Calibri"/>
          <w:b/>
          <w:color w:val="000000"/>
          <w:sz w:val="32"/>
          <w:szCs w:val="32"/>
          <w:lang w:eastAsia="ar-SA"/>
        </w:rPr>
      </w:pPr>
    </w:p>
    <w:p>
      <w:pPr>
        <w:suppressAutoHyphens/>
        <w:spacing w:after="0"/>
        <w:jc w:val="center"/>
        <w:rPr>
          <w:rFonts w:eastAsia="Calibri"/>
          <w:bCs/>
          <w:color w:val="000000"/>
          <w:sz w:val="32"/>
          <w:szCs w:val="32"/>
          <w:lang w:eastAsia="ar-SA"/>
        </w:rPr>
      </w:pPr>
      <w:r>
        <w:rPr>
          <w:rFonts w:eastAsia="Calibri"/>
          <w:bCs/>
          <w:color w:val="000000"/>
          <w:sz w:val="32"/>
          <w:szCs w:val="32"/>
          <w:lang w:eastAsia="ar-SA"/>
        </w:rPr>
        <w:t>By</w:t>
      </w:r>
    </w:p>
    <w:p>
      <w:pPr>
        <w:suppressAutoHyphens/>
        <w:spacing w:after="0" w:line="480" w:lineRule="auto"/>
        <w:jc w:val="center"/>
        <w:rPr>
          <w:rFonts w:eastAsia="Calibri"/>
          <w:b/>
          <w:color w:val="000000"/>
          <w:sz w:val="32"/>
          <w:szCs w:val="32"/>
          <w:lang w:eastAsia="ar-SA"/>
        </w:rPr>
      </w:pPr>
      <w:r>
        <w:rPr>
          <w:rFonts w:eastAsia="Calibri"/>
          <w:b/>
          <w:color w:val="000000"/>
          <w:sz w:val="32"/>
          <w:szCs w:val="32"/>
          <w:lang w:eastAsia="ar-SA"/>
        </w:rPr>
        <w:t>Mariana Cocos</w:t>
      </w:r>
    </w:p>
    <w:p>
      <w:pPr>
        <w:suppressAutoHyphens/>
        <w:spacing w:after="0" w:line="480" w:lineRule="auto"/>
        <w:jc w:val="center"/>
        <w:rPr>
          <w:rFonts w:eastAsia="Calibri"/>
          <w:bCs/>
          <w:color w:val="000000"/>
          <w:sz w:val="32"/>
          <w:szCs w:val="32"/>
          <w:lang w:eastAsia="ar-SA"/>
        </w:rPr>
      </w:pPr>
      <w:r>
        <w:rPr>
          <w:rFonts w:eastAsia="Calibri"/>
          <w:bCs/>
          <w:color w:val="000000"/>
          <w:sz w:val="32"/>
          <w:szCs w:val="32"/>
          <w:lang w:eastAsia="ar-SA"/>
        </w:rPr>
        <w:t>Student Number: 2024061</w:t>
      </w:r>
    </w:p>
    <w:p>
      <w:pPr>
        <w:suppressAutoHyphens/>
        <w:spacing w:after="0" w:line="480" w:lineRule="auto"/>
        <w:jc w:val="left"/>
        <w:rPr>
          <w:rFonts w:eastAsia="Calibri"/>
          <w:b/>
          <w:color w:val="000000"/>
          <w:sz w:val="32"/>
          <w:szCs w:val="32"/>
          <w:lang w:eastAsia="ar-SA"/>
        </w:rPr>
      </w:pPr>
    </w:p>
    <w:p>
      <w:pPr>
        <w:suppressAutoHyphens/>
        <w:spacing w:after="0" w:line="480" w:lineRule="auto"/>
        <w:jc w:val="left"/>
        <w:rPr>
          <w:rFonts w:eastAsia="Calibri"/>
          <w:b/>
          <w:color w:val="000000"/>
          <w:sz w:val="32"/>
          <w:szCs w:val="32"/>
          <w:lang w:eastAsia="ar-SA"/>
        </w:rPr>
      </w:pPr>
    </w:p>
    <w:p>
      <w:pPr>
        <w:suppressAutoHyphens/>
        <w:spacing w:after="0" w:line="480" w:lineRule="auto"/>
        <w:jc w:val="center"/>
        <w:rPr>
          <w:rFonts w:eastAsia="Calibri"/>
          <w:bCs/>
          <w:color w:val="000000"/>
          <w:sz w:val="32"/>
          <w:szCs w:val="32"/>
          <w:lang w:eastAsia="ar-SA"/>
        </w:rPr>
      </w:pPr>
      <w:r>
        <w:rPr>
          <w:rFonts w:eastAsia="Calibri"/>
          <w:bCs/>
          <w:color w:val="000000"/>
          <w:sz w:val="32"/>
          <w:szCs w:val="32"/>
          <w:lang w:eastAsia="ar-SA"/>
        </w:rPr>
        <w:t>A Dissertation submitted to the School of Business, Finance and Management (London Campus), Faculty of Business and Management (BA)</w:t>
      </w:r>
    </w:p>
    <w:p>
      <w:pPr>
        <w:suppressAutoHyphens/>
        <w:spacing w:after="0" w:line="480" w:lineRule="auto"/>
        <w:jc w:val="center"/>
        <w:rPr>
          <w:rFonts w:eastAsia="Calibri"/>
          <w:bCs/>
          <w:color w:val="000000"/>
          <w:sz w:val="32"/>
          <w:szCs w:val="32"/>
          <w:lang w:eastAsia="ar-SA"/>
        </w:rPr>
      </w:pPr>
    </w:p>
    <w:p>
      <w:pPr>
        <w:suppressAutoHyphens/>
        <w:spacing w:after="0" w:line="480" w:lineRule="auto"/>
        <w:jc w:val="center"/>
        <w:rPr>
          <w:b/>
          <w:sz w:val="36"/>
          <w:szCs w:val="36"/>
        </w:rPr>
      </w:pPr>
      <w:r>
        <w:rPr>
          <w:b/>
          <w:sz w:val="32"/>
          <w:szCs w:val="32"/>
        </w:rPr>
        <w:t>University of Wales Trinity Saint David</w:t>
      </w:r>
    </w:p>
    <w:p>
      <w:pPr>
        <w:suppressAutoHyphens/>
        <w:spacing w:after="0" w:line="480" w:lineRule="auto"/>
        <w:jc w:val="center"/>
        <w:rPr>
          <w:rFonts w:eastAsia="Calibri"/>
          <w:b/>
          <w:color w:val="000000"/>
          <w:sz w:val="32"/>
          <w:szCs w:val="32"/>
          <w:lang w:eastAsia="ar-SA"/>
        </w:rPr>
      </w:pPr>
      <w:r>
        <w:rPr>
          <w:rFonts w:eastAsia="Calibri"/>
          <w:b/>
          <w:color w:val="000000"/>
          <w:sz w:val="32"/>
          <w:szCs w:val="32"/>
          <w:lang w:eastAsia="ar-SA"/>
        </w:rPr>
        <w:t>02.01.2024</w:t>
      </w:r>
    </w:p>
    <w:p>
      <w:pPr>
        <w:suppressAutoHyphens/>
        <w:spacing w:after="0" w:line="480" w:lineRule="auto"/>
        <w:jc w:val="center"/>
        <w:rPr>
          <w:rFonts w:eastAsia="Calibri"/>
          <w:b/>
          <w:color w:val="000000"/>
          <w:sz w:val="32"/>
          <w:szCs w:val="32"/>
          <w:lang w:eastAsia="ar-SA"/>
        </w:rPr>
      </w:pPr>
    </w:p>
    <w:p>
      <w:pPr>
        <w:pStyle w:val="2"/>
        <w:rPr>
          <w:color w:val="FF0000"/>
        </w:rPr>
      </w:pPr>
      <w:bookmarkStart w:id="0" w:name="_Toc149574068"/>
      <w:bookmarkStart w:id="1" w:name="_Toc154675097"/>
      <w:bookmarkStart w:id="2" w:name="_Toc141287741"/>
      <w:r>
        <w:t>Declaration</w:t>
      </w:r>
      <w:bookmarkEnd w:id="0"/>
      <w:bookmarkEnd w:id="1"/>
      <w:r>
        <w:t xml:space="preserve"> </w:t>
      </w:r>
    </w:p>
    <w:p>
      <w:r>
        <w:t xml:space="preserve">    I, Mariana Cocos, declare that this dissertation, titled "Exploring the gender differences in leadership style: A general study in manufacturing in the UK " submitted at University of Wales Trinity Saint David, is my original work. I confirm that the content of this dissertation is entirely my own and has not been submitted for any other academic degree or qualification. </w:t>
      </w:r>
    </w:p>
    <w:p>
      <w:r>
        <w:t xml:space="preserve">    All sources, materials, and data used in this dissertation are referenced in accordance with the appropriate citation style. Any assistance I received in preparing this dissertation and all sources of financial support have been acknowledged. I have abided by ethical standards and guidelines, including obtaining any necessary permissions for the use of copyrighted materials. Any opinions or views expressed in this dissertation are entirely my own and do not necessarily reflect those of University of Wales Trinity Saint David or any other organisation. By submitting this dissertation, I affirm my commitment to academic integrity and ethical research practices.</w:t>
      </w:r>
    </w:p>
    <w:p/>
    <w:p>
      <w:r>
        <w:t xml:space="preserve">Mariana Cocos </w:t>
      </w:r>
    </w:p>
    <w:p>
      <w:r>
        <w:t>2024061</w:t>
      </w:r>
    </w:p>
    <w:p/>
    <w:p/>
    <w:p/>
    <w:p/>
    <w:p/>
    <w:p/>
    <w:p/>
    <w:p>
      <w:pPr>
        <w:pStyle w:val="2"/>
      </w:pPr>
      <w:bookmarkStart w:id="3" w:name="_Toc154675098"/>
      <w:bookmarkStart w:id="4" w:name="_Toc149574069"/>
      <w:r>
        <w:t>Abstract</w:t>
      </w:r>
      <w:bookmarkEnd w:id="3"/>
      <w:bookmarkEnd w:id="4"/>
      <w:r>
        <w:t xml:space="preserve"> </w:t>
      </w:r>
    </w:p>
    <w:p>
      <w:r>
        <w:t xml:space="preserve">       Gender differences in leadership styles have become a focal point of discussion, especially in male-dominated sectors like manufacturing industry. This study delves into the intricate relationship between gender and leadership styles within the UK manufacturing industry. Despite advancements in gender equality, women remain </w:t>
      </w:r>
      <w:r>
        <w:rPr>
          <w:lang w:val="en-GB"/>
        </w:rPr>
        <w:t>under-represented</w:t>
      </w:r>
      <w:r>
        <w:t xml:space="preserve"> in leadership roles, prompting an urgent need for a wide exploration of the topic. The research aims to understand how gender differences influence leadership style selection, evaluate common leadership styles exhibited by male and female leaders, and uncover patterns behind the motivation’s leadership style selection. </w:t>
      </w:r>
    </w:p>
    <w:p>
      <w:r>
        <w:t xml:space="preserve">      By addressing these issues, I seek to bridge the gender gap in leadership roles, promote </w:t>
      </w:r>
      <w:r>
        <w:rPr>
          <w:lang w:val="en-GB"/>
        </w:rPr>
        <w:t>exclusivity</w:t>
      </w:r>
      <w:r>
        <w:t>, and enhance leadership effectiveness. Through this research, I aim to provide valuable insights that can inform leadership development in the manufacturing industry and contribute to a more equitable and diverse professional landscape.</w:t>
      </w:r>
    </w:p>
    <w:p/>
    <w:p>
      <w:r>
        <w:rPr>
          <w:b/>
          <w:bCs/>
        </w:rPr>
        <w:t>Keywords</w:t>
      </w:r>
      <w:r>
        <w:t>: Gender differences, leadership styles, manufacturing industry, gender equality, leadership effectiveness.</w:t>
      </w:r>
    </w:p>
    <w:p/>
    <w:p/>
    <w:p/>
    <w:p/>
    <w:p/>
    <w:p/>
    <w:p/>
    <w:p/>
    <w:p>
      <w:pPr>
        <w:pStyle w:val="2"/>
      </w:pPr>
      <w:bookmarkStart w:id="5" w:name="_Toc154675099"/>
      <w:bookmarkStart w:id="6" w:name="_Toc149574070"/>
      <w:r>
        <w:t>Acknowledgements</w:t>
      </w:r>
      <w:bookmarkEnd w:id="5"/>
      <w:bookmarkEnd w:id="6"/>
      <w:r>
        <w:t xml:space="preserve"> </w:t>
      </w:r>
    </w:p>
    <w:p>
      <w:r>
        <w:t xml:space="preserve">     First and foremost, I extend my deepest gratitude to my dissertation advisor, whose commitment, support, and patience was instrumental in shaping this research. Your invaluable feedback, constructive criticism, and </w:t>
      </w:r>
      <w:r>
        <w:rPr>
          <w:lang w:val="en-GB"/>
        </w:rPr>
        <w:t>mentor ship</w:t>
      </w:r>
      <w:r>
        <w:t xml:space="preserve"> have been the guiding light of this study.</w:t>
      </w:r>
    </w:p>
    <w:p>
      <w:r>
        <w:t xml:space="preserve">Also, I am indebted to the participants of this study who generously shared their time and insights, without which this research would not have been possible. Your willingness to contribute to this study is greatly appreciated. I extend my gratitude to my who have provided moral support and kept me motivated.  </w:t>
      </w:r>
    </w:p>
    <w:p>
      <w:r>
        <w:t xml:space="preserve">     This journey has taught me the importance of resilience, determination, and perseverance. Each challenge has been an opportunity for growth, and each success, no matter how small, has been a source of motivation. To everyone who has played a part in my academic and personal growth, I thank you from the bottom of my heart. </w:t>
      </w:r>
    </w:p>
    <w:p/>
    <w:p/>
    <w:p/>
    <w:p/>
    <w:p/>
    <w:p/>
    <w:p/>
    <w:p/>
    <w:p/>
    <w:p/>
    <w:p/>
    <w:sdt>
      <w:sdtPr>
        <w:rPr>
          <w:rFonts w:ascii="Times" w:hAnsi="Times" w:cs="Times New Roman" w:eastAsiaTheme="minorHAnsi"/>
          <w:b w:val="0"/>
          <w:bCs w:val="0"/>
          <w:color w:val="auto"/>
          <w:sz w:val="24"/>
          <w:szCs w:val="24"/>
          <w:lang w:val="en-GB"/>
        </w:rPr>
        <w:id w:val="1383053828"/>
        <w:docPartObj>
          <w:docPartGallery w:val="Table of Contents"/>
          <w:docPartUnique/>
        </w:docPartObj>
      </w:sdtPr>
      <w:sdtEndPr>
        <w:rPr>
          <w:rFonts w:ascii="Times" w:hAnsi="Times" w:eastAsiaTheme="minorHAnsi" w:cstheme="minorHAnsi"/>
          <w:b w:val="0"/>
          <w:bCs w:val="0"/>
          <w:color w:val="auto"/>
          <w:sz w:val="24"/>
          <w:szCs w:val="24"/>
          <w:lang w:val="en-GB"/>
        </w:rPr>
      </w:sdtEndPr>
      <w:sdtContent>
        <w:p>
          <w:pPr>
            <w:pStyle w:val="31"/>
            <w:rPr>
              <w:rFonts w:ascii="Times" w:hAnsi="Times"/>
              <w:color w:val="000000" w:themeColor="text1"/>
              <w:sz w:val="32"/>
              <w:szCs w:val="32"/>
              <w14:textFill>
                <w14:solidFill>
                  <w14:schemeClr w14:val="tx1"/>
                </w14:solidFill>
              </w14:textFill>
            </w:rPr>
          </w:pPr>
          <w:bookmarkStart w:id="99" w:name="_GoBack"/>
          <w:r>
            <w:rPr>
              <w:rFonts w:ascii="Times" w:hAnsi="Times"/>
              <w:color w:val="000000" w:themeColor="text1"/>
              <w:sz w:val="32"/>
              <w:szCs w:val="32"/>
              <w14:textFill>
                <w14:solidFill>
                  <w14:schemeClr w14:val="tx1"/>
                </w14:solidFill>
              </w14:textFill>
            </w:rPr>
            <w:t>Table of Contents</w:t>
          </w:r>
        </w:p>
        <w:p>
          <w:pPr>
            <w:pStyle w:val="16"/>
            <w:rPr>
              <w:rFonts w:eastAsiaTheme="minorEastAsia" w:cstheme="minorBidi"/>
              <w:kern w:val="2"/>
              <w:lang w:eastAsia="en-GB"/>
              <w14:ligatures w14:val="standardContextual"/>
            </w:rPr>
          </w:pPr>
          <w:r>
            <w:rPr>
              <w:b w:val="0"/>
              <w:bCs w:val="0"/>
            </w:rPr>
            <w:fldChar w:fldCharType="begin"/>
          </w:r>
          <w:r>
            <w:rPr>
              <w:b w:val="0"/>
              <w:bCs w:val="0"/>
            </w:rPr>
            <w:instrText xml:space="preserve"> TOC \o "1-3" \h \z \u </w:instrText>
          </w:r>
          <w:r>
            <w:rPr>
              <w:b w:val="0"/>
              <w:bCs w:val="0"/>
            </w:rPr>
            <w:fldChar w:fldCharType="separate"/>
          </w:r>
          <w:r>
            <w:fldChar w:fldCharType="begin"/>
          </w:r>
          <w:r>
            <w:instrText xml:space="preserve"> HYPERLINK \l "_Toc154675097" </w:instrText>
          </w:r>
          <w:r>
            <w:fldChar w:fldCharType="separate"/>
          </w:r>
          <w:r>
            <w:rPr>
              <w:rStyle w:val="10"/>
            </w:rPr>
            <w:t>Declaration</w:t>
          </w:r>
          <w:r>
            <w:tab/>
          </w:r>
          <w:r>
            <w:fldChar w:fldCharType="begin"/>
          </w:r>
          <w:r>
            <w:instrText xml:space="preserve"> PAGEREF _Toc154675097 \h </w:instrText>
          </w:r>
          <w:r>
            <w:fldChar w:fldCharType="separate"/>
          </w:r>
          <w:r>
            <w:t>2</w:t>
          </w:r>
          <w:r>
            <w:fldChar w:fldCharType="end"/>
          </w:r>
          <w: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"_Toc154675098" </w:instrText>
          </w:r>
          <w:r>
            <w:fldChar w:fldCharType="separate"/>
          </w:r>
          <w:r>
            <w:rPr>
              <w:rStyle w:val="10"/>
            </w:rPr>
            <w:t>Abstract</w:t>
          </w:r>
          <w:r>
            <w:tab/>
          </w:r>
          <w:r>
            <w:fldChar w:fldCharType="begin"/>
          </w:r>
          <w:r>
            <w:instrText xml:space="preserve"> PAGEREF _Toc154675098 \h </w:instrText>
          </w:r>
          <w:r>
            <w:fldChar w:fldCharType="separate"/>
          </w:r>
          <w:r>
            <w:t>3</w:t>
          </w:r>
          <w:r>
            <w:fldChar w:fldCharType="end"/>
          </w:r>
          <w: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"_Toc154675099" </w:instrText>
          </w:r>
          <w:r>
            <w:fldChar w:fldCharType="separate"/>
          </w:r>
          <w:r>
            <w:rPr>
              <w:rStyle w:val="10"/>
            </w:rPr>
            <w:t>Acknowledgements</w:t>
          </w:r>
          <w:r>
            <w:tab/>
          </w:r>
          <w:r>
            <w:fldChar w:fldCharType="begin"/>
          </w:r>
          <w:r>
            <w:instrText xml:space="preserve"> PAGEREF _Toc154675099 \h </w:instrText>
          </w:r>
          <w:r>
            <w:fldChar w:fldCharType="separate"/>
          </w:r>
          <w:r>
            <w:t>4</w:t>
          </w:r>
          <w:r>
            <w:fldChar w:fldCharType="end"/>
          </w:r>
          <w: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"_Toc154675100" </w:instrText>
          </w:r>
          <w:r>
            <w:fldChar w:fldCharType="separate"/>
          </w:r>
          <w:r>
            <w:rPr>
              <w:rStyle w:val="10"/>
            </w:rPr>
            <w:t>Chapter 1. Introduction</w:t>
          </w:r>
          <w:r>
            <w:tab/>
          </w:r>
          <w:r>
            <w:fldChar w:fldCharType="begin"/>
          </w:r>
          <w:r>
            <w:instrText xml:space="preserve"> PAGEREF _Toc154675100 \h </w:instrText>
          </w:r>
          <w:r>
            <w:fldChar w:fldCharType="separate"/>
          </w:r>
          <w:r>
            <w:t>7</w:t>
          </w:r>
          <w:r>
            <w:fldChar w:fldCharType="end"/>
          </w:r>
          <w: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"_Toc154675101" </w:instrText>
          </w:r>
          <w:r>
            <w:fldChar w:fldCharType="separate"/>
          </w:r>
          <w:r>
            <w:rPr>
              <w:rStyle w:val="10"/>
              <w:rFonts w:ascii="Times" w:hAnsi="Times"/>
              <w:b w:val="0"/>
              <w:bCs w:val="0"/>
              <w:sz w:val="24"/>
              <w:szCs w:val="24"/>
            </w:rPr>
            <w:t>1.1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_Toc154675101 \h </w:instrText>
          </w:r>
          <w:r>
            <w:rPr>
              <w:rFonts w:ascii="Times" w:hAnsi="Times"/>
              <w:b w:val="0"/>
              <w:bCs w:val="0"/>
              <w:sz w:val="24"/>
              <w:szCs w:val="24"/>
            </w:rPr>
            <w:fldChar w:fldCharType="separate"/>
          </w:r>
          <w:r>
            <w:rPr>
              <w:rFonts w:ascii="Times" w:hAnsi="Times"/>
              <w:b w:val="0"/>
              <w:bCs w:val="0"/>
              <w:sz w:val="24"/>
              <w:szCs w:val="24"/>
            </w:rPr>
            <w:t>7</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"_Toc154675102" </w:instrText>
          </w:r>
          <w:r>
            <w:fldChar w:fldCharType="separate"/>
          </w:r>
          <w:r>
            <w:rPr>
              <w:rStyle w:val="10"/>
              <w:rFonts w:ascii="Times" w:hAnsi="Times"/>
              <w:b w:val="0"/>
              <w:bCs w:val="0"/>
              <w:sz w:val="24"/>
              <w:szCs w:val="24"/>
            </w:rPr>
            <w:t>1.2 Background of the study</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_Toc154675102 \h </w:instrText>
          </w:r>
          <w:r>
            <w:rPr>
              <w:rFonts w:ascii="Times" w:hAnsi="Times"/>
              <w:b w:val="0"/>
              <w:bCs w:val="0"/>
              <w:sz w:val="24"/>
              <w:szCs w:val="24"/>
            </w:rPr>
            <w:fldChar w:fldCharType="separate"/>
          </w:r>
          <w:r>
            <w:rPr>
              <w:rFonts w:ascii="Times" w:hAnsi="Times"/>
              <w:b w:val="0"/>
              <w:bCs w:val="0"/>
              <w:sz w:val="24"/>
              <w:szCs w:val="24"/>
            </w:rPr>
            <w:t>7</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"_Toc154675103" </w:instrText>
          </w:r>
          <w:r>
            <w:fldChar w:fldCharType="separate"/>
          </w:r>
          <w:r>
            <w:rPr>
              <w:rStyle w:val="10"/>
              <w:rFonts w:ascii="Times" w:hAnsi="Times"/>
              <w:b w:val="0"/>
              <w:bCs w:val="0"/>
              <w:sz w:val="24"/>
              <w:szCs w:val="24"/>
            </w:rPr>
            <w:t>1.3 Problem Statement</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_Toc154675103 \h </w:instrText>
          </w:r>
          <w:r>
            <w:rPr>
              <w:rFonts w:ascii="Times" w:hAnsi="Times"/>
              <w:b w:val="0"/>
              <w:bCs w:val="0"/>
              <w:sz w:val="24"/>
              <w:szCs w:val="24"/>
            </w:rPr>
            <w:fldChar w:fldCharType="separate"/>
          </w:r>
          <w:r>
            <w:rPr>
              <w:rFonts w:ascii="Times" w:hAnsi="Times"/>
              <w:b w:val="0"/>
              <w:bCs w:val="0"/>
              <w:sz w:val="24"/>
              <w:szCs w:val="24"/>
            </w:rPr>
            <w:t>8</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"_Toc154675104" </w:instrText>
          </w:r>
          <w:r>
            <w:fldChar w:fldCharType="separate"/>
          </w:r>
          <w:r>
            <w:rPr>
              <w:rStyle w:val="10"/>
              <w:rFonts w:ascii="Times" w:hAnsi="Times"/>
              <w:b w:val="0"/>
              <w:bCs w:val="0"/>
              <w:sz w:val="24"/>
              <w:szCs w:val="24"/>
            </w:rPr>
            <w:t>1.4 Aim, Objectives, Research Questions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_Toc154675104 \h </w:instrText>
          </w:r>
          <w:r>
            <w:rPr>
              <w:rFonts w:ascii="Times" w:hAnsi="Times"/>
              <w:b w:val="0"/>
              <w:bCs w:val="0"/>
              <w:sz w:val="24"/>
              <w:szCs w:val="24"/>
            </w:rPr>
            <w:fldChar w:fldCharType="separate"/>
          </w:r>
          <w:r>
            <w:rPr>
              <w:rFonts w:ascii="Times" w:hAnsi="Times"/>
              <w:b w:val="0"/>
              <w:bCs w:val="0"/>
              <w:sz w:val="24"/>
              <w:szCs w:val="24"/>
            </w:rPr>
            <w:t>8</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"_Toc154675105" </w:instrText>
          </w:r>
          <w:r>
            <w:fldChar w:fldCharType="separate"/>
          </w:r>
          <w:r>
            <w:rPr>
              <w:rStyle w:val="10"/>
              <w:rFonts w:ascii="Times" w:hAnsi="Times"/>
              <w:b w:val="0"/>
              <w:bCs w:val="0"/>
              <w:sz w:val="24"/>
              <w:szCs w:val="24"/>
            </w:rPr>
            <w:t>1.5 The research purpose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_Toc154675105 \h </w:instrText>
          </w:r>
          <w:r>
            <w:rPr>
              <w:rFonts w:ascii="Times" w:hAnsi="Times"/>
              <w:b w:val="0"/>
              <w:bCs w:val="0"/>
              <w:sz w:val="24"/>
              <w:szCs w:val="24"/>
            </w:rPr>
            <w:fldChar w:fldCharType="separate"/>
          </w:r>
          <w:r>
            <w:rPr>
              <w:rFonts w:ascii="Times" w:hAnsi="Times"/>
              <w:b w:val="0"/>
              <w:bCs w:val="0"/>
              <w:sz w:val="24"/>
              <w:szCs w:val="24"/>
            </w:rPr>
            <w:t>9</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"_Toc154675106" </w:instrText>
          </w:r>
          <w:r>
            <w:fldChar w:fldCharType="separate"/>
          </w:r>
          <w:r>
            <w:rPr>
              <w:rStyle w:val="10"/>
              <w:rFonts w:ascii="Times" w:hAnsi="Times"/>
              <w:b w:val="0"/>
              <w:bCs w:val="0"/>
              <w:sz w:val="24"/>
              <w:szCs w:val="24"/>
            </w:rPr>
            <w:t>1.6 Summary of Methodology</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_Toc154675106 \h </w:instrText>
          </w:r>
          <w:r>
            <w:rPr>
              <w:rFonts w:ascii="Times" w:hAnsi="Times"/>
              <w:b w:val="0"/>
              <w:bCs w:val="0"/>
              <w:sz w:val="24"/>
              <w:szCs w:val="24"/>
            </w:rPr>
            <w:fldChar w:fldCharType="separate"/>
          </w:r>
          <w:r>
            <w:rPr>
              <w:rFonts w:ascii="Times" w:hAnsi="Times"/>
              <w:b w:val="0"/>
              <w:bCs w:val="0"/>
              <w:sz w:val="24"/>
              <w:szCs w:val="24"/>
            </w:rPr>
            <w:t>9</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"_Toc154675107" </w:instrText>
          </w:r>
          <w:r>
            <w:fldChar w:fldCharType="separate"/>
          </w:r>
          <w:r>
            <w:rPr>
              <w:rStyle w:val="10"/>
              <w:rFonts w:ascii="Times" w:hAnsi="Times"/>
              <w:b w:val="0"/>
              <w:bCs w:val="0"/>
              <w:sz w:val="24"/>
              <w:szCs w:val="24"/>
            </w:rPr>
            <w:t>1.7 Scope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_Toc154675107 \h </w:instrText>
          </w:r>
          <w:r>
            <w:rPr>
              <w:rFonts w:ascii="Times" w:hAnsi="Times"/>
              <w:b w:val="0"/>
              <w:bCs w:val="0"/>
              <w:sz w:val="24"/>
              <w:szCs w:val="24"/>
            </w:rPr>
            <w:fldChar w:fldCharType="separate"/>
          </w:r>
          <w:r>
            <w:rPr>
              <w:rFonts w:ascii="Times" w:hAnsi="Times"/>
              <w:b w:val="0"/>
              <w:bCs w:val="0"/>
              <w:sz w:val="24"/>
              <w:szCs w:val="24"/>
            </w:rPr>
            <w:t>10</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"_Toc154675108" </w:instrText>
          </w:r>
          <w:r>
            <w:fldChar w:fldCharType="separate"/>
          </w:r>
          <w:r>
            <w:rPr>
              <w:rStyle w:val="10"/>
              <w:rFonts w:ascii="Times" w:hAnsi="Times"/>
              <w:b w:val="0"/>
              <w:bCs w:val="0"/>
              <w:sz w:val="24"/>
              <w:szCs w:val="24"/>
            </w:rPr>
            <w:t>1.8 Structure of the Dissertation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_Toc154675108 \h </w:instrText>
          </w:r>
          <w:r>
            <w:rPr>
              <w:rFonts w:ascii="Times" w:hAnsi="Times"/>
              <w:b w:val="0"/>
              <w:bCs w:val="0"/>
              <w:sz w:val="24"/>
              <w:szCs w:val="24"/>
            </w:rPr>
            <w:fldChar w:fldCharType="separate"/>
          </w:r>
          <w:r>
            <w:rPr>
              <w:rFonts w:ascii="Times" w:hAnsi="Times"/>
              <w:b w:val="0"/>
              <w:bCs w:val="0"/>
              <w:sz w:val="24"/>
              <w:szCs w:val="24"/>
            </w:rPr>
            <w:t>10</w:t>
          </w:r>
          <w:r>
            <w:rPr>
              <w:rFonts w:ascii="Times" w:hAnsi="Times"/>
              <w:b w:val="0"/>
              <w:bCs w:val="0"/>
              <w:sz w:val="24"/>
              <w:szCs w:val="24"/>
            </w:rPr>
            <w:fldChar w:fldCharType="end"/>
          </w:r>
          <w:r>
            <w:rPr>
              <w:rFonts w:ascii="Times" w:hAnsi="Times"/>
              <w:b w:val="0"/>
              <w:bCs w:val="0"/>
              <w:sz w:val="24"/>
              <w:szCs w:val="24"/>
            </w:rP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"_Toc154675109" </w:instrText>
          </w:r>
          <w:r>
            <w:fldChar w:fldCharType="separate"/>
          </w:r>
          <w:r>
            <w:rPr>
              <w:rStyle w:val="10"/>
            </w:rPr>
            <w:t>Chapter 2.  Literature Review</w:t>
          </w:r>
          <w:r>
            <w:tab/>
          </w:r>
          <w:r>
            <w:fldChar w:fldCharType="begin"/>
          </w:r>
          <w:r>
            <w:instrText xml:space="preserve"> PAGEREF _Toc154675109 \h </w:instrText>
          </w:r>
          <w:r>
            <w:fldChar w:fldCharType="separate"/>
          </w:r>
          <w:r>
            <w:t>11</w:t>
          </w:r>
          <w:r>
            <w:fldChar w:fldCharType="end"/>
          </w:r>
          <w: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"_Toc154675110" </w:instrText>
          </w:r>
          <w:r>
            <w:fldChar w:fldCharType="separate"/>
          </w:r>
          <w:r>
            <w:rPr>
              <w:rStyle w:val="10"/>
              <w:rFonts w:ascii="Times" w:hAnsi="Times"/>
              <w:b w:val="0"/>
              <w:bCs w:val="0"/>
              <w:sz w:val="24"/>
              <w:szCs w:val="24"/>
            </w:rPr>
            <w:t>2.1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_Toc154675110 \h </w:instrText>
          </w:r>
          <w:r>
            <w:rPr>
              <w:rFonts w:ascii="Times" w:hAnsi="Times"/>
              <w:b w:val="0"/>
              <w:bCs w:val="0"/>
              <w:sz w:val="24"/>
              <w:szCs w:val="24"/>
            </w:rPr>
            <w:fldChar w:fldCharType="separate"/>
          </w:r>
          <w:r>
            <w:rPr>
              <w:rFonts w:ascii="Times" w:hAnsi="Times"/>
              <w:b w:val="0"/>
              <w:bCs w:val="0"/>
              <w:sz w:val="24"/>
              <w:szCs w:val="24"/>
            </w:rPr>
            <w:t>11</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"_Toc154675111" </w:instrText>
          </w:r>
          <w:r>
            <w:fldChar w:fldCharType="separate"/>
          </w:r>
          <w:r>
            <w:rPr>
              <w:rStyle w:val="10"/>
              <w:rFonts w:ascii="Times" w:hAnsi="Times"/>
              <w:b w:val="0"/>
              <w:bCs w:val="0"/>
              <w:sz w:val="24"/>
              <w:szCs w:val="24"/>
            </w:rPr>
            <w:t>2.2 Gender differences in leadership style in manufacturing in the UK</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_Toc154675111 \h </w:instrText>
          </w:r>
          <w:r>
            <w:rPr>
              <w:rFonts w:ascii="Times" w:hAnsi="Times"/>
              <w:b w:val="0"/>
              <w:bCs w:val="0"/>
              <w:sz w:val="24"/>
              <w:szCs w:val="24"/>
            </w:rPr>
            <w:fldChar w:fldCharType="separate"/>
          </w:r>
          <w:r>
            <w:rPr>
              <w:rFonts w:ascii="Times" w:hAnsi="Times"/>
              <w:b w:val="0"/>
              <w:bCs w:val="0"/>
              <w:sz w:val="24"/>
              <w:szCs w:val="24"/>
            </w:rPr>
            <w:t>11</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"_Toc154675112" </w:instrText>
          </w:r>
          <w:r>
            <w:fldChar w:fldCharType="separate"/>
          </w:r>
          <w:r>
            <w:rPr>
              <w:rStyle w:val="10"/>
              <w:rFonts w:ascii="Times" w:hAnsi="Times"/>
              <w:b w:val="0"/>
              <w:bCs w:val="0"/>
              <w:sz w:val="24"/>
              <w:szCs w:val="24"/>
            </w:rPr>
            <w:t>2.3 Leadership models that define the selection of leadership style.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_Toc154675112 \h </w:instrText>
          </w:r>
          <w:r>
            <w:rPr>
              <w:rFonts w:ascii="Times" w:hAnsi="Times"/>
              <w:b w:val="0"/>
              <w:bCs w:val="0"/>
              <w:sz w:val="24"/>
              <w:szCs w:val="24"/>
            </w:rPr>
            <w:fldChar w:fldCharType="separate"/>
          </w:r>
          <w:r>
            <w:rPr>
              <w:rFonts w:ascii="Times" w:hAnsi="Times"/>
              <w:b w:val="0"/>
              <w:bCs w:val="0"/>
              <w:sz w:val="24"/>
              <w:szCs w:val="24"/>
            </w:rPr>
            <w:t>13</w:t>
          </w:r>
          <w:r>
            <w:rPr>
              <w:rFonts w:ascii="Times" w:hAnsi="Times"/>
              <w:b w:val="0"/>
              <w:bCs w:val="0"/>
              <w:sz w:val="24"/>
              <w:szCs w:val="24"/>
            </w:rPr>
            <w:fldChar w:fldCharType="end"/>
          </w:r>
          <w:r>
            <w:rPr>
              <w:rFonts w:ascii="Times" w:hAnsi="Times"/>
              <w:b w:val="0"/>
              <w:bCs w:val="0"/>
              <w:sz w:val="24"/>
              <w:szCs w:val="24"/>
            </w:rPr>
            <w:fldChar w:fldCharType="end"/>
          </w:r>
        </w:p>
        <w:p>
          <w:pPr>
            <w:pStyle w:val="18"/>
            <w:tabs>
              <w:tab w:val="right" w:leader="dot" w:pos="9010"/>
            </w:tabs>
            <w:rPr>
              <w:rFonts w:ascii="Times" w:hAnsi="Times" w:eastAsiaTheme="minorEastAsia" w:cstheme="minorBidi"/>
              <w:kern w:val="2"/>
              <w:sz w:val="24"/>
              <w:szCs w:val="24"/>
              <w:lang w:eastAsia="en-GB"/>
              <w14:ligatures w14:val="standardContextual"/>
            </w:rPr>
          </w:pPr>
          <w:r>
            <w:fldChar w:fldCharType="begin"/>
          </w:r>
          <w:r>
            <w:instrText xml:space="preserve"> HYPERLINK \l "_Toc154675113" </w:instrText>
          </w:r>
          <w:r>
            <w:fldChar w:fldCharType="separate"/>
          </w:r>
          <w:r>
            <w:rPr>
              <w:rStyle w:val="10"/>
              <w:rFonts w:ascii="Times" w:hAnsi="Times"/>
              <w:sz w:val="24"/>
              <w:szCs w:val="24"/>
            </w:rPr>
            <w:t>2.3.1 Situational Leadership Theory</w:t>
          </w:r>
          <w:r>
            <w:rPr>
              <w:rFonts w:ascii="Times" w:hAnsi="Times"/>
              <w:sz w:val="24"/>
              <w:szCs w:val="24"/>
            </w:rPr>
            <w:tab/>
          </w:r>
          <w:r>
            <w:rPr>
              <w:rFonts w:ascii="Times" w:hAnsi="Times"/>
              <w:sz w:val="24"/>
              <w:szCs w:val="24"/>
            </w:rPr>
            <w:fldChar w:fldCharType="begin"/>
          </w:r>
          <w:r>
            <w:rPr>
              <w:rFonts w:ascii="Times" w:hAnsi="Times"/>
              <w:sz w:val="24"/>
              <w:szCs w:val="24"/>
            </w:rPr>
            <w:instrText xml:space="preserve"> PAGEREF _Toc154675113 \h </w:instrText>
          </w:r>
          <w:r>
            <w:rPr>
              <w:rFonts w:ascii="Times" w:hAnsi="Times"/>
              <w:sz w:val="24"/>
              <w:szCs w:val="24"/>
            </w:rPr>
            <w:fldChar w:fldCharType="separate"/>
          </w:r>
          <w:r>
            <w:rPr>
              <w:rFonts w:ascii="Times" w:hAnsi="Times"/>
              <w:sz w:val="24"/>
              <w:szCs w:val="24"/>
            </w:rPr>
            <w:t>13</w:t>
          </w:r>
          <w:r>
            <w:rPr>
              <w:rFonts w:ascii="Times" w:hAnsi="Times"/>
              <w:sz w:val="24"/>
              <w:szCs w:val="24"/>
            </w:rPr>
            <w:fldChar w:fldCharType="end"/>
          </w:r>
          <w:r>
            <w:rPr>
              <w:rFonts w:ascii="Times" w:hAnsi="Times"/>
              <w:sz w:val="24"/>
              <w:szCs w:val="24"/>
            </w:rPr>
            <w:fldChar w:fldCharType="end"/>
          </w:r>
        </w:p>
        <w:p>
          <w:pPr>
            <w:pStyle w:val="18"/>
            <w:tabs>
              <w:tab w:val="right" w:leader="dot" w:pos="9010"/>
            </w:tabs>
            <w:rPr>
              <w:rFonts w:ascii="Times" w:hAnsi="Times" w:eastAsiaTheme="minorEastAsia" w:cstheme="minorBidi"/>
              <w:kern w:val="2"/>
              <w:sz w:val="24"/>
              <w:szCs w:val="24"/>
              <w:lang w:eastAsia="en-GB"/>
              <w14:ligatures w14:val="standardContextual"/>
            </w:rPr>
          </w:pPr>
          <w:r>
            <w:fldChar w:fldCharType="begin"/>
          </w:r>
          <w:r>
            <w:instrText xml:space="preserve"> HYPERLINK \l "_Toc154675114" </w:instrText>
          </w:r>
          <w:r>
            <w:fldChar w:fldCharType="separate"/>
          </w:r>
          <w:r>
            <w:rPr>
              <w:rStyle w:val="10"/>
              <w:rFonts w:ascii="Times" w:hAnsi="Times"/>
              <w:sz w:val="24"/>
              <w:szCs w:val="24"/>
            </w:rPr>
            <w:t>2.3.2 Transformational Leadership Theory</w:t>
          </w:r>
          <w:r>
            <w:rPr>
              <w:rFonts w:ascii="Times" w:hAnsi="Times"/>
              <w:sz w:val="24"/>
              <w:szCs w:val="24"/>
            </w:rPr>
            <w:tab/>
          </w:r>
          <w:r>
            <w:rPr>
              <w:rFonts w:ascii="Times" w:hAnsi="Times"/>
              <w:sz w:val="24"/>
              <w:szCs w:val="24"/>
            </w:rPr>
            <w:fldChar w:fldCharType="begin"/>
          </w:r>
          <w:r>
            <w:rPr>
              <w:rFonts w:ascii="Times" w:hAnsi="Times"/>
              <w:sz w:val="24"/>
              <w:szCs w:val="24"/>
            </w:rPr>
            <w:instrText xml:space="preserve"> PAGEREF _Toc154675114 \h </w:instrText>
          </w:r>
          <w:r>
            <w:rPr>
              <w:rFonts w:ascii="Times" w:hAnsi="Times"/>
              <w:sz w:val="24"/>
              <w:szCs w:val="24"/>
            </w:rPr>
            <w:fldChar w:fldCharType="separate"/>
          </w:r>
          <w:r>
            <w:rPr>
              <w:rFonts w:ascii="Times" w:hAnsi="Times"/>
              <w:sz w:val="24"/>
              <w:szCs w:val="24"/>
            </w:rPr>
            <w:t>13</w:t>
          </w:r>
          <w:r>
            <w:rPr>
              <w:rFonts w:ascii="Times" w:hAnsi="Times"/>
              <w:sz w:val="24"/>
              <w:szCs w:val="24"/>
            </w:rPr>
            <w:fldChar w:fldCharType="end"/>
          </w:r>
          <w:r>
            <w:rPr>
              <w:rFonts w:ascii="Times" w:hAnsi="Times"/>
              <w:sz w:val="24"/>
              <w:szCs w:val="24"/>
            </w:rPr>
            <w:fldChar w:fldCharType="end"/>
          </w:r>
        </w:p>
        <w:p>
          <w:pPr>
            <w:pStyle w:val="18"/>
            <w:tabs>
              <w:tab w:val="right" w:leader="dot" w:pos="9010"/>
            </w:tabs>
            <w:rPr>
              <w:rFonts w:ascii="Times" w:hAnsi="Times" w:eastAsiaTheme="minorEastAsia" w:cstheme="minorBidi"/>
              <w:kern w:val="2"/>
              <w:sz w:val="24"/>
              <w:szCs w:val="24"/>
              <w:lang w:eastAsia="en-GB"/>
              <w14:ligatures w14:val="standardContextual"/>
            </w:rPr>
          </w:pPr>
          <w:r>
            <w:fldChar w:fldCharType="begin"/>
          </w:r>
          <w:r>
            <w:instrText xml:space="preserve"> HYPERLINK \l "_Toc154675115" </w:instrText>
          </w:r>
          <w:r>
            <w:fldChar w:fldCharType="separate"/>
          </w:r>
          <w:r>
            <w:rPr>
              <w:rStyle w:val="10"/>
              <w:rFonts w:ascii="Times" w:hAnsi="Times"/>
              <w:sz w:val="24"/>
              <w:szCs w:val="24"/>
            </w:rPr>
            <w:t>2.3.3 Charismatic Leadership Theory</w:t>
          </w:r>
          <w:r>
            <w:rPr>
              <w:rFonts w:ascii="Times" w:hAnsi="Times"/>
              <w:sz w:val="24"/>
              <w:szCs w:val="24"/>
            </w:rPr>
            <w:tab/>
          </w:r>
          <w:r>
            <w:rPr>
              <w:rFonts w:ascii="Times" w:hAnsi="Times"/>
              <w:sz w:val="24"/>
              <w:szCs w:val="24"/>
            </w:rPr>
            <w:fldChar w:fldCharType="begin"/>
          </w:r>
          <w:r>
            <w:rPr>
              <w:rFonts w:ascii="Times" w:hAnsi="Times"/>
              <w:sz w:val="24"/>
              <w:szCs w:val="24"/>
            </w:rPr>
            <w:instrText xml:space="preserve"> PAGEREF _Toc154675115 \h </w:instrText>
          </w:r>
          <w:r>
            <w:rPr>
              <w:rFonts w:ascii="Times" w:hAnsi="Times"/>
              <w:sz w:val="24"/>
              <w:szCs w:val="24"/>
            </w:rPr>
            <w:fldChar w:fldCharType="separate"/>
          </w:r>
          <w:r>
            <w:rPr>
              <w:rFonts w:ascii="Times" w:hAnsi="Times"/>
              <w:sz w:val="24"/>
              <w:szCs w:val="24"/>
            </w:rPr>
            <w:t>13</w:t>
          </w:r>
          <w:r>
            <w:rPr>
              <w:rFonts w:ascii="Times" w:hAnsi="Times"/>
              <w:sz w:val="24"/>
              <w:szCs w:val="24"/>
            </w:rPr>
            <w:fldChar w:fldCharType="end"/>
          </w:r>
          <w:r>
            <w:rPr>
              <w:rFonts w:ascii="Times" w:hAnsi="Times"/>
              <w:sz w:val="24"/>
              <w:szCs w:val="24"/>
            </w:rPr>
            <w:fldChar w:fldCharType="end"/>
          </w:r>
        </w:p>
        <w:p>
          <w:pPr>
            <w:pStyle w:val="18"/>
            <w:tabs>
              <w:tab w:val="right" w:leader="dot" w:pos="9010"/>
            </w:tabs>
            <w:rPr>
              <w:rFonts w:ascii="Times" w:hAnsi="Times" w:eastAsiaTheme="minorEastAsia" w:cstheme="minorBidi"/>
              <w:kern w:val="2"/>
              <w:sz w:val="24"/>
              <w:szCs w:val="24"/>
              <w:lang w:eastAsia="en-GB"/>
              <w14:ligatures w14:val="standardContextual"/>
            </w:rPr>
          </w:pPr>
          <w:r>
            <w:fldChar w:fldCharType="begin"/>
          </w:r>
          <w:r>
            <w:instrText xml:space="preserve"> HYPERLINK \l "_Toc154675116" </w:instrText>
          </w:r>
          <w:r>
            <w:fldChar w:fldCharType="separate"/>
          </w:r>
          <w:r>
            <w:rPr>
              <w:rStyle w:val="10"/>
              <w:rFonts w:ascii="Times" w:hAnsi="Times"/>
              <w:sz w:val="24"/>
              <w:szCs w:val="24"/>
            </w:rPr>
            <w:t>2.3.4 Servant Leadership Theory.</w:t>
          </w:r>
          <w:r>
            <w:rPr>
              <w:rFonts w:ascii="Times" w:hAnsi="Times"/>
              <w:sz w:val="24"/>
              <w:szCs w:val="24"/>
            </w:rPr>
            <w:tab/>
          </w:r>
          <w:r>
            <w:rPr>
              <w:rFonts w:ascii="Times" w:hAnsi="Times"/>
              <w:sz w:val="24"/>
              <w:szCs w:val="24"/>
            </w:rPr>
            <w:fldChar w:fldCharType="begin"/>
          </w:r>
          <w:r>
            <w:rPr>
              <w:rFonts w:ascii="Times" w:hAnsi="Times"/>
              <w:sz w:val="24"/>
              <w:szCs w:val="24"/>
            </w:rPr>
            <w:instrText xml:space="preserve"> PAGEREF _Toc154675116 \h </w:instrText>
          </w:r>
          <w:r>
            <w:rPr>
              <w:rFonts w:ascii="Times" w:hAnsi="Times"/>
              <w:sz w:val="24"/>
              <w:szCs w:val="24"/>
            </w:rPr>
            <w:fldChar w:fldCharType="separate"/>
          </w:r>
          <w:r>
            <w:rPr>
              <w:rFonts w:ascii="Times" w:hAnsi="Times"/>
              <w:sz w:val="24"/>
              <w:szCs w:val="24"/>
            </w:rPr>
            <w:t>14</w:t>
          </w:r>
          <w:r>
            <w:rPr>
              <w:rFonts w:ascii="Times" w:hAnsi="Times"/>
              <w:sz w:val="24"/>
              <w:szCs w:val="24"/>
            </w:rPr>
            <w:fldChar w:fldCharType="end"/>
          </w:r>
          <w:r>
            <w:rPr>
              <w:rFonts w:ascii="Times" w:hAnsi="Times"/>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"_Toc154675117" </w:instrText>
          </w:r>
          <w:r>
            <w:fldChar w:fldCharType="separate"/>
          </w:r>
          <w:r>
            <w:rPr>
              <w:rStyle w:val="10"/>
              <w:rFonts w:ascii="Times" w:hAnsi="Times"/>
              <w:b w:val="0"/>
              <w:bCs w:val="0"/>
              <w:sz w:val="24"/>
              <w:szCs w:val="24"/>
            </w:rPr>
            <w:t>2.4 Factors influencing adoption of leadership styles.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_Toc154675117 \h </w:instrText>
          </w:r>
          <w:r>
            <w:rPr>
              <w:rFonts w:ascii="Times" w:hAnsi="Times"/>
              <w:b w:val="0"/>
              <w:bCs w:val="0"/>
              <w:sz w:val="24"/>
              <w:szCs w:val="24"/>
            </w:rPr>
            <w:fldChar w:fldCharType="separate"/>
          </w:r>
          <w:r>
            <w:rPr>
              <w:rFonts w:ascii="Times" w:hAnsi="Times"/>
              <w:b w:val="0"/>
              <w:bCs w:val="0"/>
              <w:sz w:val="24"/>
              <w:szCs w:val="24"/>
            </w:rPr>
            <w:t>14</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"_Toc154675118" </w:instrText>
          </w:r>
          <w:r>
            <w:fldChar w:fldCharType="separate"/>
          </w:r>
          <w:r>
            <w:rPr>
              <w:rStyle w:val="10"/>
              <w:rFonts w:ascii="Times" w:hAnsi="Times"/>
              <w:b w:val="0"/>
              <w:bCs w:val="0"/>
              <w:sz w:val="24"/>
              <w:szCs w:val="24"/>
            </w:rPr>
            <w:t>2.5 Gender-related challenges faced by leaders in the manufacturing sector.</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_Toc154675118 \h </w:instrText>
          </w:r>
          <w:r>
            <w:rPr>
              <w:rFonts w:ascii="Times" w:hAnsi="Times"/>
              <w:b w:val="0"/>
              <w:bCs w:val="0"/>
              <w:sz w:val="24"/>
              <w:szCs w:val="24"/>
            </w:rPr>
            <w:fldChar w:fldCharType="separate"/>
          </w:r>
          <w:r>
            <w:rPr>
              <w:rFonts w:ascii="Times" w:hAnsi="Times"/>
              <w:b w:val="0"/>
              <w:bCs w:val="0"/>
              <w:sz w:val="24"/>
              <w:szCs w:val="24"/>
            </w:rPr>
            <w:t>15</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"_Toc154675119" </w:instrText>
          </w:r>
          <w:r>
            <w:fldChar w:fldCharType="separate"/>
          </w:r>
          <w:r>
            <w:rPr>
              <w:rStyle w:val="10"/>
              <w:rFonts w:ascii="Times" w:hAnsi="Times"/>
              <w:b w:val="0"/>
              <w:bCs w:val="0"/>
              <w:sz w:val="24"/>
              <w:szCs w:val="24"/>
            </w:rPr>
            <w:t>2.6 Research gaps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_Toc154675119 \h </w:instrText>
          </w:r>
          <w:r>
            <w:rPr>
              <w:rFonts w:ascii="Times" w:hAnsi="Times"/>
              <w:b w:val="0"/>
              <w:bCs w:val="0"/>
              <w:sz w:val="24"/>
              <w:szCs w:val="24"/>
            </w:rPr>
            <w:fldChar w:fldCharType="separate"/>
          </w:r>
          <w:r>
            <w:rPr>
              <w:rFonts w:ascii="Times" w:hAnsi="Times"/>
              <w:b w:val="0"/>
              <w:bCs w:val="0"/>
              <w:sz w:val="24"/>
              <w:szCs w:val="24"/>
            </w:rPr>
            <w:t>16</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"_Toc154675120" </w:instrText>
          </w:r>
          <w:r>
            <w:fldChar w:fldCharType="separate"/>
          </w:r>
          <w:r>
            <w:rPr>
              <w:rStyle w:val="10"/>
              <w:rFonts w:ascii="Times" w:hAnsi="Times"/>
              <w:b w:val="0"/>
              <w:bCs w:val="0"/>
              <w:sz w:val="24"/>
              <w:szCs w:val="24"/>
            </w:rPr>
            <w:t>2.7 Summary Chapter 2</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_Toc154675120 \h </w:instrText>
          </w:r>
          <w:r>
            <w:rPr>
              <w:rFonts w:ascii="Times" w:hAnsi="Times"/>
              <w:b w:val="0"/>
              <w:bCs w:val="0"/>
              <w:sz w:val="24"/>
              <w:szCs w:val="24"/>
            </w:rPr>
            <w:fldChar w:fldCharType="separate"/>
          </w:r>
          <w:r>
            <w:rPr>
              <w:rFonts w:ascii="Times" w:hAnsi="Times"/>
              <w:b w:val="0"/>
              <w:bCs w:val="0"/>
              <w:sz w:val="24"/>
              <w:szCs w:val="24"/>
            </w:rPr>
            <w:t>16</w:t>
          </w:r>
          <w:r>
            <w:rPr>
              <w:rFonts w:ascii="Times" w:hAnsi="Times"/>
              <w:b w:val="0"/>
              <w:bCs w:val="0"/>
              <w:sz w:val="24"/>
              <w:szCs w:val="24"/>
            </w:rPr>
            <w:fldChar w:fldCharType="end"/>
          </w:r>
          <w:r>
            <w:rPr>
              <w:rFonts w:ascii="Times" w:hAnsi="Times"/>
              <w:b w:val="0"/>
              <w:bCs w:val="0"/>
              <w:sz w:val="24"/>
              <w:szCs w:val="24"/>
            </w:rP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"_Toc154675121" </w:instrText>
          </w:r>
          <w:r>
            <w:fldChar w:fldCharType="separate"/>
          </w:r>
          <w:r>
            <w:rPr>
              <w:rStyle w:val="10"/>
            </w:rPr>
            <w:t>Chapter 3. Research Methods and Methodology</w:t>
          </w:r>
          <w:r>
            <w:tab/>
          </w:r>
          <w:r>
            <w:fldChar w:fldCharType="begin"/>
          </w:r>
          <w:r>
            <w:instrText xml:space="preserve"> PAGEREF _Toc154675121 \h </w:instrText>
          </w:r>
          <w:r>
            <w:fldChar w:fldCharType="separate"/>
          </w:r>
          <w:r>
            <w:t>18</w:t>
          </w:r>
          <w:r>
            <w:fldChar w:fldCharType="end"/>
          </w:r>
          <w: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"_Toc154675122" </w:instrText>
          </w:r>
          <w:r>
            <w:fldChar w:fldCharType="separate"/>
          </w:r>
          <w:r>
            <w:rPr>
              <w:rStyle w:val="10"/>
              <w:rFonts w:ascii="Times" w:hAnsi="Times"/>
              <w:b w:val="0"/>
              <w:bCs w:val="0"/>
              <w:sz w:val="24"/>
              <w:szCs w:val="24"/>
            </w:rPr>
            <w:t>3.1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_Toc154675122 \h </w:instrText>
          </w:r>
          <w:r>
            <w:rPr>
              <w:rFonts w:ascii="Times" w:hAnsi="Times"/>
              <w:b w:val="0"/>
              <w:bCs w:val="0"/>
              <w:sz w:val="24"/>
              <w:szCs w:val="24"/>
            </w:rPr>
            <w:fldChar w:fldCharType="separate"/>
          </w:r>
          <w:r>
            <w:rPr>
              <w:rFonts w:ascii="Times" w:hAnsi="Times"/>
              <w:b w:val="0"/>
              <w:bCs w:val="0"/>
              <w:sz w:val="24"/>
              <w:szCs w:val="24"/>
            </w:rPr>
            <w:t>18</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"_Toc154675123" </w:instrText>
          </w:r>
          <w:r>
            <w:fldChar w:fldCharType="separate"/>
          </w:r>
          <w:r>
            <w:rPr>
              <w:rStyle w:val="10"/>
              <w:rFonts w:ascii="Times" w:hAnsi="Times"/>
              <w:b w:val="0"/>
              <w:bCs w:val="0"/>
              <w:sz w:val="24"/>
              <w:szCs w:val="24"/>
            </w:rPr>
            <w:t>3.2 Philosophical position of the research</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_Toc154675123 \h </w:instrText>
          </w:r>
          <w:r>
            <w:rPr>
              <w:rFonts w:ascii="Times" w:hAnsi="Times"/>
              <w:b w:val="0"/>
              <w:bCs w:val="0"/>
              <w:sz w:val="24"/>
              <w:szCs w:val="24"/>
            </w:rPr>
            <w:fldChar w:fldCharType="separate"/>
          </w:r>
          <w:r>
            <w:rPr>
              <w:rFonts w:ascii="Times" w:hAnsi="Times"/>
              <w:b w:val="0"/>
              <w:bCs w:val="0"/>
              <w:sz w:val="24"/>
              <w:szCs w:val="24"/>
            </w:rPr>
            <w:t>18</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"_Toc154675124" </w:instrText>
          </w:r>
          <w:r>
            <w:fldChar w:fldCharType="separate"/>
          </w:r>
          <w:r>
            <w:rPr>
              <w:rStyle w:val="10"/>
              <w:rFonts w:ascii="Times" w:hAnsi="Times"/>
              <w:b w:val="0"/>
              <w:bCs w:val="0"/>
              <w:sz w:val="24"/>
              <w:szCs w:val="24"/>
            </w:rPr>
            <w:t>3.3 Paradigm position of the research</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_Toc154675124 \h </w:instrText>
          </w:r>
          <w:r>
            <w:rPr>
              <w:rFonts w:ascii="Times" w:hAnsi="Times"/>
              <w:b w:val="0"/>
              <w:bCs w:val="0"/>
              <w:sz w:val="24"/>
              <w:szCs w:val="24"/>
            </w:rPr>
            <w:fldChar w:fldCharType="separate"/>
          </w:r>
          <w:r>
            <w:rPr>
              <w:rFonts w:ascii="Times" w:hAnsi="Times"/>
              <w:b w:val="0"/>
              <w:bCs w:val="0"/>
              <w:sz w:val="24"/>
              <w:szCs w:val="24"/>
            </w:rPr>
            <w:t>18</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"_Toc154675125" </w:instrText>
          </w:r>
          <w:r>
            <w:fldChar w:fldCharType="separate"/>
          </w:r>
          <w:r>
            <w:rPr>
              <w:rStyle w:val="10"/>
              <w:rFonts w:ascii="Times" w:hAnsi="Times"/>
              <w:b w:val="0"/>
              <w:bCs w:val="0"/>
              <w:sz w:val="24"/>
              <w:szCs w:val="24"/>
            </w:rPr>
            <w:t>3.4 Position and methodological stance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_Toc154675125 \h </w:instrText>
          </w:r>
          <w:r>
            <w:rPr>
              <w:rFonts w:ascii="Times" w:hAnsi="Times"/>
              <w:b w:val="0"/>
              <w:bCs w:val="0"/>
              <w:sz w:val="24"/>
              <w:szCs w:val="24"/>
            </w:rPr>
            <w:fldChar w:fldCharType="separate"/>
          </w:r>
          <w:r>
            <w:rPr>
              <w:rFonts w:ascii="Times" w:hAnsi="Times"/>
              <w:b w:val="0"/>
              <w:bCs w:val="0"/>
              <w:sz w:val="24"/>
              <w:szCs w:val="24"/>
            </w:rPr>
            <w:t>19</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"_Toc154675126" </w:instrText>
          </w:r>
          <w:r>
            <w:fldChar w:fldCharType="separate"/>
          </w:r>
          <w:r>
            <w:rPr>
              <w:rStyle w:val="10"/>
              <w:rFonts w:ascii="Times" w:hAnsi="Times"/>
              <w:b w:val="0"/>
              <w:bCs w:val="0"/>
              <w:sz w:val="24"/>
              <w:szCs w:val="24"/>
            </w:rPr>
            <w:t>3.5 Research Sample and Population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_Toc154675126 \h </w:instrText>
          </w:r>
          <w:r>
            <w:rPr>
              <w:rFonts w:ascii="Times" w:hAnsi="Times"/>
              <w:b w:val="0"/>
              <w:bCs w:val="0"/>
              <w:sz w:val="24"/>
              <w:szCs w:val="24"/>
            </w:rPr>
            <w:fldChar w:fldCharType="separate"/>
          </w:r>
          <w:r>
            <w:rPr>
              <w:rFonts w:ascii="Times" w:hAnsi="Times"/>
              <w:b w:val="0"/>
              <w:bCs w:val="0"/>
              <w:sz w:val="24"/>
              <w:szCs w:val="24"/>
            </w:rPr>
            <w:t>19</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"_Toc154675127" </w:instrText>
          </w:r>
          <w:r>
            <w:fldChar w:fldCharType="separate"/>
          </w:r>
          <w:r>
            <w:rPr>
              <w:rStyle w:val="10"/>
              <w:rFonts w:ascii="Times" w:hAnsi="Times"/>
              <w:b w:val="0"/>
              <w:bCs w:val="0"/>
              <w:sz w:val="24"/>
              <w:szCs w:val="24"/>
            </w:rPr>
            <w:t>3.6 Data Collection, Interpretation and Analysis Tools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_Toc154675127 \h </w:instrText>
          </w:r>
          <w:r>
            <w:rPr>
              <w:rFonts w:ascii="Times" w:hAnsi="Times"/>
              <w:b w:val="0"/>
              <w:bCs w:val="0"/>
              <w:sz w:val="24"/>
              <w:szCs w:val="24"/>
            </w:rPr>
            <w:fldChar w:fldCharType="separate"/>
          </w:r>
          <w:r>
            <w:rPr>
              <w:rFonts w:ascii="Times" w:hAnsi="Times"/>
              <w:b w:val="0"/>
              <w:bCs w:val="0"/>
              <w:sz w:val="24"/>
              <w:szCs w:val="24"/>
            </w:rPr>
            <w:t>20</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"_Toc154675128" </w:instrText>
          </w:r>
          <w:r>
            <w:fldChar w:fldCharType="separate"/>
          </w:r>
          <w:r>
            <w:rPr>
              <w:rStyle w:val="10"/>
              <w:rFonts w:ascii="Times" w:hAnsi="Times"/>
              <w:b w:val="0"/>
              <w:bCs w:val="0"/>
              <w:sz w:val="24"/>
              <w:szCs w:val="24"/>
            </w:rPr>
            <w:t>3.7 Ethical Consideration of the Research</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_Toc154675128 \h </w:instrText>
          </w:r>
          <w:r>
            <w:rPr>
              <w:rFonts w:ascii="Times" w:hAnsi="Times"/>
              <w:b w:val="0"/>
              <w:bCs w:val="0"/>
              <w:sz w:val="24"/>
              <w:szCs w:val="24"/>
            </w:rPr>
            <w:fldChar w:fldCharType="separate"/>
          </w:r>
          <w:r>
            <w:rPr>
              <w:rFonts w:ascii="Times" w:hAnsi="Times"/>
              <w:b w:val="0"/>
              <w:bCs w:val="0"/>
              <w:sz w:val="24"/>
              <w:szCs w:val="24"/>
            </w:rPr>
            <w:t>20</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"_Toc154675129" </w:instrText>
          </w:r>
          <w:r>
            <w:fldChar w:fldCharType="separate"/>
          </w:r>
          <w:r>
            <w:rPr>
              <w:rStyle w:val="10"/>
              <w:rFonts w:ascii="Times" w:hAnsi="Times"/>
              <w:b w:val="0"/>
              <w:bCs w:val="0"/>
              <w:sz w:val="24"/>
              <w:szCs w:val="24"/>
            </w:rPr>
            <w:t>3.8 Summary of Chapter 3</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_Toc154675129 \h </w:instrText>
          </w:r>
          <w:r>
            <w:rPr>
              <w:rFonts w:ascii="Times" w:hAnsi="Times"/>
              <w:b w:val="0"/>
              <w:bCs w:val="0"/>
              <w:sz w:val="24"/>
              <w:szCs w:val="24"/>
            </w:rPr>
            <w:fldChar w:fldCharType="separate"/>
          </w:r>
          <w:r>
            <w:rPr>
              <w:rFonts w:ascii="Times" w:hAnsi="Times"/>
              <w:b w:val="0"/>
              <w:bCs w:val="0"/>
              <w:sz w:val="24"/>
              <w:szCs w:val="24"/>
            </w:rPr>
            <w:t>20</w:t>
          </w:r>
          <w:r>
            <w:rPr>
              <w:rFonts w:ascii="Times" w:hAnsi="Times"/>
              <w:b w:val="0"/>
              <w:bCs w:val="0"/>
              <w:sz w:val="24"/>
              <w:szCs w:val="24"/>
            </w:rPr>
            <w:fldChar w:fldCharType="end"/>
          </w:r>
          <w:r>
            <w:rPr>
              <w:rFonts w:ascii="Times" w:hAnsi="Times"/>
              <w:b w:val="0"/>
              <w:bCs w:val="0"/>
              <w:sz w:val="24"/>
              <w:szCs w:val="24"/>
            </w:rP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"_Toc154675130" </w:instrText>
          </w:r>
          <w:r>
            <w:fldChar w:fldCharType="separate"/>
          </w:r>
          <w:r>
            <w:rPr>
              <w:rStyle w:val="10"/>
            </w:rPr>
            <w:t>Chapter 4: Data analysis, findings, and discussion</w:t>
          </w:r>
          <w:r>
            <w:tab/>
          </w:r>
          <w:r>
            <w:fldChar w:fldCharType="begin"/>
          </w:r>
          <w:r>
            <w:instrText xml:space="preserve"> PAGEREF _Toc154675130 \h </w:instrText>
          </w:r>
          <w:r>
            <w:fldChar w:fldCharType="separate"/>
          </w:r>
          <w:r>
            <w:t>21</w:t>
          </w:r>
          <w:r>
            <w:fldChar w:fldCharType="end"/>
          </w:r>
          <w: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"_Toc154675131" </w:instrText>
          </w:r>
          <w:r>
            <w:fldChar w:fldCharType="separate"/>
          </w:r>
          <w:r>
            <w:rPr>
              <w:rStyle w:val="10"/>
              <w:rFonts w:ascii="Times" w:hAnsi="Times"/>
              <w:b w:val="0"/>
              <w:bCs w:val="0"/>
              <w:sz w:val="24"/>
              <w:szCs w:val="24"/>
            </w:rPr>
            <w:t>4.1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_Toc154675131 \h </w:instrText>
          </w:r>
          <w:r>
            <w:rPr>
              <w:rFonts w:ascii="Times" w:hAnsi="Times"/>
              <w:b w:val="0"/>
              <w:bCs w:val="0"/>
              <w:sz w:val="24"/>
              <w:szCs w:val="24"/>
            </w:rPr>
            <w:fldChar w:fldCharType="separate"/>
          </w:r>
          <w:r>
            <w:rPr>
              <w:rFonts w:ascii="Times" w:hAnsi="Times"/>
              <w:b w:val="0"/>
              <w:bCs w:val="0"/>
              <w:sz w:val="24"/>
              <w:szCs w:val="24"/>
            </w:rPr>
            <w:t>21</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"_Toc154675132" </w:instrText>
          </w:r>
          <w:r>
            <w:fldChar w:fldCharType="separate"/>
          </w:r>
          <w:r>
            <w:rPr>
              <w:rStyle w:val="10"/>
              <w:rFonts w:ascii="Times" w:hAnsi="Times"/>
              <w:b w:val="0"/>
              <w:bCs w:val="0"/>
              <w:sz w:val="24"/>
              <w:szCs w:val="24"/>
            </w:rPr>
            <w:t>4.2 Presentation of findings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_Toc154675132 \h </w:instrText>
          </w:r>
          <w:r>
            <w:rPr>
              <w:rFonts w:ascii="Times" w:hAnsi="Times"/>
              <w:b w:val="0"/>
              <w:bCs w:val="0"/>
              <w:sz w:val="24"/>
              <w:szCs w:val="24"/>
            </w:rPr>
            <w:fldChar w:fldCharType="separate"/>
          </w:r>
          <w:r>
            <w:rPr>
              <w:rFonts w:ascii="Times" w:hAnsi="Times"/>
              <w:b w:val="0"/>
              <w:bCs w:val="0"/>
              <w:sz w:val="24"/>
              <w:szCs w:val="24"/>
            </w:rPr>
            <w:t>21</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"_Toc154675133" </w:instrText>
          </w:r>
          <w:r>
            <w:fldChar w:fldCharType="separate"/>
          </w:r>
          <w:r>
            <w:rPr>
              <w:rStyle w:val="10"/>
              <w:rFonts w:ascii="Times" w:hAnsi="Times"/>
              <w:b w:val="0"/>
              <w:bCs w:val="0"/>
              <w:sz w:val="24"/>
              <w:szCs w:val="24"/>
            </w:rPr>
            <w:t>4.3 Data analysis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_Toc154675133 \h </w:instrText>
          </w:r>
          <w:r>
            <w:rPr>
              <w:rFonts w:ascii="Times" w:hAnsi="Times"/>
              <w:b w:val="0"/>
              <w:bCs w:val="0"/>
              <w:sz w:val="24"/>
              <w:szCs w:val="24"/>
            </w:rPr>
            <w:fldChar w:fldCharType="separate"/>
          </w:r>
          <w:r>
            <w:rPr>
              <w:rFonts w:ascii="Times" w:hAnsi="Times"/>
              <w:b w:val="0"/>
              <w:bCs w:val="0"/>
              <w:sz w:val="24"/>
              <w:szCs w:val="24"/>
            </w:rPr>
            <w:t>23</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"_Toc154675134" </w:instrText>
          </w:r>
          <w:r>
            <w:fldChar w:fldCharType="separate"/>
          </w:r>
          <w:r>
            <w:rPr>
              <w:rStyle w:val="10"/>
              <w:rFonts w:ascii="Times" w:hAnsi="Times"/>
              <w:b w:val="0"/>
              <w:bCs w:val="0"/>
              <w:sz w:val="24"/>
              <w:szCs w:val="24"/>
            </w:rPr>
            <w:t>4.4 Discussion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_Toc154675134 \h </w:instrText>
          </w:r>
          <w:r>
            <w:rPr>
              <w:rFonts w:ascii="Times" w:hAnsi="Times"/>
              <w:b w:val="0"/>
              <w:bCs w:val="0"/>
              <w:sz w:val="24"/>
              <w:szCs w:val="24"/>
            </w:rPr>
            <w:fldChar w:fldCharType="separate"/>
          </w:r>
          <w:r>
            <w:rPr>
              <w:rFonts w:ascii="Times" w:hAnsi="Times"/>
              <w:b w:val="0"/>
              <w:bCs w:val="0"/>
              <w:sz w:val="24"/>
              <w:szCs w:val="24"/>
            </w:rPr>
            <w:t>25</w:t>
          </w:r>
          <w:r>
            <w:rPr>
              <w:rFonts w:ascii="Times" w:hAnsi="Times"/>
              <w:b w:val="0"/>
              <w:bCs w:val="0"/>
              <w:sz w:val="24"/>
              <w:szCs w:val="24"/>
            </w:rPr>
            <w:fldChar w:fldCharType="end"/>
          </w:r>
          <w:r>
            <w:rPr>
              <w:rFonts w:ascii="Times" w:hAnsi="Times"/>
              <w:b w:val="0"/>
              <w:bCs w:val="0"/>
              <w:sz w:val="24"/>
              <w:szCs w:val="24"/>
            </w:rPr>
            <w:fldChar w:fldCharType="end"/>
          </w:r>
        </w:p>
        <w:p>
          <w:pPr>
            <w:pStyle w:val="17"/>
            <w:tabs>
              <w:tab w:val="right" w:leader="dot" w:pos="9010"/>
            </w:tabs>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"_Toc154675135" </w:instrText>
          </w:r>
          <w:r>
            <w:fldChar w:fldCharType="separate"/>
          </w:r>
          <w:r>
            <w:rPr>
              <w:rStyle w:val="10"/>
              <w:rFonts w:ascii="Times" w:hAnsi="Times"/>
              <w:b w:val="0"/>
              <w:bCs w:val="0"/>
              <w:sz w:val="24"/>
              <w:szCs w:val="24"/>
            </w:rPr>
            <w:t>4.5 Summary of Chapter 4</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_Toc154675135 \h </w:instrText>
          </w:r>
          <w:r>
            <w:rPr>
              <w:rFonts w:ascii="Times" w:hAnsi="Times"/>
              <w:b w:val="0"/>
              <w:bCs w:val="0"/>
              <w:sz w:val="24"/>
              <w:szCs w:val="24"/>
            </w:rPr>
            <w:fldChar w:fldCharType="separate"/>
          </w:r>
          <w:r>
            <w:rPr>
              <w:rFonts w:ascii="Times" w:hAnsi="Times"/>
              <w:b w:val="0"/>
              <w:bCs w:val="0"/>
              <w:sz w:val="24"/>
              <w:szCs w:val="24"/>
            </w:rPr>
            <w:t>26</w:t>
          </w:r>
          <w:r>
            <w:rPr>
              <w:rFonts w:ascii="Times" w:hAnsi="Times"/>
              <w:b w:val="0"/>
              <w:bCs w:val="0"/>
              <w:sz w:val="24"/>
              <w:szCs w:val="24"/>
            </w:rPr>
            <w:fldChar w:fldCharType="end"/>
          </w:r>
          <w:r>
            <w:rPr>
              <w:rFonts w:ascii="Times" w:hAnsi="Times"/>
              <w:b w:val="0"/>
              <w:bCs w:val="0"/>
              <w:sz w:val="24"/>
              <w:szCs w:val="24"/>
            </w:rP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"_Toc154675136" </w:instrText>
          </w:r>
          <w:r>
            <w:fldChar w:fldCharType="separate"/>
          </w:r>
          <w:r>
            <w:rPr>
              <w:rStyle w:val="10"/>
            </w:rPr>
            <w:t>Chapter 5. Conclusion and recommendations</w:t>
          </w:r>
          <w:r>
            <w:tab/>
          </w:r>
          <w:r>
            <w:fldChar w:fldCharType="begin"/>
          </w:r>
          <w:r>
            <w:instrText xml:space="preserve"> PAGEREF _Toc154675136 \h </w:instrText>
          </w:r>
          <w:r>
            <w:fldChar w:fldCharType="separate"/>
          </w:r>
          <w:r>
            <w:t>27</w:t>
          </w:r>
          <w:r>
            <w:fldChar w:fldCharType="end"/>
          </w:r>
          <w: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"_Toc154675137" </w:instrText>
          </w:r>
          <w:r>
            <w:fldChar w:fldCharType="separate"/>
          </w:r>
          <w:r>
            <w:rPr>
              <w:rStyle w:val="10"/>
            </w:rPr>
            <w:t>Terms of Glossary</w:t>
          </w:r>
          <w:r>
            <w:tab/>
          </w:r>
          <w:r>
            <w:fldChar w:fldCharType="begin"/>
          </w:r>
          <w:r>
            <w:instrText xml:space="preserve"> PAGEREF _Toc154675137 \h </w:instrText>
          </w:r>
          <w:r>
            <w:fldChar w:fldCharType="separate"/>
          </w:r>
          <w:r>
            <w:t>29</w:t>
          </w:r>
          <w:r>
            <w:fldChar w:fldCharType="end"/>
          </w:r>
          <w: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"_Toc154675138" </w:instrText>
          </w:r>
          <w:r>
            <w:fldChar w:fldCharType="separate"/>
          </w:r>
          <w:r>
            <w:rPr>
              <w:rStyle w:val="10"/>
              <w:rFonts w:cs="Times New Roman"/>
            </w:rPr>
            <w:t xml:space="preserve">List of </w:t>
          </w:r>
          <w:r>
            <w:rPr>
              <w:rStyle w:val="10"/>
            </w:rPr>
            <w:t>References</w:t>
          </w:r>
          <w:r>
            <w:tab/>
          </w:r>
          <w:r>
            <w:fldChar w:fldCharType="begin"/>
          </w:r>
          <w:r>
            <w:instrText xml:space="preserve"> PAGEREF _Toc154675138 \h </w:instrText>
          </w:r>
          <w:r>
            <w:fldChar w:fldCharType="separate"/>
          </w:r>
          <w:r>
            <w:t>30</w:t>
          </w:r>
          <w:r>
            <w:fldChar w:fldCharType="end"/>
          </w:r>
          <w:r>
            <w:fldChar w:fldCharType="end"/>
          </w:r>
        </w:p>
        <w:p>
          <w:pPr>
            <w:pStyle w:val="16"/>
            <w:rPr>
              <w:rFonts w:eastAsiaTheme="minorEastAsia" w:cstheme="minorBidi"/>
              <w:kern w:val="2"/>
              <w:lang w:eastAsia="en-GB"/>
              <w14:ligatures w14:val="standardContextual"/>
            </w:rPr>
          </w:pPr>
          <w:r>
            <w:fldChar w:fldCharType="begin"/>
          </w:r>
          <w:r>
            <w:instrText xml:space="preserve"> HYPERLINK \l "_Toc154675139" </w:instrText>
          </w:r>
          <w:r>
            <w:fldChar w:fldCharType="separate"/>
          </w:r>
          <w:r>
            <w:rPr>
              <w:rStyle w:val="10"/>
            </w:rPr>
            <w:t>Appendices</w:t>
          </w:r>
          <w:r>
            <w:tab/>
          </w:r>
          <w:r>
            <w:fldChar w:fldCharType="begin"/>
          </w:r>
          <w:r>
            <w:instrText xml:space="preserve"> PAGEREF _Toc154675139 \h </w:instrText>
          </w:r>
          <w:r>
            <w:fldChar w:fldCharType="separate"/>
          </w:r>
          <w:r>
            <w:t>35</w:t>
          </w:r>
          <w:r>
            <w:fldChar w:fldCharType="end"/>
          </w:r>
          <w:r>
            <w:fldChar w:fldCharType="end"/>
          </w:r>
        </w:p>
        <w:p>
          <w:pPr>
            <w:spacing w:line="276" w:lineRule="auto"/>
            <w:rPr>
              <w:rFonts w:ascii="Times" w:hAnsi="Times" w:cstheme="minorHAnsi"/>
            </w:rPr>
          </w:pPr>
          <w:r>
            <w:rPr>
              <w:rFonts w:ascii="Times" w:hAnsi="Times" w:cstheme="minorHAnsi"/>
            </w:rPr>
            <w:fldChar w:fldCharType="end"/>
          </w:r>
        </w:p>
      </w:sdtContent>
    </w:sdt>
    <w:p>
      <w:pPr>
        <w:pStyle w:val="15"/>
        <w:tabs>
          <w:tab w:val="right" w:leader="dot" w:pos="9010"/>
        </w:tabs>
        <w:spacing w:line="276" w:lineRule="auto"/>
        <w:rPr>
          <w:rFonts w:ascii="Times" w:hAnsi="Times" w:cstheme="minorHAnsi"/>
          <w:b/>
          <w:bCs/>
        </w:rPr>
      </w:pPr>
      <w:r>
        <w:rPr>
          <w:rFonts w:ascii="Times" w:hAnsi="Times" w:cstheme="minorHAnsi"/>
          <w:b/>
          <w:bCs/>
        </w:rPr>
        <w:t xml:space="preserve">List of tables </w:t>
      </w:r>
      <w:r>
        <w:rPr>
          <w:rFonts w:ascii="Times" w:hAnsi="Times" w:cstheme="minorHAnsi"/>
          <w:i/>
          <w:iCs/>
        </w:rPr>
        <w:fldChar w:fldCharType="begin"/>
      </w:r>
      <w:r>
        <w:rPr>
          <w:rFonts w:ascii="Times" w:hAnsi="Times" w:cstheme="minorHAnsi"/>
          <w:i/>
          <w:iCs/>
        </w:rPr>
        <w:instrText xml:space="preserve"> TOC \h \z \c "Table" </w:instrText>
      </w:r>
      <w:r>
        <w:rPr>
          <w:rFonts w:ascii="Times" w:hAnsi="Times" w:cstheme="minorHAnsi"/>
          <w:i/>
          <w:iCs/>
        </w:rPr>
        <w:fldChar w:fldCharType="separate"/>
      </w:r>
    </w:p>
    <w:p>
      <w:pPr>
        <w:pStyle w:val="15"/>
        <w:tabs>
          <w:tab w:val="right" w:leader="dot" w:pos="9010"/>
        </w:tabs>
        <w:rPr>
          <w:rFonts w:asciiTheme="minorHAnsi" w:hAnsiTheme="minorHAnsi" w:eastAsiaTheme="minorEastAsia" w:cstheme="minorBidi"/>
          <w:kern w:val="2"/>
          <w:lang w:eastAsia="en-GB"/>
          <w14:ligatures w14:val="standardContextual"/>
        </w:rPr>
      </w:pPr>
      <w:r>
        <w:fldChar w:fldCharType="begin"/>
      </w:r>
      <w:r>
        <w:instrText xml:space="preserve"> HYPERLINK \l "_Toc153906097" </w:instrText>
      </w:r>
      <w:r>
        <w:fldChar w:fldCharType="separate"/>
      </w:r>
      <w:r>
        <w:rPr>
          <w:rStyle w:val="10"/>
        </w:rPr>
        <w:t>Table 1.Leadership roles, gender, and preferred leadership style</w:t>
      </w:r>
      <w:r>
        <w:tab/>
      </w:r>
      <w:r>
        <w:fldChar w:fldCharType="begin"/>
      </w:r>
      <w:r>
        <w:instrText xml:space="preserve"> PAGEREF _Toc153906097 \h </w:instrText>
      </w:r>
      <w:r>
        <w:fldChar w:fldCharType="separate"/>
      </w:r>
      <w:r>
        <w:t>23</w:t>
      </w:r>
      <w:r>
        <w:fldChar w:fldCharType="end"/>
      </w:r>
      <w:r>
        <w:fldChar w:fldCharType="end"/>
      </w:r>
    </w:p>
    <w:p>
      <w:pPr>
        <w:pStyle w:val="15"/>
        <w:tabs>
          <w:tab w:val="right" w:leader="dot" w:pos="9010"/>
        </w:tabs>
        <w:rPr>
          <w:rFonts w:asciiTheme="minorHAnsi" w:hAnsiTheme="minorHAnsi" w:eastAsiaTheme="minorEastAsia" w:cstheme="minorBidi"/>
          <w:kern w:val="2"/>
          <w:lang w:eastAsia="en-GB"/>
          <w14:ligatures w14:val="standardContextual"/>
        </w:rPr>
      </w:pPr>
      <w:r>
        <w:fldChar w:fldCharType="begin"/>
      </w:r>
      <w:r>
        <w:instrText xml:space="preserve"> HYPERLINK \l "_Toc153906098" </w:instrText>
      </w:r>
      <w:r>
        <w:fldChar w:fldCharType="separate"/>
      </w:r>
      <w:r>
        <w:rPr>
          <w:rStyle w:val="10"/>
        </w:rPr>
        <w:t>Table 2.Factors, Challenges and Potential stereotypes</w:t>
      </w:r>
      <w:r>
        <w:tab/>
      </w:r>
      <w:r>
        <w:fldChar w:fldCharType="begin"/>
      </w:r>
      <w:r>
        <w:instrText xml:space="preserve"> PAGEREF _Toc153906098 \h </w:instrText>
      </w:r>
      <w:r>
        <w:fldChar w:fldCharType="separate"/>
      </w:r>
      <w:r>
        <w:t>24</w:t>
      </w:r>
      <w:r>
        <w:fldChar w:fldCharType="end"/>
      </w:r>
      <w:r>
        <w:fldChar w:fldCharType="end"/>
      </w:r>
    </w:p>
    <w:p>
      <w:pPr>
        <w:pStyle w:val="15"/>
        <w:tabs>
          <w:tab w:val="right" w:leader="dot" w:pos="9010"/>
        </w:tabs>
        <w:rPr>
          <w:rFonts w:asciiTheme="minorHAnsi" w:hAnsiTheme="minorHAnsi" w:eastAsiaTheme="minorEastAsia" w:cstheme="minorBidi"/>
          <w:kern w:val="2"/>
          <w:lang w:eastAsia="en-GB"/>
          <w14:ligatures w14:val="standardContextual"/>
        </w:rPr>
      </w:pPr>
      <w:r>
        <w:fldChar w:fldCharType="begin"/>
      </w:r>
      <w:r>
        <w:instrText xml:space="preserve"> HYPERLINK \l "_Toc153906099" </w:instrText>
      </w:r>
      <w:r>
        <w:fldChar w:fldCharType="separate"/>
      </w:r>
      <w:r>
        <w:rPr>
          <w:rStyle w:val="10"/>
        </w:rPr>
        <w:t>Table 3.The research methodology</w:t>
      </w:r>
      <w:r>
        <w:tab/>
      </w:r>
      <w:r>
        <w:fldChar w:fldCharType="begin"/>
      </w:r>
      <w:r>
        <w:instrText xml:space="preserve"> PAGEREF _Toc153906099 \h </w:instrText>
      </w:r>
      <w:r>
        <w:fldChar w:fldCharType="separate"/>
      </w:r>
      <w:r>
        <w:t>35</w:t>
      </w:r>
      <w:r>
        <w:fldChar w:fldCharType="end"/>
      </w:r>
      <w:r>
        <w:fldChar w:fldCharType="end"/>
      </w:r>
    </w:p>
    <w:p>
      <w:pPr>
        <w:pStyle w:val="15"/>
        <w:tabs>
          <w:tab w:val="right" w:leader="dot" w:pos="9010"/>
        </w:tabs>
        <w:rPr>
          <w:rFonts w:asciiTheme="minorHAnsi" w:hAnsiTheme="minorHAnsi" w:eastAsiaTheme="minorEastAsia" w:cstheme="minorBidi"/>
          <w:kern w:val="2"/>
          <w:lang w:eastAsia="en-GB"/>
          <w14:ligatures w14:val="standardContextual"/>
        </w:rPr>
      </w:pPr>
      <w:r>
        <w:fldChar w:fldCharType="begin"/>
      </w:r>
      <w:r>
        <w:instrText xml:space="preserve"> HYPERLINK \l "_Toc153906100" </w:instrText>
      </w:r>
      <w:r>
        <w:fldChar w:fldCharType="separate"/>
      </w:r>
      <w:r>
        <w:rPr>
          <w:rStyle w:val="10"/>
        </w:rPr>
        <w:t>Table 4.Factors influencing the selection of leadership style.</w:t>
      </w:r>
      <w:r>
        <w:tab/>
      </w:r>
      <w:r>
        <w:fldChar w:fldCharType="begin"/>
      </w:r>
      <w:r>
        <w:instrText xml:space="preserve"> PAGEREF _Toc153906100 \h </w:instrText>
      </w:r>
      <w:r>
        <w:fldChar w:fldCharType="separate"/>
      </w:r>
      <w:r>
        <w:t>36</w:t>
      </w:r>
      <w:r>
        <w:fldChar w:fldCharType="end"/>
      </w:r>
      <w:r>
        <w:fldChar w:fldCharType="end"/>
      </w:r>
    </w:p>
    <w:p>
      <w:pPr>
        <w:pStyle w:val="15"/>
        <w:tabs>
          <w:tab w:val="right" w:leader="dot" w:pos="9010"/>
        </w:tabs>
        <w:rPr>
          <w:rFonts w:asciiTheme="minorHAnsi" w:hAnsiTheme="minorHAnsi" w:eastAsiaTheme="minorEastAsia" w:cstheme="minorBidi"/>
          <w:kern w:val="2"/>
          <w:lang w:eastAsia="en-GB"/>
          <w14:ligatures w14:val="standardContextual"/>
        </w:rPr>
      </w:pPr>
      <w:r>
        <w:fldChar w:fldCharType="begin"/>
      </w:r>
      <w:r>
        <w:instrText xml:space="preserve"> HYPERLINK \l "_Toc153906101" </w:instrText>
      </w:r>
      <w:r>
        <w:fldChar w:fldCharType="separate"/>
      </w:r>
      <w:r>
        <w:rPr>
          <w:rStyle w:val="10"/>
        </w:rPr>
        <w:t>Table 5.Time prospects adapted from Gant Chart</w:t>
      </w:r>
      <w:r>
        <w:tab/>
      </w:r>
      <w:r>
        <w:fldChar w:fldCharType="begin"/>
      </w:r>
      <w:r>
        <w:instrText xml:space="preserve"> PAGEREF _Toc153906101 \h </w:instrText>
      </w:r>
      <w:r>
        <w:fldChar w:fldCharType="separate"/>
      </w:r>
      <w:r>
        <w:t>63</w:t>
      </w:r>
      <w:r>
        <w:fldChar w:fldCharType="end"/>
      </w:r>
      <w:r>
        <w:fldChar w:fldCharType="end"/>
      </w:r>
    </w:p>
    <w:p>
      <w:pPr>
        <w:spacing w:line="276" w:lineRule="auto"/>
        <w:rPr>
          <w:rFonts w:ascii="Times" w:hAnsi="Times" w:cstheme="minorHAnsi"/>
          <w:b/>
          <w:bCs/>
          <w:i/>
          <w:iCs/>
        </w:rPr>
      </w:pPr>
      <w:r>
        <w:rPr>
          <w:rFonts w:ascii="Times" w:hAnsi="Times" w:cstheme="minorHAnsi"/>
          <w:i/>
          <w:iCs/>
        </w:rPr>
        <w:fldChar w:fldCharType="end"/>
      </w:r>
    </w:p>
    <w:p>
      <w:pPr>
        <w:spacing w:line="276" w:lineRule="auto"/>
        <w:rPr>
          <w:rFonts w:ascii="Times" w:hAnsi="Times" w:cstheme="minorHAnsi"/>
          <w:b/>
          <w:bCs/>
        </w:rPr>
      </w:pPr>
      <w:r>
        <w:rPr>
          <w:rFonts w:ascii="Times" w:hAnsi="Times" w:cstheme="minorHAnsi"/>
          <w:b/>
          <w:bCs/>
        </w:rPr>
        <w:t xml:space="preserve">List of figures </w:t>
      </w:r>
    </w:p>
    <w:p>
      <w:pPr>
        <w:pStyle w:val="15"/>
        <w:tabs>
          <w:tab w:val="right" w:leader="dot" w:pos="9010"/>
        </w:tabs>
        <w:spacing w:line="276" w:lineRule="auto"/>
        <w:rPr>
          <w:rFonts w:ascii="Times" w:hAnsi="Times" w:eastAsiaTheme="minorEastAsia" w:cstheme="minorHAnsi"/>
          <w:kern w:val="2"/>
          <w:lang w:eastAsia="en-GB"/>
          <w14:ligatures w14:val="standardContextual"/>
        </w:rPr>
      </w:pPr>
      <w:r>
        <w:rPr>
          <w:rFonts w:ascii="Times" w:hAnsi="Times" w:cstheme="minorHAnsi"/>
        </w:rPr>
        <w:fldChar w:fldCharType="begin"/>
      </w:r>
      <w:r>
        <w:rPr>
          <w:rFonts w:ascii="Times" w:hAnsi="Times" w:cstheme="minorHAnsi"/>
        </w:rPr>
        <w:instrText xml:space="preserve"> TOC \h \z \c "Figure" </w:instrText>
      </w:r>
      <w:r>
        <w:rPr>
          <w:rFonts w:ascii="Times" w:hAnsi="Times" w:cstheme="minorHAnsi"/>
        </w:rPr>
        <w:fldChar w:fldCharType="separate"/>
      </w:r>
      <w:r>
        <w:fldChar w:fldCharType="begin"/>
      </w:r>
      <w:r>
        <w:instrText xml:space="preserve"> HYPERLINK \l "_Toc153900946" </w:instrText>
      </w:r>
      <w:r>
        <w:fldChar w:fldCharType="separate"/>
      </w:r>
      <w:r>
        <w:rPr>
          <w:rStyle w:val="10"/>
          <w:rFonts w:ascii="Times" w:hAnsi="Times" w:cstheme="minorHAnsi"/>
        </w:rPr>
        <w:t>Figure 1. Interview respondents based on gender.</w:t>
      </w:r>
      <w:r>
        <w:rPr>
          <w:rFonts w:ascii="Times" w:hAnsi="Times" w:cstheme="minorHAnsi"/>
        </w:rPr>
        <w:tab/>
      </w:r>
      <w:r>
        <w:rPr>
          <w:rFonts w:ascii="Times" w:hAnsi="Times" w:cstheme="minorHAnsi"/>
        </w:rPr>
        <w:fldChar w:fldCharType="begin"/>
      </w:r>
      <w:r>
        <w:rPr>
          <w:rFonts w:ascii="Times" w:hAnsi="Times" w:cstheme="minorHAnsi"/>
        </w:rPr>
        <w:instrText xml:space="preserve"> PAGEREF _Toc153900946 \h </w:instrText>
      </w:r>
      <w:r>
        <w:rPr>
          <w:rFonts w:ascii="Times" w:hAnsi="Times" w:cstheme="minorHAnsi"/>
        </w:rPr>
        <w:fldChar w:fldCharType="separate"/>
      </w:r>
      <w:r>
        <w:rPr>
          <w:rFonts w:ascii="Times" w:hAnsi="Times" w:cstheme="minorHAnsi"/>
        </w:rPr>
        <w:t>21</w:t>
      </w:r>
      <w:r>
        <w:rPr>
          <w:rFonts w:ascii="Times" w:hAnsi="Times" w:cstheme="minorHAnsi"/>
        </w:rPr>
        <w:fldChar w:fldCharType="end"/>
      </w:r>
      <w:r>
        <w:rPr>
          <w:rFonts w:ascii="Times" w:hAnsi="Times" w:cstheme="minorHAnsi"/>
        </w:rPr>
        <w:fldChar w:fldCharType="end"/>
      </w:r>
    </w:p>
    <w:p>
      <w:pPr>
        <w:pStyle w:val="15"/>
        <w:tabs>
          <w:tab w:val="right" w:leader="dot" w:pos="9010"/>
        </w:tabs>
        <w:spacing w:line="276" w:lineRule="auto"/>
        <w:rPr>
          <w:rFonts w:ascii="Times" w:hAnsi="Times" w:eastAsiaTheme="minorEastAsia" w:cstheme="minorHAnsi"/>
          <w:kern w:val="2"/>
          <w:lang w:eastAsia="en-GB"/>
          <w14:ligatures w14:val="standardContextual"/>
        </w:rPr>
      </w:pPr>
      <w:r>
        <w:fldChar w:fldCharType="begin"/>
      </w:r>
      <w:r>
        <w:instrText xml:space="preserve"> HYPERLINK \l "_Toc153900947" </w:instrText>
      </w:r>
      <w:r>
        <w:fldChar w:fldCharType="separate"/>
      </w:r>
      <w:r>
        <w:rPr>
          <w:rStyle w:val="10"/>
          <w:rFonts w:ascii="Times" w:hAnsi="Times" w:cstheme="minorHAnsi"/>
        </w:rPr>
        <w:t>Figure 2. Percentage of employees in leadership roles</w:t>
      </w:r>
      <w:r>
        <w:rPr>
          <w:rFonts w:ascii="Times" w:hAnsi="Times" w:cstheme="minorHAnsi"/>
        </w:rPr>
        <w:tab/>
      </w:r>
      <w:r>
        <w:rPr>
          <w:rFonts w:ascii="Times" w:hAnsi="Times" w:cstheme="minorHAnsi"/>
        </w:rPr>
        <w:fldChar w:fldCharType="begin"/>
      </w:r>
      <w:r>
        <w:rPr>
          <w:rFonts w:ascii="Times" w:hAnsi="Times" w:cstheme="minorHAnsi"/>
        </w:rPr>
        <w:instrText xml:space="preserve"> PAGEREF _Toc153900947 \h </w:instrText>
      </w:r>
      <w:r>
        <w:rPr>
          <w:rFonts w:ascii="Times" w:hAnsi="Times" w:cstheme="minorHAnsi"/>
        </w:rPr>
        <w:fldChar w:fldCharType="separate"/>
      </w:r>
      <w:r>
        <w:rPr>
          <w:rFonts w:ascii="Times" w:hAnsi="Times" w:cstheme="minorHAnsi"/>
        </w:rPr>
        <w:t>22</w:t>
      </w:r>
      <w:r>
        <w:rPr>
          <w:rFonts w:ascii="Times" w:hAnsi="Times" w:cstheme="minorHAnsi"/>
        </w:rPr>
        <w:fldChar w:fldCharType="end"/>
      </w:r>
      <w:r>
        <w:rPr>
          <w:rFonts w:ascii="Times" w:hAnsi="Times" w:cstheme="minorHAnsi"/>
        </w:rPr>
        <w:fldChar w:fldCharType="end"/>
      </w:r>
    </w:p>
    <w:p>
      <w:pPr>
        <w:spacing w:line="276" w:lineRule="auto"/>
      </w:pPr>
      <w:r>
        <w:rPr>
          <w:rFonts w:ascii="Times" w:hAnsi="Times" w:cstheme="minorHAnsi"/>
        </w:rPr>
        <w:fldChar w:fldCharType="end"/>
      </w:r>
      <w:bookmarkEnd w:id="99"/>
    </w:p>
    <w:p>
      <w:pPr>
        <w:pStyle w:val="2"/>
      </w:pPr>
      <w:bookmarkStart w:id="7" w:name="_Toc154675100"/>
      <w:r>
        <w:t>Chapter 1. Introduction</w:t>
      </w:r>
      <w:bookmarkEnd w:id="7"/>
    </w:p>
    <w:p>
      <w:pPr>
        <w:pStyle w:val="3"/>
      </w:pPr>
      <w:bookmarkStart w:id="8" w:name="_Toc154675101"/>
      <w:r>
        <w:t>1.1 Introduction</w:t>
      </w:r>
      <w:bookmarkEnd w:id="8"/>
    </w:p>
    <w:p>
      <w:r>
        <w:t>        The choice of leadership style based on gender differences is not a widely researched topic. However, the interest has been on the rise, and it has sparked important debates on whether there is a meaningful distinction of leadership styles used depending on gender. When talking about leadership styles, I will mainly refer to the approach, behaviours, and attitudes that a leader exhibits when leading teams in the organisation.</w:t>
      </w:r>
    </w:p>
    <w:p>
      <w:r>
        <w:t xml:space="preserve">     While leadership styles may vary among individuals these may not be solely determined by gender. To shed clarity on the concept of gender it is important to note that it is a complex and </w:t>
      </w:r>
      <w:r>
        <w:rPr>
          <w:lang w:val="en-GB"/>
        </w:rPr>
        <w:t>multi faced</w:t>
      </w:r>
      <w:r>
        <w:t xml:space="preserve"> concept that requires an equal analysis (Cara Tannenbaum, 2016). However, for this research, I will refer to it as the social, cultural, and psychological attributes, roles, behaviours, and expectations associated with it. While a complex analysis based on all genders could prove valuable this research will primarily focus on </w:t>
      </w:r>
      <w:r>
        <w:rPr>
          <w:lang w:val="en-GB"/>
        </w:rPr>
        <w:t>engender</w:t>
      </w:r>
      <w:r>
        <w:t xml:space="preserve"> which means individuals whose gender identity aligns with the sex assigned to them at birth male or female (Zamboon, 2021).</w:t>
      </w:r>
    </w:p>
    <w:p>
      <w:r>
        <w:rPr>
          <w:i/>
          <w:iCs/>
        </w:rPr>
        <w:t> </w:t>
      </w:r>
      <w:r>
        <w:t>Looking at factors that discourage females from entering the sector and understanding the impact of gender on leadership behaviours and decision-making becomes essential in shaping more equitable and effective leadership practices and providing strategies to make the manufacturing industry including leadership roles more attractive and accessible for women.</w:t>
      </w:r>
    </w:p>
    <w:p>
      <w:pPr>
        <w:pStyle w:val="3"/>
      </w:pPr>
      <w:bookmarkStart w:id="9" w:name="_Toc154675102"/>
      <w:r>
        <w:t>1.2 Background of the study</w:t>
      </w:r>
      <w:bookmarkEnd w:id="9"/>
      <w:r>
        <w:t>  </w:t>
      </w:r>
    </w:p>
    <w:p>
      <w:r>
        <w:t>          The manufacturing sector remains predominantly male-dominated, with women often underrepresented in leadership and other positions despite efforts to bring gender equality close to reality (Dodd, 2021). As per the United Nations, Gender Equality is a part of international human rights law according to the Universal Declaration of Human Rights which clearly states that “</w:t>
      </w:r>
      <w:r>
        <w:rPr>
          <w:i/>
          <w:iCs/>
        </w:rPr>
        <w:t>All human beings are born free and equal in dignity and rights” and that “everyone is entitled to all the rights and freedoms set forth in this Declaration, without distinction of any kind, such as race, colour, sex, language, religion, … birth or other status.” (UDHR, 1948; Article 2). </w:t>
      </w:r>
      <w:r>
        <w:t xml:space="preserve">Despite being born with these rights, women still face major barriers worldwide to exercise them. Women still inequality in opportunities and discrimination at workplace because of their gender but these issues often are unaddressed. </w:t>
      </w:r>
    </w:p>
    <w:p>
      <w:r>
        <w:t xml:space="preserve"> Historically, studies have not included gender-based analysis which creates gender bias and inaccurate results, thus reinforcing gender inequalities. The manufacturing industry is no exception. This research gives valuable insights into potential variances in leadership styles, gender-related challenges, and ways to overcome them ( </w:t>
      </w:r>
      <w:r>
        <w:rPr>
          <w:color w:val="FF0000"/>
        </w:rPr>
        <w:fldChar w:fldCharType="begin"/>
      </w:r>
      <w:r>
        <w:instrText xml:space="preserve"> REF _Ref154668507 \h </w:instrText>
      </w:r>
      <w:r>
        <w:rPr>
          <w:color w:val="FF0000"/>
        </w:rPr>
        <w:fldChar w:fldCharType="separate"/>
      </w:r>
      <w:r>
        <w:rPr>
          <w:color w:val="000000" w:themeColor="text1"/>
          <w:sz w:val="20"/>
          <w:szCs w:val="20"/>
          <w14:textFill>
            <w14:solidFill>
              <w14:schemeClr w14:val="tx1"/>
            </w14:solidFill>
          </w14:textFill>
        </w:rPr>
        <w:t>Table 1. Leadership roles, gender, and preferred leadership style</w:t>
      </w:r>
      <w:r>
        <w:rPr>
          <w:color w:val="FF0000"/>
        </w:rPr>
        <w:fldChar w:fldCharType="end"/>
      </w:r>
      <w:r>
        <w:rPr>
          <w:color w:val="000000" w:themeColor="text1"/>
          <w14:textFill>
            <w14:solidFill>
              <w14:schemeClr w14:val="tx1"/>
            </w14:solidFill>
          </w14:textFill>
        </w:rPr>
        <w: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REF _Ref154668585 \h </w:instrText>
      </w:r>
      <w:r>
        <w:rPr>
          <w:color w:val="000000" w:themeColor="text1"/>
          <w14:textFill>
            <w14:solidFill>
              <w14:schemeClr w14:val="tx1"/>
            </w14:solidFill>
          </w14:textFill>
        </w:rPr>
        <w:fldChar w:fldCharType="separate"/>
      </w:r>
      <w:r>
        <w:rPr>
          <w:color w:val="000000" w:themeColor="text1"/>
          <w:sz w:val="20"/>
          <w:szCs w:val="20"/>
          <w14:textFill>
            <w14:solidFill>
              <w14:schemeClr w14:val="tx1"/>
            </w14:solidFill>
          </w14:textFill>
        </w:rPr>
        <w:t>Table 2. Factors, Challenges and Potential stereotypes</w:t>
      </w:r>
      <w:r>
        <w:rPr>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w:t>
      </w:r>
    </w:p>
    <w:p>
      <w:pPr>
        <w:pStyle w:val="3"/>
      </w:pPr>
      <w:bookmarkStart w:id="10" w:name="_Toc154675103"/>
      <w:r>
        <w:t>1.3 Problem Statement</w:t>
      </w:r>
      <w:bookmarkEnd w:id="10"/>
    </w:p>
    <w:p>
      <w:r>
        <w:t xml:space="preserve">         The manufacturing sector in the United Kingdom is among those with the most notable </w:t>
      </w:r>
      <w:r>
        <w:rPr>
          <w:lang w:val="en-GB"/>
        </w:rPr>
        <w:t>under-representation</w:t>
      </w:r>
      <w:r>
        <w:t xml:space="preserve"> of women in leadership roles, the lack of evolution raises questions about the potential impact of gender on leadership and its consequences for organisational success. Understanding potential gender-related variations and the factors influencing these choices can contribute to promoting diversity and </w:t>
      </w:r>
      <w:r>
        <w:rPr>
          <w:lang w:val="en-GB"/>
        </w:rPr>
        <w:t>exclusivity</w:t>
      </w:r>
      <w:r>
        <w:t xml:space="preserve"> in leadership roles and inform strategies to enhance leadership effectiveness in the industry. Uncovering gender-specific challenges and the impact these issues have on the industry and individuals may help in building a more inclusive and supportive leadership environment and a better understanding of gender-related leadership style differences that influence organisational dynamics and performance</w:t>
      </w:r>
      <w:sdt>
        <w:sdtPr>
          <w:id w:val="1472637492"/>
        </w:sdtPr>
        <w:sdtContent>
          <w:r>
            <w:fldChar w:fldCharType="begin"/>
          </w:r>
          <w:r>
            <w:instrText xml:space="preserve"> CITATION Gal23 \l 2057 </w:instrText>
          </w:r>
          <w:r>
            <w:fldChar w:fldCharType="separate"/>
          </w:r>
          <w:r>
            <w:t xml:space="preserve"> (Galsanjigmed &amp; Tomaki, 2023)</w:t>
          </w:r>
          <w:r>
            <w:fldChar w:fldCharType="end"/>
          </w:r>
        </w:sdtContent>
      </w:sdt>
      <w:r>
        <w:t xml:space="preserve"> Furthermore, by exploring the leadership styles and barriers   faced by </w:t>
      </w:r>
      <w:r>
        <w:rPr>
          <w:lang w:val="en-GB"/>
        </w:rPr>
        <w:t>under-represented</w:t>
      </w:r>
      <w:r>
        <w:t xml:space="preserve"> groups in the UK manufacturing sector can help in fostering an environment where diverse perspectives thrive, ultimately bolstering innovation and resilience within the industry</w:t>
      </w:r>
    </w:p>
    <w:p>
      <w:pPr>
        <w:pStyle w:val="3"/>
      </w:pPr>
      <w:bookmarkStart w:id="11" w:name="_Toc154675104"/>
      <w:r>
        <w:t>1.4 Ai</w:t>
      </w:r>
      <w:r>
        <w:rPr>
          <w:color w:val="000000" w:themeColor="text1"/>
          <w14:textFill>
            <w14:solidFill>
              <w14:schemeClr w14:val="tx1"/>
            </w14:solidFill>
          </w14:textFill>
        </w:rPr>
        <w:t>m</w:t>
      </w:r>
      <w:r>
        <w:t>, Objectives, Research Questions</w:t>
      </w:r>
      <w:bookmarkEnd w:id="11"/>
    </w:p>
    <w:p>
      <w:pPr>
        <w:spacing w:line="276" w:lineRule="auto"/>
      </w:pPr>
      <w:r>
        <w:rPr>
          <w:b/>
          <w:bCs/>
        </w:rPr>
        <w:t>The research aim is as follows:</w:t>
      </w:r>
    </w:p>
    <w:p>
      <w:pPr>
        <w:numPr>
          <w:ilvl w:val="0"/>
          <w:numId w:val="1"/>
        </w:numPr>
        <w:spacing w:line="276" w:lineRule="auto"/>
      </w:pPr>
      <w:r>
        <w:rPr>
          <w:color w:val="000000" w:themeColor="text1"/>
          <w14:textFill>
            <w14:solidFill>
              <w14:schemeClr w14:val="tx1"/>
            </w14:solidFill>
          </w14:textFill>
        </w:rPr>
        <w:t xml:space="preserve">To examine </w:t>
      </w:r>
      <w:r>
        <w:t>the impact gender differences, have on leadership style selection in manufacturing in the UK.</w:t>
      </w:r>
    </w:p>
    <w:p>
      <w:pPr>
        <w:spacing w:line="276" w:lineRule="auto"/>
      </w:pPr>
      <w:r>
        <w:rPr>
          <w:b/>
          <w:bCs/>
        </w:rPr>
        <w:t>The objectives necessary to achieve this aim are as follows:</w:t>
      </w:r>
    </w:p>
    <w:p>
      <w:pPr>
        <w:numPr>
          <w:ilvl w:val="0"/>
          <w:numId w:val="2"/>
        </w:numPr>
        <w:spacing w:line="276" w:lineRule="auto"/>
      </w:pPr>
      <w:r>
        <w:t>To conduct a literature review on gender differences in leadership style in manufacturing in the UK.</w:t>
      </w:r>
    </w:p>
    <w:p>
      <w:pPr>
        <w:numPr>
          <w:ilvl w:val="0"/>
          <w:numId w:val="2"/>
        </w:numPr>
        <w:spacing w:line="276" w:lineRule="auto"/>
      </w:pPr>
      <w:r>
        <w:t>To compare and analyse gender differences in leadership approaches.</w:t>
      </w:r>
    </w:p>
    <w:p>
      <w:pPr>
        <w:numPr>
          <w:ilvl w:val="0"/>
          <w:numId w:val="2"/>
        </w:numPr>
        <w:spacing w:line="276" w:lineRule="auto"/>
      </w:pPr>
      <w:r>
        <w:t>To explore the factors influencing the adoption of specific leadership styles in the manufacturing sector.</w:t>
      </w:r>
    </w:p>
    <w:p>
      <w:pPr>
        <w:numPr>
          <w:ilvl w:val="0"/>
          <w:numId w:val="2"/>
        </w:numPr>
        <w:spacing w:line="276" w:lineRule="auto"/>
      </w:pPr>
      <w:r>
        <w:t>To examine the perceptions of employees regarding the effectiveness of leaders based on gender.</w:t>
      </w:r>
    </w:p>
    <w:p>
      <w:pPr>
        <w:numPr>
          <w:ilvl w:val="0"/>
          <w:numId w:val="2"/>
        </w:numPr>
        <w:spacing w:line="276" w:lineRule="auto"/>
      </w:pPr>
      <w:r>
        <w:t>To make recommendations on improving the efficiency of leadership and gender equality in the manufacturing industry in the UK.</w:t>
      </w:r>
    </w:p>
    <w:p>
      <w:pPr>
        <w:spacing w:line="276" w:lineRule="auto"/>
        <w:ind w:left="720"/>
      </w:pPr>
    </w:p>
    <w:p>
      <w:pPr>
        <w:spacing w:line="276" w:lineRule="auto"/>
      </w:pPr>
      <w:r>
        <w:rPr>
          <w:b/>
          <w:bCs/>
        </w:rPr>
        <w:t>The research attempts to answer the following questions:</w:t>
      </w:r>
    </w:p>
    <w:p>
      <w:pPr>
        <w:numPr>
          <w:ilvl w:val="0"/>
          <w:numId w:val="3"/>
        </w:numPr>
        <w:spacing w:line="276" w:lineRule="auto"/>
      </w:pPr>
      <w:r>
        <w:t>What are the most common leadership styles demonstrated by leaders (based on gender) in the manufacturing industry in the UK?</w:t>
      </w:r>
    </w:p>
    <w:p>
      <w:pPr>
        <w:numPr>
          <w:ilvl w:val="0"/>
          <w:numId w:val="3"/>
        </w:numPr>
        <w:spacing w:line="276" w:lineRule="auto"/>
      </w:pPr>
      <w:r>
        <w:t>How do various factors such as personal traits, organisational culture, and career experiences, influence the adoption of specific leadership styles among leaders in the manufacturing sector?</w:t>
      </w:r>
    </w:p>
    <w:p>
      <w:pPr>
        <w:numPr>
          <w:ilvl w:val="0"/>
          <w:numId w:val="3"/>
        </w:numPr>
        <w:spacing w:line="276" w:lineRule="auto"/>
      </w:pPr>
      <w:r>
        <w:t>What gender-related challenges are faced by leaders in the manufacturing sector, and why do these challenges affect their leadership style and decision-making?</w:t>
      </w:r>
    </w:p>
    <w:p>
      <w:pPr>
        <w:numPr>
          <w:ilvl w:val="0"/>
          <w:numId w:val="3"/>
        </w:numPr>
        <w:spacing w:line="276" w:lineRule="auto"/>
      </w:pPr>
      <w:r>
        <w:t>How these challenges can be addressed?</w:t>
      </w:r>
    </w:p>
    <w:p>
      <w:pPr>
        <w:pStyle w:val="3"/>
      </w:pPr>
      <w:bookmarkStart w:id="12" w:name="_Toc154675105"/>
      <w:r>
        <w:t>1.5 The research purpose</w:t>
      </w:r>
      <w:bookmarkEnd w:id="12"/>
      <w:r>
        <w:t>  </w:t>
      </w:r>
    </w:p>
    <w:p>
      <w:r>
        <w:t>        The research purpose is to explore gender differences in leadership styles by examining gender-related variations. It attempts to determine potential factors, challenges, biases, and opportunities for improving gender equality and inclusivity in leadership roles. Additionally, the study uncovers major contributors to the development of distinct leadership styles among male and female leaders in the manufacturing sector. The generated insights are intended to inform leadership development within the manufacturing industry.</w:t>
      </w:r>
    </w:p>
    <w:p>
      <w:pPr>
        <w:pStyle w:val="3"/>
      </w:pPr>
      <w:bookmarkStart w:id="13" w:name="_Toc154675106"/>
      <w:r>
        <w:t xml:space="preserve">1.6 </w:t>
      </w:r>
      <w:r>
        <w:rPr>
          <w:color w:val="000000" w:themeColor="text1"/>
          <w14:textFill>
            <w14:solidFill>
              <w14:schemeClr w14:val="tx1"/>
            </w14:solidFill>
          </w14:textFill>
        </w:rPr>
        <w:t>Summary of Methodology</w:t>
      </w:r>
      <w:bookmarkEnd w:id="13"/>
      <w:r>
        <w:rPr>
          <w:color w:val="000000" w:themeColor="text1"/>
          <w14:textFill>
            <w14:solidFill>
              <w14:schemeClr w14:val="tx1"/>
            </w14:solidFill>
          </w14:textFill>
        </w:rPr>
        <w:t> </w:t>
      </w:r>
    </w:p>
    <w:p>
      <w:r>
        <w:t xml:space="preserve">   This study employs qualitative data, it explores how gender differences impact leadership style selection in the manufacturing sector. Grounded in </w:t>
      </w:r>
      <w:r>
        <w:rPr>
          <w:lang w:val="en-GB"/>
        </w:rPr>
        <w:t>interpretive</w:t>
      </w:r>
      <w:r>
        <w:t xml:space="preserve"> and feminist philosophy, it integrates primary interviews at Sleepeezee, UK, adopting an inductive, exploratory approach. Using structured and semi-structured interviews, purposive sampling, thematic, and content analysis, the research aims to understand gender's influence on leadership styles, addressing complexities in the industry. This method allows for a thorough exploration, emphasizing experiences and perspectives. The study's design and methods offer a comprehensive examination of gender's role in leadership style selection, crucial in understanding this issue within manufacturing See (</w:t>
      </w:r>
      <w:r>
        <w:fldChar w:fldCharType="begin"/>
      </w:r>
      <w:r>
        <w:instrText xml:space="preserve"> REF _Ref153553287 \h  \* MERGEFORMAT </w:instrText>
      </w:r>
      <w:r>
        <w:fldChar w:fldCharType="separate"/>
      </w:r>
      <w:r>
        <w:rPr>
          <w:color w:val="000000" w:themeColor="text1"/>
          <w14:textFill>
            <w14:solidFill>
              <w14:schemeClr w14:val="tx1"/>
            </w14:solidFill>
          </w14:textFill>
        </w:rPr>
        <w:t>Appendix 1. Research methodology</w:t>
      </w:r>
      <w:r>
        <w:fldChar w:fldCharType="end"/>
      </w:r>
      <w:r>
        <w:t xml:space="preserve">). </w:t>
      </w:r>
    </w:p>
    <w:p>
      <w:pPr>
        <w:pStyle w:val="3"/>
        <w:rPr>
          <w:color w:val="FF0000"/>
        </w:rPr>
      </w:pPr>
      <w:bookmarkStart w:id="14" w:name="_Toc154675107"/>
      <w:r>
        <w:t>1.7 Scope</w:t>
      </w:r>
      <w:bookmarkEnd w:id="14"/>
      <w:r>
        <w:t xml:space="preserve"> </w:t>
      </w:r>
    </w:p>
    <w:p>
      <w:r>
        <w:t xml:space="preserve">      The study analyses gender impacts on leadership styles in the UK manufacturing sector. It focuses solely on the UK's manufacturing industry, exploring how gender influences leadership choices, organisational dynamics, and performance. It doesn't cover non-manufacturing sectors due to potential variations in dynamics. The scope is limited to the UK and the responses are collected from leaders from Sleepeezee manufacturer. While acknowledging gender's significance, it doesn't delve deeply into intersections with race, age, or </w:t>
      </w:r>
      <w:r>
        <w:rPr>
          <w:lang w:val="en-GB"/>
        </w:rPr>
        <w:t>socio-economic</w:t>
      </w:r>
      <w:r>
        <w:t xml:space="preserve"> factors in shaping leadership styles.</w:t>
      </w:r>
    </w:p>
    <w:p>
      <w:pPr>
        <w:pStyle w:val="3"/>
      </w:pPr>
      <w:bookmarkStart w:id="15" w:name="_Toc154675108"/>
      <w:r>
        <w:t>1.8 Structure of the Dissertation</w:t>
      </w:r>
      <w:bookmarkEnd w:id="15"/>
      <w:r>
        <w:t> </w:t>
      </w:r>
    </w:p>
    <w:p>
      <w:r>
        <w:t xml:space="preserve">   The dissertation comprises 5 chapters. The first chapter introduces the research topic, and its significance, and lays out the aims, objectives, and research questions. The second chapter reviews existing literature on gender differences in leadership style in the UK manufacturing sector, identifies relevant leadership models, addresses research limitations, and highlights research gaps. The third chapter outlines the research philosophy, paradigm, and methodological approach. It describes the research sample and population, data collection and analysis tools, data interpretation, and ethical considerations. The fourth chapter presents the analysis and discussion of research findings, connecting them to the literature and research questions. The concluding chapter offers conclusions for each research issue, summarises the research findings and outcomes, highlights original contributions, acknowledges limitations, and provides recommendations for future research or practice.</w:t>
      </w:r>
    </w:p>
    <w:p/>
    <w:p/>
    <w:p/>
    <w:p/>
    <w:bookmarkEnd w:id="2"/>
    <w:p>
      <w:pPr>
        <w:pStyle w:val="2"/>
        <w:jc w:val="center"/>
      </w:pPr>
      <w:bookmarkStart w:id="16" w:name="_Toc141287751"/>
      <w:bookmarkStart w:id="17" w:name="_Toc149574080"/>
      <w:bookmarkStart w:id="18" w:name="_Toc154675109"/>
      <w:r>
        <w:t>Chapter 2.  Literature Review</w:t>
      </w:r>
      <w:bookmarkEnd w:id="16"/>
      <w:bookmarkEnd w:id="17"/>
      <w:bookmarkEnd w:id="18"/>
    </w:p>
    <w:p>
      <w:pPr>
        <w:pStyle w:val="3"/>
        <w:ind w:left="502"/>
        <w:rPr>
          <w:color w:val="FF0000"/>
        </w:rPr>
      </w:pPr>
      <w:bookmarkStart w:id="19" w:name="_Toc149574081"/>
      <w:bookmarkStart w:id="20" w:name="_Toc141287752"/>
      <w:bookmarkStart w:id="21" w:name="_Toc154675110"/>
      <w:r>
        <w:t>2.1 Introductio</w:t>
      </w:r>
      <w:bookmarkEnd w:id="19"/>
      <w:bookmarkEnd w:id="20"/>
      <w:r>
        <w:t>n</w:t>
      </w:r>
      <w:bookmarkEnd w:id="21"/>
      <w:r>
        <w:t xml:space="preserve">  </w:t>
      </w:r>
    </w:p>
    <w:p>
      <w:pPr>
        <w:ind w:firstLine="240"/>
      </w:pPr>
      <w:r>
        <w:rPr>
          <w:bCs/>
        </w:rPr>
        <w:t xml:space="preserve"> Leadership styles refers to various approaches or methods individuals use to lead and manage teams or organisations, influenced by personal traits, experiences, and organizational culture</w:t>
      </w:r>
      <w:r>
        <w:t>. Additionally, leadership styles may vary based on gender differences that refers to variations in behaviours, preferences, and traits between males and females, impacting leadership styles and perceptions (</w:t>
      </w:r>
      <w:r>
        <w:rPr>
          <w:sz w:val="20"/>
          <w:szCs w:val="20"/>
        </w:rPr>
        <w:t>See: Terms of Glossary).</w:t>
      </w:r>
      <w:r>
        <w:t xml:space="preserve"> </w:t>
      </w:r>
    </w:p>
    <w:p>
      <w:pPr>
        <w:ind w:firstLine="240"/>
      </w:pPr>
      <w:r>
        <w:t>Gender differences in leadership style have been a subject of research and discussion in many fields such as psychology, management, and organisational behaviour. Even if these fields offer important insights that could be relevant to this subject the focus of this literature review is on leadership styles. First, the literature review chapter examines the existing understanding of gender differences in leadership styles within the manufacturing sector. Secondly, it delves into commonly known Situational, Transformational, Charismatic Leadership and Servant Leadership theories. Thirdly, it explores studies centred around the factors that impact the adoption of different leadership styles. Finally, it addresses the specific gender-related challenges encountered by leaders within the manufacturing industry.</w:t>
      </w:r>
    </w:p>
    <w:p>
      <w:pPr>
        <w:pStyle w:val="3"/>
      </w:pPr>
      <w:r>
        <w:t xml:space="preserve">      </w:t>
      </w:r>
      <w:bookmarkStart w:id="22" w:name="_Toc149574082"/>
      <w:bookmarkStart w:id="23" w:name="_Toc154675111"/>
      <w:r>
        <w:t>2.2 Gender differences in leadership style in manufacturing in the UK</w:t>
      </w:r>
      <w:bookmarkEnd w:id="22"/>
      <w:bookmarkEnd w:id="23"/>
    </w:p>
    <w:p>
      <w:r>
        <w:t xml:space="preserve">      Several prominent studies investigate whether there are major differences in leadership studies based on gender particularly female and male.  The research on the leadership style of male and female accountants indicates that there are notable differences between their self-reported leadership styles. Females tend to adopt an interactive style of management known as transformational leadership, supportive more often than their male counterparts (Burke and Collins, 2001).</w:t>
      </w:r>
      <w:r>
        <w:rPr>
          <w:rFonts w:ascii="Open Sans" w:hAnsi="Open Sans" w:cs="Open Sans"/>
          <w:color w:val="333333"/>
        </w:rPr>
        <w:t xml:space="preserve"> </w:t>
      </w:r>
    </w:p>
    <w:p>
      <w:r>
        <w:t xml:space="preserve">      Similarly, Sandberg (2013; pg.19) in her book “Lean In” argues that there are biological differences between men and women and quite possibly there may be inherited characteristics in sex differences that could impact leadership. Sandberg acknowledges that gender can influence leadership styles suggesting that women may bring unique qualities and approaches to leadership that can be highly effective. The book alludes to the idea that women leaders may exhibit more collaborative and communicative leadership styles. Women often emphasize teamwork, open communication, and relationship-building in their leadership roles</w:t>
      </w:r>
      <w:sdt>
        <w:sdtPr>
          <w:id w:val="-888877090"/>
        </w:sdtPr>
        <w:sdtContent>
          <w:r>
            <w:fldChar w:fldCharType="begin"/>
          </w:r>
          <w:r>
            <w:instrText xml:space="preserve"> CITATION She15 \l 2057 </w:instrText>
          </w:r>
          <w:r>
            <w:fldChar w:fldCharType="separate"/>
          </w:r>
          <w:r>
            <w:t xml:space="preserve"> (Sandberg, 2015)</w:t>
          </w:r>
          <w:r>
            <w:fldChar w:fldCharType="end"/>
          </w:r>
        </w:sdtContent>
      </w:sdt>
      <w:r>
        <w:t xml:space="preserve">. However, it is important to note that the book is based on personal experiences, and it is not a researched-based work. Nonetheless, it provides valuable insights into different competencies employed in the workplace. </w:t>
      </w:r>
    </w:p>
    <w:p>
      <w:r>
        <w:t xml:space="preserve">     Radu et al. (2017) argued that, in general, women tend to excel in motivation, communication, feedback by providing regular performance updates, and setting ambitious goals. On the other hand, men tend to demonstrate strength in tradition, drawing from past experiences to build knowledge, innovation, strategic thinking, emotional composure, collaboration, and persuasive abilities. </w:t>
      </w:r>
    </w:p>
    <w:p>
      <w:r>
        <w:t>Despite, stereotypical assumptions that women leadership style selection is different from men’s or women are less skilled in leading</w:t>
      </w:r>
      <w:sdt>
        <w:sdtPr>
          <w:id w:val="492386583"/>
        </w:sdtPr>
        <w:sdtContent>
          <w:r>
            <w:fldChar w:fldCharType="begin"/>
          </w:r>
          <w:r>
            <w:instrText xml:space="preserve"> CITATION Tab21 \l 2057 </w:instrText>
          </w:r>
          <w:r>
            <w:fldChar w:fldCharType="separate"/>
          </w:r>
          <w:r>
            <w:t xml:space="preserve"> (Tabassum &amp; Nayak, 2021)</w:t>
          </w:r>
          <w:r>
            <w:fldChar w:fldCharType="end"/>
          </w:r>
        </w:sdtContent>
      </w:sdt>
      <w:r>
        <w:t xml:space="preserve">.  The findings suggest that women possess both task‐ and relations‐oriented leadership behaviours. In term of competences, based on an evaluation of numerous 360-degree reviews, women outperformed men in 17 out of 19 skills that distinguish outstanding leaders from those who are average or below average (Zenger &amp; Folkman, 2019). </w:t>
      </w:r>
    </w:p>
    <w:p>
      <w:r>
        <w:t xml:space="preserve">   As historically women have been discriminated, it could be useful to consider historical context. The United Kingdom for example, like many other countries, was experiencing evolving attitudes toward gender equality and women's participation in the workforce, but the access to leadership roles were still limited. The gender of a leader seems to impact the way leadership works, both directly and indirectly. Additionally, it shapes how the entire process plays out by affecting moderating factors, as indicated by Shen &amp; Joseph (2021). An increase in female leaders would mean a shift in theory and practice of leadership thus considering historical developments in this sense could help get a deepen understanding on this topic.</w:t>
      </w:r>
    </w:p>
    <w:p>
      <w:r>
        <w:t xml:space="preserve">      Research shows no significant differences in the rankings of core competencies between women and men supervisors or women and men managers, both genders exhibiting equal capabilities when it comes to leadership</w:t>
      </w:r>
      <w:sdt>
        <w:sdtPr>
          <w:id w:val="526994167"/>
        </w:sdtPr>
        <w:sdtContent>
          <w:r>
            <w:fldChar w:fldCharType="begin"/>
          </w:r>
          <w:r>
            <w:instrText xml:space="preserve"> CITATION Hor18 \l 2057 </w:instrText>
          </w:r>
          <w:r>
            <w:fldChar w:fldCharType="separate"/>
          </w:r>
          <w:r>
            <w:t xml:space="preserve"> (Horowitz, et al., 2018)</w:t>
          </w:r>
          <w:r>
            <w:fldChar w:fldCharType="end"/>
          </w:r>
        </w:sdtContent>
      </w:sdt>
      <w:r>
        <w:t xml:space="preserve">. While there wasn’t significance evidence of major differences, the findings of meta-analyses indicate that women tend to exhibit a leadership style that is more democratic, participatory, or as Larsson et. al (2023) emphasised a more positive leadership, lean towards peace compared to men that exhibit a more autocratic (Schwartz &amp; Blair, 2020). </w:t>
      </w:r>
    </w:p>
    <w:p>
      <w:pPr>
        <w:pStyle w:val="3"/>
        <w:ind w:left="502"/>
      </w:pPr>
      <w:bookmarkStart w:id="24" w:name="_Toc154675112"/>
      <w:bookmarkStart w:id="25" w:name="_Toc149574083"/>
      <w:bookmarkStart w:id="26" w:name="_Toc141287754"/>
      <w:r>
        <w:t>2.3 Leadership models that define the selection of leadership style.</w:t>
      </w:r>
      <w:bookmarkEnd w:id="24"/>
      <w:bookmarkEnd w:id="25"/>
    </w:p>
    <w:p>
      <w:r>
        <w:t xml:space="preserve">       Some of the most well-known and widely applied models proposed to define and guide the selection of appropriate leadership style are Situational Leadership Theory (SLT), Transformational Leadership Theory, Charismatic Leadership Theory and Servant Leadership Theory. </w:t>
      </w:r>
    </w:p>
    <w:p>
      <w:pPr>
        <w:pStyle w:val="4"/>
        <w:rPr>
          <w:rFonts w:ascii="Times" w:hAnsi="Times"/>
          <w:b/>
          <w:bCs/>
          <w:color w:val="000000" w:themeColor="text1"/>
          <w14:textFill>
            <w14:solidFill>
              <w14:schemeClr w14:val="tx1"/>
            </w14:solidFill>
          </w14:textFill>
        </w:rPr>
      </w:pPr>
      <w:bookmarkStart w:id="27" w:name="_Toc154675113"/>
      <w:r>
        <w:rPr>
          <w:rFonts w:ascii="Times" w:hAnsi="Times"/>
          <w:b/>
          <w:bCs/>
          <w:color w:val="000000" w:themeColor="text1"/>
          <w14:textFill>
            <w14:solidFill>
              <w14:schemeClr w14:val="tx1"/>
            </w14:solidFill>
          </w14:textFill>
        </w:rPr>
        <w:t>2.3.1 Situational Leadership Theory</w:t>
      </w:r>
      <w:bookmarkEnd w:id="27"/>
      <w:r>
        <w:rPr>
          <w:rFonts w:ascii="Times" w:hAnsi="Times"/>
          <w:b/>
          <w:bCs/>
          <w:color w:val="000000" w:themeColor="text1"/>
          <w14:textFill>
            <w14:solidFill>
              <w14:schemeClr w14:val="tx1"/>
            </w14:solidFill>
          </w14:textFill>
        </w:rPr>
        <w:t xml:space="preserve"> </w:t>
      </w:r>
    </w:p>
    <w:p>
      <w:r>
        <w:t xml:space="preserve">     Paul Hersey and Kenneth Blanchard introduced the Situational Leadership Theory (SLT) in 1979, emphasizing that effective leadership hinges on the readiness level of followers. Situational leadership models advocate for adaptability, acknowledging the fluid nature of circumstances (Walls, 2019). However, an examination conducted by (Wuryani et al., 2021) revealed that the decision support system within situational leadership did not demonstrate any impact on enhancing employee performance. In the context of gender differences in leadership within manufacturing, it can help analyse how male and female leaders adjust their styles based on the readiness or preparedness of their teams.</w:t>
      </w:r>
    </w:p>
    <w:p>
      <w:pPr>
        <w:pStyle w:val="4"/>
        <w:rPr>
          <w:rFonts w:ascii="Times" w:hAnsi="Times"/>
          <w:b/>
          <w:bCs/>
          <w:color w:val="000000" w:themeColor="text1"/>
          <w14:textFill>
            <w14:solidFill>
              <w14:schemeClr w14:val="tx1"/>
            </w14:solidFill>
          </w14:textFill>
        </w:rPr>
      </w:pPr>
      <w:bookmarkStart w:id="28" w:name="_Toc154675114"/>
      <w:r>
        <w:rPr>
          <w:rFonts w:ascii="Times" w:hAnsi="Times"/>
          <w:b/>
          <w:bCs/>
          <w:color w:val="000000" w:themeColor="text1"/>
          <w14:textFill>
            <w14:solidFill>
              <w14:schemeClr w14:val="tx1"/>
            </w14:solidFill>
          </w14:textFill>
        </w:rPr>
        <w:t>2.3.2 Transformational Leadership Theory</w:t>
      </w:r>
      <w:bookmarkEnd w:id="28"/>
    </w:p>
    <w:p>
      <w:r>
        <w:t xml:space="preserve">      Transformational leadership revolves around the interaction between leaders and followers, providing support and motivation. Supportive leadership plays a crucial part in driving innovative performance (Lee et al., 2020). These leaders wield substantial influence over their followers (Goestjahjanti et al., 2022) and notably contribute to enhancing motivation (Ibrahim et al., 2022). Transformational leadership emphasizes motivation, inspiration, and support. Investigating how gender influences the adoption and effectiveness of transformational leadership in the manufacturing industry could unveil whether male or female leaders tend to exhibit these traits more prominently and how they impact team dynamics and performance differently based on gender.</w:t>
      </w:r>
    </w:p>
    <w:p>
      <w:pPr>
        <w:pStyle w:val="4"/>
        <w:rPr>
          <w:rFonts w:ascii="Times" w:hAnsi="Times"/>
          <w:b/>
          <w:bCs/>
          <w:color w:val="000000" w:themeColor="text1"/>
          <w14:textFill>
            <w14:solidFill>
              <w14:schemeClr w14:val="tx1"/>
            </w14:solidFill>
          </w14:textFill>
        </w:rPr>
      </w:pPr>
      <w:bookmarkStart w:id="29" w:name="_Toc154675115"/>
      <w:r>
        <w:rPr>
          <w:rFonts w:ascii="Times" w:hAnsi="Times"/>
          <w:b/>
          <w:bCs/>
          <w:color w:val="000000" w:themeColor="text1"/>
          <w14:textFill>
            <w14:solidFill>
              <w14:schemeClr w14:val="tx1"/>
            </w14:solidFill>
          </w14:textFill>
        </w:rPr>
        <w:t>2.3.3 Charismatic Leadership Theory</w:t>
      </w:r>
      <w:bookmarkEnd w:id="29"/>
    </w:p>
    <w:p>
      <w:r>
        <w:t xml:space="preserve">     The theory of Charismatic Leadership focuses on a leader's charisma and personal qualities, proposing that individuals possessing remarkable charisma can magnetically attract and influence followers. Specifically, within this theory, socialized charismatic leaders tend to prefer a </w:t>
      </w:r>
      <w:r>
        <w:rPr>
          <w:lang w:val="en-GB"/>
        </w:rPr>
        <w:t>pro social</w:t>
      </w:r>
      <w:r>
        <w:t xml:space="preserve"> decision-making approach (Hu et al., 2022). Moreover, the charismatic leadership style of managers partially influences the affective organizational commitment of white-collar employees through job satisfaction, as highlighted by Özgül (2023).</w:t>
      </w:r>
      <w:r>
        <w:rPr>
          <w:rFonts w:ascii="Segoe UI" w:hAnsi="Segoe UI" w:cs="Segoe UI"/>
          <w:color w:val="374151"/>
        </w:rPr>
        <w:t xml:space="preserve"> </w:t>
      </w:r>
      <w:r>
        <w:t>Within the UK manufacturing sector, studying gender differences through this lens could shed light on whether certain gendered perceptions or biases affect how charisma is perceived or leveraged by male versus female leaders.</w:t>
      </w:r>
    </w:p>
    <w:p>
      <w:pPr>
        <w:pStyle w:val="4"/>
        <w:rPr>
          <w:rFonts w:ascii="Times" w:hAnsi="Times"/>
          <w:b/>
          <w:bCs/>
          <w:color w:val="000000" w:themeColor="text1"/>
          <w14:textFill>
            <w14:solidFill>
              <w14:schemeClr w14:val="tx1"/>
            </w14:solidFill>
          </w14:textFill>
        </w:rPr>
      </w:pPr>
      <w:bookmarkStart w:id="30" w:name="_Toc154675116"/>
      <w:r>
        <w:rPr>
          <w:rFonts w:ascii="Times" w:hAnsi="Times"/>
          <w:b/>
          <w:bCs/>
          <w:color w:val="000000" w:themeColor="text1"/>
          <w14:textFill>
            <w14:solidFill>
              <w14:schemeClr w14:val="tx1"/>
            </w14:solidFill>
          </w14:textFill>
        </w:rPr>
        <w:t>2.3.4 Servant Leadership Theory.</w:t>
      </w:r>
      <w:bookmarkEnd w:id="30"/>
      <w:r>
        <w:rPr>
          <w:rFonts w:ascii="Times" w:hAnsi="Times"/>
          <w:b/>
          <w:bCs/>
          <w:color w:val="000000" w:themeColor="text1"/>
          <w14:textFill>
            <w14:solidFill>
              <w14:schemeClr w14:val="tx1"/>
            </w14:solidFill>
          </w14:textFill>
        </w:rPr>
        <w:t xml:space="preserve"> </w:t>
      </w:r>
    </w:p>
    <w:p>
      <w:r>
        <w:t xml:space="preserve">     The Servant Leadership Theory popularised by Robert K. Greenleaf, suggests that leaders should prioritise the needs and development of their followers </w:t>
      </w:r>
      <w:sdt>
        <w:sdtPr>
          <w:id w:val="1615392851"/>
        </w:sdtPr>
        <w:sdtContent>
          <w:r>
            <w:fldChar w:fldCharType="begin"/>
          </w:r>
          <w:r>
            <w:instrText xml:space="preserve"> CITATION Gre91 \l 2057 </w:instrText>
          </w:r>
          <w:r>
            <w:fldChar w:fldCharType="separate"/>
          </w:r>
          <w:r>
            <w:t>(Greenleaf, 1991)</w:t>
          </w:r>
          <w:r>
            <w:fldChar w:fldCharType="end"/>
          </w:r>
        </w:sdtContent>
      </w:sdt>
      <w:r>
        <w:t>. As discussed by Birt (2023) leadership theories and styles play an important role in leader efficiency. While theories and models can be applied to all genders there may be important variations and barriers to their application that must not be ignored.  Ziegler for example (2023) argued that due to societal patriarchal structure masculine gender is often privileged and female leaders face multiple challenges and stereotypes when entering a male dominated industry and high barriers in leading compared to men. In exploring gender differences in leadership style in manufacturing, this theory can help discern whether male or female leaders are more inclined towards servant leadership traits, and how these approaches might be received or interpreted differently based on gender within the industry.</w:t>
      </w:r>
    </w:p>
    <w:p>
      <w:pPr>
        <w:pStyle w:val="3"/>
      </w:pPr>
      <w:bookmarkStart w:id="31" w:name="_Toc154675117"/>
      <w:r>
        <w:t>2.4 Factors influencing adoption of leadership styles.</w:t>
      </w:r>
      <w:bookmarkEnd w:id="31"/>
    </w:p>
    <w:p>
      <w:r>
        <w:t xml:space="preserve">    There are few studies that discuss the factors influencing the adoption of leadership styles based on gender. Eagly &amp; Johnson (1990) study on gender and leadership style found consistency with stereotypic expectations about different aspects of leadership style, precisely the inclination to lead democratically or autocratically, the findings show that women applied a more democratic or participative style and a less autocratic or directive style than did men. </w:t>
      </w:r>
    </w:p>
    <w:p>
      <w:r>
        <w:t xml:space="preserve">    The choices could be impacted by social expectations and stereotypes. These expectations may lead individuals to adopt or conform to certain leadership behaviours associated with their gender. Tabassum and Nayak (2021) argued that the impact of gender stereotyping on women is evident irrespective of the level of position women belong to in an organisation. Both men and women believe that men are more suitable than women in leadership positions</w:t>
      </w:r>
      <w:sdt>
        <w:sdtPr>
          <w:id w:val="-1528256237"/>
        </w:sdtPr>
        <w:sdtContent>
          <w:r>
            <w:fldChar w:fldCharType="begin"/>
          </w:r>
          <w:r>
            <w:instrText xml:space="preserve"> CITATION Tab21 \l 2057 </w:instrText>
          </w:r>
          <w:r>
            <w:fldChar w:fldCharType="separate"/>
          </w:r>
          <w:r>
            <w:t xml:space="preserve"> (Tabassum &amp; Nayak, 2021)</w:t>
          </w:r>
          <w:r>
            <w:fldChar w:fldCharType="end"/>
          </w:r>
        </w:sdtContent>
      </w:sdt>
      <w:r>
        <w:t xml:space="preserve">, thus this perception could impact upon behaviour, attitudes, and approaches to leadership. Despite a shift in the global mindset, the reality still show women are heavily </w:t>
      </w:r>
      <w:r>
        <w:rPr>
          <w:lang w:val="en-GB"/>
        </w:rPr>
        <w:t>under-represented</w:t>
      </w:r>
      <w:r>
        <w:t xml:space="preserve"> in leadership roles </w:t>
      </w:r>
      <w:sdt>
        <w:sdtPr>
          <w:id w:val="-1717191796"/>
        </w:sdtPr>
        <w:sdtContent>
          <w:r>
            <w:fldChar w:fldCharType="begin"/>
          </w:r>
          <w:r>
            <w:instrText xml:space="preserve"> CITATION Mor221 \l 2057 </w:instrText>
          </w:r>
          <w:r>
            <w:fldChar w:fldCharType="separate"/>
          </w:r>
          <w:r>
            <w:t>(Morris, 2022)</w:t>
          </w:r>
          <w:r>
            <w:fldChar w:fldCharType="end"/>
          </w:r>
        </w:sdtContent>
      </w:sdt>
      <w:r>
        <w:t xml:space="preserve"> not only in manufacturing but in all areas. </w:t>
      </w:r>
    </w:p>
    <w:p>
      <w:r>
        <w:t xml:space="preserve">     Another important factor is the organisational and culture in general. Hofstede (2001) explored the notion of culture and its role in building “mental programs” found on universal, collective, and individual level. The concept refers to the cognitive patterns of thinking that individuals develop as result of their beliefs and social experiences. Bass and Avolio (1993) stated that </w:t>
      </w:r>
      <w:r>
        <w:rPr>
          <w:i/>
          <w:iCs/>
        </w:rPr>
        <w:t>“</w:t>
      </w:r>
      <w:r>
        <w:t xml:space="preserve">an organisation's culture develops in large part from its leadership while the culture of an organisation can also affect the development of its leadership”. The individual’s culture may have specific expectations for the leadership styles of men and women. Traditional gender roles may shape expectations that influence leadership choices </w:t>
      </w:r>
      <w:sdt>
        <w:sdtPr>
          <w:id w:val="-1226438616"/>
        </w:sdtPr>
        <w:sdtContent>
          <w:r>
            <w:fldChar w:fldCharType="begin"/>
          </w:r>
          <w:r>
            <w:instrText xml:space="preserve"> CITATION Gal23 \l 2057 </w:instrText>
          </w:r>
          <w:r>
            <w:fldChar w:fldCharType="separate"/>
          </w:r>
          <w:r>
            <w:t>(Galsanjigmed &amp; Tomaki, 2023)</w:t>
          </w:r>
          <w:r>
            <w:fldChar w:fldCharType="end"/>
          </w:r>
        </w:sdtContent>
      </w:sdt>
      <w:r>
        <w:t xml:space="preserve">. </w:t>
      </w:r>
    </w:p>
    <w:p>
      <w:r>
        <w:t xml:space="preserve">    Individual personality and traits also play an important role in leadership style choices</w:t>
      </w:r>
      <w:r>
        <w:rPr>
          <w:b/>
          <w:bCs/>
        </w:rPr>
        <w:t xml:space="preserve">. </w:t>
      </w:r>
      <w:r>
        <w:t xml:space="preserve">Personal characteristics, such as extroversion, empathy, assertiveness, and risk-taking, can influence leadership styles.  These traits may be found in individuals of any gender. Kim et al. (2020) study on leadership perceptions, gender, and dominant personality finds that the dominant traits allow an individual to be perceived as competent or capable of a leadership role, however women with dominant traits are most likely to be evaluated as less social or less favourably in general. If the negative evaluations impact the perception of being a leader, the authors anticipate that dominant traits could be less significant in shaping leadership perception for women compared to men (See: </w:t>
      </w:r>
      <w:r>
        <w:fldChar w:fldCharType="begin"/>
      </w:r>
      <w:r>
        <w:instrText xml:space="preserve"> REF _Ref153899656 \h  \* MERGEFORMAT </w:instrText>
      </w:r>
      <w:r>
        <w:fldChar w:fldCharType="separate"/>
      </w:r>
      <w:r>
        <w:rPr>
          <w:color w:val="000000" w:themeColor="text1"/>
          <w14:textFill>
            <w14:solidFill>
              <w14:schemeClr w14:val="tx1"/>
            </w14:solidFill>
          </w14:textFill>
        </w:rPr>
        <w:t>Appendix 2.Factors influencing selection of leadership style</w:t>
      </w:r>
      <w:r>
        <w:fldChar w:fldCharType="end"/>
      </w:r>
      <w:r>
        <w:t>).</w:t>
      </w:r>
    </w:p>
    <w:p>
      <w:pPr>
        <w:pStyle w:val="3"/>
      </w:pPr>
      <w:bookmarkStart w:id="32" w:name="_Toc154675118"/>
      <w:r>
        <w:t>2.5 Gender-related challenges faced by leaders in the manufacturing sector.</w:t>
      </w:r>
      <w:bookmarkEnd w:id="32"/>
    </w:p>
    <w:p>
      <w:r>
        <w:t xml:space="preserve">        Leaders in the manufacturing sector indeed encounter a multitude of challenges, encompassing risk management, innovation, and product development. However, leading teams to achieve the long-term vision of the organisation is arguably one of the most pivotal responsibilities. While both male and female leaders face a range of challenges, it's essential to recognise that women, in particular, confront additional barriers and the choice of leadership style could be extremely tricky when leading in a male dominated sector. Gender stereotypes can make it harder for women to move into positions traditionally held by men </w:t>
      </w:r>
      <w:sdt>
        <w:sdtPr>
          <w:id w:val="643710860"/>
        </w:sdtPr>
        <w:sdtContent>
          <w:r>
            <w:fldChar w:fldCharType="begin"/>
          </w:r>
          <w:r>
            <w:instrText xml:space="preserve">CITATION She15 \p 62 \l 2057 </w:instrText>
          </w:r>
          <w:r>
            <w:fldChar w:fldCharType="separate"/>
          </w:r>
          <w:r>
            <w:t>(Sandberg, 2015, p. 62)</w:t>
          </w:r>
          <w:r>
            <w:fldChar w:fldCharType="end"/>
          </w:r>
        </w:sdtContent>
      </w:sdt>
    </w:p>
    <w:p>
      <w:r>
        <w:t xml:space="preserve">    Women in Manufacturing (2020) survey examined 465 professionals to obtain insights into manufacturing industry, the results show that only 1 in 4 manufacturing leaders are female. The 48% of respondents either lack awareness of or do not have a diversity or inclusion program in place at their respective companies</w:t>
      </w:r>
      <w:sdt>
        <w:sdtPr>
          <w:id w:val="1998687823"/>
        </w:sdtPr>
        <w:sdtContent>
          <w:r>
            <w:fldChar w:fldCharType="begin"/>
          </w:r>
          <w:r>
            <w:instrText xml:space="preserve"> CITATION Wom20 \l 2057 </w:instrText>
          </w:r>
          <w:r>
            <w:fldChar w:fldCharType="separate"/>
          </w:r>
          <w:r>
            <w:t xml:space="preserve"> (Women in Manufacturing, 2020)</w:t>
          </w:r>
          <w:r>
            <w:fldChar w:fldCharType="end"/>
          </w:r>
        </w:sdtContent>
      </w:sdt>
      <w:r>
        <w:t xml:space="preserve">. Lack of inclusive policies could be among factors that limit access to opportunities for women and impose multiple barriers in leadership roles. Botric et al. (2023) research on gender differences in firm performance, shed light into challenges particularly faced by women in securing capital, build stronger networking due to societal pressure and family obligations, caring responsibilities that often fall disproportionally on women  makes it much harder for women to succeed in leading lack of flexible and part-time work </w:t>
      </w:r>
      <w:sdt>
        <w:sdtPr>
          <w:id w:val="55911513"/>
        </w:sdtPr>
        <w:sdtContent>
          <w:r>
            <w:fldChar w:fldCharType="begin"/>
          </w:r>
          <w:r>
            <w:instrText xml:space="preserve"> CITATION Nei22 \l 2057 </w:instrText>
          </w:r>
          <w:r>
            <w:fldChar w:fldCharType="separate"/>
          </w:r>
          <w:r>
            <w:t>(Franklin, 2022)</w:t>
          </w:r>
          <w:r>
            <w:fldChar w:fldCharType="end"/>
          </w:r>
        </w:sdtContent>
      </w:sdt>
      <w:r>
        <w:t xml:space="preserve">. </w:t>
      </w:r>
    </w:p>
    <w:bookmarkEnd w:id="26"/>
    <w:p>
      <w:pPr>
        <w:pStyle w:val="3"/>
      </w:pPr>
      <w:bookmarkStart w:id="33" w:name="_Toc154675119"/>
      <w:bookmarkStart w:id="34" w:name="_Toc149574085"/>
      <w:bookmarkStart w:id="35" w:name="_Toc141287755"/>
      <w:r>
        <w:t>2.6 Research gaps</w:t>
      </w:r>
      <w:bookmarkEnd w:id="33"/>
      <w:bookmarkEnd w:id="34"/>
      <w:r>
        <w:t xml:space="preserve">  </w:t>
      </w:r>
      <w:bookmarkEnd w:id="35"/>
    </w:p>
    <w:p>
      <w:r>
        <w:t xml:space="preserve">   As discussed previously, the existing research does not explore intersectionality of gender in leadership. Also, there is lack of contextual analysis on how cultural background, religion, and social influences impact gender differences in leadership styles. Based on Burke and Collins </w:t>
      </w:r>
      <w:r>
        <w:rPr>
          <w:color w:val="000000" w:themeColor="text1"/>
          <w14:textFill>
            <w14:solidFill>
              <w14:schemeClr w14:val="tx1"/>
            </w14:solidFill>
          </w14:textFill>
        </w:rPr>
        <w:t xml:space="preserve">(2001) </w:t>
      </w:r>
      <w:r>
        <w:t xml:space="preserve">study the findings suggest that women receive more development opportunities however, there is no explanations on motivations behind it? Are they perceived less competent and inapt to take leadership position, does the stereotypes influence that? (Burke and Collins, 2001) </w:t>
      </w:r>
    </w:p>
    <w:p>
      <w:pPr>
        <w:pStyle w:val="3"/>
      </w:pPr>
      <w:bookmarkStart w:id="36" w:name="_Toc154675120"/>
      <w:bookmarkStart w:id="37" w:name="_Toc149574086"/>
      <w:r>
        <w:t>2.7 Summary of Chapter 2</w:t>
      </w:r>
      <w:bookmarkEnd w:id="36"/>
      <w:bookmarkEnd w:id="37"/>
      <w:r>
        <w:t xml:space="preserve"> </w:t>
      </w:r>
    </w:p>
    <w:p>
      <w:r>
        <w:t xml:space="preserve">      Chapter 2 conducts a thorough examination of the literature pertaining to gender differences in leadership styles, with a specific focus on the manufacturing sector. The chapter scrutinizes the influence of gender on leadership, assesses existing leadership models guiding style selection, and elucidates the factors that shape the adoption of leadership styles. Furthermore, it underscores the significance of investigating gender disparities in leadership, particularly in a contemporary landscape where diversity and inclusivity are paramount. While some findings indicate disparities, others contend that gender's influence on leadership style is limited.</w:t>
      </w:r>
    </w:p>
    <w:p>
      <w:r>
        <w:t xml:space="preserve">       Additionally, literature review on various leadership models, such as Situational Leadership, Transformational Leadership, and Charismatic Leadership, offer guidance on style selection. It examines their applicability and emphasizes the importance of contextual considerations, including societal expectations, organizational culture, and individual traits. Also, delves into the impact of gender stereotypes and perceptions on leadership. By highlighting research on the gender-related challenges experienced by leaders in the manufacturing sector, it draws attention to the unique obstacles confronted by women.</w:t>
      </w:r>
    </w:p>
    <w:p>
      <w:r>
        <w:t xml:space="preserve">      Throughout this comprehensive review of the literature, the chapter pinpoints research gaps and underscores the importance of exploring the intersection of gender, cultural influences, and stereotypes in comprehending differences in leadership styles. This foundational knowledge lays the groundwork for further exploration and analysis in the subsequent chapters.</w:t>
      </w:r>
    </w:p>
    <w:p/>
    <w:p/>
    <w:p/>
    <w:p/>
    <w:p/>
    <w:p/>
    <w:p/>
    <w:p/>
    <w:p/>
    <w:p/>
    <w:p/>
    <w:p/>
    <w:p/>
    <w:p/>
    <w:p/>
    <w:p>
      <w:pPr>
        <w:pStyle w:val="2"/>
        <w:ind w:left="360"/>
        <w:jc w:val="center"/>
      </w:pPr>
      <w:bookmarkStart w:id="38" w:name="_Toc149574087"/>
      <w:bookmarkStart w:id="39" w:name="_Toc154675121"/>
      <w:bookmarkStart w:id="40" w:name="_Toc141287758"/>
      <w:r>
        <w:t>Chapter 3. Research Methods and Methodology</w:t>
      </w:r>
      <w:bookmarkEnd w:id="38"/>
      <w:bookmarkEnd w:id="39"/>
      <w:bookmarkEnd w:id="40"/>
    </w:p>
    <w:p>
      <w:pPr>
        <w:pStyle w:val="3"/>
      </w:pPr>
      <w:bookmarkStart w:id="41" w:name="_Toc141287759"/>
      <w:bookmarkStart w:id="42" w:name="_Toc154675122"/>
      <w:bookmarkStart w:id="43" w:name="_Toc149574088"/>
      <w:r>
        <w:t>3.1 Introduction</w:t>
      </w:r>
      <w:bookmarkEnd w:id="41"/>
      <w:bookmarkEnd w:id="42"/>
      <w:bookmarkEnd w:id="43"/>
    </w:p>
    <w:p>
      <w:r>
        <w:t xml:space="preserve">      The research methodology is at the core of every business research and this study is no exception. As pointed out by Bryman and Bell (2011) business research does not exist in a vacuum it is constructed by what is going on in the real world of business and management; it is also shaped by the intellectual traditions that impact the social sciences at large. To explore the gender differences in leadership style in manufacturing in the UK a particular trajectory has been used. Thus, this chapter discusses the methodology applied with close consideration to study aims and objectives. As the topic selected requires exploration of complexities and nuances, factors, and challenges and with consideration to available resources the most relevant method of information collection is qualitative data which allows access to the thoughts and feelings of research participants (Austin and Sutton, 2015). The selection of qualitative data is motivated by the capacity to enable development of an understanding of the meanings that individuals ascribe to their experiences (See: </w:t>
      </w:r>
      <w:r>
        <w:fldChar w:fldCharType="begin"/>
      </w:r>
      <w:r>
        <w:instrText xml:space="preserve"> REF _Ref154670880 \h </w:instrText>
      </w:r>
      <w:r>
        <w:fldChar w:fldCharType="separate"/>
      </w:r>
      <w:r>
        <w:rPr>
          <w:color w:val="000000" w:themeColor="text1"/>
          <w:sz w:val="20"/>
          <w:szCs w:val="20"/>
          <w14:textFill>
            <w14:solidFill>
              <w14:schemeClr w14:val="tx1"/>
            </w14:solidFill>
          </w14:textFill>
        </w:rPr>
        <w:t>Table 3. The research methodology</w:t>
      </w:r>
      <w:r>
        <w:fldChar w:fldCharType="end"/>
      </w:r>
      <w:r>
        <w:t xml:space="preserve"> ). </w:t>
      </w:r>
    </w:p>
    <w:p>
      <w:pPr>
        <w:pStyle w:val="3"/>
      </w:pPr>
      <w:bookmarkStart w:id="44" w:name="_Toc154675123"/>
      <w:bookmarkStart w:id="45" w:name="_Toc149574089"/>
      <w:r>
        <w:t>3.2 Philosophical position of the research</w:t>
      </w:r>
      <w:bookmarkEnd w:id="44"/>
      <w:bookmarkEnd w:id="45"/>
      <w:bookmarkStart w:id="46" w:name="_Toc141287760"/>
      <w:r>
        <w:t xml:space="preserve"> </w:t>
      </w:r>
      <w:bookmarkEnd w:id="46"/>
    </w:p>
    <w:p>
      <w:r>
        <w:t xml:space="preserve">      The study is conducted under the research philosophy of interpretivism with elements of feminist philosophy. As explained by Nikerson (2023) it asserts that understanding the beliefs, and motivations, of individuals in social situations is important in decoding the meaning of the data collected. Among prominent benefits include the ability to explore unique perspectives and contexts of participants to gain a deeper understanding of their leadership practices. Additionally, this philosophical position provides access to different aspects of reality and allows exploration of the insights into the behaviours, choices and in this access the exploration of leadership style that is attempted to be explored through this study.     </w:t>
      </w:r>
    </w:p>
    <w:p>
      <w:pPr>
        <w:pStyle w:val="3"/>
      </w:pPr>
      <w:bookmarkStart w:id="47" w:name="_Toc154675124"/>
      <w:bookmarkStart w:id="48" w:name="_Toc149574090"/>
      <w:r>
        <w:t>3.3 Paradigm position of the research</w:t>
      </w:r>
      <w:bookmarkEnd w:id="47"/>
      <w:bookmarkEnd w:id="48"/>
      <w:bookmarkStart w:id="49" w:name="_Toc141287761"/>
      <w:r>
        <w:t xml:space="preserve"> </w:t>
      </w:r>
      <w:bookmarkEnd w:id="49"/>
      <w:r>
        <w:t xml:space="preserve"> </w:t>
      </w:r>
    </w:p>
    <w:p>
      <w:pPr>
        <w:ind w:firstLine="240"/>
      </w:pPr>
      <w:r>
        <w:t xml:space="preserve">The exploratory research paradigm is used because intends to explore research questions and study problems that haven’t been previously addressed. It is particularly valuable to lay the ground for future research and gather a more organic and dynamic exploration.  As suggested by Swedberg (2020) exploratory paradigm involves an attempt to discover new insights by working through a research topic. It is characterised by flexibility, enabling a dynamic exploration of the subject, and small sample sizes which allows focusing on individual cases, contexts, or experiences. The research approach is inductive which means the conclusion were drawn from several observations and it provided possibility to explore widely the topic. </w:t>
      </w:r>
    </w:p>
    <w:p>
      <w:pPr>
        <w:pStyle w:val="3"/>
      </w:pPr>
      <w:bookmarkStart w:id="50" w:name="_Toc154675125"/>
      <w:bookmarkStart w:id="51" w:name="_Toc149574091"/>
      <w:r>
        <w:t>3.4 Position and methodological stance</w:t>
      </w:r>
      <w:bookmarkEnd w:id="50"/>
      <w:bookmarkEnd w:id="51"/>
      <w:bookmarkStart w:id="52" w:name="_Toc141287762"/>
      <w:r>
        <w:t xml:space="preserve">  </w:t>
      </w:r>
      <w:bookmarkEnd w:id="52"/>
    </w:p>
    <w:p>
      <w:r>
        <w:t xml:space="preserve">        The position and methodological stance of the research refer to the orientation and approach to conducting the study. Qualitative research is applied for this research mainly because it allows an in-depth exploration of individuals' experiences and behaviours through the interview method, which aligns with the </w:t>
      </w:r>
      <w:r>
        <w:rPr>
          <w:lang w:val="en-GB"/>
        </w:rPr>
        <w:t>study</w:t>
      </w:r>
      <w:r>
        <w:t xml:space="preserve"> aim to explore the impact of gender differences in leadership style. The interview method is employed to collect rich and context-specific data on leadership styles within the manufacturing sector in the UK. Moreover, the interviews can be easily tailored using open-ended or semi-structured techniques to gather information depending on the objectives.</w:t>
      </w:r>
    </w:p>
    <w:p>
      <w:pPr>
        <w:pStyle w:val="3"/>
      </w:pPr>
      <w:bookmarkStart w:id="53" w:name="_Toc149574092"/>
      <w:bookmarkStart w:id="54" w:name="_Toc154675126"/>
      <w:bookmarkStart w:id="55" w:name="_Toc141287765"/>
      <w:r>
        <w:t>3.5 Research Sample and Population</w:t>
      </w:r>
      <w:bookmarkEnd w:id="53"/>
      <w:bookmarkEnd w:id="54"/>
      <w:bookmarkEnd w:id="55"/>
    </w:p>
    <w:p>
      <w:r>
        <w:t xml:space="preserve">    The population target here is the broader group of individuals (males and female) holding various leadership positions within the manufacturing sector in the UK. The intent is to capture a representative sample from this population that showcases diverse leadership styles and gender representation.</w:t>
      </w:r>
    </w:p>
    <w:p>
      <w:r>
        <w:t xml:space="preserve">     The sampling method employed is purposive sampling which involves deliberately selecting individuals who best represent the diverse spectrum of leadership styles within the industry. The goal is a targeted approach to ensure a varied and comprehensive representation of leadership styles and gender diversity within the constraints of limited resources.</w:t>
      </w:r>
    </w:p>
    <w:p>
      <w:r>
        <w:t xml:space="preserve">     The sample size chosen for the research is seven individuals. While this may seem small, it was selected due to resource constraints. Despite the small size, the sample aims to offer meaningful insights by focusing on a select group of leaders that are diverse in terms of leadership styles and gender representation. </w:t>
      </w:r>
    </w:p>
    <w:p>
      <w:pPr>
        <w:pStyle w:val="3"/>
      </w:pPr>
      <w:bookmarkStart w:id="56" w:name="_Toc149574093"/>
      <w:bookmarkStart w:id="57" w:name="_Toc154675127"/>
      <w:bookmarkStart w:id="58" w:name="_Toc141287766"/>
      <w:r>
        <w:t>3.6 Data Collection, Interpretation and Analysis Tools</w:t>
      </w:r>
      <w:bookmarkEnd w:id="56"/>
      <w:bookmarkEnd w:id="57"/>
      <w:bookmarkEnd w:id="58"/>
    </w:p>
    <w:p>
      <w:r>
        <w:t xml:space="preserve">      The primary data collection </w:t>
      </w:r>
      <w:r>
        <w:rPr>
          <w:color w:val="000000" w:themeColor="text1"/>
          <w14:textFill>
            <w14:solidFill>
              <w14:schemeClr w14:val="tx1"/>
            </w14:solidFill>
          </w14:textFill>
        </w:rPr>
        <w:t>was</w:t>
      </w:r>
      <w:r>
        <w:rPr>
          <w:b/>
          <w:bCs/>
        </w:rPr>
        <w:t xml:space="preserve"> </w:t>
      </w:r>
      <w:r>
        <w:t xml:space="preserve">conducted through an interview, carefully designed, planned, and conducted through email, or written form. The confidentiality of the responses was considered to collect data safely, a document password is applied to keep the data safe. Secondary data was collected from prominent sources, relevant articles, books, and current research on the topic.  To analyse and visualise the data bar charts and tables were used; also, thematic and content analysis as it helped gather nuanced insights and unique perspectives.  This method was selected because of the benefits of gathering detailed data and tailoring the questions to obtain information relevant to the research objectives.  </w:t>
      </w:r>
    </w:p>
    <w:p>
      <w:r>
        <w:t xml:space="preserve">      Data interpretation was though qualitative research which required decoding, categorising, and identifying themes and patterns in the collected data to interpret the findings. Thus, thematic and content analysis were applied to interpret the interview transcripts, and existing data and identify key potential challenges, key themes and variables related to the impact of gender differences in leadership style in the manufacturing sector.</w:t>
      </w:r>
    </w:p>
    <w:p>
      <w:pPr>
        <w:pStyle w:val="3"/>
      </w:pPr>
      <w:bookmarkStart w:id="59" w:name="_Toc154675128"/>
      <w:bookmarkStart w:id="60" w:name="_Toc149574095"/>
      <w:r>
        <w:t>3.7 Ethical Consideration of the Research</w:t>
      </w:r>
      <w:bookmarkEnd w:id="59"/>
      <w:bookmarkEnd w:id="60"/>
    </w:p>
    <w:p>
      <w:r>
        <w:t xml:space="preserve">       The research strongly aligned with ethical considerations in terms of informed consent, privacy and confidentiality, research integrity, cultural sensitivity, and long-term impact. The study explored sensitive topics such as gender differences in leadership, thus the university requirements and ethical guidelines were respected. For this study, the process of gathering data explained to participants and informed, written consent was be obtained</w:t>
      </w:r>
      <w:r>
        <w:rPr>
          <w:sz w:val="20"/>
          <w:szCs w:val="20"/>
        </w:rPr>
        <w:t xml:space="preserve"> (See: </w:t>
      </w:r>
      <w:r>
        <w:rPr>
          <w:sz w:val="20"/>
          <w:szCs w:val="20"/>
        </w:rPr>
        <w:fldChar w:fldCharType="begin"/>
      </w:r>
      <w:r>
        <w:rPr>
          <w:sz w:val="20"/>
          <w:szCs w:val="20"/>
        </w:rPr>
        <w:instrText xml:space="preserve"> REF _Ref154671762 \h  \* MERGEFORMAT </w:instrText>
      </w:r>
      <w:r>
        <w:rPr>
          <w:sz w:val="20"/>
          <w:szCs w:val="20"/>
        </w:rPr>
        <w:fldChar w:fldCharType="separate"/>
      </w:r>
      <w:r>
        <w:rPr>
          <w:color w:val="000000" w:themeColor="text1"/>
          <w:sz w:val="20"/>
          <w:szCs w:val="20"/>
          <w14:textFill>
            <w14:solidFill>
              <w14:schemeClr w14:val="tx1"/>
            </w14:solidFill>
          </w14:textFill>
        </w:rPr>
        <w:t>Appendix 3.Participant Information Sheet</w:t>
      </w:r>
      <w:r>
        <w:rPr>
          <w:sz w:val="20"/>
          <w:szCs w:val="20"/>
        </w:rPr>
        <w:fldChar w:fldCharType="end"/>
      </w:r>
      <w:r>
        <w:rPr>
          <w:sz w:val="20"/>
          <w:szCs w:val="20"/>
        </w:rPr>
        <w:t>); (</w:t>
      </w:r>
      <w:r>
        <w:rPr>
          <w:sz w:val="20"/>
          <w:szCs w:val="20"/>
        </w:rPr>
        <w:fldChar w:fldCharType="begin"/>
      </w:r>
      <w:r>
        <w:rPr>
          <w:sz w:val="20"/>
          <w:szCs w:val="20"/>
        </w:rPr>
        <w:instrText xml:space="preserve"> REF _Ref154671843 \h  \* MERGEFORMAT </w:instrText>
      </w:r>
      <w:r>
        <w:rPr>
          <w:sz w:val="20"/>
          <w:szCs w:val="20"/>
        </w:rPr>
        <w:fldChar w:fldCharType="separate"/>
      </w:r>
      <w:r>
        <w:rPr>
          <w:color w:val="000000" w:themeColor="text1"/>
          <w:sz w:val="20"/>
          <w:szCs w:val="20"/>
          <w14:textFill>
            <w14:solidFill>
              <w14:schemeClr w14:val="tx1"/>
            </w14:solidFill>
          </w14:textFill>
        </w:rPr>
        <w:t>Appendix 4. Participation Consent Form</w:t>
      </w:r>
      <w:r>
        <w:rPr>
          <w:sz w:val="20"/>
          <w:szCs w:val="20"/>
        </w:rPr>
        <w:fldChar w:fldCharType="end"/>
      </w:r>
      <w:r>
        <w:rPr>
          <w:sz w:val="20"/>
          <w:szCs w:val="20"/>
        </w:rPr>
        <w:t xml:space="preserve"> ).</w:t>
      </w:r>
      <w:r>
        <w:rPr>
          <w:sz w:val="18"/>
          <w:szCs w:val="18"/>
        </w:rPr>
        <w:t xml:space="preserve"> </w:t>
      </w:r>
      <w:r>
        <w:t xml:space="preserve">Also, the researcher ensured participant confidentiality, and addressed any potential risks associated with the study </w:t>
      </w:r>
      <w:r>
        <w:rPr>
          <w:sz w:val="20"/>
          <w:szCs w:val="20"/>
        </w:rPr>
        <w:t xml:space="preserve">(See: </w:t>
      </w:r>
      <w:r>
        <w:rPr>
          <w:sz w:val="20"/>
          <w:szCs w:val="20"/>
        </w:rPr>
        <w:fldChar w:fldCharType="begin"/>
      </w:r>
      <w:r>
        <w:rPr>
          <w:sz w:val="20"/>
          <w:szCs w:val="20"/>
        </w:rPr>
        <w:instrText xml:space="preserve"> REF _Ref154672907 \h  \* MERGEFORMAT </w:instrText>
      </w:r>
      <w:r>
        <w:rPr>
          <w:sz w:val="20"/>
          <w:szCs w:val="20"/>
        </w:rPr>
        <w:fldChar w:fldCharType="separate"/>
      </w:r>
      <w:r>
        <w:rPr>
          <w:color w:val="000000" w:themeColor="text1"/>
          <w:sz w:val="20"/>
          <w:szCs w:val="20"/>
          <w14:textFill>
            <w14:solidFill>
              <w14:schemeClr w14:val="tx1"/>
            </w14:solidFill>
          </w14:textFill>
        </w:rPr>
        <w:t>Appendix 5. Application for Ethical Approval (Section A, H, I)</w:t>
      </w:r>
      <w:r>
        <w:rPr>
          <w:sz w:val="20"/>
          <w:szCs w:val="20"/>
        </w:rPr>
        <w:fldChar w:fldCharType="end"/>
      </w:r>
      <w:r>
        <w:rPr>
          <w:sz w:val="20"/>
          <w:szCs w:val="20"/>
        </w:rPr>
        <w:t xml:space="preserve">. </w:t>
      </w:r>
      <w:bookmarkStart w:id="61" w:name="_Toc149574096"/>
    </w:p>
    <w:p>
      <w:pPr>
        <w:pStyle w:val="3"/>
        <w:rPr>
          <w:sz w:val="24"/>
          <w:szCs w:val="24"/>
        </w:rPr>
      </w:pPr>
      <w:bookmarkStart w:id="62" w:name="_Toc154675129"/>
      <w:r>
        <w:t>3.8 Summary of Chapter 3</w:t>
      </w:r>
      <w:bookmarkEnd w:id="61"/>
      <w:bookmarkEnd w:id="62"/>
      <w:r>
        <w:t xml:space="preserve"> </w:t>
      </w:r>
    </w:p>
    <w:p>
      <w:r>
        <w:t xml:space="preserve"> Chapter 3 outlines the methodology which focuses on exploring gender differences in leadership style within the manufacturing sector in the UK. It provides a comprehensive overview of the research methodology including ethical considerations, setting the stage for the subsequent chapters of the study. </w:t>
      </w:r>
    </w:p>
    <w:p>
      <w:pPr>
        <w:pStyle w:val="2"/>
      </w:pPr>
      <w:bookmarkStart w:id="63" w:name="_Toc149574097"/>
      <w:bookmarkStart w:id="64" w:name="_Toc154675130"/>
      <w:r>
        <w:t>Chapter 4: Data analysis, findings, and discussion</w:t>
      </w:r>
      <w:bookmarkEnd w:id="63"/>
      <w:bookmarkEnd w:id="64"/>
      <w:r>
        <w:t xml:space="preserve"> </w:t>
      </w:r>
    </w:p>
    <w:p>
      <w:pPr>
        <w:pStyle w:val="3"/>
      </w:pPr>
      <w:bookmarkStart w:id="65" w:name="_Toc149574098"/>
      <w:bookmarkStart w:id="66" w:name="_Toc154675131"/>
      <w:r>
        <w:t>4.1 Introduction</w:t>
      </w:r>
      <w:bookmarkEnd w:id="65"/>
      <w:bookmarkEnd w:id="66"/>
      <w:r>
        <w:t xml:space="preserve"> </w:t>
      </w:r>
    </w:p>
    <w:p>
      <w:r>
        <w:t xml:space="preserve">     The research aimed to </w:t>
      </w:r>
      <w:r>
        <w:rPr>
          <w:color w:val="0D0D0D" w:themeColor="text1" w:themeTint="F2"/>
          <w14:textFill>
            <w14:solidFill>
              <w14:schemeClr w14:val="tx1">
                <w14:lumMod w14:val="95000"/>
                <w14:lumOff w14:val="5000"/>
              </w14:schemeClr>
            </w14:solidFill>
          </w14:textFill>
        </w:rPr>
        <w:t>u</w:t>
      </w:r>
      <w:r>
        <w:t xml:space="preserve">nderstand the impact gender differences have on leadership style selection in manufacturing in the UK and answer the following questions: What are the most common leadership styles demonstrated by leaders (based on gender) in the manufacturing industry in the UK? How various factors such as personal traits, organisational culture, and career experiences, influence the adoption of specific leadership styles among leaders in the manufacturing sector? What gender-related challenges faced by leaders in the manufacturing sector, and why do these challenges affect their leadership style and decision-making? How these challenges can be addressed? This chapter reviews the research results and discusses the findings. </w:t>
      </w:r>
    </w:p>
    <w:p>
      <w:pPr>
        <w:pStyle w:val="3"/>
      </w:pPr>
      <w:bookmarkStart w:id="67" w:name="_Toc154675132"/>
      <w:r>
        <w:t>4.2 Presentation of findings</w:t>
      </w:r>
      <w:bookmarkEnd w:id="67"/>
      <w:r>
        <w:t xml:space="preserve"> </w:t>
      </w:r>
    </w:p>
    <w:p>
      <w:r>
        <w:t xml:space="preserve">      Understanding leadership styles and their correlation with gender has been a topic of considerable interest in organizational psychology and management studies. The following presentation unveils insights gathered through interviews conducted with leaders at Sleepeezee to explore the relationship between gender and leadership styles within the company. A total of 7 leaders from Sleepeezee were interviewed. Among the leaders interviewed, 78.71% were male, while 14.29% were female ( </w:t>
      </w:r>
      <w:r>
        <w:fldChar w:fldCharType="begin"/>
      </w:r>
      <w:r>
        <w:instrText xml:space="preserve"> REF _Ref153381844 \h  \* MERGEFORMAT </w:instrText>
      </w:r>
      <w:r>
        <w:fldChar w:fldCharType="separate"/>
      </w:r>
      <w:r>
        <w:rPr>
          <w:color w:val="000000" w:themeColor="text1"/>
          <w14:textFill>
            <w14:solidFill>
              <w14:schemeClr w14:val="tx1"/>
            </w14:solidFill>
          </w14:textFill>
        </w:rPr>
        <w:t>Figure 1. Interview respondents based on gender</w:t>
      </w:r>
      <w:r>
        <w:fldChar w:fldCharType="end"/>
      </w:r>
      <w:r>
        <w:t xml:space="preserve">).  </w:t>
      </w:r>
    </w:p>
    <w:p>
      <w:pPr>
        <w:keepNext/>
        <w:jc w:val="center"/>
      </w:pPr>
      <w:r>
        <w:drawing>
          <wp:inline distT="0" distB="0" distL="0" distR="0">
            <wp:extent cx="4220845" cy="2068830"/>
            <wp:effectExtent l="0" t="0" r="0" b="1270"/>
            <wp:docPr id="1840891453" name="Picture 2" descr="A graph with a purple rectangl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891453" name="Picture 2" descr="A graph with a purple rectangle and numbers&#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242459" cy="2079339"/>
                    </a:xfrm>
                    <a:prstGeom prst="rect">
                      <a:avLst/>
                    </a:prstGeom>
                  </pic:spPr>
                </pic:pic>
              </a:graphicData>
            </a:graphic>
          </wp:inline>
        </w:drawing>
      </w:r>
    </w:p>
    <w:p>
      <w:pPr>
        <w:pStyle w:val="7"/>
        <w:spacing w:line="360" w:lineRule="auto"/>
        <w:jc w:val="center"/>
        <w:rPr>
          <w:color w:val="000000" w:themeColor="text1"/>
          <w:sz w:val="20"/>
          <w:szCs w:val="20"/>
          <w14:textFill>
            <w14:solidFill>
              <w14:schemeClr w14:val="tx1"/>
            </w14:solidFill>
          </w14:textFill>
        </w:rPr>
      </w:pPr>
      <w:bookmarkStart w:id="68" w:name="_Ref153381844"/>
      <w:bookmarkStart w:id="69" w:name="_Toc153900946"/>
      <w:bookmarkStart w:id="70" w:name="_Toc153549802"/>
      <w:r>
        <w:rPr>
          <w:color w:val="000000" w:themeColor="text1"/>
          <w:sz w:val="20"/>
          <w:szCs w:val="20"/>
          <w14:textFill>
            <w14:solidFill>
              <w14:schemeClr w14:val="tx1"/>
            </w14:solidFill>
          </w14:textFill>
        </w:rPr>
        <w:t xml:space="preserve">Figure </w:t>
      </w: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SEQ Figure \* ARABIC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1</w:t>
      </w:r>
      <w:r>
        <w:rPr>
          <w:color w:val="000000" w:themeColor="text1"/>
          <w:sz w:val="20"/>
          <w:szCs w:val="20"/>
          <w14:textFill>
            <w14:solidFill>
              <w14:schemeClr w14:val="tx1"/>
            </w14:solidFill>
          </w14:textFill>
        </w:rPr>
        <w:fldChar w:fldCharType="end"/>
      </w:r>
      <w:r>
        <w:rPr>
          <w:color w:val="000000" w:themeColor="text1"/>
          <w:sz w:val="20"/>
          <w:szCs w:val="20"/>
          <w14:textFill>
            <w14:solidFill>
              <w14:schemeClr w14:val="tx1"/>
            </w14:solidFill>
          </w14:textFill>
        </w:rPr>
        <w:t xml:space="preserve">. Interview respondents based on </w:t>
      </w:r>
      <w:bookmarkEnd w:id="68"/>
      <w:r>
        <w:rPr>
          <w:color w:val="000000" w:themeColor="text1"/>
          <w:sz w:val="20"/>
          <w:szCs w:val="20"/>
          <w14:textFill>
            <w14:solidFill>
              <w14:schemeClr w14:val="tx1"/>
            </w14:solidFill>
          </w14:textFill>
        </w:rPr>
        <w:t>gender.</w:t>
      </w:r>
      <w:bookmarkEnd w:id="69"/>
      <w:bookmarkEnd w:id="70"/>
    </w:p>
    <w:p/>
    <w:p>
      <w:r>
        <w:t xml:space="preserve">       Questions were designed to uncover insights into leadership styles, including approaches to decision-making, team management, communication, and conflict resolution.</w:t>
      </w:r>
      <w:r>
        <w:br w:type="textWrapping"/>
      </w:r>
      <w:r>
        <w:t>Out of all the respondents, 57% hold managerial positions, 14% serve as general managers, and 29% function as team leaders (</w:t>
      </w:r>
      <w:r>
        <w:fldChar w:fldCharType="begin"/>
      </w:r>
      <w:r>
        <w:instrText xml:space="preserve"> REF _Ref153381800 \h  \* MERGEFORMAT </w:instrText>
      </w:r>
      <w:r>
        <w:fldChar w:fldCharType="separate"/>
      </w:r>
      <w:r>
        <w:rPr>
          <w:color w:val="000000" w:themeColor="text1"/>
          <w14:textFill>
            <w14:solidFill>
              <w14:schemeClr w14:val="tx1"/>
            </w14:solidFill>
          </w14:textFill>
        </w:rPr>
        <w:t>Figure 2. Percentage of employees in leadership roles</w:t>
      </w:r>
      <w:r>
        <w:fldChar w:fldCharType="end"/>
      </w:r>
      <w:r>
        <w:t>).</w:t>
      </w:r>
    </w:p>
    <w:p/>
    <w:p>
      <w:pPr>
        <w:jc w:val="center"/>
      </w:pPr>
      <w:r>
        <w:drawing>
          <wp:inline distT="0" distB="0" distL="0" distR="0">
            <wp:extent cx="5486400" cy="3200400"/>
            <wp:effectExtent l="0" t="0" r="12700" b="12700"/>
            <wp:docPr id="28348644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pStyle w:val="7"/>
        <w:spacing w:line="360" w:lineRule="auto"/>
        <w:jc w:val="center"/>
        <w:rPr>
          <w:color w:val="000000" w:themeColor="text1"/>
          <w:sz w:val="20"/>
          <w:szCs w:val="20"/>
          <w14:textFill>
            <w14:solidFill>
              <w14:schemeClr w14:val="tx1"/>
            </w14:solidFill>
          </w14:textFill>
        </w:rPr>
      </w:pPr>
      <w:bookmarkStart w:id="71" w:name="_Ref153381800"/>
      <w:bookmarkStart w:id="72" w:name="_Toc153900947"/>
      <w:bookmarkStart w:id="73" w:name="_Toc153549803"/>
      <w:r>
        <w:rPr>
          <w:color w:val="000000" w:themeColor="text1"/>
          <w:sz w:val="20"/>
          <w:szCs w:val="20"/>
          <w14:textFill>
            <w14:solidFill>
              <w14:schemeClr w14:val="tx1"/>
            </w14:solidFill>
          </w14:textFill>
        </w:rPr>
        <w:t xml:space="preserve">Figure </w:t>
      </w: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SEQ Figure \* ARABIC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2</w:t>
      </w:r>
      <w:r>
        <w:rPr>
          <w:color w:val="000000" w:themeColor="text1"/>
          <w:sz w:val="20"/>
          <w:szCs w:val="20"/>
          <w14:textFill>
            <w14:solidFill>
              <w14:schemeClr w14:val="tx1"/>
            </w14:solidFill>
          </w14:textFill>
        </w:rPr>
        <w:fldChar w:fldCharType="end"/>
      </w:r>
      <w:r>
        <w:rPr>
          <w:color w:val="000000" w:themeColor="text1"/>
          <w:sz w:val="20"/>
          <w:szCs w:val="20"/>
          <w14:textFill>
            <w14:solidFill>
              <w14:schemeClr w14:val="tx1"/>
            </w14:solidFill>
          </w14:textFill>
        </w:rPr>
        <w:t>. Percentage of employees in leadership roles</w:t>
      </w:r>
      <w:bookmarkEnd w:id="71"/>
      <w:bookmarkEnd w:id="72"/>
      <w:bookmarkEnd w:id="73"/>
    </w:p>
    <w:p>
      <w:r>
        <w:t xml:space="preserve">        The findings show that the most common leadership styles preferred by male leaders are blend of democratic and transformational approaches. A common pattern found is leading by example, caring for employees, and guiding behaviour. Whereas female respondent preferred a target-oriented approach to leadership. The factors influencing leadership styles identified include personal traits, career experiences and organisational culture. In term of influence, dynamics, and productivity the results show mixed sentiments highlighting both positive and negative implications of selected leadership style. Most respondents faced multiple challenges while in leadership roles. Similarly, most leaders acknowledged that various stereotypes do exist based on gender and these could impact the selection of leadership styles. </w:t>
      </w:r>
    </w:p>
    <w:p/>
    <w:p/>
    <w:p>
      <w:pPr>
        <w:pStyle w:val="3"/>
      </w:pPr>
      <w:bookmarkStart w:id="74" w:name="_Toc154675133"/>
      <w:r>
        <w:t>4.3 Data analysis</w:t>
      </w:r>
      <w:bookmarkEnd w:id="74"/>
      <w:r>
        <w:t xml:space="preserve"> </w:t>
      </w:r>
    </w:p>
    <w:p>
      <w:r>
        <w:t xml:space="preserve">       The data indicates a significant gender disparity in leadership roles, with male representation being notably higher compared to female leaders.</w:t>
      </w:r>
      <w:r>
        <w:rPr>
          <w:rFonts w:ascii="Segoe UI" w:hAnsi="Segoe UI" w:cs="Segoe UI"/>
          <w:color w:val="374151"/>
        </w:rPr>
        <w:t xml:space="preserve"> </w:t>
      </w:r>
      <w:r>
        <w:t>Various leadership styles are evident among the respondents, with democratic, servant, and blends of different styles being prevalent. This diversity suggests flexibility and adaptation in leadership approaches. There's a pattern of diverse leadership styles among male managers, ranging from democratic to authoritative and servant leadership, reflecting a wider range of approaches. The sole female leader embodies a blend of task-oriented and democratic styles, potentially indicating a balance between goal achievement and participative decision-making.</w:t>
      </w:r>
    </w:p>
    <w:tbl>
      <w:tblPr>
        <w:tblStyle w:val="14"/>
        <w:tblW w:w="9072"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60"/>
        <w:gridCol w:w="1842"/>
        <w:gridCol w:w="1843"/>
        <w:gridCol w:w="38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8" w:hRule="atLeast"/>
        </w:trPr>
        <w:tc>
          <w:tcPr>
            <w:tcW w:w="1560" w:type="dxa"/>
            <w:shd w:val="clear" w:color="auto" w:fill="CFA3EB"/>
          </w:tcPr>
          <w:p>
            <w:pPr>
              <w:rPr>
                <w:b/>
                <w:bCs/>
                <w:sz w:val="20"/>
                <w:szCs w:val="20"/>
              </w:rPr>
            </w:pPr>
            <w:r>
              <w:rPr>
                <w:b/>
                <w:bCs/>
                <w:sz w:val="20"/>
                <w:szCs w:val="20"/>
              </w:rPr>
              <w:t>Respondents</w:t>
            </w:r>
          </w:p>
        </w:tc>
        <w:tc>
          <w:tcPr>
            <w:tcW w:w="1842" w:type="dxa"/>
            <w:shd w:val="clear" w:color="auto" w:fill="CFA3EB"/>
          </w:tcPr>
          <w:p>
            <w:pPr>
              <w:rPr>
                <w:b/>
                <w:bCs/>
                <w:sz w:val="20"/>
                <w:szCs w:val="20"/>
              </w:rPr>
            </w:pPr>
            <w:r>
              <w:rPr>
                <w:b/>
                <w:bCs/>
                <w:sz w:val="20"/>
                <w:szCs w:val="20"/>
              </w:rPr>
              <w:t xml:space="preserve">Leadership role   </w:t>
            </w:r>
          </w:p>
        </w:tc>
        <w:tc>
          <w:tcPr>
            <w:tcW w:w="1843" w:type="dxa"/>
            <w:shd w:val="clear" w:color="auto" w:fill="CFA3EB"/>
          </w:tcPr>
          <w:p>
            <w:pPr>
              <w:rPr>
                <w:b/>
                <w:bCs/>
                <w:sz w:val="20"/>
                <w:szCs w:val="20"/>
              </w:rPr>
            </w:pPr>
            <w:r>
              <w:rPr>
                <w:b/>
                <w:bCs/>
                <w:sz w:val="20"/>
                <w:szCs w:val="20"/>
              </w:rPr>
              <w:t xml:space="preserve">Gender </w:t>
            </w:r>
          </w:p>
        </w:tc>
        <w:tc>
          <w:tcPr>
            <w:tcW w:w="3827" w:type="dxa"/>
            <w:shd w:val="clear" w:color="auto" w:fill="CFA3EB"/>
          </w:tcPr>
          <w:p>
            <w:pPr>
              <w:rPr>
                <w:b/>
                <w:bCs/>
                <w:sz w:val="20"/>
                <w:szCs w:val="20"/>
              </w:rPr>
            </w:pPr>
            <w:r>
              <w:rPr>
                <w:b/>
                <w:bCs/>
                <w:sz w:val="20"/>
                <w:szCs w:val="20"/>
              </w:rPr>
              <w:t>Leadership style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3" w:hRule="atLeast"/>
        </w:trPr>
        <w:tc>
          <w:tcPr>
            <w:tcW w:w="1560" w:type="dxa"/>
          </w:tcPr>
          <w:p>
            <w:pPr>
              <w:rPr>
                <w:rFonts w:hint="default"/>
                <w:b/>
                <w:bCs/>
                <w:sz w:val="20"/>
                <w:szCs w:val="20"/>
                <w:lang w:val="en-GB"/>
              </w:rPr>
            </w:pPr>
            <w:r>
              <w:rPr>
                <w:rFonts w:hint="default"/>
                <w:b/>
                <w:bCs/>
                <w:sz w:val="20"/>
                <w:szCs w:val="20"/>
                <w:lang w:val="en-GB"/>
              </w:rPr>
              <w:t>Peter Bond</w:t>
            </w:r>
          </w:p>
        </w:tc>
        <w:tc>
          <w:tcPr>
            <w:tcW w:w="1842" w:type="dxa"/>
          </w:tcPr>
          <w:p>
            <w:pPr>
              <w:rPr>
                <w:b/>
                <w:bCs/>
                <w:sz w:val="20"/>
                <w:szCs w:val="20"/>
              </w:rPr>
            </w:pPr>
            <w:r>
              <w:rPr>
                <w:b/>
                <w:bCs/>
                <w:sz w:val="20"/>
                <w:szCs w:val="20"/>
              </w:rPr>
              <w:t xml:space="preserve">Manager </w:t>
            </w:r>
          </w:p>
        </w:tc>
        <w:tc>
          <w:tcPr>
            <w:tcW w:w="1843" w:type="dxa"/>
          </w:tcPr>
          <w:p>
            <w:pPr>
              <w:rPr>
                <w:b/>
                <w:bCs/>
                <w:sz w:val="20"/>
                <w:szCs w:val="20"/>
              </w:rPr>
            </w:pPr>
            <w:r>
              <w:rPr>
                <w:b/>
                <w:bCs/>
                <w:sz w:val="20"/>
                <w:szCs w:val="20"/>
              </w:rPr>
              <w:t xml:space="preserve">Male  </w:t>
            </w:r>
          </w:p>
        </w:tc>
        <w:tc>
          <w:tcPr>
            <w:tcW w:w="3827" w:type="dxa"/>
          </w:tcPr>
          <w:p>
            <w:pPr>
              <w:rPr>
                <w:b/>
                <w:bCs/>
                <w:sz w:val="20"/>
                <w:szCs w:val="20"/>
              </w:rPr>
            </w:pPr>
            <w:r>
              <w:rPr>
                <w:b/>
                <w:bCs/>
                <w:sz w:val="20"/>
                <w:szCs w:val="20"/>
              </w:rPr>
              <w:t>Democratic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9" w:hRule="atLeast"/>
        </w:trPr>
        <w:tc>
          <w:tcPr>
            <w:tcW w:w="1560" w:type="dxa"/>
          </w:tcPr>
          <w:p>
            <w:pPr>
              <w:rPr>
                <w:rFonts w:hint="default"/>
                <w:b/>
                <w:bCs/>
                <w:sz w:val="20"/>
                <w:szCs w:val="20"/>
                <w:lang w:val="en-GB"/>
              </w:rPr>
            </w:pPr>
            <w:r>
              <w:rPr>
                <w:rFonts w:hint="default"/>
                <w:b/>
                <w:bCs/>
                <w:sz w:val="20"/>
                <w:szCs w:val="20"/>
                <w:lang w:val="en-GB"/>
              </w:rPr>
              <w:t>Graham Lowe</w:t>
            </w:r>
          </w:p>
        </w:tc>
        <w:tc>
          <w:tcPr>
            <w:tcW w:w="1842" w:type="dxa"/>
          </w:tcPr>
          <w:p>
            <w:pPr>
              <w:rPr>
                <w:b/>
                <w:bCs/>
                <w:sz w:val="20"/>
                <w:szCs w:val="20"/>
              </w:rPr>
            </w:pPr>
            <w:r>
              <w:rPr>
                <w:b/>
                <w:bCs/>
                <w:sz w:val="20"/>
                <w:szCs w:val="20"/>
              </w:rPr>
              <w:t>Manager</w:t>
            </w:r>
          </w:p>
        </w:tc>
        <w:tc>
          <w:tcPr>
            <w:tcW w:w="1843" w:type="dxa"/>
          </w:tcPr>
          <w:p>
            <w:pPr>
              <w:rPr>
                <w:b/>
                <w:bCs/>
                <w:sz w:val="20"/>
                <w:szCs w:val="20"/>
              </w:rPr>
            </w:pPr>
            <w:r>
              <w:rPr>
                <w:b/>
                <w:bCs/>
                <w:sz w:val="20"/>
                <w:szCs w:val="20"/>
              </w:rPr>
              <w:t xml:space="preserve">Male </w:t>
            </w:r>
          </w:p>
        </w:tc>
        <w:tc>
          <w:tcPr>
            <w:tcW w:w="3827" w:type="dxa"/>
          </w:tcPr>
          <w:p>
            <w:pPr>
              <w:jc w:val="left"/>
              <w:rPr>
                <w:b/>
                <w:bCs/>
                <w:sz w:val="20"/>
                <w:szCs w:val="20"/>
              </w:rPr>
            </w:pPr>
            <w:r>
              <w:rPr>
                <w:b/>
                <w:bCs/>
                <w:sz w:val="20"/>
                <w:szCs w:val="20"/>
              </w:rPr>
              <w:t>Laissez -Faire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2" w:hRule="atLeast"/>
        </w:trPr>
        <w:tc>
          <w:tcPr>
            <w:tcW w:w="1560" w:type="dxa"/>
          </w:tcPr>
          <w:p>
            <w:pPr>
              <w:rPr>
                <w:rFonts w:hint="default"/>
                <w:b/>
                <w:bCs/>
                <w:sz w:val="20"/>
                <w:szCs w:val="20"/>
                <w:lang w:val="en-GB"/>
              </w:rPr>
            </w:pPr>
            <w:r>
              <w:rPr>
                <w:rFonts w:hint="default"/>
                <w:b/>
                <w:bCs/>
                <w:sz w:val="20"/>
                <w:szCs w:val="20"/>
                <w:lang w:val="en-GB"/>
              </w:rPr>
              <w:t>Andrew Reene</w:t>
            </w:r>
          </w:p>
        </w:tc>
        <w:tc>
          <w:tcPr>
            <w:tcW w:w="1842" w:type="dxa"/>
          </w:tcPr>
          <w:p>
            <w:pPr>
              <w:rPr>
                <w:b/>
                <w:bCs/>
                <w:sz w:val="20"/>
                <w:szCs w:val="20"/>
              </w:rPr>
            </w:pPr>
            <w:r>
              <w:rPr>
                <w:b/>
                <w:bCs/>
                <w:sz w:val="20"/>
                <w:szCs w:val="20"/>
              </w:rPr>
              <w:t xml:space="preserve">Manager </w:t>
            </w:r>
          </w:p>
        </w:tc>
        <w:tc>
          <w:tcPr>
            <w:tcW w:w="1843" w:type="dxa"/>
          </w:tcPr>
          <w:p>
            <w:pPr>
              <w:rPr>
                <w:b/>
                <w:bCs/>
                <w:sz w:val="20"/>
                <w:szCs w:val="20"/>
              </w:rPr>
            </w:pPr>
            <w:r>
              <w:rPr>
                <w:b/>
                <w:bCs/>
                <w:sz w:val="20"/>
                <w:szCs w:val="20"/>
              </w:rPr>
              <w:t>Male</w:t>
            </w:r>
          </w:p>
        </w:tc>
        <w:tc>
          <w:tcPr>
            <w:tcW w:w="3827" w:type="dxa"/>
          </w:tcPr>
          <w:p>
            <w:pPr>
              <w:rPr>
                <w:b/>
                <w:bCs/>
                <w:sz w:val="20"/>
                <w:szCs w:val="20"/>
              </w:rPr>
            </w:pPr>
            <w:r>
              <w:rPr>
                <w:b/>
                <w:bCs/>
                <w:sz w:val="20"/>
                <w:szCs w:val="20"/>
              </w:rPr>
              <w:t xml:space="preserve">Servant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64" w:hRule="atLeast"/>
        </w:trPr>
        <w:tc>
          <w:tcPr>
            <w:tcW w:w="1560" w:type="dxa"/>
          </w:tcPr>
          <w:p>
            <w:pPr>
              <w:rPr>
                <w:rFonts w:hint="default"/>
                <w:b/>
                <w:bCs/>
                <w:sz w:val="20"/>
                <w:szCs w:val="20"/>
                <w:lang w:val="en-GB"/>
              </w:rPr>
            </w:pPr>
            <w:r>
              <w:rPr>
                <w:rFonts w:hint="default"/>
                <w:b/>
                <w:bCs/>
                <w:sz w:val="20"/>
                <w:szCs w:val="20"/>
                <w:lang w:val="en-GB"/>
              </w:rPr>
              <w:t>Daren Welfare</w:t>
            </w:r>
          </w:p>
        </w:tc>
        <w:tc>
          <w:tcPr>
            <w:tcW w:w="1842" w:type="dxa"/>
          </w:tcPr>
          <w:p>
            <w:pPr>
              <w:rPr>
                <w:b/>
                <w:bCs/>
                <w:sz w:val="20"/>
                <w:szCs w:val="20"/>
              </w:rPr>
            </w:pPr>
            <w:r>
              <w:rPr>
                <w:b/>
                <w:bCs/>
                <w:sz w:val="20"/>
                <w:szCs w:val="20"/>
              </w:rPr>
              <w:t xml:space="preserve">Manager  </w:t>
            </w:r>
          </w:p>
        </w:tc>
        <w:tc>
          <w:tcPr>
            <w:tcW w:w="1843" w:type="dxa"/>
          </w:tcPr>
          <w:p>
            <w:pPr>
              <w:rPr>
                <w:b/>
                <w:bCs/>
                <w:sz w:val="20"/>
                <w:szCs w:val="20"/>
              </w:rPr>
            </w:pPr>
            <w:r>
              <w:rPr>
                <w:b/>
                <w:bCs/>
                <w:sz w:val="20"/>
                <w:szCs w:val="20"/>
              </w:rPr>
              <w:t>Male</w:t>
            </w:r>
          </w:p>
        </w:tc>
        <w:tc>
          <w:tcPr>
            <w:tcW w:w="3827" w:type="dxa"/>
          </w:tcPr>
          <w:p>
            <w:pPr>
              <w:jc w:val="left"/>
              <w:rPr>
                <w:b/>
                <w:bCs/>
                <w:sz w:val="20"/>
                <w:szCs w:val="20"/>
              </w:rPr>
            </w:pPr>
            <w:r>
              <w:rPr>
                <w:b/>
                <w:bCs/>
                <w:sz w:val="20"/>
                <w:szCs w:val="20"/>
              </w:rPr>
              <w:t xml:space="preserve">Blend of democratic and authoritative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1560" w:type="dxa"/>
          </w:tcPr>
          <w:p>
            <w:pPr>
              <w:rPr>
                <w:rFonts w:hint="default"/>
                <w:b/>
                <w:bCs/>
                <w:sz w:val="20"/>
                <w:szCs w:val="20"/>
                <w:lang w:val="en-GB"/>
              </w:rPr>
            </w:pPr>
            <w:r>
              <w:rPr>
                <w:rFonts w:hint="default"/>
                <w:b/>
                <w:bCs/>
                <w:sz w:val="20"/>
                <w:szCs w:val="20"/>
                <w:lang w:val="en-GB"/>
              </w:rPr>
              <w:t>Paul Thomas</w:t>
            </w:r>
          </w:p>
        </w:tc>
        <w:tc>
          <w:tcPr>
            <w:tcW w:w="1842" w:type="dxa"/>
          </w:tcPr>
          <w:p>
            <w:pPr>
              <w:rPr>
                <w:b/>
                <w:bCs/>
                <w:sz w:val="20"/>
                <w:szCs w:val="20"/>
              </w:rPr>
            </w:pPr>
            <w:r>
              <w:rPr>
                <w:b/>
                <w:bCs/>
                <w:sz w:val="20"/>
                <w:szCs w:val="20"/>
              </w:rPr>
              <w:t xml:space="preserve">General Manager  </w:t>
            </w:r>
          </w:p>
        </w:tc>
        <w:tc>
          <w:tcPr>
            <w:tcW w:w="1843" w:type="dxa"/>
          </w:tcPr>
          <w:p>
            <w:pPr>
              <w:rPr>
                <w:b/>
                <w:bCs/>
                <w:sz w:val="20"/>
                <w:szCs w:val="20"/>
              </w:rPr>
            </w:pPr>
            <w:r>
              <w:rPr>
                <w:b/>
                <w:bCs/>
                <w:sz w:val="20"/>
                <w:szCs w:val="20"/>
              </w:rPr>
              <w:t>Male</w:t>
            </w:r>
          </w:p>
        </w:tc>
        <w:tc>
          <w:tcPr>
            <w:tcW w:w="3827" w:type="dxa"/>
          </w:tcPr>
          <w:p>
            <w:pPr>
              <w:rPr>
                <w:b/>
                <w:bCs/>
                <w:sz w:val="20"/>
                <w:szCs w:val="20"/>
              </w:rPr>
            </w:pPr>
            <w:r>
              <w:rPr>
                <w:b/>
                <w:bCs/>
                <w:sz w:val="20"/>
                <w:szCs w:val="20"/>
              </w:rPr>
              <w:t xml:space="preserve">Blend of democratic and transformational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94" w:hRule="atLeast"/>
        </w:trPr>
        <w:tc>
          <w:tcPr>
            <w:tcW w:w="1560" w:type="dxa"/>
          </w:tcPr>
          <w:p>
            <w:pPr>
              <w:rPr>
                <w:rFonts w:hint="default"/>
                <w:b/>
                <w:bCs/>
                <w:sz w:val="20"/>
                <w:szCs w:val="20"/>
                <w:lang w:val="en-GB"/>
              </w:rPr>
            </w:pPr>
            <w:r>
              <w:rPr>
                <w:rFonts w:hint="default"/>
                <w:b/>
                <w:bCs/>
                <w:sz w:val="20"/>
                <w:szCs w:val="20"/>
                <w:lang w:val="en-GB"/>
              </w:rPr>
              <w:t>Scott Brett</w:t>
            </w:r>
          </w:p>
        </w:tc>
        <w:tc>
          <w:tcPr>
            <w:tcW w:w="1842" w:type="dxa"/>
          </w:tcPr>
          <w:p>
            <w:pPr>
              <w:rPr>
                <w:b/>
                <w:bCs/>
                <w:sz w:val="20"/>
                <w:szCs w:val="20"/>
              </w:rPr>
            </w:pPr>
            <w:r>
              <w:rPr>
                <w:rFonts w:hint="default"/>
                <w:b/>
                <w:bCs/>
                <w:sz w:val="20"/>
                <w:szCs w:val="20"/>
                <w:lang w:val="en-GB"/>
              </w:rPr>
              <w:t>Supervisor</w:t>
            </w:r>
            <w:r>
              <w:rPr>
                <w:b/>
                <w:bCs/>
                <w:sz w:val="20"/>
                <w:szCs w:val="20"/>
              </w:rPr>
              <w:t xml:space="preserve"> </w:t>
            </w:r>
          </w:p>
        </w:tc>
        <w:tc>
          <w:tcPr>
            <w:tcW w:w="1843" w:type="dxa"/>
          </w:tcPr>
          <w:p>
            <w:pPr>
              <w:rPr>
                <w:b/>
                <w:bCs/>
                <w:sz w:val="20"/>
                <w:szCs w:val="20"/>
              </w:rPr>
            </w:pPr>
            <w:r>
              <w:rPr>
                <w:b/>
                <w:bCs/>
                <w:sz w:val="20"/>
                <w:szCs w:val="20"/>
              </w:rPr>
              <w:t>Male</w:t>
            </w:r>
          </w:p>
        </w:tc>
        <w:tc>
          <w:tcPr>
            <w:tcW w:w="3827" w:type="dxa"/>
          </w:tcPr>
          <w:p>
            <w:pPr>
              <w:rPr>
                <w:b/>
                <w:bCs/>
                <w:sz w:val="20"/>
                <w:szCs w:val="20"/>
              </w:rPr>
            </w:pPr>
            <w:r>
              <w:rPr>
                <w:b/>
                <w:bCs/>
                <w:sz w:val="20"/>
                <w:szCs w:val="20"/>
              </w:rPr>
              <w:t>Laissez -Faire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3" w:hRule="atLeast"/>
        </w:trPr>
        <w:tc>
          <w:tcPr>
            <w:tcW w:w="1560" w:type="dxa"/>
          </w:tcPr>
          <w:p>
            <w:pPr>
              <w:rPr>
                <w:rFonts w:hint="default"/>
                <w:b/>
                <w:bCs/>
                <w:sz w:val="20"/>
                <w:szCs w:val="20"/>
                <w:lang w:val="en-GB"/>
              </w:rPr>
            </w:pPr>
            <w:r>
              <w:rPr>
                <w:rFonts w:hint="default"/>
                <w:b/>
                <w:bCs/>
                <w:sz w:val="20"/>
                <w:szCs w:val="20"/>
                <w:lang w:val="en-GB"/>
              </w:rPr>
              <w:t>Satinder Swain</w:t>
            </w:r>
          </w:p>
        </w:tc>
        <w:tc>
          <w:tcPr>
            <w:tcW w:w="1842" w:type="dxa"/>
          </w:tcPr>
          <w:p>
            <w:pPr>
              <w:rPr>
                <w:rFonts w:hint="default"/>
                <w:b/>
                <w:bCs/>
                <w:sz w:val="20"/>
                <w:szCs w:val="20"/>
                <w:lang w:val="en-GB"/>
              </w:rPr>
            </w:pPr>
            <w:r>
              <w:rPr>
                <w:rFonts w:hint="default"/>
                <w:b/>
                <w:bCs/>
                <w:sz w:val="20"/>
                <w:szCs w:val="20"/>
                <w:lang w:val="en-GB"/>
              </w:rPr>
              <w:t>Supervisor</w:t>
            </w:r>
          </w:p>
        </w:tc>
        <w:tc>
          <w:tcPr>
            <w:tcW w:w="1843" w:type="dxa"/>
          </w:tcPr>
          <w:p>
            <w:pPr>
              <w:rPr>
                <w:b/>
                <w:bCs/>
                <w:sz w:val="20"/>
                <w:szCs w:val="20"/>
              </w:rPr>
            </w:pPr>
            <w:r>
              <w:rPr>
                <w:b/>
                <w:bCs/>
                <w:sz w:val="20"/>
                <w:szCs w:val="20"/>
              </w:rPr>
              <w:t xml:space="preserve">Female </w:t>
            </w:r>
          </w:p>
        </w:tc>
        <w:tc>
          <w:tcPr>
            <w:tcW w:w="3827" w:type="dxa"/>
          </w:tcPr>
          <w:p>
            <w:pPr>
              <w:jc w:val="left"/>
              <w:rPr>
                <w:b/>
                <w:bCs/>
                <w:sz w:val="20"/>
                <w:szCs w:val="20"/>
              </w:rPr>
            </w:pPr>
            <w:r>
              <w:rPr>
                <w:b/>
                <w:bCs/>
                <w:sz w:val="20"/>
                <w:szCs w:val="20"/>
              </w:rPr>
              <w:t xml:space="preserve">Blend of task oriented and democratic </w:t>
            </w:r>
          </w:p>
        </w:tc>
      </w:tr>
    </w:tbl>
    <w:p>
      <w:pPr>
        <w:pStyle w:val="7"/>
        <w:ind w:firstLine="900" w:firstLineChars="450"/>
        <w:jc w:val="both"/>
        <w:rPr>
          <w:b/>
          <w:bCs/>
          <w:color w:val="000000" w:themeColor="text1"/>
          <w:sz w:val="20"/>
          <w:szCs w:val="20"/>
          <w14:textFill>
            <w14:solidFill>
              <w14:schemeClr w14:val="tx1"/>
            </w14:solidFill>
          </w14:textFill>
        </w:rPr>
      </w:pPr>
      <w:bookmarkStart w:id="75" w:name="_Ref154668507"/>
      <w:bookmarkStart w:id="76" w:name="_Toc153906097"/>
      <w:r>
        <w:rPr>
          <w:color w:val="000000" w:themeColor="text1"/>
          <w:sz w:val="20"/>
          <w:szCs w:val="20"/>
          <w14:textFill>
            <w14:solidFill>
              <w14:schemeClr w14:val="tx1"/>
            </w14:solidFill>
          </w14:textFill>
        </w:rPr>
        <w:t xml:space="preserve">Table </w:t>
      </w: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SEQ Table \* ARABIC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1</w:t>
      </w:r>
      <w:r>
        <w:rPr>
          <w:color w:val="000000" w:themeColor="text1"/>
          <w:sz w:val="20"/>
          <w:szCs w:val="20"/>
          <w14:textFill>
            <w14:solidFill>
              <w14:schemeClr w14:val="tx1"/>
            </w14:solidFill>
          </w14:textFill>
        </w:rPr>
        <w:fldChar w:fldCharType="end"/>
      </w:r>
      <w:r>
        <w:rPr>
          <w:color w:val="000000" w:themeColor="text1"/>
          <w:sz w:val="20"/>
          <w:szCs w:val="20"/>
          <w14:textFill>
            <w14:solidFill>
              <w14:schemeClr w14:val="tx1"/>
            </w14:solidFill>
          </w14:textFill>
        </w:rPr>
        <w:t>.Leadership roles, gender, and preferred leadership style</w:t>
      </w:r>
      <w:bookmarkEnd w:id="75"/>
      <w:bookmarkEnd w:id="76"/>
    </w:p>
    <w:p>
      <w:r>
        <w:t xml:space="preserve">     The data showcases a range of factors influencing leadership perceptions, challenges faced in leadership roles, and varying levels of </w:t>
      </w:r>
      <w:r>
        <w:rPr>
          <w:lang w:val="en-GB"/>
        </w:rPr>
        <w:t>acknowledgement</w:t>
      </w:r>
      <w:r>
        <w:t xml:space="preserve"> of gender-related stereotypes among respondents. The factors that affect the most leadership style include organisational culture, working environment, personal traits, experience. Also, respondents believe that formal education and experiences are also important in leadership. There's a mix of awareness and acceptance of gender stereotypes, with some respondents acknowledging their presence, while others report their gradual disappearance</w:t>
      </w:r>
      <w:r>
        <w:rPr>
          <w:b/>
          <w:bCs/>
        </w:rPr>
        <w:t xml:space="preserve">. </w:t>
      </w:r>
    </w:p>
    <w:tbl>
      <w:tblPr>
        <w:tblStyle w:val="14"/>
        <w:tblW w:w="9356"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31"/>
        <w:gridCol w:w="2718"/>
        <w:gridCol w:w="2734"/>
        <w:gridCol w:w="24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4" w:hRule="atLeast"/>
        </w:trPr>
        <w:tc>
          <w:tcPr>
            <w:tcW w:w="1431" w:type="dxa"/>
            <w:shd w:val="clear" w:color="auto" w:fill="CFA3EB"/>
          </w:tcPr>
          <w:p>
            <w:pPr>
              <w:rPr>
                <w:b/>
                <w:bCs/>
                <w:sz w:val="18"/>
                <w:szCs w:val="18"/>
              </w:rPr>
            </w:pPr>
            <w:bookmarkStart w:id="77" w:name="_Toc153906098"/>
            <w:bookmarkStart w:id="78" w:name="_Ref153905527"/>
            <w:r>
              <w:rPr>
                <w:b/>
                <w:bCs/>
                <w:sz w:val="18"/>
                <w:szCs w:val="18"/>
              </w:rPr>
              <w:t xml:space="preserve">Respondents </w:t>
            </w:r>
          </w:p>
        </w:tc>
        <w:tc>
          <w:tcPr>
            <w:tcW w:w="2718" w:type="dxa"/>
            <w:shd w:val="clear" w:color="auto" w:fill="CFA3EB"/>
          </w:tcPr>
          <w:p>
            <w:pPr>
              <w:rPr>
                <w:b/>
                <w:bCs/>
                <w:sz w:val="18"/>
                <w:szCs w:val="18"/>
              </w:rPr>
            </w:pPr>
            <w:r>
              <w:rPr>
                <w:b/>
                <w:bCs/>
                <w:sz w:val="18"/>
                <w:szCs w:val="18"/>
              </w:rPr>
              <w:t xml:space="preserve">Factors </w:t>
            </w:r>
          </w:p>
        </w:tc>
        <w:tc>
          <w:tcPr>
            <w:tcW w:w="2734" w:type="dxa"/>
            <w:shd w:val="clear" w:color="auto" w:fill="CFA3EB"/>
          </w:tcPr>
          <w:p>
            <w:pPr>
              <w:rPr>
                <w:b/>
                <w:bCs/>
                <w:sz w:val="18"/>
                <w:szCs w:val="18"/>
              </w:rPr>
            </w:pPr>
            <w:r>
              <w:rPr>
                <w:b/>
                <w:bCs/>
                <w:sz w:val="18"/>
                <w:szCs w:val="18"/>
              </w:rPr>
              <w:t>Challenges</w:t>
            </w:r>
          </w:p>
        </w:tc>
        <w:tc>
          <w:tcPr>
            <w:tcW w:w="2473" w:type="dxa"/>
            <w:shd w:val="clear" w:color="auto" w:fill="CFA3EB"/>
          </w:tcPr>
          <w:p>
            <w:pPr>
              <w:rPr>
                <w:b/>
                <w:bCs/>
                <w:sz w:val="18"/>
                <w:szCs w:val="18"/>
              </w:rPr>
            </w:pPr>
            <w:r>
              <w:rPr>
                <w:b/>
                <w:bCs/>
                <w:sz w:val="18"/>
                <w:szCs w:val="18"/>
              </w:rPr>
              <w:t xml:space="preserve">Potential stereotypes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0" w:hRule="atLeast"/>
        </w:trPr>
        <w:tc>
          <w:tcPr>
            <w:tcW w:w="1431" w:type="dxa"/>
          </w:tcPr>
          <w:p>
            <w:pPr>
              <w:jc w:val="center"/>
              <w:rPr>
                <w:rFonts w:hint="default" w:ascii="Times New Roman" w:hAnsi="Times New Roman" w:cs="Times New Roman"/>
                <w:b/>
                <w:bCs/>
                <w:sz w:val="18"/>
                <w:szCs w:val="18"/>
                <w:lang w:val="en-GB"/>
              </w:rPr>
            </w:pPr>
            <w:r>
              <w:rPr>
                <w:rFonts w:hint="default" w:ascii="Times New Roman" w:hAnsi="Times New Roman" w:cs="Times New Roman"/>
                <w:b/>
                <w:bCs/>
                <w:sz w:val="18"/>
                <w:szCs w:val="18"/>
                <w:lang w:val="en-GB"/>
              </w:rPr>
              <w:t>Peter Bond Manager</w:t>
            </w:r>
          </w:p>
        </w:tc>
        <w:tc>
          <w:tcPr>
            <w:tcW w:w="2718"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Organisational culture, working environment </w:t>
            </w:r>
          </w:p>
        </w:tc>
        <w:tc>
          <w:tcPr>
            <w:tcW w:w="2734"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Potential preference of different leadership styles </w:t>
            </w:r>
          </w:p>
        </w:tc>
        <w:tc>
          <w:tcPr>
            <w:tcW w:w="2473"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Unconscious biases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41" w:hRule="atLeast"/>
        </w:trPr>
        <w:tc>
          <w:tcPr>
            <w:tcW w:w="1431" w:type="dxa"/>
          </w:tcPr>
          <w:p>
            <w:pPr>
              <w:jc w:val="center"/>
              <w:rPr>
                <w:rFonts w:hint="default" w:ascii="Times New Roman" w:hAnsi="Times New Roman" w:cs="Times New Roman"/>
                <w:b/>
                <w:bCs/>
                <w:sz w:val="18"/>
                <w:szCs w:val="18"/>
              </w:rPr>
            </w:pPr>
            <w:r>
              <w:rPr>
                <w:rFonts w:hint="default" w:ascii="Times New Roman" w:hAnsi="Times New Roman" w:cs="Times New Roman"/>
                <w:b/>
                <w:bCs/>
                <w:sz w:val="18"/>
                <w:szCs w:val="18"/>
                <w:lang w:val="en-GB"/>
              </w:rPr>
              <w:t xml:space="preserve">Daren Welfare </w:t>
            </w:r>
            <w:r>
              <w:rPr>
                <w:rFonts w:hint="default" w:ascii="Times New Roman" w:hAnsi="Times New Roman" w:cs="Times New Roman"/>
                <w:b/>
                <w:bCs/>
                <w:sz w:val="18"/>
                <w:szCs w:val="18"/>
              </w:rPr>
              <w:t>Manager</w:t>
            </w:r>
          </w:p>
        </w:tc>
        <w:tc>
          <w:tcPr>
            <w:tcW w:w="2718"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Personal traits </w:t>
            </w:r>
          </w:p>
        </w:tc>
        <w:tc>
          <w:tcPr>
            <w:tcW w:w="2734"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Challenges differ based on gender </w:t>
            </w:r>
          </w:p>
        </w:tc>
        <w:tc>
          <w:tcPr>
            <w:tcW w:w="2473"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Male leaders are more task oriented; females are more person oriented.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52" w:hRule="atLeast"/>
        </w:trPr>
        <w:tc>
          <w:tcPr>
            <w:tcW w:w="1431" w:type="dxa"/>
          </w:tcPr>
          <w:p>
            <w:pPr>
              <w:jc w:val="center"/>
              <w:rPr>
                <w:rFonts w:hint="default" w:ascii="Times New Roman" w:hAnsi="Times New Roman" w:cs="Times New Roman"/>
                <w:b/>
                <w:bCs/>
                <w:sz w:val="18"/>
                <w:szCs w:val="18"/>
              </w:rPr>
            </w:pPr>
            <w:r>
              <w:rPr>
                <w:rFonts w:hint="default" w:ascii="Times New Roman" w:hAnsi="Times New Roman" w:cs="Times New Roman"/>
                <w:b/>
                <w:bCs/>
                <w:sz w:val="18"/>
                <w:szCs w:val="18"/>
                <w:lang w:val="en-GB"/>
              </w:rPr>
              <w:t xml:space="preserve">Paul Thomas General </w:t>
            </w:r>
            <w:r>
              <w:rPr>
                <w:rFonts w:hint="default" w:ascii="Times New Roman" w:hAnsi="Times New Roman" w:cs="Times New Roman"/>
                <w:b/>
                <w:bCs/>
                <w:sz w:val="18"/>
                <w:szCs w:val="18"/>
              </w:rPr>
              <w:t>Manager</w:t>
            </w:r>
          </w:p>
        </w:tc>
        <w:tc>
          <w:tcPr>
            <w:tcW w:w="2718"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Experience </w:t>
            </w:r>
          </w:p>
        </w:tc>
        <w:tc>
          <w:tcPr>
            <w:tcW w:w="2734"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Putting employees in the right roles </w:t>
            </w:r>
          </w:p>
        </w:tc>
        <w:tc>
          <w:tcPr>
            <w:tcW w:w="2473"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Belief that women will never be as good as men.</w:t>
            </w:r>
          </w:p>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Challenges for women to enter manufacturing particularly in high leadership position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6" w:hRule="atLeast"/>
        </w:trPr>
        <w:tc>
          <w:tcPr>
            <w:tcW w:w="1431" w:type="dxa"/>
          </w:tcPr>
          <w:p>
            <w:pPr>
              <w:jc w:val="center"/>
              <w:rPr>
                <w:rFonts w:hint="default" w:ascii="Times New Roman" w:hAnsi="Times New Roman" w:cs="Times New Roman"/>
                <w:b/>
                <w:bCs/>
                <w:sz w:val="18"/>
                <w:szCs w:val="18"/>
              </w:rPr>
            </w:pPr>
            <w:r>
              <w:rPr>
                <w:rFonts w:hint="default" w:ascii="Times New Roman" w:hAnsi="Times New Roman" w:cs="Times New Roman"/>
                <w:b/>
                <w:bCs/>
                <w:sz w:val="18"/>
                <w:szCs w:val="18"/>
                <w:lang w:val="en-GB"/>
              </w:rPr>
              <w:t xml:space="preserve">Andrew Reene </w:t>
            </w:r>
            <w:r>
              <w:rPr>
                <w:rFonts w:hint="default" w:ascii="Times New Roman" w:hAnsi="Times New Roman" w:cs="Times New Roman"/>
                <w:b/>
                <w:bCs/>
                <w:sz w:val="18"/>
                <w:szCs w:val="18"/>
              </w:rPr>
              <w:t>Manager</w:t>
            </w:r>
          </w:p>
        </w:tc>
        <w:tc>
          <w:tcPr>
            <w:tcW w:w="2718"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University degree, skills, and traits </w:t>
            </w:r>
          </w:p>
        </w:tc>
        <w:tc>
          <w:tcPr>
            <w:tcW w:w="2734"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Employees negative attitude </w:t>
            </w:r>
          </w:p>
        </w:tc>
        <w:tc>
          <w:tcPr>
            <w:tcW w:w="2473"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No stereotypes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22" w:hRule="atLeast"/>
        </w:trPr>
        <w:tc>
          <w:tcPr>
            <w:tcW w:w="1431" w:type="dxa"/>
          </w:tcPr>
          <w:p>
            <w:pPr>
              <w:jc w:val="center"/>
              <w:rPr>
                <w:rFonts w:hint="default" w:ascii="Times New Roman" w:hAnsi="Times New Roman" w:cs="Times New Roman"/>
                <w:b/>
                <w:bCs/>
                <w:sz w:val="18"/>
                <w:szCs w:val="18"/>
                <w:lang w:val="en-GB"/>
              </w:rPr>
            </w:pPr>
            <w:r>
              <w:rPr>
                <w:rFonts w:hint="default" w:ascii="Times New Roman" w:hAnsi="Times New Roman" w:cs="Times New Roman"/>
                <w:b/>
                <w:bCs/>
                <w:sz w:val="18"/>
                <w:szCs w:val="18"/>
                <w:lang w:val="en-GB"/>
              </w:rPr>
              <w:t>Scott Brett Supervisor</w:t>
            </w:r>
          </w:p>
        </w:tc>
        <w:tc>
          <w:tcPr>
            <w:tcW w:w="2718"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Personal traits (resilience, problem-solving skills, and a strategic mindset) organisational culture, career experiences </w:t>
            </w:r>
          </w:p>
        </w:tc>
        <w:tc>
          <w:tcPr>
            <w:tcW w:w="2734"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Change management </w:t>
            </w:r>
          </w:p>
        </w:tc>
        <w:tc>
          <w:tcPr>
            <w:tcW w:w="2473"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Assumption that certain leadership traits are inherently gender specific.</w:t>
            </w:r>
          </w:p>
          <w:p>
            <w:pPr>
              <w:rPr>
                <w:rFonts w:hint="default" w:ascii="Times New Roman" w:hAnsi="Times New Roman" w:cs="Times New Roman"/>
                <w:b/>
                <w:bCs/>
                <w:sz w:val="18"/>
                <w:szCs w:val="18"/>
              </w:rPr>
            </w:pPr>
            <w:r>
              <w:rPr>
                <w:rFonts w:hint="default" w:ascii="Times New Roman" w:hAnsi="Times New Roman" w:cs="Times New Roman"/>
                <w:b/>
                <w:bCs/>
                <w:sz w:val="18"/>
                <w:szCs w:val="18"/>
              </w:rPr>
              <w:t>Example:</w:t>
            </w:r>
            <w:r>
              <w:rPr>
                <w:rFonts w:hint="default" w:ascii="Times New Roman" w:hAnsi="Times New Roman" w:cs="Times New Roman"/>
                <w:color w:val="333E48"/>
                <w:sz w:val="18"/>
                <w:szCs w:val="18"/>
                <w:shd w:val="clear" w:color="auto" w:fill="FFFFFF"/>
              </w:rPr>
              <w:t xml:space="preserve"> </w:t>
            </w:r>
            <w:r>
              <w:rPr>
                <w:rFonts w:hint="default" w:ascii="Times New Roman" w:hAnsi="Times New Roman" w:cs="Times New Roman"/>
                <w:b/>
                <w:bCs/>
                <w:sz w:val="18"/>
                <w:szCs w:val="18"/>
              </w:rPr>
              <w:t>men are more decisive while women are more nurturing.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4" w:hRule="atLeast"/>
        </w:trPr>
        <w:tc>
          <w:tcPr>
            <w:tcW w:w="1431" w:type="dxa"/>
          </w:tcPr>
          <w:p>
            <w:pPr>
              <w:jc w:val="center"/>
              <w:rPr>
                <w:rFonts w:hint="default" w:ascii="Times New Roman" w:hAnsi="Times New Roman" w:cs="Times New Roman"/>
                <w:b/>
                <w:bCs/>
                <w:sz w:val="18"/>
                <w:szCs w:val="18"/>
                <w:lang w:val="en-GB"/>
              </w:rPr>
            </w:pPr>
            <w:r>
              <w:rPr>
                <w:rFonts w:hint="default" w:ascii="Times New Roman" w:hAnsi="Times New Roman" w:cs="Times New Roman"/>
                <w:b/>
                <w:bCs/>
                <w:sz w:val="18"/>
                <w:szCs w:val="18"/>
                <w:lang w:val="en-GB"/>
              </w:rPr>
              <w:t>Graham Lowe Manager</w:t>
            </w:r>
          </w:p>
        </w:tc>
        <w:tc>
          <w:tcPr>
            <w:tcW w:w="2718"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Selection of leadership styles </w:t>
            </w:r>
          </w:p>
        </w:tc>
        <w:tc>
          <w:tcPr>
            <w:tcW w:w="2734"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Resistance to change </w:t>
            </w:r>
          </w:p>
        </w:tc>
        <w:tc>
          <w:tcPr>
            <w:tcW w:w="2473"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Gender stereotypes are gradually disappearing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30" w:hRule="atLeast"/>
        </w:trPr>
        <w:tc>
          <w:tcPr>
            <w:tcW w:w="1431" w:type="dxa"/>
          </w:tcPr>
          <w:p>
            <w:pPr>
              <w:jc w:val="center"/>
              <w:rPr>
                <w:rFonts w:hint="default" w:ascii="Times New Roman" w:hAnsi="Times New Roman" w:cs="Times New Roman"/>
                <w:b/>
                <w:bCs/>
                <w:sz w:val="18"/>
                <w:szCs w:val="18"/>
                <w:lang w:val="en-GB"/>
              </w:rPr>
            </w:pPr>
            <w:r>
              <w:rPr>
                <w:rFonts w:hint="default" w:ascii="Times New Roman" w:hAnsi="Times New Roman" w:cs="Times New Roman"/>
                <w:b/>
                <w:bCs/>
                <w:sz w:val="18"/>
                <w:szCs w:val="18"/>
                <w:lang w:val="en-GB"/>
              </w:rPr>
              <w:t>Satinder Swain Supervisor</w:t>
            </w:r>
          </w:p>
        </w:tc>
        <w:tc>
          <w:tcPr>
            <w:tcW w:w="2718"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Leadership competences </w:t>
            </w:r>
          </w:p>
        </w:tc>
        <w:tc>
          <w:tcPr>
            <w:tcW w:w="2734" w:type="dxa"/>
          </w:tcPr>
          <w:p>
            <w:pPr>
              <w:rPr>
                <w:rFonts w:hint="default" w:ascii="Times New Roman" w:hAnsi="Times New Roman" w:cs="Times New Roman"/>
                <w:b/>
                <w:bCs/>
                <w:sz w:val="18"/>
                <w:szCs w:val="18"/>
              </w:rPr>
            </w:pPr>
            <w:r>
              <w:rPr>
                <w:rFonts w:hint="default" w:ascii="Times New Roman" w:hAnsi="Times New Roman" w:cs="Times New Roman"/>
                <w:b/>
                <w:bCs/>
                <w:sz w:val="18"/>
                <w:szCs w:val="18"/>
              </w:rPr>
              <w:t xml:space="preserve">No challenges </w:t>
            </w:r>
          </w:p>
          <w:p>
            <w:pPr>
              <w:rPr>
                <w:rFonts w:hint="default" w:ascii="Times New Roman" w:hAnsi="Times New Roman" w:cs="Times New Roman"/>
                <w:sz w:val="18"/>
                <w:szCs w:val="18"/>
              </w:rPr>
            </w:pPr>
          </w:p>
          <w:p>
            <w:pPr>
              <w:rPr>
                <w:rFonts w:hint="default" w:ascii="Times New Roman" w:hAnsi="Times New Roman" w:cs="Times New Roman"/>
                <w:sz w:val="18"/>
                <w:szCs w:val="18"/>
              </w:rPr>
            </w:pPr>
          </w:p>
          <w:p>
            <w:pPr>
              <w:rPr>
                <w:rFonts w:hint="default" w:ascii="Times New Roman" w:hAnsi="Times New Roman" w:cs="Times New Roman"/>
                <w:sz w:val="18"/>
                <w:szCs w:val="18"/>
              </w:rPr>
            </w:pPr>
          </w:p>
        </w:tc>
        <w:tc>
          <w:tcPr>
            <w:tcW w:w="2473" w:type="dxa"/>
          </w:tcPr>
          <w:p>
            <w:pPr>
              <w:jc w:val="left"/>
              <w:rPr>
                <w:rFonts w:hint="default" w:ascii="Times New Roman" w:hAnsi="Times New Roman" w:cs="Times New Roman"/>
                <w:b/>
                <w:bCs/>
                <w:sz w:val="18"/>
                <w:szCs w:val="18"/>
              </w:rPr>
            </w:pPr>
            <w:r>
              <w:rPr>
                <w:rFonts w:hint="default" w:ascii="Times New Roman" w:hAnsi="Times New Roman" w:cs="Times New Roman"/>
                <w:b/>
                <w:bCs/>
                <w:sz w:val="18"/>
                <w:szCs w:val="18"/>
              </w:rPr>
              <w:t>Solutions to foster inclusive working environment</w:t>
            </w:r>
            <w:r>
              <w:rPr>
                <w:rFonts w:hint="default" w:ascii="Times New Roman" w:hAnsi="Times New Roman" w:cs="Times New Roman"/>
                <w:color w:val="374151"/>
                <w:sz w:val="18"/>
                <w:szCs w:val="18"/>
              </w:rPr>
              <w:t xml:space="preserve"> (</w:t>
            </w:r>
            <w:r>
              <w:rPr>
                <w:rFonts w:hint="default" w:ascii="Times New Roman" w:hAnsi="Times New Roman" w:cs="Times New Roman"/>
                <w:b/>
                <w:bCs/>
                <w:sz w:val="18"/>
                <w:szCs w:val="18"/>
              </w:rPr>
              <w:t>equality in treatment, collaboration, teamwork, respect for diverse cultures)</w:t>
            </w:r>
          </w:p>
        </w:tc>
      </w:tr>
    </w:tbl>
    <w:p>
      <w:pPr>
        <w:pStyle w:val="7"/>
        <w:jc w:val="center"/>
        <w:rPr>
          <w:color w:val="000000" w:themeColor="text1"/>
          <w:sz w:val="20"/>
          <w:szCs w:val="20"/>
          <w14:textFill>
            <w14:solidFill>
              <w14:schemeClr w14:val="tx1"/>
            </w14:solidFill>
          </w14:textFill>
        </w:rPr>
      </w:pPr>
      <w:r>
        <w:rPr>
          <w:rFonts w:hint="default" w:ascii="Times New Roman" w:hAnsi="Times New Roman" w:cs="Times New Roman"/>
          <w:color w:val="000000" w:themeColor="text1"/>
          <w:sz w:val="18"/>
          <w:szCs w:val="18"/>
          <w14:textFill>
            <w14:solidFill>
              <w14:schemeClr w14:val="tx1"/>
            </w14:solidFill>
          </w14:textFill>
        </w:rPr>
        <w:t xml:space="preserve">Table </w:t>
      </w:r>
      <w:r>
        <w:rPr>
          <w:rFonts w:hint="default" w:ascii="Times New Roman" w:hAnsi="Times New Roman" w:cs="Times New Roman"/>
          <w:color w:val="000000" w:themeColor="text1"/>
          <w:sz w:val="18"/>
          <w:szCs w:val="18"/>
          <w14:textFill>
            <w14:solidFill>
              <w14:schemeClr w14:val="tx1"/>
            </w14:solidFill>
          </w14:textFill>
        </w:rPr>
        <w:fldChar w:fldCharType="begin"/>
      </w:r>
      <w:r>
        <w:rPr>
          <w:rFonts w:hint="default" w:ascii="Times New Roman" w:hAnsi="Times New Roman" w:cs="Times New Roman"/>
          <w:color w:val="000000" w:themeColor="text1"/>
          <w:sz w:val="18"/>
          <w:szCs w:val="18"/>
          <w14:textFill>
            <w14:solidFill>
              <w14:schemeClr w14:val="tx1"/>
            </w14:solidFill>
          </w14:textFill>
        </w:rPr>
        <w:instrText xml:space="preserve"> SEQ Table \* ARABIC </w:instrText>
      </w:r>
      <w:r>
        <w:rPr>
          <w:rFonts w:hint="default" w:ascii="Times New Roman" w:hAnsi="Times New Roman" w:cs="Times New Roman"/>
          <w:color w:val="000000" w:themeColor="text1"/>
          <w:sz w:val="18"/>
          <w:szCs w:val="18"/>
          <w14:textFill>
            <w14:solidFill>
              <w14:schemeClr w14:val="tx1"/>
            </w14:solidFill>
          </w14:textFill>
        </w:rPr>
        <w:fldChar w:fldCharType="separate"/>
      </w:r>
      <w:r>
        <w:rPr>
          <w:rFonts w:hint="default" w:ascii="Times New Roman" w:hAnsi="Times New Roman" w:cs="Times New Roman"/>
          <w:color w:val="000000" w:themeColor="text1"/>
          <w:sz w:val="18"/>
          <w:szCs w:val="18"/>
          <w14:textFill>
            <w14:solidFill>
              <w14:schemeClr w14:val="tx1"/>
            </w14:solidFill>
          </w14:textFill>
        </w:rPr>
        <w:t>2</w:t>
      </w:r>
      <w:r>
        <w:rPr>
          <w:rFonts w:hint="default" w:ascii="Times New Roman" w:hAnsi="Times New Roman" w:cs="Times New Roman"/>
          <w:color w:val="000000" w:themeColor="text1"/>
          <w:sz w:val="18"/>
          <w:szCs w:val="18"/>
          <w14:textFill>
            <w14:solidFill>
              <w14:schemeClr w14:val="tx1"/>
            </w14:solidFill>
          </w14:textFill>
        </w:rPr>
        <w:fldChar w:fldCharType="end"/>
      </w:r>
      <w:r>
        <w:rPr>
          <w:rFonts w:hint="default" w:ascii="Times New Roman" w:hAnsi="Times New Roman" w:cs="Times New Roman"/>
          <w:color w:val="000000" w:themeColor="text1"/>
          <w:sz w:val="18"/>
          <w:szCs w:val="18"/>
          <w14:textFill>
            <w14:solidFill>
              <w14:schemeClr w14:val="tx1"/>
            </w14:solidFill>
          </w14:textFill>
        </w:rPr>
        <w:t>.Factors, Challenges and Potential stereotypes</w:t>
      </w:r>
    </w:p>
    <w:bookmarkEnd w:id="77"/>
    <w:bookmarkEnd w:id="78"/>
    <w:p>
      <w:pPr>
        <w:pStyle w:val="7"/>
        <w:jc w:val="both"/>
        <w:rPr>
          <w:color w:val="000000" w:themeColor="text1"/>
          <w:sz w:val="20"/>
          <w:szCs w:val="20"/>
          <w14:textFill>
            <w14:solidFill>
              <w14:schemeClr w14:val="tx1"/>
            </w14:solidFill>
          </w14:textFill>
        </w:rPr>
      </w:pPr>
    </w:p>
    <w:p>
      <w:pPr>
        <w:pStyle w:val="3"/>
      </w:pPr>
    </w:p>
    <w:p>
      <w:pPr>
        <w:pStyle w:val="3"/>
      </w:pPr>
      <w:bookmarkStart w:id="79" w:name="_Toc154675134"/>
      <w:r>
        <w:t>4.4 Discussion</w:t>
      </w:r>
      <w:bookmarkEnd w:id="79"/>
      <w:r>
        <w:t xml:space="preserve"> </w:t>
      </w:r>
    </w:p>
    <w:p>
      <w:r>
        <w:t xml:space="preserve">     Manufacturing industry is still highly dominated by men and leadership positions are no exceptions making it challenging to gather data not only from male perspectives but also female perspectives which are crucial to increase the results accuracy. Nevertheless, the gathered data helps gaining meaningful insights into the impact gender differences have on leadership style selection in manufacturing in the UK with a particular focus on Sleepeezee, mattress manufacturer. </w:t>
      </w:r>
    </w:p>
    <w:p>
      <w:r>
        <w:t xml:space="preserve">      There are controversies surrounding the differences in the selection of leadership styles based on gender. Additionally, debates persist regarding whether women are capable of fulfilling leadership roles effectively. Sandberg (2013; pg.19) suggests that women bring unique qualities and perspectives in their role as leaders. Even if women may prove to be equally efficient leaders traditional gender roles, stereotypes may advantage men over women in leadership roles therefore also impacting the leadership selection </w:t>
      </w:r>
      <w:sdt>
        <w:sdtPr>
          <w:id w:val="346377111"/>
        </w:sdtPr>
        <w:sdtContent>
          <w:r>
            <w:fldChar w:fldCharType="begin"/>
          </w:r>
          <w:r>
            <w:instrText xml:space="preserve"> CITATION Gal23 \l 2057 </w:instrText>
          </w:r>
          <w:r>
            <w:fldChar w:fldCharType="separate"/>
          </w:r>
          <w:r>
            <w:t>(Galsanjigmed &amp; Tomaki, 2023)</w:t>
          </w:r>
          <w:r>
            <w:fldChar w:fldCharType="end"/>
          </w:r>
        </w:sdtContent>
      </w:sdt>
      <w:r>
        <w:t xml:space="preserve">.  Manufacturing industry is mostly dominated by men and women are still heavily </w:t>
      </w:r>
      <w:r>
        <w:rPr>
          <w:lang w:val="en-GB"/>
        </w:rPr>
        <w:t>under-represented</w:t>
      </w:r>
      <w:r>
        <w:t xml:space="preserve">. Even if women succeed in leadership role, they may face challenges in leading teams with men as majority because of unconscious biases. Additionally, female leaders are more reluctant to report challenges due to fear of being perceived as weak or even the additional pressure on female leaders to appear strong and competent. </w:t>
      </w:r>
    </w:p>
    <w:p>
      <w:r>
        <w:t xml:space="preserve">    Horowitz, et al., 2018 both genders exhibit equal capabilities in leading but not all genders face same challenges. As per traditional gender roles deeply ingrained in societies women are expected to be polite, nurturing whereas men strong, aggressive, and bold these could impact how employees, followers expect a leader to behave based on gender stereotypes. The study results show that both men and women are more likely to adapt a blend of styles to increase efficiency. However, due to limited number of women in leadership roles </w:t>
      </w:r>
      <w:sdt>
        <w:sdtPr>
          <w:id w:val="538407393"/>
        </w:sdtPr>
        <w:sdtContent>
          <w:r>
            <w:fldChar w:fldCharType="begin"/>
          </w:r>
          <w:r>
            <w:instrText xml:space="preserve"> CITATION Mor221 \l 2057 </w:instrText>
          </w:r>
          <w:r>
            <w:fldChar w:fldCharType="separate"/>
          </w:r>
          <w:r>
            <w:t>(Morris, 2022)</w:t>
          </w:r>
          <w:r>
            <w:fldChar w:fldCharType="end"/>
          </w:r>
        </w:sdtContent>
      </w:sdt>
      <w:r>
        <w:t xml:space="preserve"> including at Sleepeezee it is challenging to generalise findings as female perspectives are limited. Even if there is an existing belief that the barriers and stereotypes are disappearing or are not present </w:t>
      </w:r>
      <w:r>
        <w:rPr>
          <w:color w:val="000000" w:themeColor="text1"/>
          <w14:textFill>
            <w14:solidFill>
              <w14:schemeClr w14:val="tx1"/>
            </w14:solidFill>
          </w14:textFill>
        </w:rPr>
        <w:t xml:space="preserve">(See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REF _Ref153905527 \h  \* MERGEFORMAT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Table 2.Factors, Challenges and Potential stereotypes</w:t>
      </w:r>
      <w:r>
        <w:rPr>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w:t>
      </w:r>
      <w:r>
        <w:t xml:space="preserve">the perception that men are more suitable in leadership is still present </w:t>
      </w:r>
      <w:sdt>
        <w:sdtPr>
          <w:id w:val="-581220088"/>
        </w:sdtPr>
        <w:sdtContent>
          <w:r>
            <w:fldChar w:fldCharType="begin"/>
          </w:r>
          <w:r>
            <w:instrText xml:space="preserve"> CITATION Tab21 \l 2057 </w:instrText>
          </w:r>
          <w:r>
            <w:fldChar w:fldCharType="separate"/>
          </w:r>
          <w:r>
            <w:t>(Tabassum &amp; Nayak, 2021)</w:t>
          </w:r>
          <w:r>
            <w:fldChar w:fldCharType="end"/>
          </w:r>
        </w:sdtContent>
      </w:sdt>
      <w:r>
        <w:t xml:space="preserve">. </w:t>
      </w:r>
    </w:p>
    <w:p>
      <w:r>
        <w:t xml:space="preserve">    As discussed previously, there are multiple factors that could influence the selection of leadership styles and approaches. The study results show that leaders style selection is impacted by the leadership competences and traits, organisational culture, working environment and experience.   Nevertheless, there is a predominance in the preference of using democratic style where leaders consider the inputs of their employees in the final decision making. This could be because of the rapid changes and the need to adapt to these changes to boost the morale by involving the employees in the process. Manufacturing environments can be dynamic, requiring quick adjustments to processes or </w:t>
      </w:r>
      <w:r>
        <w:rPr>
          <w:lang w:val="en-GB"/>
        </w:rPr>
        <w:t>work flows</w:t>
      </w:r>
      <w:r>
        <w:t>. A democratic leader can gather insights from the team to adapt more swiftly to changing conditions.</w:t>
      </w:r>
    </w:p>
    <w:p>
      <w:pPr>
        <w:pStyle w:val="3"/>
        <w:ind w:left="360"/>
      </w:pPr>
      <w:bookmarkStart w:id="80" w:name="_Toc149574100"/>
      <w:bookmarkStart w:id="81" w:name="_Toc154675135"/>
      <w:r>
        <w:t>4.5 Summary of Chapter 4</w:t>
      </w:r>
      <w:bookmarkEnd w:id="80"/>
      <w:bookmarkEnd w:id="81"/>
      <w:r>
        <w:t xml:space="preserve"> </w:t>
      </w:r>
    </w:p>
    <w:p>
      <w:r>
        <w:t xml:space="preserve">    The examination of leadership style selection in the male-dominated manufacturing industry, particularly at Sleepeezee, underscores the crucial need for diverse perspectives, especially from women, to enhance the accuracy of insights. Despite debates about women's efficacy in leadership roles, acknowledging their unique contributions, as suggested by Sandberg (2013), is vital. Gender stereotypes and biases persist, impacting not only the selection of leaders but also the challenges faced by women in these roles. However, studies indicate that both genders exhibit equal capabilities in leadership yet face distinct challenges due to societal gender norms. The preference for a democratic leadership style prevails, reflecting the industry's need for adaptability and employee involvement. To overcome biases and barriers, proactive measures like bias education, policy modifications, and creating equitable opportunities for women are imperative for a fair and inclusive workplace.</w:t>
      </w:r>
    </w:p>
    <w:p>
      <w:pPr>
        <w:pStyle w:val="2"/>
      </w:pPr>
      <w:bookmarkStart w:id="82" w:name="_Toc149574101"/>
    </w:p>
    <w:p>
      <w:pPr>
        <w:pStyle w:val="2"/>
      </w:pPr>
    </w:p>
    <w:p>
      <w:pPr>
        <w:pStyle w:val="2"/>
      </w:pPr>
    </w:p>
    <w:p/>
    <w:p>
      <w:pPr>
        <w:pStyle w:val="2"/>
      </w:pPr>
    </w:p>
    <w:p/>
    <w:p>
      <w:pPr>
        <w:pStyle w:val="2"/>
      </w:pPr>
      <w:bookmarkStart w:id="83" w:name="_Toc154675136"/>
      <w:r>
        <w:t>Chapter 5. Conclusion and recommendations</w:t>
      </w:r>
      <w:bookmarkEnd w:id="82"/>
      <w:bookmarkEnd w:id="83"/>
      <w:r>
        <w:t xml:space="preserve"> </w:t>
      </w:r>
    </w:p>
    <w:p>
      <w:r>
        <w:t xml:space="preserve">    This study provided important insights into leadership style selection within the UK manufacturing sector at Sleepeezee, focusing on the profound influence of gender differences. It has unveiled the challenges faced by female leaders, including biases, societal expectations, and various barriers. It has highlighted the need for targeted support systems and policy changes to overcomes challenges and minimise </w:t>
      </w:r>
      <w:r>
        <w:rPr>
          <w:lang w:val="en-GB"/>
        </w:rPr>
        <w:t>under-representation</w:t>
      </w:r>
      <w:r>
        <w:t xml:space="preserve"> of women in manufacturing. </w:t>
      </w:r>
    </w:p>
    <w:p>
      <w:pPr>
        <w:rPr>
          <w:rFonts w:ascii="Segoe UI" w:hAnsi="Segoe UI" w:cs="Segoe UI"/>
          <w:color w:val="374151"/>
        </w:rPr>
      </w:pPr>
      <w:r>
        <w:t xml:space="preserve">   The study findings show that the most common leadership styles preferred by male leaders are blend of democratic and transformational approaches whereas female leader preferred a target-oriented approach to leadership.  A common pattern found in the study is temperance of leading by example, caring for employees, and guiding behaviour highlighted by leaders.  Furthermore, various challenges related to gender surfaced such as resistance to change, applying appropriate style, stereotypes, negative attitudes.  </w:t>
      </w:r>
    </w:p>
    <w:p>
      <w:r>
        <w:t xml:space="preserve">    Recognising and mitigating these influences can lead to more nuanced and adaptable leadership approaches, beneficial for diverse organisational settings.</w:t>
      </w:r>
      <w:r>
        <w:rPr>
          <w:rFonts w:ascii="Segoe UI" w:hAnsi="Segoe UI" w:cs="Segoe UI"/>
          <w:color w:val="374151"/>
        </w:rPr>
        <w:t xml:space="preserve"> </w:t>
      </w:r>
      <w:r>
        <w:t>The investigation into how stereotypes affect perceptions of male and female leaders highlights the intricate interplay between societal biases and leadership dynamics. The study provided insights that could foster a more equitable and inclusive leadership cultures sensitive to diverse perspectives and qualities which not only can be applied at Sleepe</w:t>
      </w:r>
      <w:r>
        <w:rPr>
          <w:rFonts w:hint="default"/>
          <w:lang w:val="en-GB"/>
        </w:rPr>
        <w:t>e</w:t>
      </w:r>
      <w:r>
        <w:t xml:space="preserve">zee but also considered widely in manufacturing industry. </w:t>
      </w:r>
    </w:p>
    <w:p>
      <w:r>
        <w:t xml:space="preserve">   Additionally, the critical </w:t>
      </w:r>
      <w:r>
        <w:rPr>
          <w:lang w:val="en-GB"/>
        </w:rPr>
        <w:t>under-representation</w:t>
      </w:r>
      <w:r>
        <w:t xml:space="preserve"> of women in UK manufacturing leadership, probing into gender's impact on leadership and its organizational outcomes. The findings show no radical gender-related variations and influential factors in the choice of leadership styles however, it seems that the perception that male are more capable leaders compared to women persist thus women may face additional barriers in succeeding in leadership roles.  Uncovering gender-specific challenges illuminates’ pathways to foster an inclusive, supportive leadership environment much needed at Sleep</w:t>
      </w:r>
      <w:r>
        <w:rPr>
          <w:rFonts w:hint="default"/>
          <w:lang w:val="en-GB"/>
        </w:rPr>
        <w:t>e</w:t>
      </w:r>
      <w:r>
        <w:t xml:space="preserve">ezee. This study delineates gender-related leadership style differences, shaping organizational dynamics and performance. However, it is important to acknowledge the challenges in term of obtaining sufficient perspectives from female leaders due to high </w:t>
      </w:r>
      <w:r>
        <w:rPr>
          <w:lang w:val="en-GB"/>
        </w:rPr>
        <w:t>under-representation</w:t>
      </w:r>
      <w:r>
        <w:t xml:space="preserve"> of female leaders in manufacturing.  </w:t>
      </w:r>
    </w:p>
    <w:p>
      <w:r>
        <w:t xml:space="preserve">    Despite that, the research contributes to both management and academia by unravelling nuanced insights into the relationship between gender and leadership styles within the manufacturing sector, specifically at Sleepeezee, pinpointing towards the persistent issues of sufficient data based on gender.  </w:t>
      </w:r>
    </w:p>
    <w:p>
      <w:r>
        <w:t xml:space="preserve">       Academically, this study enriches the discourse on gender-related leadership disparities, contributing to a deeper understanding of how gender influences leadership styles, thereby advancing the field of organizational psychology and management studies.    </w:t>
      </w:r>
      <w:r>
        <w:br w:type="textWrapping"/>
      </w:r>
      <w:r>
        <w:t>While valuable, this research bears limitations. The sample size, skewed gender representation, and single-company focus may limit generalizability. Additionally, self-reported data and potential biases could influence findings. Future studies with broader samples and diverse industry scopes can offer a more comprehensive understanding of gender-linked leadership styles.</w:t>
      </w:r>
    </w:p>
    <w:p>
      <w:r>
        <w:t xml:space="preserve">    Implementing programs to educate on unconscious biases can mitigate skewed leadership perceptions. Evaluation and modification of organizational policies are crucial for fair recruitment, promotions, and gender-neutral language usage in job descriptions to counter biases. Identifying and eliminating systemic barriers can create a fairer, competency-based workplace fostering gender equity in leadership. </w:t>
      </w:r>
    </w:p>
    <w:p>
      <w:r>
        <w:t xml:space="preserve">    Moreover, it is recommended to address the </w:t>
      </w:r>
      <w:r>
        <w:rPr>
          <w:lang w:val="en-GB"/>
        </w:rPr>
        <w:t>under-representation</w:t>
      </w:r>
      <w:r>
        <w:t xml:space="preserve"> of women in leadership roles within companies like Sleepeezee. To bridge this gap, initiating </w:t>
      </w:r>
      <w:r>
        <w:rPr>
          <w:lang w:val="en-GB"/>
        </w:rPr>
        <w:t>mentor ship</w:t>
      </w:r>
      <w:r>
        <w:t xml:space="preserve"> programs empowering aspiring female leaders and implementing inclusive recruitment strategies emphasizing diverse talent pools can be helpful. Also, it is advisable to encourage initiatives that facilitate and support more women in leadership including encouraging leadership skill development through workshops and seminars. By address systemic barriers hindering efficiency of leaders, encouraging democratic leadership styles that involve employees in decision-making can fosters adaptability, inclusive leadership practices and employees wellbeing which are important in long term company success. </w:t>
      </w:r>
    </w:p>
    <w:p/>
    <w:p/>
    <w:p/>
    <w:p>
      <w:pPr>
        <w:pStyle w:val="2"/>
      </w:pPr>
      <w:bookmarkStart w:id="84" w:name="_Toc149574112"/>
      <w:bookmarkStart w:id="85" w:name="_Toc154675137"/>
      <w:r>
        <w:t>Terms of Glossary</w:t>
      </w:r>
      <w:bookmarkEnd w:id="84"/>
      <w:bookmarkEnd w:id="85"/>
      <w:r>
        <w:t xml:space="preserve"> </w:t>
      </w:r>
    </w:p>
    <w:tbl>
      <w:tblPr>
        <w:tblStyle w:val="14"/>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63"/>
        <w:gridCol w:w="70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Leadership Styles</w:t>
            </w:r>
          </w:p>
        </w:tc>
        <w:tc>
          <w:tcPr>
            <w:tcW w:w="7088" w:type="dxa"/>
          </w:tcPr>
          <w:p>
            <w:r>
              <w:rPr>
                <w:bCs/>
              </w:rPr>
              <w:t>Various approaches or methods individuals use to lead and manage teams or organizations, influenced by personal traits, experiences, and organizational culture.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Gender Differences</w:t>
            </w:r>
          </w:p>
        </w:tc>
        <w:tc>
          <w:tcPr>
            <w:tcW w:w="7088" w:type="dxa"/>
          </w:tcPr>
          <w:p>
            <w:r>
              <w:t>Variations in behaviours, preferences, and traits between males and females, impacting leadership styles and perceptions.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Bias</w:t>
            </w:r>
            <w:r>
              <w:rPr>
                <w:rFonts w:hint="default"/>
                <w:b/>
                <w:lang w:val="en-GB"/>
              </w:rPr>
              <w:t xml:space="preserve"> </w:t>
            </w:r>
            <w:r>
              <w:rPr>
                <w:b/>
              </w:rPr>
              <w:t>and Stereotypes</w:t>
            </w:r>
          </w:p>
        </w:tc>
        <w:tc>
          <w:tcPr>
            <w:tcW w:w="7088" w:type="dxa"/>
          </w:tcPr>
          <w:p>
            <w:r>
              <w:rPr>
                <w:bCs/>
              </w:rPr>
              <w:t>Preconceived notions or prejudices influencing perceptions of leadership potential and behaviours based on gender.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Target-Oriented Leadership</w:t>
            </w:r>
          </w:p>
        </w:tc>
        <w:tc>
          <w:tcPr>
            <w:tcW w:w="7088" w:type="dxa"/>
          </w:tcPr>
          <w:p>
            <w:r>
              <w:rPr>
                <w:bCs/>
              </w:rPr>
              <w:t>Emphasizes setting and achieving specific goals or targets as the primary focus of leadership.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Leadership Dynamics</w:t>
            </w:r>
          </w:p>
        </w:tc>
        <w:tc>
          <w:tcPr>
            <w:tcW w:w="7088" w:type="dxa"/>
          </w:tcPr>
          <w:p>
            <w:r>
              <w:rPr>
                <w:bCs/>
              </w:rPr>
              <w:t>Interactions, behaviours, and relationships within leadership settings that influence organizational performance.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Competency-Based Workplace</w:t>
            </w:r>
          </w:p>
        </w:tc>
        <w:tc>
          <w:tcPr>
            <w:tcW w:w="7088" w:type="dxa"/>
          </w:tcPr>
          <w:p>
            <w:r>
              <w:rPr>
                <w:bCs/>
              </w:rPr>
              <w:t>Emphasizing skills and capabilities rather than gender or other demographic factors in leadership selection and progression.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Transformational Leadership</w:t>
            </w:r>
          </w:p>
        </w:tc>
        <w:tc>
          <w:tcPr>
            <w:tcW w:w="7088" w:type="dxa"/>
          </w:tcPr>
          <w:p>
            <w:r>
              <w:rPr>
                <w:bCs/>
              </w:rPr>
              <w:t>A style that inspires and motivates followers through vision, charisma, and fostering positive change within an organization.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rPr>
                <w:b/>
              </w:rPr>
            </w:pPr>
            <w:r>
              <w:rPr>
                <w:b/>
              </w:rPr>
              <w:t>Democratic Leadership</w:t>
            </w:r>
          </w:p>
        </w:tc>
        <w:tc>
          <w:tcPr>
            <w:tcW w:w="7088" w:type="dxa"/>
          </w:tcPr>
          <w:p>
            <w:r>
              <w:rPr>
                <w:bCs/>
              </w:rPr>
              <w:t>Involves inclusive decision-making where team members' input is valued in the decision process.</w:t>
            </w:r>
          </w:p>
        </w:tc>
      </w:tr>
    </w:tbl>
    <w:p/>
    <w:p>
      <w:pPr>
        <w:spacing w:line="480" w:lineRule="auto"/>
      </w:pPr>
    </w:p>
    <w:p>
      <w:pPr>
        <w:spacing w:line="480" w:lineRule="auto"/>
      </w:pPr>
    </w:p>
    <w:p>
      <w:pPr>
        <w:spacing w:line="480" w:lineRule="auto"/>
      </w:pPr>
    </w:p>
    <w:sdt>
      <w:sdtPr>
        <w:rPr>
          <w:rFonts w:ascii="Times New Roman" w:hAnsi="Times New Roman" w:cs="Times New Roman" w:eastAsiaTheme="minorHAnsi"/>
          <w:b w:val="0"/>
          <w:bCs/>
          <w:color w:val="auto"/>
          <w:sz w:val="24"/>
          <w:szCs w:val="24"/>
        </w:rPr>
        <w:id w:val="-1292128508"/>
      </w:sdtPr>
      <w:sdtEndPr>
        <w:rPr>
          <w:rFonts w:ascii="Times New Roman" w:hAnsi="Times New Roman" w:cs="Times New Roman" w:eastAsiaTheme="minorHAnsi"/>
          <w:b w:val="0"/>
          <w:bCs w:val="0"/>
          <w:color w:val="auto"/>
          <w:sz w:val="24"/>
          <w:szCs w:val="24"/>
        </w:rPr>
      </w:sdtEndPr>
      <w:sdtContent>
        <w:p>
          <w:pPr>
            <w:pStyle w:val="2"/>
            <w:jc w:val="center"/>
            <w:rPr>
              <w:bCs/>
            </w:rPr>
          </w:pPr>
          <w:bookmarkStart w:id="86" w:name="_Toc149574111"/>
          <w:bookmarkStart w:id="87" w:name="_Toc154675138"/>
          <w:r>
            <w:rPr>
              <w:rFonts w:ascii="Times New Roman" w:hAnsi="Times New Roman" w:cs="Times New Roman" w:eastAsiaTheme="minorHAnsi"/>
              <w:bCs/>
              <w:color w:val="auto"/>
            </w:rPr>
            <w:t xml:space="preserve">List of </w:t>
          </w:r>
          <w:r>
            <w:rPr>
              <w:bCs/>
            </w:rPr>
            <w:t>References</w:t>
          </w:r>
          <w:bookmarkEnd w:id="86"/>
          <w:bookmarkEnd w:id="87"/>
        </w:p>
        <w:sdt>
          <w:sdtPr>
            <w:id w:val="111145805"/>
          </w:sdtPr>
          <w:sdtContent>
            <w:p>
              <w:pPr>
                <w:pStyle w:val="33"/>
                <w:numPr>
                  <w:ilvl w:val="0"/>
                  <w:numId w:val="4"/>
                </w:numPr>
                <w:jc w:val="left"/>
              </w:pPr>
              <w:r>
                <w:fldChar w:fldCharType="begin"/>
              </w:r>
              <w:r>
                <w:instrText xml:space="preserve"> BIBLIOGRAPHY </w:instrText>
              </w:r>
              <w:r>
                <w:fldChar w:fldCharType="separate"/>
              </w:r>
              <w:r>
                <w:t xml:space="preserve">Özgül, B. Karaca. D. a. Zehir. C., 2023. Testing Job Satisfaction as a Mediator Between Managers’ Charismatic Leadership and Followers’ Affective Organizational Commitment.. </w:t>
              </w:r>
              <w:r>
                <w:rPr>
                  <w:i/>
                  <w:iCs/>
                </w:rPr>
                <w:t xml:space="preserve">Ege Academic Review, </w:t>
              </w:r>
              <w:r>
                <w:t>22(1), pp. 1-15.</w:t>
              </w:r>
            </w:p>
            <w:p>
              <w:pPr>
                <w:pStyle w:val="33"/>
                <w:numPr>
                  <w:ilvl w:val="0"/>
                  <w:numId w:val="4"/>
                </w:numPr>
                <w:jc w:val="left"/>
              </w:pPr>
              <w:r>
                <w:t xml:space="preserve">Bryman, A., Bell, E., 2011. </w:t>
              </w:r>
              <w:r>
                <w:rPr>
                  <w:i/>
                  <w:iCs/>
                </w:rPr>
                <w:t xml:space="preserve">Business Reserach Methods. </w:t>
              </w:r>
              <w:r>
                <w:t>3rd Edition ed. New York : Oxford University Press .</w:t>
              </w:r>
            </w:p>
            <w:p>
              <w:pPr>
                <w:pStyle w:val="33"/>
                <w:numPr>
                  <w:ilvl w:val="0"/>
                  <w:numId w:val="4"/>
                </w:numPr>
                <w:jc w:val="left"/>
              </w:pPr>
              <w:r>
                <w:t xml:space="preserve">Lee, A., Legood A.,  Hugh. D., Tian A. W. , Newman A.,C. K., 2020. Leadership, creativity and innovation: a meta-analytic review. </w:t>
              </w:r>
              <w:r>
                <w:rPr>
                  <w:i/>
                  <w:iCs/>
                </w:rPr>
                <w:t xml:space="preserve">European Journal of Work and Organizational Psychology, </w:t>
              </w:r>
              <w:r>
                <w:t>29(1), pp. 1-35.</w:t>
              </w:r>
            </w:p>
            <w:p>
              <w:pPr>
                <w:pStyle w:val="33"/>
                <w:numPr>
                  <w:ilvl w:val="0"/>
                  <w:numId w:val="4"/>
                </w:numPr>
                <w:jc w:val="left"/>
              </w:pPr>
              <w:r>
                <w:t xml:space="preserve">Bass, B. M. &amp;. A. B. J., 1993. Transformational leadership: A response to cri-tiques.. In: </w:t>
              </w:r>
              <w:r>
                <w:rPr>
                  <w:i/>
                  <w:iCs/>
                </w:rPr>
                <w:t xml:space="preserve">Leadership theory and research: Perspectives and directions San Diego. </w:t>
              </w:r>
              <w:r>
                <w:t>Academic Press: In M. M. Chemers &amp; R. Ayman (Eds.), p. 49–80.</w:t>
              </w:r>
            </w:p>
            <w:p>
              <w:pPr>
                <w:pStyle w:val="33"/>
                <w:numPr>
                  <w:ilvl w:val="0"/>
                  <w:numId w:val="4"/>
                </w:numPr>
                <w:jc w:val="left"/>
              </w:pPr>
              <w:r>
                <w:t xml:space="preserve">Bass, B. M., 1985. </w:t>
              </w:r>
              <w:r>
                <w:rPr>
                  <w:i/>
                  <w:iCs/>
                </w:rPr>
                <w:t xml:space="preserve">Leadership and Performance. </w:t>
              </w:r>
              <w:r>
                <w:t>N.Y.Free Press.</w:t>
              </w:r>
            </w:p>
            <w:p>
              <w:pPr>
                <w:pStyle w:val="33"/>
                <w:numPr>
                  <w:ilvl w:val="0"/>
                  <w:numId w:val="4"/>
                </w:numPr>
                <w:jc w:val="left"/>
              </w:pPr>
              <w:r>
                <w:t xml:space="preserve">Birt, J., 2023. </w:t>
              </w:r>
              <w:r>
                <w:rPr>
                  <w:i/>
                  <w:iCs/>
                </w:rPr>
                <w:t xml:space="preserve">Guide To 6 Top Leadership Theories and How To Apply Them. </w:t>
              </w:r>
              <w:r>
                <w:t xml:space="preserve">[Online] </w:t>
              </w:r>
              <w:r>
                <w:br w:type="textWrapping"/>
              </w:r>
              <w:r>
                <w:t xml:space="preserve">Available at: </w:t>
              </w:r>
              <w:r>
                <w:rPr>
                  <w:u w:val="single"/>
                </w:rPr>
                <w:t>https://www.indeed.com/career-advice/career-development/leadership-styles-and-theories</w:t>
              </w:r>
              <w:r>
                <w:br w:type="textWrapping"/>
              </w:r>
              <w:r>
                <w:t>[Accessed 27 August 2023].</w:t>
              </w:r>
            </w:p>
            <w:p>
              <w:pPr>
                <w:pStyle w:val="33"/>
                <w:numPr>
                  <w:ilvl w:val="0"/>
                  <w:numId w:val="4"/>
                </w:numPr>
                <w:jc w:val="left"/>
              </w:pPr>
              <w:r>
                <w:t xml:space="preserve">Botrić, V. R. S. i. Š. B., 2023. Gender differences in management styles during crisis and the effect on firm performance.. </w:t>
              </w:r>
              <w:r>
                <w:rPr>
                  <w:i/>
                  <w:iCs/>
                </w:rPr>
                <w:t xml:space="preserve">The Institute of Economics, </w:t>
              </w:r>
              <w:r>
                <w:t>pp. 3-37.</w:t>
              </w:r>
            </w:p>
            <w:p>
              <w:pPr>
                <w:pStyle w:val="33"/>
                <w:numPr>
                  <w:ilvl w:val="0"/>
                  <w:numId w:val="4"/>
                </w:numPr>
                <w:jc w:val="left"/>
              </w:pPr>
              <w:r>
                <w:t xml:space="preserve">Burke, S. a. C. K., 2001. Gender differences in leadership styles and management skills. </w:t>
              </w:r>
              <w:r>
                <w:rPr>
                  <w:i/>
                  <w:iCs/>
                </w:rPr>
                <w:t xml:space="preserve">Women in Management Review, </w:t>
              </w:r>
              <w:r>
                <w:t>16(5), pp. 244-257.</w:t>
              </w:r>
            </w:p>
            <w:p>
              <w:pPr>
                <w:pStyle w:val="33"/>
                <w:numPr>
                  <w:ilvl w:val="0"/>
                  <w:numId w:val="4"/>
                </w:numPr>
                <w:jc w:val="left"/>
              </w:pPr>
              <w:r>
                <w:t xml:space="preserve">Burns, J., 1978. </w:t>
              </w:r>
              <w:r>
                <w:rPr>
                  <w:i/>
                  <w:iCs/>
                </w:rPr>
                <w:t xml:space="preserve">Leadership. </w:t>
              </w:r>
              <w:r>
                <w:t>N.Y. Harper and Row.</w:t>
              </w:r>
            </w:p>
            <w:p>
              <w:pPr>
                <w:pStyle w:val="33"/>
                <w:numPr>
                  <w:ilvl w:val="0"/>
                  <w:numId w:val="4"/>
                </w:numPr>
                <w:jc w:val="left"/>
              </w:pPr>
              <w:r>
                <w:t xml:space="preserve"> Tannenbaum, L. Greaves. I. D., 2016. Why sex and gender matter in implementation research. </w:t>
              </w:r>
              <w:r>
                <w:rPr>
                  <w:i/>
                  <w:iCs/>
                </w:rPr>
                <w:t xml:space="preserve">PMC PubMed Central, </w:t>
              </w:r>
              <w:r>
                <w:t>16(145).</w:t>
              </w:r>
            </w:p>
            <w:p>
              <w:pPr>
                <w:pStyle w:val="33"/>
                <w:numPr>
                  <w:ilvl w:val="0"/>
                  <w:numId w:val="4"/>
                </w:numPr>
                <w:jc w:val="left"/>
              </w:pPr>
              <w:r>
                <w:t xml:space="preserve">Tomal, D. R., Jones, K., J. J., 2015. A comparison of core competences of women and men leaders in the manufacturing. </w:t>
              </w:r>
              <w:r>
                <w:rPr>
                  <w:i/>
                  <w:iCs/>
                </w:rPr>
                <w:t xml:space="preserve">The Coastal Business Journal, </w:t>
              </w:r>
              <w:r>
                <w:t>14(1).</w:t>
              </w:r>
            </w:p>
            <w:p>
              <w:pPr>
                <w:pStyle w:val="33"/>
                <w:numPr>
                  <w:ilvl w:val="0"/>
                  <w:numId w:val="4"/>
                </w:numPr>
                <w:jc w:val="left"/>
              </w:pPr>
              <w:r>
                <w:t xml:space="preserve">Dodd, K., 2021. </w:t>
              </w:r>
              <w:r>
                <w:rPr>
                  <w:i/>
                  <w:iCs/>
                </w:rPr>
                <w:t xml:space="preserve">Gender pay gap figures in UK manufacturing impacted by pandemic. </w:t>
              </w:r>
              <w:r>
                <w:t xml:space="preserve">[Online] </w:t>
              </w:r>
              <w:r>
                <w:br w:type="textWrapping"/>
              </w:r>
              <w:r>
                <w:t xml:space="preserve">Available at: </w:t>
              </w:r>
              <w:r>
                <w:rPr>
                  <w:u w:val="single"/>
                </w:rPr>
                <w:t>https://www.pinsentmasons.com/out-law/analysis/gender-pay-gap-figures-uk-manufacturing-impacted-pandemic</w:t>
              </w:r>
              <w:r>
                <w:br w:type="textWrapping"/>
              </w:r>
              <w:r>
                <w:t>[Accessed 26 July 2023].</w:t>
              </w:r>
            </w:p>
            <w:p>
              <w:pPr>
                <w:pStyle w:val="33"/>
                <w:numPr>
                  <w:ilvl w:val="0"/>
                  <w:numId w:val="4"/>
                </w:numPr>
                <w:jc w:val="left"/>
              </w:pPr>
              <w:r>
                <w:t xml:space="preserve">Eagly, A. H. &amp; Johnson, B. T., 1990. Gender and leadership style: A meta-analysis.. </w:t>
              </w:r>
              <w:r>
                <w:rPr>
                  <w:i/>
                  <w:iCs/>
                </w:rPr>
                <w:t xml:space="preserve">Psychological Bulletin,, </w:t>
              </w:r>
              <w:r>
                <w:t>108(2), pp. 233-256.</w:t>
              </w:r>
            </w:p>
            <w:p>
              <w:pPr>
                <w:pStyle w:val="33"/>
                <w:numPr>
                  <w:ilvl w:val="0"/>
                  <w:numId w:val="4"/>
                </w:numPr>
                <w:jc w:val="left"/>
              </w:pPr>
              <w:r>
                <w:t xml:space="preserve">Franklin, N., 2022. </w:t>
              </w:r>
              <w:r>
                <w:rPr>
                  <w:i/>
                  <w:iCs/>
                </w:rPr>
                <w:t xml:space="preserve">Caring responsibilities disproportionately impact women’s lives and careers. </w:t>
              </w:r>
              <w:r>
                <w:t xml:space="preserve">[Online] </w:t>
              </w:r>
              <w:r>
                <w:br w:type="textWrapping"/>
              </w:r>
              <w:r>
                <w:t xml:space="preserve">Available at: </w:t>
              </w:r>
              <w:r>
                <w:rPr>
                  <w:u w:val="single"/>
                </w:rPr>
                <w:t>https://workplaceinsight.net/caring-responsibilities-disproportionately-impact-womens-lives-and-careers/#:~:text=The%20impact%20of%20caring%20responsibilities,the%20day%20at%20short%20notice.</w:t>
              </w:r>
              <w:r>
                <w:br w:type="textWrapping"/>
              </w:r>
              <w:r>
                <w:t>[Accessed 2 November 2023].</w:t>
              </w:r>
            </w:p>
            <w:p>
              <w:pPr>
                <w:pStyle w:val="33"/>
                <w:numPr>
                  <w:ilvl w:val="0"/>
                  <w:numId w:val="4"/>
                </w:numPr>
                <w:jc w:val="left"/>
              </w:pPr>
              <w:r>
                <w:t xml:space="preserve">Galsanjigmed, E. &amp; Tomaki, S., 2023. Challenges Women Experience in Leadership Careers: An Integrative Review. </w:t>
              </w:r>
              <w:r>
                <w:rPr>
                  <w:i/>
                  <w:iCs/>
                </w:rPr>
                <w:t xml:space="preserve">Graduate School of Management, </w:t>
              </w:r>
              <w:r>
                <w:t>3(2), pp. 366-389.</w:t>
              </w:r>
            </w:p>
            <w:p>
              <w:pPr>
                <w:pStyle w:val="33"/>
                <w:numPr>
                  <w:ilvl w:val="0"/>
                  <w:numId w:val="4"/>
                </w:numPr>
                <w:jc w:val="left"/>
              </w:pPr>
              <w:r>
                <w:t xml:space="preserve">Goestjahjanti, F. S. Pasaribu. S. B. Sadewo. T. I. Srinita S. Meriobi. I. &amp;. Iravan, A. P., 2022. The Effect of Transformational Leadership, Servant Leadership, and Organizational Learning on Manufacturing Industry Performance.. </w:t>
              </w:r>
              <w:r>
                <w:rPr>
                  <w:i/>
                  <w:iCs/>
                </w:rPr>
                <w:t xml:space="preserve">Frontiers in Psychology, </w:t>
              </w:r>
              <w:r>
                <w:t>Volume 13.</w:t>
              </w:r>
            </w:p>
            <w:p>
              <w:pPr>
                <w:pStyle w:val="33"/>
                <w:numPr>
                  <w:ilvl w:val="0"/>
                  <w:numId w:val="4"/>
                </w:numPr>
                <w:jc w:val="left"/>
              </w:pPr>
              <w:r>
                <w:t xml:space="preserve">Greenleaf, R., 1991. The servant as leader. IN: The Robert K. [Originally published in 1970, by Robert K. Greenleaf].. </w:t>
              </w:r>
              <w:r>
                <w:rPr>
                  <w:i/>
                  <w:iCs/>
                </w:rPr>
                <w:t>Greenleaf Center. Indianapolis,.</w:t>
              </w:r>
            </w:p>
            <w:p>
              <w:pPr>
                <w:pStyle w:val="33"/>
                <w:numPr>
                  <w:ilvl w:val="0"/>
                  <w:numId w:val="4"/>
                </w:numPr>
                <w:jc w:val="left"/>
              </w:pPr>
              <w:r>
                <w:t xml:space="preserve">Hersey, P. B. K. H. &amp;. N. W. E., 1979. Situational Leadership, Perception, and the Impact of Power.. </w:t>
              </w:r>
              <w:r>
                <w:rPr>
                  <w:i/>
                  <w:iCs/>
                </w:rPr>
                <w:t xml:space="preserve">Group &amp; Organization Studies, </w:t>
              </w:r>
              <w:r>
                <w:t>4(4), p. https://doi.org/10.1177/105960117900400404.</w:t>
              </w:r>
            </w:p>
            <w:p>
              <w:pPr>
                <w:pStyle w:val="33"/>
                <w:numPr>
                  <w:ilvl w:val="0"/>
                  <w:numId w:val="4"/>
                </w:numPr>
                <w:jc w:val="left"/>
              </w:pPr>
              <w:r>
                <w:t xml:space="preserve">Hofstede, G., 2001. </w:t>
              </w:r>
              <w:r>
                <w:rPr>
                  <w:i/>
                  <w:iCs/>
                </w:rPr>
                <w:t xml:space="preserve">Cultures’ consequences: International differences in work-related values.. </w:t>
              </w:r>
              <w:r>
                <w:t>2nd Edition ed. London: Sage Publications.</w:t>
              </w:r>
            </w:p>
            <w:p>
              <w:pPr>
                <w:pStyle w:val="33"/>
                <w:numPr>
                  <w:ilvl w:val="0"/>
                  <w:numId w:val="4"/>
                </w:numPr>
                <w:jc w:val="left"/>
              </w:pPr>
              <w:r>
                <w:t xml:space="preserve">Horowitz, J. M., Igielnik, R. &amp; Parker, K., 2018. </w:t>
              </w:r>
              <w:r>
                <w:rPr>
                  <w:i/>
                  <w:iCs/>
                </w:rPr>
                <w:t xml:space="preserve">Views on leadership traits and competencies and how they intersect with gender. </w:t>
              </w:r>
              <w:r>
                <w:t xml:space="preserve">[Online] </w:t>
              </w:r>
              <w:r>
                <w:br w:type="textWrapping"/>
              </w:r>
              <w:r>
                <w:t xml:space="preserve">Available at: </w:t>
              </w:r>
              <w:r>
                <w:rPr>
                  <w:u w:val="single"/>
                </w:rPr>
                <w:t>https://www.pewresearch.org/social-trends/2018/09/20/2-views-on-leadership-traits-and-competencies-and-how-they-intersect-with-gender/</w:t>
              </w:r>
              <w:r>
                <w:br w:type="textWrapping"/>
              </w:r>
              <w:r>
                <w:t>[Accessed 2023].</w:t>
              </w:r>
            </w:p>
            <w:p>
              <w:pPr>
                <w:pStyle w:val="33"/>
                <w:numPr>
                  <w:ilvl w:val="0"/>
                  <w:numId w:val="4"/>
                </w:numPr>
                <w:jc w:val="left"/>
              </w:pPr>
              <w:r>
                <w:t xml:space="preserve">Hu, J. a. D. T. 2., 2022. What’s charisma got to do with it? Three faces of charismatic leadership and corporate social responsibility engagement.. </w:t>
              </w:r>
              <w:r>
                <w:rPr>
                  <w:i/>
                  <w:iCs/>
                </w:rPr>
                <w:t xml:space="preserve">Frontiers in Psychology, </w:t>
              </w:r>
              <w:r>
                <w:t>Volume 13.</w:t>
              </w:r>
            </w:p>
            <w:p>
              <w:pPr>
                <w:pStyle w:val="33"/>
                <w:numPr>
                  <w:ilvl w:val="0"/>
                  <w:numId w:val="4"/>
                </w:numPr>
                <w:jc w:val="left"/>
              </w:pPr>
              <w:r>
                <w:t xml:space="preserve">Ibrahim, M. K. B. J. V. a. Y. M., 2022. The Effect of Transformational Leadership, Work Motivation and Culture on Millennial Generation Employees Performance of the Manufacturing Industry in the Digital Era.. </w:t>
              </w:r>
              <w:r>
                <w:rPr>
                  <w:i/>
                  <w:iCs/>
                </w:rPr>
                <w:t xml:space="preserve">Frontiers in Psychology, , </w:t>
              </w:r>
              <w:r>
                <w:t>Volume 13.</w:t>
              </w:r>
            </w:p>
            <w:p>
              <w:pPr>
                <w:pStyle w:val="33"/>
                <w:numPr>
                  <w:ilvl w:val="0"/>
                  <w:numId w:val="4"/>
                </w:numPr>
                <w:jc w:val="left"/>
              </w:pPr>
              <w:r>
                <w:t xml:space="preserve">Jack Zenger, J. F., 2019. Women Score Higher Than Men in Most Leadership Skills. </w:t>
              </w:r>
              <w:r>
                <w:rPr>
                  <w:i/>
                  <w:iCs/>
                </w:rPr>
                <w:t xml:space="preserve">Harvard Business Review, </w:t>
              </w:r>
              <w:r>
                <w:t>92(10).</w:t>
              </w:r>
            </w:p>
            <w:p>
              <w:pPr>
                <w:pStyle w:val="33"/>
                <w:numPr>
                  <w:ilvl w:val="0"/>
                  <w:numId w:val="4"/>
                </w:numPr>
                <w:jc w:val="left"/>
              </w:pPr>
              <w:r>
                <w:t xml:space="preserve">Jane Sutton, Z. A., 2015. Qualitative Research: Data Collection, Analysis, and Management. </w:t>
              </w:r>
              <w:r>
                <w:rPr>
                  <w:i/>
                  <w:iCs/>
                </w:rPr>
                <w:t xml:space="preserve">National Library of Medicine , </w:t>
              </w:r>
              <w:r>
                <w:t>68(3), pp. 226-231.</w:t>
              </w:r>
            </w:p>
            <w:p>
              <w:pPr>
                <w:pStyle w:val="33"/>
                <w:numPr>
                  <w:ilvl w:val="0"/>
                  <w:numId w:val="4"/>
                </w:numPr>
                <w:jc w:val="left"/>
              </w:pPr>
              <w:r>
                <w:t xml:space="preserve">Joseph, W. Shen. a. D. L., 2021. Gender and leadership: A criterion-focused review and research agenda. </w:t>
              </w:r>
              <w:r>
                <w:rPr>
                  <w:i/>
                  <w:iCs/>
                </w:rPr>
                <w:t xml:space="preserve">Human Resource Management Review, </w:t>
              </w:r>
              <w:r>
                <w:t>Volume 31.</w:t>
              </w:r>
            </w:p>
            <w:p>
              <w:pPr>
                <w:pStyle w:val="33"/>
                <w:numPr>
                  <w:ilvl w:val="0"/>
                  <w:numId w:val="4"/>
                </w:numPr>
                <w:jc w:val="left"/>
              </w:pPr>
              <w:r>
                <w:t xml:space="preserve">Kim, J.Y., N. H. D. A. N. P. H. ,. D. W., 2020. Leadership perceptions, gender, and dominant personality: The role of normality evaluations. </w:t>
              </w:r>
              <w:r>
                <w:rPr>
                  <w:i/>
                  <w:iCs/>
                </w:rPr>
                <w:t xml:space="preserve">Journal of Research in Personality, </w:t>
              </w:r>
              <w:r>
                <w:t>Volume 87.</w:t>
              </w:r>
            </w:p>
            <w:p>
              <w:pPr>
                <w:pStyle w:val="33"/>
                <w:numPr>
                  <w:ilvl w:val="0"/>
                  <w:numId w:val="4"/>
                </w:numPr>
                <w:jc w:val="left"/>
              </w:pPr>
              <w:r>
                <w:t xml:space="preserve">Larsson, G. M.olnar M. T. Ljunberg. H. a. B. C., 2023. Leadership through the subordinates' eye: perceptions of leader behaviors in relation to age and gender. </w:t>
              </w:r>
              <w:r>
                <w:rPr>
                  <w:i/>
                  <w:iCs/>
                </w:rPr>
                <w:t xml:space="preserve">Leadership &amp; Organization Development Journal, </w:t>
              </w:r>
              <w:r>
                <w:t>44(1), pp. 18-3.</w:t>
              </w:r>
            </w:p>
            <w:p>
              <w:pPr>
                <w:pStyle w:val="33"/>
                <w:numPr>
                  <w:ilvl w:val="0"/>
                  <w:numId w:val="4"/>
                </w:numPr>
                <w:jc w:val="left"/>
              </w:pPr>
              <w:r>
                <w:t xml:space="preserve">Morris, S., 2022. </w:t>
              </w:r>
              <w:r>
                <w:rPr>
                  <w:i/>
                  <w:iCs/>
                </w:rPr>
                <w:t xml:space="preserve">Women make up only 30% of UK leadership roles. Why is female representation still so low?. </w:t>
              </w:r>
              <w:r>
                <w:t xml:space="preserve">[Online] </w:t>
              </w:r>
              <w:r>
                <w:br w:type="textWrapping"/>
              </w:r>
              <w:r>
                <w:t xml:space="preserve">Available at: </w:t>
              </w:r>
              <w:r>
                <w:rPr>
                  <w:u w:val="single"/>
                </w:rPr>
                <w:t>https://shehethey.co.uk/women-make-up-only-30-of-uk-leadership-roles/</w:t>
              </w:r>
              <w:r>
                <w:br w:type="textWrapping"/>
              </w:r>
              <w:r>
                <w:t>[Accessed 31 October 2023].</w:t>
              </w:r>
            </w:p>
            <w:p>
              <w:pPr>
                <w:pStyle w:val="33"/>
                <w:numPr>
                  <w:ilvl w:val="0"/>
                  <w:numId w:val="4"/>
                </w:numPr>
                <w:jc w:val="left"/>
              </w:pPr>
              <w:r>
                <w:t xml:space="preserve">Nickerson, C., 2023. </w:t>
              </w:r>
              <w:r>
                <w:rPr>
                  <w:i/>
                  <w:iCs/>
                </w:rPr>
                <w:t xml:space="preserve">Interpretivism Paradigm &amp; Research Philosophy. </w:t>
              </w:r>
              <w:r>
                <w:t xml:space="preserve">[Online] </w:t>
              </w:r>
              <w:r>
                <w:br w:type="textWrapping"/>
              </w:r>
              <w:r>
                <w:t xml:space="preserve">Available at: </w:t>
              </w:r>
              <w:r>
                <w:rPr>
                  <w:u w:val="single"/>
                </w:rPr>
                <w:t>https://simplysociology.com/interpretivism-paradigm.html</w:t>
              </w:r>
              <w:r>
                <w:br w:type="textWrapping"/>
              </w:r>
              <w:r>
                <w:t>[Accessed 31 July 2023].</w:t>
              </w:r>
            </w:p>
            <w:p>
              <w:pPr>
                <w:pStyle w:val="33"/>
                <w:numPr>
                  <w:ilvl w:val="0"/>
                  <w:numId w:val="4"/>
                </w:numPr>
                <w:jc w:val="left"/>
              </w:pPr>
              <w:r>
                <w:t xml:space="preserve">Radu , C., Deaconu, A. &amp; Frasineanu , C., 2017. Leadership and Gender Differences—Are Men and Women Leading in the Same Way?. In: A. Alvinius, ed. </w:t>
              </w:r>
              <w:r>
                <w:rPr>
                  <w:i/>
                  <w:iCs/>
                </w:rPr>
                <w:t xml:space="preserve">Contemporary Leadership Challenges . </w:t>
              </w:r>
              <w:r>
                <w:t>s.l.:IntechOpen.</w:t>
              </w:r>
            </w:p>
            <w:p>
              <w:pPr>
                <w:pStyle w:val="33"/>
                <w:numPr>
                  <w:ilvl w:val="0"/>
                  <w:numId w:val="4"/>
                </w:numPr>
                <w:jc w:val="left"/>
              </w:pPr>
              <w:r>
                <w:t xml:space="preserve">Sandberg, S., 2015. </w:t>
              </w:r>
              <w:r>
                <w:rPr>
                  <w:i/>
                  <w:iCs/>
                </w:rPr>
                <w:t xml:space="preserve">Lean in. </w:t>
              </w:r>
              <w:r>
                <w:t>London : Penguin Random House .</w:t>
              </w:r>
            </w:p>
            <w:p>
              <w:pPr>
                <w:pStyle w:val="33"/>
                <w:numPr>
                  <w:ilvl w:val="0"/>
                  <w:numId w:val="4"/>
                </w:numPr>
                <w:jc w:val="left"/>
              </w:pPr>
              <w:r>
                <w:t>Schwartz, J. A. a. C. W. B., 2020. Do women make more credible threats? Gender stereotypes, audience costs, and crisis bargaining.</w:t>
              </w:r>
              <w:r>
                <w:rPr>
                  <w:i/>
                  <w:iCs/>
                </w:rPr>
                <w:t xml:space="preserve">International Organization , </w:t>
              </w:r>
              <w:r>
                <w:t>74(4), pp. 872-895.</w:t>
              </w:r>
            </w:p>
            <w:p>
              <w:pPr>
                <w:pStyle w:val="33"/>
                <w:numPr>
                  <w:ilvl w:val="0"/>
                  <w:numId w:val="4"/>
                </w:numPr>
                <w:jc w:val="left"/>
              </w:pPr>
              <w:r>
                <w:t xml:space="preserve">Swedberg, R., 2020. Exploratory Research. In: J. G. &amp;. J. M. C. Elman, ed. </w:t>
              </w:r>
              <w:r>
                <w:rPr>
                  <w:i/>
                  <w:iCs/>
                </w:rPr>
                <w:t xml:space="preserve">The Production of Knowledge: Enhancing Progress in Social Science . </w:t>
              </w:r>
              <w:r>
                <w:t>Cambridge : Cambridge University Press, pp. 17-41.</w:t>
              </w:r>
            </w:p>
            <w:p>
              <w:pPr>
                <w:pStyle w:val="33"/>
                <w:numPr>
                  <w:ilvl w:val="0"/>
                  <w:numId w:val="4"/>
                </w:numPr>
                <w:jc w:val="left"/>
              </w:pPr>
              <w:r>
                <w:t xml:space="preserve">Tabassum, N. &amp; Nayak, B. S., 2021. Gender Stereotypes and Their Impact on Women’s Career Progressions from a Managerial Perspective. </w:t>
              </w:r>
              <w:r>
                <w:rPr>
                  <w:i/>
                  <w:iCs/>
                </w:rPr>
                <w:t xml:space="preserve">IIM Kozhikode Society &amp; Management Review, </w:t>
              </w:r>
              <w:r>
                <w:t>10(2).</w:t>
              </w:r>
            </w:p>
            <w:p>
              <w:pPr>
                <w:pStyle w:val="30"/>
                <w:numPr>
                  <w:ilvl w:val="0"/>
                  <w:numId w:val="4"/>
                </w:numPr>
                <w:jc w:val="left"/>
                <w:rPr>
                  <w:i/>
                  <w:iCs/>
                </w:rPr>
              </w:pPr>
              <w:r>
                <w:t xml:space="preserve">  UDHR, 1948, </w:t>
              </w:r>
              <w:r>
                <w:rPr>
                  <w:i/>
                  <w:iCs/>
                </w:rPr>
                <w:t>Universal Declaration of Human Rights.</w:t>
              </w:r>
              <w:r>
                <w:t xml:space="preserve"> [Online] </w:t>
              </w:r>
              <w:r>
                <w:br w:type="textWrapping"/>
              </w:r>
              <w:r>
                <w:t xml:space="preserve"> Available at: </w:t>
              </w:r>
              <w:r>
                <w:rPr>
                  <w:i/>
                  <w:iCs/>
                </w:rPr>
                <w:t>https://www.un.org/sites/un2.un.org/files/2021/03/udhr.pdf</w:t>
              </w:r>
            </w:p>
            <w:p>
              <w:pPr>
                <w:pStyle w:val="33"/>
                <w:numPr>
                  <w:ilvl w:val="0"/>
                  <w:numId w:val="4"/>
                </w:numPr>
                <w:jc w:val="left"/>
              </w:pPr>
              <w:r>
                <w:t xml:space="preserve">United Nations, 2023. </w:t>
              </w:r>
              <w:r>
                <w:rPr>
                  <w:i/>
                  <w:iCs/>
                </w:rPr>
                <w:t xml:space="preserve">Peace, dignity and equality on a helathy planet. </w:t>
              </w:r>
              <w:r>
                <w:t xml:space="preserve">[Online] </w:t>
              </w:r>
              <w:r>
                <w:br w:type="textWrapping"/>
              </w:r>
              <w:r>
                <w:t xml:space="preserve">Available at: </w:t>
              </w:r>
              <w:r>
                <w:rPr>
                  <w:u w:val="single"/>
                </w:rPr>
                <w:t>https://www.un.org/en/global-issues/gender-equality</w:t>
              </w:r>
              <w:r>
                <w:br w:type="textWrapping"/>
              </w:r>
              <w:r>
                <w:t>[Accessed 31 October 2023].</w:t>
              </w:r>
            </w:p>
            <w:p>
              <w:pPr>
                <w:pStyle w:val="33"/>
                <w:numPr>
                  <w:ilvl w:val="0"/>
                  <w:numId w:val="4"/>
                </w:numPr>
                <w:jc w:val="left"/>
              </w:pPr>
              <w:r>
                <w:t xml:space="preserve">Walls, E., 2019. The value of situational leadership.". </w:t>
              </w:r>
              <w:r>
                <w:rPr>
                  <w:i/>
                  <w:iCs/>
                </w:rPr>
                <w:t xml:space="preserve">Community Practitioners'&amp; Health Visitors' Association, </w:t>
              </w:r>
              <w:r>
                <w:t>92(2), pp. 31-33.</w:t>
              </w:r>
            </w:p>
            <w:p>
              <w:pPr>
                <w:pStyle w:val="33"/>
                <w:numPr>
                  <w:ilvl w:val="0"/>
                  <w:numId w:val="4"/>
                </w:numPr>
                <w:jc w:val="left"/>
              </w:pPr>
              <w:r>
                <w:t xml:space="preserve">Women in Manufacturing, 2020. </w:t>
              </w:r>
              <w:r>
                <w:rPr>
                  <w:i/>
                  <w:iCs/>
                </w:rPr>
                <w:t xml:space="preserve">New Study from Thomas and WiM Reveals Challenges and Potential Solutions for Women’s Advancement in the Manufacturing Industry Through Recruitment and Retention of Female Talent. </w:t>
              </w:r>
              <w:r>
                <w:t xml:space="preserve">[Online] </w:t>
              </w:r>
              <w:r>
                <w:br w:type="textWrapping"/>
              </w:r>
              <w:r>
                <w:t xml:space="preserve">Available at: </w:t>
              </w:r>
              <w:r>
                <w:rPr>
                  <w:u w:val="single"/>
                </w:rPr>
                <w:t>https://www.womeninmanufacturing.org/news/gender-gap-women-fill-only-33-of-manufacturing-industry-jobs-26-of-industry-leadership-positions#:~:text=The%20Gender%20Gap%3A%20Women%20Fill,26%25%20of%20Industry%20Leadership%20Positions</w:t>
              </w:r>
              <w:r>
                <w:br w:type="textWrapping"/>
              </w:r>
              <w:r>
                <w:t>[Accessed 31 October 2023].</w:t>
              </w:r>
            </w:p>
            <w:p>
              <w:pPr>
                <w:pStyle w:val="33"/>
                <w:numPr>
                  <w:ilvl w:val="0"/>
                  <w:numId w:val="4"/>
                </w:numPr>
                <w:jc w:val="left"/>
              </w:pPr>
              <w:r>
                <w:t xml:space="preserve">Wuryani, E. Rodib. A. Surtasib. S. D. N. &amp;. A. D., 2021. Analysis of decision support system on situational leadership styles on work motivation and employee performance. </w:t>
              </w:r>
              <w:r>
                <w:rPr>
                  <w:i/>
                  <w:iCs/>
                </w:rPr>
                <w:t xml:space="preserve">Management Science Letters, </w:t>
              </w:r>
              <w:r>
                <w:t>11(2), pp. 365-372.</w:t>
              </w:r>
            </w:p>
            <w:p>
              <w:pPr>
                <w:pStyle w:val="33"/>
                <w:numPr>
                  <w:ilvl w:val="0"/>
                  <w:numId w:val="4"/>
                </w:numPr>
                <w:jc w:val="left"/>
              </w:pPr>
              <w:r>
                <w:t xml:space="preserve">Zamboon, V., 2021. </w:t>
              </w:r>
              <w:r>
                <w:rPr>
                  <w:i/>
                  <w:iCs/>
                </w:rPr>
                <w:t xml:space="preserve">What does cisgender mean?. </w:t>
              </w:r>
              <w:r>
                <w:t xml:space="preserve">[Online] </w:t>
              </w:r>
              <w:r>
                <w:br w:type="textWrapping"/>
              </w:r>
              <w:r>
                <w:t xml:space="preserve">Available at: </w:t>
              </w:r>
              <w:r>
                <w:rPr>
                  <w:u w:val="single"/>
                </w:rPr>
                <w:t>https://www.medicalnewstoday.com/articles/what-does-cisgender-mean</w:t>
              </w:r>
              <w:r>
                <w:br w:type="textWrapping"/>
              </w:r>
              <w:r>
                <w:t>[Accessed 31 October 2023].</w:t>
              </w:r>
            </w:p>
            <w:p>
              <w:pPr>
                <w:pStyle w:val="33"/>
                <w:numPr>
                  <w:ilvl w:val="0"/>
                  <w:numId w:val="4"/>
                </w:numPr>
                <w:jc w:val="left"/>
              </w:pPr>
              <w:r>
                <w:t xml:space="preserve">Ziegler, P., 2023. </w:t>
              </w:r>
              <w:r>
                <w:rPr>
                  <w:i/>
                  <w:iCs/>
                </w:rPr>
                <w:t xml:space="preserve">The Rise Of Feminist Leadership In The 21st Century. </w:t>
              </w:r>
              <w:r>
                <w:t xml:space="preserve">[Online] </w:t>
              </w:r>
              <w:r>
                <w:br w:type="textWrapping"/>
              </w:r>
              <w:r>
                <w:t xml:space="preserve">Available at: </w:t>
              </w:r>
              <w:r>
                <w:rPr>
                  <w:u w:val="single"/>
                </w:rPr>
                <w:t>https://bestdiplomats.org/feminist-leadership/</w:t>
              </w:r>
              <w:r>
                <w:br w:type="textWrapping"/>
              </w:r>
              <w:r>
                <w:t>[Accessed 28 August 2023].</w:t>
              </w:r>
            </w:p>
            <w:p>
              <w:pPr>
                <w:pStyle w:val="30"/>
                <w:jc w:val="left"/>
              </w:pPr>
              <w:r>
                <w:rPr>
                  <w:b/>
                  <w:bCs/>
                </w:rPr>
                <w:fldChar w:fldCharType="end"/>
              </w:r>
            </w:p>
          </w:sdtContent>
        </w:sdt>
      </w:sdtContent>
    </w:sdt>
    <w:p>
      <w:pPr>
        <w:spacing w:line="276" w:lineRule="auto"/>
        <w:jc w:val="left"/>
      </w:pPr>
    </w:p>
    <w:p>
      <w:pPr>
        <w:pStyle w:val="2"/>
        <w:ind w:left="502"/>
      </w:pPr>
      <w:r>
        <w:t xml:space="preserve"> </w:t>
      </w:r>
    </w:p>
    <w:p/>
    <w:p/>
    <w:p/>
    <w:p/>
    <w:p/>
    <w:p>
      <w:bookmarkStart w:id="88" w:name="_Toc149574113"/>
    </w:p>
    <w:p/>
    <w:p/>
    <w:p>
      <w:pPr>
        <w:pStyle w:val="2"/>
        <w:jc w:val="center"/>
      </w:pPr>
      <w:bookmarkStart w:id="89" w:name="_Toc154675139"/>
      <w:r>
        <w:t>Appendi</w:t>
      </w:r>
      <w:bookmarkEnd w:id="88"/>
      <w:r>
        <w:t>ces</w:t>
      </w:r>
      <w:bookmarkEnd w:id="89"/>
    </w:p>
    <w:p>
      <w:pPr>
        <w:pStyle w:val="7"/>
        <w:rPr>
          <w:b/>
          <w:bCs/>
          <w:color w:val="000000" w:themeColor="text1"/>
          <w:sz w:val="28"/>
          <w:szCs w:val="28"/>
          <w14:textFill>
            <w14:solidFill>
              <w14:schemeClr w14:val="tx1"/>
            </w14:solidFill>
          </w14:textFill>
        </w:rPr>
      </w:pPr>
      <w:bookmarkStart w:id="90" w:name="_Ref153553287"/>
      <w:r>
        <w:rPr>
          <w:b/>
          <w:bCs/>
          <w:color w:val="000000" w:themeColor="text1"/>
          <w:sz w:val="28"/>
          <w:szCs w:val="28"/>
          <w14:textFill>
            <w14:solidFill>
              <w14:schemeClr w14:val="tx1"/>
            </w14:solidFill>
          </w14:textFill>
        </w:rPr>
        <w:t xml:space="preserve">Appendix </w:t>
      </w:r>
      <w:r>
        <w:rPr>
          <w:b/>
          <w:bCs/>
          <w:color w:val="000000" w:themeColor="text1"/>
          <w:sz w:val="28"/>
          <w:szCs w:val="28"/>
          <w14:textFill>
            <w14:solidFill>
              <w14:schemeClr w14:val="tx1"/>
            </w14:solidFill>
          </w14:textFill>
        </w:rPr>
        <w:fldChar w:fldCharType="begin"/>
      </w:r>
      <w:r>
        <w:rPr>
          <w:b/>
          <w:bCs/>
          <w:color w:val="000000" w:themeColor="text1"/>
          <w:sz w:val="28"/>
          <w:szCs w:val="28"/>
          <w14:textFill>
            <w14:solidFill>
              <w14:schemeClr w14:val="tx1"/>
            </w14:solidFill>
          </w14:textFill>
        </w:rPr>
        <w:instrText xml:space="preserve"> SEQ Appendix \* ARABIC </w:instrText>
      </w:r>
      <w:r>
        <w:rPr>
          <w:b/>
          <w:bCs/>
          <w:color w:val="000000" w:themeColor="text1"/>
          <w:sz w:val="28"/>
          <w:szCs w:val="28"/>
          <w14:textFill>
            <w14:solidFill>
              <w14:schemeClr w14:val="tx1"/>
            </w14:solidFill>
          </w14:textFill>
        </w:rPr>
        <w:fldChar w:fldCharType="separate"/>
      </w:r>
      <w:r>
        <w:rPr>
          <w:b/>
          <w:bCs/>
          <w:color w:val="000000" w:themeColor="text1"/>
          <w:sz w:val="28"/>
          <w:szCs w:val="28"/>
          <w14:textFill>
            <w14:solidFill>
              <w14:schemeClr w14:val="tx1"/>
            </w14:solidFill>
          </w14:textFill>
        </w:rPr>
        <w:t>1</w:t>
      </w:r>
      <w:r>
        <w:rPr>
          <w:b/>
          <w:bCs/>
          <w:color w:val="000000" w:themeColor="text1"/>
          <w:sz w:val="28"/>
          <w:szCs w:val="28"/>
          <w14:textFill>
            <w14:solidFill>
              <w14:schemeClr w14:val="tx1"/>
            </w14:solidFill>
          </w14:textFill>
        </w:rPr>
        <w:fldChar w:fldCharType="end"/>
      </w:r>
      <w:r>
        <w:rPr>
          <w:b/>
          <w:bCs/>
          <w:color w:val="000000" w:themeColor="text1"/>
          <w:sz w:val="28"/>
          <w:szCs w:val="28"/>
          <w14:textFill>
            <w14:solidFill>
              <w14:schemeClr w14:val="tx1"/>
            </w14:solidFill>
          </w14:textFill>
        </w:rPr>
        <w:t>. Research methodology</w:t>
      </w:r>
      <w:bookmarkEnd w:id="90"/>
    </w:p>
    <w:p>
      <w:pPr>
        <w:rPr>
          <w:color w:val="19141A" w:themeColor="background2" w:themeShade="1A"/>
        </w:rPr>
      </w:pPr>
      <w:r>
        <w:rPr>
          <w:color w:val="19141A" w:themeColor="background2" w:themeShade="1A"/>
        </w:rPr>
        <w:t>The following research methodology is applied:</w:t>
      </w:r>
    </w:p>
    <w:tbl>
      <w:tblPr>
        <w:tblStyle w:val="14"/>
        <w:tblW w:w="9356"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16"/>
        <w:gridCol w:w="80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316" w:type="dxa"/>
          </w:tcPr>
          <w:p>
            <w:pPr>
              <w:spacing w:line="240" w:lineRule="auto"/>
              <w:rPr>
                <w:b/>
                <w:bCs/>
                <w:color w:val="19141A" w:themeColor="background2" w:themeShade="1A"/>
                <w:sz w:val="16"/>
                <w:szCs w:val="16"/>
              </w:rPr>
            </w:pPr>
            <w:r>
              <w:rPr>
                <w:b/>
                <w:bCs/>
                <w:color w:val="19141A" w:themeColor="background2" w:themeShade="1A"/>
                <w:sz w:val="16"/>
                <w:szCs w:val="16"/>
              </w:rPr>
              <w:t xml:space="preserve">Research methodology </w:t>
            </w:r>
          </w:p>
        </w:tc>
        <w:tc>
          <w:tcPr>
            <w:tcW w:w="8040" w:type="dxa"/>
          </w:tcPr>
          <w:p>
            <w:pPr>
              <w:spacing w:line="240" w:lineRule="auto"/>
              <w:rPr>
                <w:b/>
                <w:bCs/>
                <w:color w:val="19141A" w:themeColor="background2" w:themeShade="1A"/>
                <w:sz w:val="16"/>
                <w:szCs w:val="16"/>
              </w:rPr>
            </w:pPr>
            <w:r>
              <w:rPr>
                <w:b/>
                <w:bCs/>
                <w:color w:val="19141A" w:themeColor="background2" w:themeShade="1A"/>
                <w:sz w:val="16"/>
                <w:szCs w:val="16"/>
              </w:rPr>
              <w:t xml:space="preserve">The element applied and why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52" w:hRule="atLeast"/>
        </w:trPr>
        <w:tc>
          <w:tcPr>
            <w:tcW w:w="1316" w:type="dxa"/>
          </w:tcPr>
          <w:p>
            <w:pPr>
              <w:spacing w:line="240" w:lineRule="auto"/>
              <w:rPr>
                <w:color w:val="19141A" w:themeColor="background2" w:themeShade="1A"/>
                <w:sz w:val="16"/>
                <w:szCs w:val="16"/>
              </w:rPr>
            </w:pPr>
            <w:r>
              <w:rPr>
                <w:color w:val="19141A" w:themeColor="background2" w:themeShade="1A"/>
                <w:sz w:val="16"/>
                <w:szCs w:val="16"/>
              </w:rPr>
              <w:t xml:space="preserve">Philosophy and paradigm </w:t>
            </w:r>
          </w:p>
        </w:tc>
        <w:tc>
          <w:tcPr>
            <w:tcW w:w="8040" w:type="dxa"/>
          </w:tcPr>
          <w:p>
            <w:pPr>
              <w:spacing w:line="240" w:lineRule="auto"/>
              <w:rPr>
                <w:sz w:val="16"/>
                <w:szCs w:val="16"/>
              </w:rPr>
            </w:pPr>
            <w:r>
              <w:rPr>
                <w:sz w:val="16"/>
                <w:szCs w:val="16"/>
                <w:highlight w:val="white"/>
              </w:rPr>
              <w:t>Interpretivism with elements of feminist philosophy</w:t>
            </w:r>
          </w:p>
          <w:p>
            <w:pPr>
              <w:pStyle w:val="30"/>
              <w:numPr>
                <w:ilvl w:val="0"/>
                <w:numId w:val="5"/>
              </w:numPr>
              <w:spacing w:line="240" w:lineRule="auto"/>
              <w:rPr>
                <w:sz w:val="16"/>
                <w:szCs w:val="16"/>
              </w:rPr>
            </w:pPr>
            <w:r>
              <w:rPr>
                <w:sz w:val="16"/>
                <w:szCs w:val="16"/>
              </w:rPr>
              <w:t>Allows understanding the phenomena from the perspectives of those involved (Nikerson, 2023).</w:t>
            </w:r>
          </w:p>
          <w:p>
            <w:pPr>
              <w:pStyle w:val="30"/>
              <w:numPr>
                <w:ilvl w:val="0"/>
                <w:numId w:val="5"/>
              </w:numPr>
              <w:spacing w:line="240" w:lineRule="auto"/>
              <w:jc w:val="left"/>
              <w:rPr>
                <w:b/>
                <w:bCs/>
                <w:color w:val="19141A" w:themeColor="background2" w:themeShade="1A"/>
                <w:sz w:val="16"/>
                <w:szCs w:val="16"/>
              </w:rPr>
            </w:pPr>
            <w:r>
              <w:rPr>
                <w:sz w:val="16"/>
                <w:szCs w:val="16"/>
              </w:rPr>
              <w:t xml:space="preserve">Provides access to different aspects of reality.  </w:t>
            </w:r>
          </w:p>
          <w:p>
            <w:pPr>
              <w:pStyle w:val="30"/>
              <w:numPr>
                <w:ilvl w:val="0"/>
                <w:numId w:val="5"/>
              </w:numPr>
              <w:spacing w:line="240" w:lineRule="auto"/>
              <w:jc w:val="left"/>
              <w:rPr>
                <w:color w:val="19141A" w:themeColor="background2" w:themeShade="1A"/>
                <w:sz w:val="16"/>
                <w:szCs w:val="16"/>
              </w:rPr>
            </w:pPr>
            <w:r>
              <w:rPr>
                <w:color w:val="19141A" w:themeColor="background2" w:themeShade="1A"/>
                <w:sz w:val="16"/>
                <w:szCs w:val="16"/>
              </w:rPr>
              <w:t xml:space="preserve">Allows exploration of the insights into the behaviours, choices and in this access the exploration of leadership style.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16" w:type="dxa"/>
          </w:tcPr>
          <w:p>
            <w:pPr>
              <w:spacing w:line="240" w:lineRule="auto"/>
              <w:rPr>
                <w:b/>
                <w:bCs/>
                <w:color w:val="19141A" w:themeColor="background2" w:themeShade="1A"/>
                <w:sz w:val="16"/>
                <w:szCs w:val="16"/>
              </w:rPr>
            </w:pPr>
            <w:r>
              <w:rPr>
                <w:sz w:val="16"/>
                <w:szCs w:val="16"/>
                <w:highlight w:val="white"/>
              </w:rPr>
              <w:t>Research Type</w:t>
            </w:r>
          </w:p>
        </w:tc>
        <w:tc>
          <w:tcPr>
            <w:tcW w:w="8040" w:type="dxa"/>
          </w:tcPr>
          <w:p>
            <w:pPr>
              <w:spacing w:line="240" w:lineRule="auto"/>
              <w:rPr>
                <w:sz w:val="16"/>
                <w:szCs w:val="16"/>
              </w:rPr>
            </w:pPr>
            <w:r>
              <w:rPr>
                <w:sz w:val="16"/>
                <w:szCs w:val="16"/>
                <w:highlight w:val="white"/>
              </w:rPr>
              <w:t>Primary and secondary</w:t>
            </w:r>
          </w:p>
          <w:p>
            <w:pPr>
              <w:pStyle w:val="30"/>
              <w:numPr>
                <w:ilvl w:val="0"/>
                <w:numId w:val="6"/>
              </w:numPr>
              <w:spacing w:line="240" w:lineRule="auto"/>
              <w:jc w:val="left"/>
              <w:rPr>
                <w:color w:val="19141A" w:themeColor="background2" w:themeShade="1A"/>
                <w:sz w:val="16"/>
                <w:szCs w:val="16"/>
              </w:rPr>
            </w:pPr>
            <w:r>
              <w:rPr>
                <w:color w:val="19141A" w:themeColor="background2" w:themeShade="1A"/>
                <w:sz w:val="16"/>
                <w:szCs w:val="16"/>
              </w:rPr>
              <w:t xml:space="preserve">Exploration of up-to-date information </w:t>
            </w:r>
          </w:p>
          <w:p>
            <w:pPr>
              <w:pStyle w:val="30"/>
              <w:numPr>
                <w:ilvl w:val="0"/>
                <w:numId w:val="6"/>
              </w:numPr>
              <w:spacing w:line="240" w:lineRule="auto"/>
              <w:jc w:val="left"/>
              <w:rPr>
                <w:b/>
                <w:bCs/>
                <w:color w:val="19141A" w:themeColor="background2" w:themeShade="1A"/>
                <w:sz w:val="16"/>
                <w:szCs w:val="16"/>
              </w:rPr>
            </w:pPr>
            <w:r>
              <w:rPr>
                <w:color w:val="19141A" w:themeColor="background2" w:themeShade="1A"/>
                <w:sz w:val="16"/>
                <w:szCs w:val="16"/>
              </w:rPr>
              <w:t>Gaining unique and reliable insights</w:t>
            </w:r>
            <w:r>
              <w:rPr>
                <w:b/>
                <w:bCs/>
                <w:color w:val="19141A" w:themeColor="background2" w:themeShade="1A"/>
                <w:sz w:val="16"/>
                <w:szCs w:val="16"/>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21" w:hRule="atLeast"/>
        </w:trPr>
        <w:tc>
          <w:tcPr>
            <w:tcW w:w="1316" w:type="dxa"/>
          </w:tcPr>
          <w:p>
            <w:pPr>
              <w:spacing w:line="240" w:lineRule="auto"/>
              <w:rPr>
                <w:b/>
                <w:bCs/>
                <w:color w:val="19141A" w:themeColor="background2" w:themeShade="1A"/>
                <w:sz w:val="16"/>
                <w:szCs w:val="16"/>
              </w:rPr>
            </w:pPr>
            <w:r>
              <w:rPr>
                <w:sz w:val="16"/>
                <w:szCs w:val="16"/>
                <w:highlight w:val="white"/>
              </w:rPr>
              <w:t>Research Approach</w:t>
            </w:r>
          </w:p>
        </w:tc>
        <w:tc>
          <w:tcPr>
            <w:tcW w:w="8040" w:type="dxa"/>
          </w:tcPr>
          <w:p>
            <w:pPr>
              <w:spacing w:line="240" w:lineRule="auto"/>
              <w:rPr>
                <w:sz w:val="16"/>
                <w:szCs w:val="16"/>
              </w:rPr>
            </w:pPr>
            <w:r>
              <w:rPr>
                <w:sz w:val="16"/>
                <w:szCs w:val="16"/>
                <w:highlight w:val="white"/>
              </w:rPr>
              <w:t>Inductive</w:t>
            </w:r>
          </w:p>
          <w:p>
            <w:pPr>
              <w:pStyle w:val="30"/>
              <w:numPr>
                <w:ilvl w:val="0"/>
                <w:numId w:val="7"/>
              </w:numPr>
              <w:spacing w:line="240" w:lineRule="auto"/>
              <w:rPr>
                <w:sz w:val="16"/>
                <w:szCs w:val="16"/>
              </w:rPr>
            </w:pPr>
            <w:r>
              <w:rPr>
                <w:sz w:val="16"/>
                <w:szCs w:val="16"/>
              </w:rPr>
              <w:t xml:space="preserve">Drawing conclusions from several observations </w:t>
            </w:r>
          </w:p>
          <w:p>
            <w:pPr>
              <w:pStyle w:val="30"/>
              <w:numPr>
                <w:ilvl w:val="0"/>
                <w:numId w:val="7"/>
              </w:numPr>
              <w:spacing w:line="240" w:lineRule="auto"/>
              <w:rPr>
                <w:sz w:val="16"/>
                <w:szCs w:val="16"/>
              </w:rPr>
            </w:pPr>
            <w:r>
              <w:rPr>
                <w:sz w:val="16"/>
                <w:szCs w:val="16"/>
              </w:rPr>
              <w:t xml:space="preserve">Provides freedom of exploration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16" w:type="dxa"/>
          </w:tcPr>
          <w:p>
            <w:pPr>
              <w:spacing w:line="240" w:lineRule="auto"/>
              <w:rPr>
                <w:b/>
                <w:bCs/>
                <w:color w:val="19141A" w:themeColor="background2" w:themeShade="1A"/>
                <w:sz w:val="16"/>
                <w:szCs w:val="16"/>
              </w:rPr>
            </w:pPr>
            <w:r>
              <w:rPr>
                <w:sz w:val="16"/>
                <w:szCs w:val="16"/>
                <w:highlight w:val="white"/>
              </w:rPr>
              <w:t>Research Method</w:t>
            </w:r>
          </w:p>
        </w:tc>
        <w:tc>
          <w:tcPr>
            <w:tcW w:w="8040" w:type="dxa"/>
          </w:tcPr>
          <w:p>
            <w:pPr>
              <w:spacing w:line="240" w:lineRule="auto"/>
              <w:rPr>
                <w:sz w:val="16"/>
                <w:szCs w:val="16"/>
                <w:highlight w:val="white"/>
              </w:rPr>
            </w:pPr>
            <w:r>
              <w:rPr>
                <w:sz w:val="16"/>
                <w:szCs w:val="16"/>
                <w:highlight w:val="white"/>
              </w:rPr>
              <w:t xml:space="preserve">Qualitative </w:t>
            </w:r>
          </w:p>
          <w:p>
            <w:pPr>
              <w:pStyle w:val="30"/>
              <w:numPr>
                <w:ilvl w:val="0"/>
                <w:numId w:val="8"/>
              </w:numPr>
              <w:spacing w:line="240" w:lineRule="auto"/>
              <w:jc w:val="left"/>
              <w:rPr>
                <w:sz w:val="16"/>
                <w:szCs w:val="16"/>
                <w:highlight w:val="white"/>
              </w:rPr>
            </w:pPr>
            <w:r>
              <w:rPr>
                <w:sz w:val="16"/>
                <w:szCs w:val="16"/>
                <w:highlight w:val="white"/>
              </w:rPr>
              <w:t>Explores phenomena.</w:t>
            </w:r>
          </w:p>
          <w:p>
            <w:pPr>
              <w:pStyle w:val="30"/>
              <w:numPr>
                <w:ilvl w:val="0"/>
                <w:numId w:val="8"/>
              </w:numPr>
              <w:spacing w:line="240" w:lineRule="auto"/>
              <w:jc w:val="left"/>
              <w:rPr>
                <w:sz w:val="16"/>
                <w:szCs w:val="16"/>
                <w:highlight w:val="white"/>
              </w:rPr>
            </w:pPr>
            <w:r>
              <w:rPr>
                <w:sz w:val="16"/>
                <w:szCs w:val="16"/>
                <w:highlight w:val="white"/>
              </w:rPr>
              <w:t xml:space="preserve">Provides flexibility in eliciting responses. </w:t>
            </w:r>
          </w:p>
          <w:p>
            <w:pPr>
              <w:pStyle w:val="30"/>
              <w:numPr>
                <w:ilvl w:val="0"/>
                <w:numId w:val="8"/>
              </w:numPr>
              <w:spacing w:line="240" w:lineRule="auto"/>
              <w:jc w:val="left"/>
              <w:rPr>
                <w:sz w:val="16"/>
                <w:szCs w:val="16"/>
                <w:highlight w:val="white"/>
              </w:rPr>
            </w:pPr>
            <w:r>
              <w:rPr>
                <w:sz w:val="16"/>
                <w:szCs w:val="16"/>
                <w:highlight w:val="white"/>
              </w:rPr>
              <w:t xml:space="preserve">Describes variations, group norms.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16" w:type="dxa"/>
          </w:tcPr>
          <w:p>
            <w:pPr>
              <w:spacing w:line="240" w:lineRule="auto"/>
              <w:rPr>
                <w:b/>
                <w:bCs/>
                <w:color w:val="19141A" w:themeColor="background2" w:themeShade="1A"/>
                <w:sz w:val="16"/>
                <w:szCs w:val="16"/>
              </w:rPr>
            </w:pPr>
            <w:r>
              <w:rPr>
                <w:sz w:val="16"/>
                <w:szCs w:val="16"/>
                <w:highlight w:val="white"/>
              </w:rPr>
              <w:t>Research Design and Strategy</w:t>
            </w:r>
          </w:p>
        </w:tc>
        <w:tc>
          <w:tcPr>
            <w:tcW w:w="8040" w:type="dxa"/>
          </w:tcPr>
          <w:p>
            <w:pPr>
              <w:spacing w:line="240" w:lineRule="auto"/>
              <w:rPr>
                <w:color w:val="19141A" w:themeColor="background2" w:themeShade="1A"/>
                <w:sz w:val="16"/>
                <w:szCs w:val="16"/>
              </w:rPr>
            </w:pPr>
            <w:r>
              <w:rPr>
                <w:color w:val="19141A" w:themeColor="background2" w:themeShade="1A"/>
                <w:sz w:val="16"/>
                <w:szCs w:val="16"/>
              </w:rPr>
              <w:t>Exploratory</w:t>
            </w:r>
          </w:p>
          <w:p>
            <w:pPr>
              <w:pStyle w:val="30"/>
              <w:numPr>
                <w:ilvl w:val="0"/>
                <w:numId w:val="9"/>
              </w:numPr>
              <w:spacing w:line="240" w:lineRule="auto"/>
              <w:rPr>
                <w:color w:val="19141A" w:themeColor="background2" w:themeShade="1A"/>
                <w:sz w:val="16"/>
                <w:szCs w:val="16"/>
              </w:rPr>
            </w:pPr>
            <w:r>
              <w:rPr>
                <w:color w:val="19141A" w:themeColor="background2" w:themeShade="1A"/>
                <w:sz w:val="16"/>
                <w:szCs w:val="16"/>
              </w:rPr>
              <w:t>Enables a more organic and dynamic exploration of the subject.</w:t>
            </w:r>
          </w:p>
          <w:p>
            <w:pPr>
              <w:pStyle w:val="30"/>
              <w:numPr>
                <w:ilvl w:val="0"/>
                <w:numId w:val="9"/>
              </w:numPr>
              <w:spacing w:line="240" w:lineRule="auto"/>
              <w:rPr>
                <w:color w:val="19141A" w:themeColor="background2" w:themeShade="1A"/>
                <w:sz w:val="16"/>
                <w:szCs w:val="16"/>
              </w:rPr>
            </w:pPr>
            <w:r>
              <w:rPr>
                <w:color w:val="19141A" w:themeColor="background2" w:themeShade="1A"/>
                <w:sz w:val="16"/>
                <w:szCs w:val="16"/>
              </w:rPr>
              <w:t>Small sample sizes which allow focusing on individual cases, contexts, or experiences (Swedberg,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16" w:type="dxa"/>
          </w:tcPr>
          <w:p>
            <w:pPr>
              <w:spacing w:line="240" w:lineRule="auto"/>
              <w:rPr>
                <w:b/>
                <w:bCs/>
                <w:color w:val="19141A" w:themeColor="background2" w:themeShade="1A"/>
                <w:sz w:val="16"/>
                <w:szCs w:val="16"/>
              </w:rPr>
            </w:pPr>
            <w:r>
              <w:rPr>
                <w:sz w:val="16"/>
                <w:szCs w:val="16"/>
                <w:highlight w:val="white"/>
              </w:rPr>
              <w:t>Data collection techniques</w:t>
            </w:r>
          </w:p>
        </w:tc>
        <w:tc>
          <w:tcPr>
            <w:tcW w:w="8040" w:type="dxa"/>
          </w:tcPr>
          <w:p>
            <w:pPr>
              <w:spacing w:line="240" w:lineRule="auto"/>
              <w:rPr>
                <w:color w:val="19141A" w:themeColor="background2" w:themeShade="1A"/>
                <w:sz w:val="16"/>
                <w:szCs w:val="16"/>
              </w:rPr>
            </w:pPr>
            <w:r>
              <w:rPr>
                <w:color w:val="19141A" w:themeColor="background2" w:themeShade="1A"/>
                <w:sz w:val="16"/>
                <w:szCs w:val="16"/>
              </w:rPr>
              <w:t>Interview questions</w:t>
            </w:r>
          </w:p>
          <w:p>
            <w:pPr>
              <w:pStyle w:val="30"/>
              <w:numPr>
                <w:ilvl w:val="0"/>
                <w:numId w:val="10"/>
              </w:numPr>
              <w:spacing w:line="240" w:lineRule="auto"/>
              <w:rPr>
                <w:color w:val="19141A" w:themeColor="background2" w:themeShade="1A"/>
                <w:sz w:val="16"/>
                <w:szCs w:val="16"/>
              </w:rPr>
            </w:pPr>
            <w:r>
              <w:rPr>
                <w:color w:val="19141A" w:themeColor="background2" w:themeShade="1A"/>
                <w:sz w:val="16"/>
                <w:szCs w:val="16"/>
              </w:rPr>
              <w:t>Allows collection of rich and context-specific data</w:t>
            </w:r>
          </w:p>
          <w:p>
            <w:pPr>
              <w:pStyle w:val="30"/>
              <w:numPr>
                <w:ilvl w:val="0"/>
                <w:numId w:val="10"/>
              </w:numPr>
              <w:spacing w:line="240" w:lineRule="auto"/>
              <w:rPr>
                <w:color w:val="19141A" w:themeColor="background2" w:themeShade="1A"/>
                <w:sz w:val="16"/>
                <w:szCs w:val="16"/>
              </w:rPr>
            </w:pPr>
            <w:r>
              <w:rPr>
                <w:sz w:val="16"/>
                <w:szCs w:val="16"/>
              </w:rPr>
              <w:t xml:space="preserve">Can be easily tailored using open ended or semi-structured techniques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08" w:hRule="atLeast"/>
        </w:trPr>
        <w:tc>
          <w:tcPr>
            <w:tcW w:w="1316" w:type="dxa"/>
          </w:tcPr>
          <w:p>
            <w:pPr>
              <w:spacing w:line="240" w:lineRule="auto"/>
              <w:rPr>
                <w:b/>
                <w:bCs/>
                <w:color w:val="19141A" w:themeColor="background2" w:themeShade="1A"/>
                <w:sz w:val="16"/>
                <w:szCs w:val="16"/>
              </w:rPr>
            </w:pPr>
            <w:r>
              <w:rPr>
                <w:sz w:val="16"/>
                <w:szCs w:val="16"/>
                <w:highlight w:val="white"/>
              </w:rPr>
              <w:t>Sample size and sampling method</w:t>
            </w:r>
          </w:p>
        </w:tc>
        <w:tc>
          <w:tcPr>
            <w:tcW w:w="8040" w:type="dxa"/>
          </w:tcPr>
          <w:p>
            <w:pPr>
              <w:spacing w:line="240" w:lineRule="auto"/>
              <w:rPr>
                <w:sz w:val="16"/>
                <w:szCs w:val="16"/>
                <w:highlight w:val="white"/>
              </w:rPr>
            </w:pPr>
            <w:r>
              <w:rPr>
                <w:sz w:val="16"/>
                <w:szCs w:val="16"/>
                <w:highlight w:val="white"/>
              </w:rPr>
              <w:t>Non-probability/Non-random (purposive)</w:t>
            </w:r>
          </w:p>
          <w:p>
            <w:pPr>
              <w:pStyle w:val="30"/>
              <w:numPr>
                <w:ilvl w:val="0"/>
                <w:numId w:val="11"/>
              </w:numPr>
              <w:spacing w:line="240" w:lineRule="auto"/>
              <w:rPr>
                <w:color w:val="19141A" w:themeColor="background2" w:themeShade="1A"/>
                <w:sz w:val="16"/>
                <w:szCs w:val="16"/>
              </w:rPr>
            </w:pPr>
            <w:r>
              <w:rPr>
                <w:color w:val="19141A" w:themeColor="background2" w:themeShade="1A"/>
                <w:sz w:val="16"/>
                <w:szCs w:val="16"/>
              </w:rPr>
              <w:t xml:space="preserve">Faster and cost-effective method </w:t>
            </w:r>
          </w:p>
          <w:p>
            <w:pPr>
              <w:pStyle w:val="30"/>
              <w:numPr>
                <w:ilvl w:val="0"/>
                <w:numId w:val="11"/>
              </w:numPr>
              <w:spacing w:line="240" w:lineRule="auto"/>
              <w:rPr>
                <w:color w:val="19141A" w:themeColor="background2" w:themeShade="1A"/>
                <w:sz w:val="16"/>
                <w:szCs w:val="16"/>
              </w:rPr>
            </w:pPr>
            <w:r>
              <w:rPr>
                <w:color w:val="19141A" w:themeColor="background2" w:themeShade="1A"/>
                <w:sz w:val="16"/>
                <w:szCs w:val="16"/>
              </w:rPr>
              <w:t xml:space="preserve">Ability to target specific groups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80" w:hRule="atLeast"/>
        </w:trPr>
        <w:tc>
          <w:tcPr>
            <w:tcW w:w="1316" w:type="dxa"/>
          </w:tcPr>
          <w:p>
            <w:pPr>
              <w:spacing w:line="240" w:lineRule="auto"/>
              <w:rPr>
                <w:sz w:val="16"/>
                <w:szCs w:val="16"/>
                <w:highlight w:val="white"/>
              </w:rPr>
            </w:pPr>
            <w:r>
              <w:rPr>
                <w:sz w:val="16"/>
                <w:szCs w:val="16"/>
                <w:highlight w:val="white"/>
              </w:rPr>
              <w:t>Data Analytical tool/techniques</w:t>
            </w:r>
          </w:p>
        </w:tc>
        <w:tc>
          <w:tcPr>
            <w:tcW w:w="8040" w:type="dxa"/>
          </w:tcPr>
          <w:p>
            <w:pPr>
              <w:spacing w:line="240" w:lineRule="auto"/>
              <w:rPr>
                <w:sz w:val="16"/>
                <w:szCs w:val="16"/>
                <w:highlight w:val="white"/>
              </w:rPr>
            </w:pPr>
            <w:r>
              <w:rPr>
                <w:sz w:val="16"/>
                <w:szCs w:val="16"/>
                <w:highlight w:val="white"/>
              </w:rPr>
              <w:t xml:space="preserve">Thematic analysis, content analysis </w:t>
            </w:r>
          </w:p>
          <w:p>
            <w:pPr>
              <w:pStyle w:val="30"/>
              <w:numPr>
                <w:ilvl w:val="0"/>
                <w:numId w:val="12"/>
              </w:numPr>
              <w:spacing w:line="240" w:lineRule="auto"/>
              <w:rPr>
                <w:sz w:val="16"/>
                <w:szCs w:val="16"/>
                <w:highlight w:val="white"/>
              </w:rPr>
            </w:pPr>
            <w:r>
              <w:rPr>
                <w:sz w:val="16"/>
                <w:szCs w:val="16"/>
                <w:highlight w:val="white"/>
              </w:rPr>
              <w:t xml:space="preserve">Provides nuanced analysis of data. </w:t>
            </w:r>
          </w:p>
          <w:p>
            <w:pPr>
              <w:pStyle w:val="30"/>
              <w:numPr>
                <w:ilvl w:val="0"/>
                <w:numId w:val="12"/>
              </w:numPr>
              <w:spacing w:line="240" w:lineRule="auto"/>
              <w:rPr>
                <w:sz w:val="16"/>
                <w:szCs w:val="16"/>
                <w:highlight w:val="white"/>
              </w:rPr>
            </w:pPr>
            <w:r>
              <w:rPr>
                <w:sz w:val="16"/>
                <w:szCs w:val="16"/>
                <w:highlight w:val="white"/>
              </w:rPr>
              <w:t xml:space="preserve">Allows insights that weren’t anticipated. </w:t>
            </w:r>
          </w:p>
        </w:tc>
      </w:tr>
    </w:tbl>
    <w:p>
      <w:pPr>
        <w:pStyle w:val="7"/>
        <w:jc w:val="center"/>
        <w:rPr>
          <w:color w:val="000000" w:themeColor="text1"/>
          <w:sz w:val="20"/>
          <w:szCs w:val="20"/>
          <w14:textFill>
            <w14:solidFill>
              <w14:schemeClr w14:val="tx1"/>
            </w14:solidFill>
          </w14:textFill>
        </w:rPr>
      </w:pPr>
      <w:bookmarkStart w:id="91" w:name="_Toc153906099"/>
      <w:bookmarkStart w:id="92" w:name="_Ref154670880"/>
      <w:bookmarkStart w:id="93" w:name="_Ref153899656"/>
      <w:r>
        <w:rPr>
          <w:color w:val="000000" w:themeColor="text1"/>
          <w:sz w:val="20"/>
          <w:szCs w:val="20"/>
          <w14:textFill>
            <w14:solidFill>
              <w14:schemeClr w14:val="tx1"/>
            </w14:solidFill>
          </w14:textFill>
        </w:rPr>
        <w:t xml:space="preserve">Table </w:t>
      </w: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SEQ Table \* ARABIC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3</w:t>
      </w:r>
      <w:r>
        <w:rPr>
          <w:color w:val="000000" w:themeColor="text1"/>
          <w:sz w:val="20"/>
          <w:szCs w:val="20"/>
          <w14:textFill>
            <w14:solidFill>
              <w14:schemeClr w14:val="tx1"/>
            </w14:solidFill>
          </w14:textFill>
        </w:rPr>
        <w:fldChar w:fldCharType="end"/>
      </w:r>
      <w:r>
        <w:rPr>
          <w:color w:val="000000" w:themeColor="text1"/>
          <w:sz w:val="20"/>
          <w:szCs w:val="20"/>
          <w14:textFill>
            <w14:solidFill>
              <w14:schemeClr w14:val="tx1"/>
            </w14:solidFill>
          </w14:textFill>
        </w:rPr>
        <w:t>.The research methodology</w:t>
      </w:r>
      <w:bookmarkEnd w:id="91"/>
      <w:bookmarkEnd w:id="92"/>
    </w:p>
    <w:p>
      <w:pPr>
        <w:pStyle w:val="7"/>
        <w:rPr>
          <w:b/>
          <w:bCs/>
          <w:color w:val="000000" w:themeColor="text1"/>
          <w:sz w:val="28"/>
          <w:szCs w:val="28"/>
          <w14:textFill>
            <w14:solidFill>
              <w14:schemeClr w14:val="tx1"/>
            </w14:solidFill>
          </w14:textFill>
        </w:rPr>
      </w:pPr>
      <w:r>
        <w:rPr>
          <w:b/>
          <w:bCs/>
          <w:color w:val="000000" w:themeColor="text1"/>
          <w:sz w:val="28"/>
          <w:szCs w:val="28"/>
          <w14:textFill>
            <w14:solidFill>
              <w14:schemeClr w14:val="tx1"/>
            </w14:solidFill>
          </w14:textFill>
        </w:rPr>
        <w:t xml:space="preserve">Appendix </w:t>
      </w:r>
      <w:r>
        <w:rPr>
          <w:b/>
          <w:bCs/>
          <w:color w:val="000000" w:themeColor="text1"/>
          <w:sz w:val="28"/>
          <w:szCs w:val="28"/>
          <w14:textFill>
            <w14:solidFill>
              <w14:schemeClr w14:val="tx1"/>
            </w14:solidFill>
          </w14:textFill>
        </w:rPr>
        <w:fldChar w:fldCharType="begin"/>
      </w:r>
      <w:r>
        <w:rPr>
          <w:b/>
          <w:bCs/>
          <w:color w:val="000000" w:themeColor="text1"/>
          <w:sz w:val="28"/>
          <w:szCs w:val="28"/>
          <w14:textFill>
            <w14:solidFill>
              <w14:schemeClr w14:val="tx1"/>
            </w14:solidFill>
          </w14:textFill>
        </w:rPr>
        <w:instrText xml:space="preserve"> SEQ Appendix \* ARABIC </w:instrText>
      </w:r>
      <w:r>
        <w:rPr>
          <w:b/>
          <w:bCs/>
          <w:color w:val="000000" w:themeColor="text1"/>
          <w:sz w:val="28"/>
          <w:szCs w:val="28"/>
          <w14:textFill>
            <w14:solidFill>
              <w14:schemeClr w14:val="tx1"/>
            </w14:solidFill>
          </w14:textFill>
        </w:rPr>
        <w:fldChar w:fldCharType="separate"/>
      </w:r>
      <w:r>
        <w:rPr>
          <w:b/>
          <w:bCs/>
          <w:color w:val="000000" w:themeColor="text1"/>
          <w:sz w:val="28"/>
          <w:szCs w:val="28"/>
          <w14:textFill>
            <w14:solidFill>
              <w14:schemeClr w14:val="tx1"/>
            </w14:solidFill>
          </w14:textFill>
        </w:rPr>
        <w:t>2</w:t>
      </w:r>
      <w:r>
        <w:rPr>
          <w:b/>
          <w:bCs/>
          <w:color w:val="000000" w:themeColor="text1"/>
          <w:sz w:val="28"/>
          <w:szCs w:val="28"/>
          <w14:textFill>
            <w14:solidFill>
              <w14:schemeClr w14:val="tx1"/>
            </w14:solidFill>
          </w14:textFill>
        </w:rPr>
        <w:fldChar w:fldCharType="end"/>
      </w:r>
      <w:r>
        <w:rPr>
          <w:b/>
          <w:bCs/>
          <w:color w:val="000000" w:themeColor="text1"/>
          <w:sz w:val="28"/>
          <w:szCs w:val="28"/>
          <w14:textFill>
            <w14:solidFill>
              <w14:schemeClr w14:val="tx1"/>
            </w14:solidFill>
          </w14:textFill>
        </w:rPr>
        <w:t>.Factors influencing selection of leadership style.</w:t>
      </w:r>
      <w:bookmarkEnd w:id="93"/>
      <w:r>
        <w:rPr>
          <w:b/>
          <w:bCs/>
          <w:color w:val="000000" w:themeColor="text1"/>
          <w:sz w:val="28"/>
          <w:szCs w:val="28"/>
          <w14:textFill>
            <w14:solidFill>
              <w14:schemeClr w14:val="tx1"/>
            </w14:solidFill>
          </w14:textFill>
        </w:rPr>
        <w:t xml:space="preserve"> </w:t>
      </w:r>
    </w:p>
    <w:p>
      <w:r>
        <w:t xml:space="preserve">Factors influencing the selection of leadership style and the description. </w:t>
      </w:r>
    </w:p>
    <w:tbl>
      <w:tblPr>
        <w:tblStyle w:val="14"/>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49"/>
        <w:gridCol w:w="750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1838" w:type="dxa"/>
          </w:tcPr>
          <w:p>
            <w:pPr>
              <w:rPr>
                <w:sz w:val="20"/>
                <w:szCs w:val="20"/>
              </w:rPr>
            </w:pPr>
            <w:r>
              <w:rPr>
                <w:rFonts w:ascii="Times" w:hAnsi="Times"/>
                <w:b/>
                <w:bCs/>
                <w:sz w:val="20"/>
                <w:szCs w:val="20"/>
                <w:lang w:eastAsia="en-GB"/>
              </w:rPr>
              <w:t>Factors</w:t>
            </w:r>
          </w:p>
        </w:tc>
        <w:tc>
          <w:tcPr>
            <w:tcW w:w="7513" w:type="dxa"/>
          </w:tcPr>
          <w:p>
            <w:pPr>
              <w:rPr>
                <w:sz w:val="20"/>
                <w:szCs w:val="20"/>
              </w:rPr>
            </w:pPr>
            <w:r>
              <w:rPr>
                <w:rFonts w:ascii="Times" w:hAnsi="Times"/>
                <w:b/>
                <w:bCs/>
                <w:sz w:val="20"/>
                <w:szCs w:val="20"/>
                <w:lang w:eastAsia="en-GB"/>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rPr>
                <w:sz w:val="20"/>
                <w:szCs w:val="20"/>
              </w:rPr>
            </w:pPr>
            <w:r>
              <w:rPr>
                <w:rFonts w:ascii="Times" w:hAnsi="Times"/>
                <w:sz w:val="20"/>
                <w:szCs w:val="20"/>
                <w:lang w:eastAsia="en-GB"/>
              </w:rPr>
              <w:t>Gender Expectations</w:t>
            </w:r>
          </w:p>
        </w:tc>
        <w:tc>
          <w:tcPr>
            <w:tcW w:w="7513" w:type="dxa"/>
          </w:tcPr>
          <w:p>
            <w:pPr>
              <w:rPr>
                <w:sz w:val="20"/>
                <w:szCs w:val="20"/>
              </w:rPr>
            </w:pPr>
            <w:r>
              <w:rPr>
                <w:rFonts w:ascii="Times" w:hAnsi="Times"/>
                <w:sz w:val="20"/>
                <w:szCs w:val="20"/>
                <w:lang w:eastAsia="en-GB"/>
              </w:rPr>
              <w:t>Studies (Eagly &amp; Johnson, 1990; Tabassum &amp; Nayak, 2021) highlight how societal expectations and stereotypes impact leadership styles. Women are often perceived as more democratic or participative, while men tend to lean towards autocratic or directive styles. Gender biases influence behaviour and attitudes towards leadership.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rPr>
                <w:sz w:val="20"/>
                <w:szCs w:val="20"/>
              </w:rPr>
            </w:pPr>
            <w:r>
              <w:rPr>
                <w:rFonts w:ascii="Times" w:hAnsi="Times"/>
                <w:sz w:val="20"/>
                <w:szCs w:val="20"/>
                <w:lang w:eastAsia="en-GB"/>
              </w:rPr>
              <w:t>Organisational Culture</w:t>
            </w:r>
          </w:p>
        </w:tc>
        <w:tc>
          <w:tcPr>
            <w:tcW w:w="7513" w:type="dxa"/>
          </w:tcPr>
          <w:p>
            <w:pPr>
              <w:rPr>
                <w:sz w:val="20"/>
                <w:szCs w:val="20"/>
              </w:rPr>
            </w:pPr>
            <w:r>
              <w:rPr>
                <w:rFonts w:ascii="Times" w:hAnsi="Times"/>
                <w:sz w:val="20"/>
                <w:szCs w:val="20"/>
                <w:lang w:eastAsia="en-GB"/>
              </w:rPr>
              <w:t>Hofstede (2001) emphasizes how an organization's culture shapes mental programs based on collective beliefs. Leadership influences organizational culture, and conversely, culture affects leadership development. Traditional gender roles within a culture shape expectations and impact leadership choices.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rPr>
                <w:sz w:val="20"/>
                <w:szCs w:val="20"/>
              </w:rPr>
            </w:pPr>
            <w:r>
              <w:rPr>
                <w:sz w:val="20"/>
                <w:szCs w:val="20"/>
              </w:rPr>
              <w:t>Underrepresentation of Women</w:t>
            </w:r>
          </w:p>
        </w:tc>
        <w:tc>
          <w:tcPr>
            <w:tcW w:w="7513" w:type="dxa"/>
          </w:tcPr>
          <w:p>
            <w:pPr>
              <w:rPr>
                <w:sz w:val="20"/>
                <w:szCs w:val="20"/>
              </w:rPr>
            </w:pPr>
            <w:r>
              <w:rPr>
                <w:rFonts w:ascii="Times" w:hAnsi="Times"/>
                <w:sz w:val="20"/>
                <w:szCs w:val="20"/>
                <w:lang w:eastAsia="en-GB"/>
              </w:rPr>
              <w:t>Despite global shifts in mindset (Morris, 2022), women remain significantly underrepresented in leadership roles across industries, including manufacturing. This underrepresentation influences perceptions and expectations regarding leadership based on gender.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60" w:hRule="atLeast"/>
        </w:trPr>
        <w:tc>
          <w:tcPr>
            <w:tcW w:w="1838" w:type="dxa"/>
          </w:tcPr>
          <w:p>
            <w:pPr>
              <w:rPr>
                <w:sz w:val="20"/>
                <w:szCs w:val="20"/>
              </w:rPr>
            </w:pPr>
            <w:r>
              <w:rPr>
                <w:rFonts w:ascii="Times" w:hAnsi="Times"/>
                <w:sz w:val="20"/>
                <w:szCs w:val="20"/>
                <w:lang w:eastAsia="en-GB"/>
              </w:rPr>
              <w:t>Individual Personality Traits</w:t>
            </w:r>
          </w:p>
        </w:tc>
        <w:tc>
          <w:tcPr>
            <w:tcW w:w="7513" w:type="dxa"/>
          </w:tcPr>
          <w:p>
            <w:pPr>
              <w:rPr>
                <w:sz w:val="20"/>
                <w:szCs w:val="20"/>
              </w:rPr>
            </w:pPr>
            <w:r>
              <w:rPr>
                <w:rFonts w:ascii="Times" w:hAnsi="Times"/>
                <w:sz w:val="20"/>
                <w:szCs w:val="20"/>
                <w:lang w:eastAsia="en-GB"/>
              </w:rPr>
              <w:t>Personal traits like extroversion, empathy, assertiveness, and risk-taking influence leadership styles (Kim et al., 2020). Certain traits, when perceived in leaders, might be evaluated differently based on gender, impacting how leadership potential is perceived, particularly for women.</w:t>
            </w:r>
          </w:p>
        </w:tc>
      </w:tr>
    </w:tbl>
    <w:p>
      <w:pPr>
        <w:pStyle w:val="7"/>
        <w:jc w:val="center"/>
        <w:rPr>
          <w:color w:val="000000" w:themeColor="text1"/>
          <w:sz w:val="20"/>
          <w:szCs w:val="20"/>
          <w14:textFill>
            <w14:solidFill>
              <w14:schemeClr w14:val="tx1"/>
            </w14:solidFill>
          </w14:textFill>
        </w:rPr>
      </w:pPr>
      <w:bookmarkStart w:id="94" w:name="_Toc153906100"/>
      <w:r>
        <w:rPr>
          <w:color w:val="000000" w:themeColor="text1"/>
          <w:sz w:val="20"/>
          <w:szCs w:val="20"/>
          <w14:textFill>
            <w14:solidFill>
              <w14:schemeClr w14:val="tx1"/>
            </w14:solidFill>
          </w14:textFill>
        </w:rPr>
        <w:t xml:space="preserve">Table </w:t>
      </w: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SEQ Table \* ARABIC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4</w:t>
      </w:r>
      <w:r>
        <w:rPr>
          <w:color w:val="000000" w:themeColor="text1"/>
          <w:sz w:val="20"/>
          <w:szCs w:val="20"/>
          <w14:textFill>
            <w14:solidFill>
              <w14:schemeClr w14:val="tx1"/>
            </w14:solidFill>
          </w14:textFill>
        </w:rPr>
        <w:fldChar w:fldCharType="end"/>
      </w:r>
      <w:r>
        <w:rPr>
          <w:color w:val="000000" w:themeColor="text1"/>
          <w:sz w:val="20"/>
          <w:szCs w:val="20"/>
          <w14:textFill>
            <w14:solidFill>
              <w14:schemeClr w14:val="tx1"/>
            </w14:solidFill>
          </w14:textFill>
        </w:rPr>
        <w:t>.Factors influencing the selection of leadership style.</w:t>
      </w:r>
      <w:bookmarkEnd w:id="94"/>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
    <w:p/>
    <w:p/>
    <w:p>
      <w:pPr>
        <w:pStyle w:val="7"/>
        <w:rPr>
          <w:b/>
          <w:bCs/>
          <w:color w:val="000000" w:themeColor="text1"/>
          <w:sz w:val="28"/>
          <w:szCs w:val="28"/>
          <w14:textFill>
            <w14:solidFill>
              <w14:schemeClr w14:val="tx1"/>
            </w14:solidFill>
          </w14:textFill>
        </w:rPr>
      </w:pPr>
      <w:bookmarkStart w:id="95" w:name="_Ref154671762"/>
      <w:r>
        <w:rPr>
          <w:b/>
          <w:bCs/>
          <w:color w:val="000000" w:themeColor="text1"/>
          <w:sz w:val="28"/>
          <w:szCs w:val="28"/>
          <w14:textFill>
            <w14:solidFill>
              <w14:schemeClr w14:val="tx1"/>
            </w14:solidFill>
          </w14:textFill>
        </w:rPr>
        <w:t xml:space="preserve">Appendix </w:t>
      </w:r>
      <w:r>
        <w:rPr>
          <w:b/>
          <w:bCs/>
          <w:color w:val="000000" w:themeColor="text1"/>
          <w:sz w:val="28"/>
          <w:szCs w:val="28"/>
          <w14:textFill>
            <w14:solidFill>
              <w14:schemeClr w14:val="tx1"/>
            </w14:solidFill>
          </w14:textFill>
        </w:rPr>
        <w:fldChar w:fldCharType="begin"/>
      </w:r>
      <w:r>
        <w:rPr>
          <w:b/>
          <w:bCs/>
          <w:color w:val="000000" w:themeColor="text1"/>
          <w:sz w:val="28"/>
          <w:szCs w:val="28"/>
          <w14:textFill>
            <w14:solidFill>
              <w14:schemeClr w14:val="tx1"/>
            </w14:solidFill>
          </w14:textFill>
        </w:rPr>
        <w:instrText xml:space="preserve"> SEQ Appendix \* ARABIC </w:instrText>
      </w:r>
      <w:r>
        <w:rPr>
          <w:b/>
          <w:bCs/>
          <w:color w:val="000000" w:themeColor="text1"/>
          <w:sz w:val="28"/>
          <w:szCs w:val="28"/>
          <w14:textFill>
            <w14:solidFill>
              <w14:schemeClr w14:val="tx1"/>
            </w14:solidFill>
          </w14:textFill>
        </w:rPr>
        <w:fldChar w:fldCharType="separate"/>
      </w:r>
      <w:r>
        <w:rPr>
          <w:b/>
          <w:bCs/>
          <w:color w:val="000000" w:themeColor="text1"/>
          <w:sz w:val="28"/>
          <w:szCs w:val="28"/>
          <w14:textFill>
            <w14:solidFill>
              <w14:schemeClr w14:val="tx1"/>
            </w14:solidFill>
          </w14:textFill>
        </w:rPr>
        <w:t>4</w:t>
      </w:r>
      <w:r>
        <w:rPr>
          <w:b/>
          <w:bCs/>
          <w:color w:val="000000" w:themeColor="text1"/>
          <w:sz w:val="28"/>
          <w:szCs w:val="28"/>
          <w14:textFill>
            <w14:solidFill>
              <w14:schemeClr w14:val="tx1"/>
            </w14:solidFill>
          </w14:textFill>
        </w:rPr>
        <w:fldChar w:fldCharType="end"/>
      </w:r>
      <w:r>
        <w:rPr>
          <w:b/>
          <w:bCs/>
          <w:color w:val="000000" w:themeColor="text1"/>
          <w:sz w:val="28"/>
          <w:szCs w:val="28"/>
          <w14:textFill>
            <w14:solidFill>
              <w14:schemeClr w14:val="tx1"/>
            </w14:solidFill>
          </w14:textFill>
        </w:rPr>
        <w:t>.Participant Information Sheet</w:t>
      </w:r>
      <w:bookmarkEnd w:id="95"/>
    </w:p>
    <w:p>
      <w:pPr>
        <w:spacing w:before="0" w:after="0" w:line="276" w:lineRule="auto"/>
        <w:jc w:val="center"/>
        <w:rPr>
          <w:rFonts w:eastAsia="Times New Roman"/>
          <w:b/>
          <w:sz w:val="30"/>
        </w:rPr>
      </w:pPr>
      <w:r>
        <w:rPr>
          <w:rFonts w:ascii="Calibri" w:hAnsi="Calibri" w:eastAsia="Times New Roman"/>
          <w:sz w:val="22"/>
          <w:lang w:val="en-US"/>
        </w:rPr>
        <mc:AlternateContent>
          <mc:Choice Requires="wps">
            <w:drawing>
              <wp:anchor distT="0" distB="0" distL="114300" distR="114300" simplePos="0" relativeHeight="251659264" behindDoc="0" locked="0" layoutInCell="1" allowOverlap="1">
                <wp:simplePos x="0" y="0"/>
                <wp:positionH relativeFrom="column">
                  <wp:posOffset>2694305</wp:posOffset>
                </wp:positionH>
                <wp:positionV relativeFrom="paragraph">
                  <wp:posOffset>135255</wp:posOffset>
                </wp:positionV>
                <wp:extent cx="3638550" cy="1136015"/>
                <wp:effectExtent l="0" t="0" r="0" b="0"/>
                <wp:wrapThrough wrapText="bothSides">
                  <wp:wrapPolygon>
                    <wp:start x="543" y="1739"/>
                    <wp:lineTo x="21057" y="1739"/>
                    <wp:lineTo x="21057" y="19861"/>
                    <wp:lineTo x="543" y="19861"/>
                    <wp:lineTo x="543" y="1739"/>
                  </wp:wrapPolygon>
                </wp:wrapThrough>
                <wp:docPr id="331" name="Text Box 331"/>
                <wp:cNvGraphicFramePr/>
                <a:graphic xmlns:a="http://schemas.openxmlformats.org/drawingml/2006/main">
                  <a:graphicData uri="http://schemas.microsoft.com/office/word/2010/wordprocessingShape">
                    <wps:wsp>
                      <wps:cNvSpPr txBox="1">
                        <a:spLocks noChangeArrowheads="1"/>
                      </wps:cNvSpPr>
                      <wps:spPr bwMode="auto">
                        <a:xfrm>
                          <a:off x="0" y="0"/>
                          <a:ext cx="3638550" cy="1136015"/>
                        </a:xfrm>
                        <a:prstGeom prst="rect">
                          <a:avLst/>
                        </a:prstGeom>
                        <a:noFill/>
                        <a:ln>
                          <a:noFill/>
                        </a:ln>
                      </wps:spPr>
                      <wps:txbx>
                        <w:txbxContent>
                          <w:p>
                            <w:pPr>
                              <w:jc w:val="right"/>
                              <w:rPr>
                                <w:b/>
                                <w:sz w:val="16"/>
                              </w:rPr>
                            </w:pPr>
                            <w:r>
                              <w:rPr>
                                <w:b/>
                                <w:sz w:val="16"/>
                              </w:rPr>
                              <w:t>University of Wales Trinity Saint David (London Campus)</w:t>
                            </w:r>
                          </w:p>
                          <w:p>
                            <w:pPr>
                              <w:jc w:val="right"/>
                              <w:rPr>
                                <w:b/>
                                <w:sz w:val="16"/>
                              </w:rPr>
                            </w:pPr>
                            <w:r>
                              <w:rPr>
                                <w:b/>
                                <w:sz w:val="16"/>
                              </w:rPr>
                              <w:t>Winchester House</w:t>
                            </w:r>
                          </w:p>
                          <w:p>
                            <w:pPr>
                              <w:jc w:val="right"/>
                              <w:rPr>
                                <w:b/>
                                <w:sz w:val="16"/>
                              </w:rPr>
                            </w:pPr>
                            <w:r>
                              <w:rPr>
                                <w:b/>
                                <w:sz w:val="16"/>
                              </w:rPr>
                              <w:t>11 Cranmer Road</w:t>
                            </w:r>
                          </w:p>
                          <w:p>
                            <w:pPr>
                              <w:jc w:val="right"/>
                              <w:rPr>
                                <w:b/>
                                <w:sz w:val="16"/>
                              </w:rPr>
                            </w:pPr>
                            <w:r>
                              <w:rPr>
                                <w:b/>
                                <w:sz w:val="16"/>
                              </w:rPr>
                              <w:t>London – SW9 6EJ</w:t>
                            </w:r>
                          </w:p>
                          <w:p>
                            <w:pPr>
                              <w:jc w:val="right"/>
                              <w:rPr>
                                <w:b/>
                                <w:sz w:val="16"/>
                              </w:rPr>
                            </w:pPr>
                            <w:r>
                              <w:rPr>
                                <w:b/>
                                <w:sz w:val="16"/>
                              </w:rPr>
                              <w:t>Tel: +442075667600</w:t>
                            </w:r>
                          </w:p>
                          <w:p>
                            <w:pPr>
                              <w:jc w:val="right"/>
                              <w:rPr>
                                <w:sz w:val="16"/>
                              </w:rPr>
                            </w:pPr>
                            <w:r>
                              <w:rPr>
                                <w:b/>
                                <w:sz w:val="16"/>
                              </w:rPr>
                              <w:t>Email:</w:t>
                            </w:r>
                            <w:r>
                              <w:rPr>
                                <w:sz w:val="16"/>
                              </w:rPr>
                              <w:t xml:space="preserve"> </w:t>
                            </w:r>
                            <w:r>
                              <w:fldChar w:fldCharType="begin"/>
                            </w:r>
                            <w:r>
                              <w:instrText xml:space="preserve"> HYPERLINK "mailto:info.london@tsd.ac.uk" </w:instrText>
                            </w:r>
                            <w:r>
                              <w:fldChar w:fldCharType="separate"/>
                            </w:r>
                            <w:r>
                              <w:rPr>
                                <w:rStyle w:val="10"/>
                                <w:sz w:val="16"/>
                              </w:rPr>
                              <w:t>info.london@tsd.ac.uk</w:t>
                            </w:r>
                            <w:r>
                              <w:rPr>
                                <w:rStyle w:val="10"/>
                                <w:sz w:val="16"/>
                              </w:rPr>
                              <w:fldChar w:fldCharType="end"/>
                            </w:r>
                            <w:r>
                              <w:rPr>
                                <w:sz w:val="16"/>
                              </w:rPr>
                              <w:t xml:space="preserve"> </w:t>
                            </w:r>
                          </w:p>
                          <w:p>
                            <w:pPr>
                              <w:jc w:val="right"/>
                              <w:rPr>
                                <w:sz w:val="16"/>
                              </w:rPr>
                            </w:pPr>
                            <w:r>
                              <w:rPr>
                                <w:sz w:val="16"/>
                              </w:rPr>
                              <w:t xml:space="preserve">            </w:t>
                            </w:r>
                            <w:r>
                              <w:fldChar w:fldCharType="begin"/>
                            </w:r>
                            <w:r>
                              <w:instrText xml:space="preserve"> HYPERLINK "mailto:londonstudentservice@tsd.ac.uk" </w:instrText>
                            </w:r>
                            <w:r>
                              <w:fldChar w:fldCharType="separate"/>
                            </w:r>
                            <w:r>
                              <w:rPr>
                                <w:rStyle w:val="10"/>
                                <w:sz w:val="16"/>
                              </w:rPr>
                              <w:t>londonstudentservice@tsd.ac.uk</w:t>
                            </w:r>
                            <w:r>
                              <w:rPr>
                                <w:rStyle w:val="10"/>
                                <w:sz w:val="16"/>
                              </w:rPr>
                              <w:fldChar w:fldCharType="end"/>
                            </w:r>
                            <w:r>
                              <w:rPr>
                                <w:sz w:val="16"/>
                              </w:rPr>
                              <w:t xml:space="preserve"> </w:t>
                            </w:r>
                          </w:p>
                        </w:txbxContent>
                      </wps:txbx>
                      <wps:bodyPr rot="0" vert="horz" wrap="square" lIns="91440" tIns="91440" rIns="91440" bIns="91440" anchor="t" anchorCtr="0" upright="1">
                        <a:noAutofit/>
                      </wps:bodyPr>
                    </wps:wsp>
                  </a:graphicData>
                </a:graphic>
              </wp:anchor>
            </w:drawing>
          </mc:Choice>
          <mc:Fallback>
            <w:pict>
              <v:shape id="_x0000_s1026" o:spid="_x0000_s1026" o:spt="202" type="#_x0000_t202" style="position:absolute;left:0pt;margin-left:212.15pt;margin-top:10.65pt;height:89.45pt;width:286.5pt;mso-wrap-distance-left:9pt;mso-wrap-distance-right:9pt;z-index:251659264;mso-width-relative:page;mso-height-relative:page;" filled="f" stroked="f" coordsize="21600,21600" wrapcoords="543 1739 21057 1739 21057 19861 543 19861 543 1739" o:gfxdata="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">
                <v:fill on="f" focussize="0,0"/>
                <v:stroke on="f"/>
                <v:imagedata o:title=""/>
                <o:lock v:ext="edit" aspectratio="f"/>
                <v:textbox inset="2.54mm,2.54mm,2.54mm,2.54mm">
                  <w:txbxContent>
                    <w:p>
                      <w:pPr>
                        <w:jc w:val="right"/>
                        <w:rPr>
                          <w:b/>
                          <w:sz w:val="16"/>
                        </w:rPr>
                      </w:pPr>
                      <w:r>
                        <w:rPr>
                          <w:b/>
                          <w:sz w:val="16"/>
                        </w:rPr>
                        <w:t>University of Wales Trinity Saint David (London Campus)</w:t>
                      </w:r>
                    </w:p>
                    <w:p>
                      <w:pPr>
                        <w:jc w:val="right"/>
                        <w:rPr>
                          <w:b/>
                          <w:sz w:val="16"/>
                        </w:rPr>
                      </w:pPr>
                      <w:r>
                        <w:rPr>
                          <w:b/>
                          <w:sz w:val="16"/>
                        </w:rPr>
                        <w:t>Winchester House</w:t>
                      </w:r>
                    </w:p>
                    <w:p>
                      <w:pPr>
                        <w:jc w:val="right"/>
                        <w:rPr>
                          <w:b/>
                          <w:sz w:val="16"/>
                        </w:rPr>
                      </w:pPr>
                      <w:r>
                        <w:rPr>
                          <w:b/>
                          <w:sz w:val="16"/>
                        </w:rPr>
                        <w:t>11 Cranmer Road</w:t>
                      </w:r>
                    </w:p>
                    <w:p>
                      <w:pPr>
                        <w:jc w:val="right"/>
                        <w:rPr>
                          <w:b/>
                          <w:sz w:val="16"/>
                        </w:rPr>
                      </w:pPr>
                      <w:r>
                        <w:rPr>
                          <w:b/>
                          <w:sz w:val="16"/>
                        </w:rPr>
                        <w:t>London – SW9 6EJ</w:t>
                      </w:r>
                    </w:p>
                    <w:p>
                      <w:pPr>
                        <w:jc w:val="right"/>
                        <w:rPr>
                          <w:b/>
                          <w:sz w:val="16"/>
                        </w:rPr>
                      </w:pPr>
                      <w:r>
                        <w:rPr>
                          <w:b/>
                          <w:sz w:val="16"/>
                        </w:rPr>
                        <w:t>Tel: +442075667600</w:t>
                      </w:r>
                    </w:p>
                    <w:p>
                      <w:pPr>
                        <w:jc w:val="right"/>
                        <w:rPr>
                          <w:sz w:val="16"/>
                        </w:rPr>
                      </w:pPr>
                      <w:r>
                        <w:rPr>
                          <w:b/>
                          <w:sz w:val="16"/>
                        </w:rPr>
                        <w:t>Email:</w:t>
                      </w:r>
                      <w:r>
                        <w:rPr>
                          <w:sz w:val="16"/>
                        </w:rPr>
                        <w:t xml:space="preserve"> </w:t>
                      </w:r>
                      <w:r>
                        <w:fldChar w:fldCharType="begin"/>
                      </w:r>
                      <w:r>
                        <w:instrText xml:space="preserve"> HYPERLINK "mailto:info.london@tsd.ac.uk" </w:instrText>
                      </w:r>
                      <w:r>
                        <w:fldChar w:fldCharType="separate"/>
                      </w:r>
                      <w:r>
                        <w:rPr>
                          <w:rStyle w:val="10"/>
                          <w:sz w:val="16"/>
                        </w:rPr>
                        <w:t>info.london@tsd.ac.uk</w:t>
                      </w:r>
                      <w:r>
                        <w:rPr>
                          <w:rStyle w:val="10"/>
                          <w:sz w:val="16"/>
                        </w:rPr>
                        <w:fldChar w:fldCharType="end"/>
                      </w:r>
                      <w:r>
                        <w:rPr>
                          <w:sz w:val="16"/>
                        </w:rPr>
                        <w:t xml:space="preserve"> </w:t>
                      </w:r>
                    </w:p>
                    <w:p>
                      <w:pPr>
                        <w:jc w:val="right"/>
                        <w:rPr>
                          <w:sz w:val="16"/>
                        </w:rPr>
                      </w:pPr>
                      <w:r>
                        <w:rPr>
                          <w:sz w:val="16"/>
                        </w:rPr>
                        <w:t xml:space="preserve">            </w:t>
                      </w:r>
                      <w:r>
                        <w:fldChar w:fldCharType="begin"/>
                      </w:r>
                      <w:r>
                        <w:instrText xml:space="preserve"> HYPERLINK "mailto:londonstudentservice@tsd.ac.uk" </w:instrText>
                      </w:r>
                      <w:r>
                        <w:fldChar w:fldCharType="separate"/>
                      </w:r>
                      <w:r>
                        <w:rPr>
                          <w:rStyle w:val="10"/>
                          <w:sz w:val="16"/>
                        </w:rPr>
                        <w:t>londonstudentservice@tsd.ac.uk</w:t>
                      </w:r>
                      <w:r>
                        <w:rPr>
                          <w:rStyle w:val="10"/>
                          <w:sz w:val="16"/>
                        </w:rPr>
                        <w:fldChar w:fldCharType="end"/>
                      </w:r>
                      <w:r>
                        <w:rPr>
                          <w:sz w:val="16"/>
                        </w:rPr>
                        <w:t xml:space="preserve"> </w:t>
                      </w:r>
                    </w:p>
                  </w:txbxContent>
                </v:textbox>
                <w10:wrap type="through"/>
              </v:shape>
            </w:pict>
          </mc:Fallback>
        </mc:AlternateContent>
      </w:r>
      <w:r>
        <w:rPr>
          <w:rFonts w:eastAsia="Times New Roman"/>
          <w:b/>
          <w:sz w:val="30"/>
        </w:rPr>
        <w:t xml:space="preserve"> Participant Information Sheet </w:t>
      </w:r>
    </w:p>
    <w:p>
      <w:pPr>
        <w:spacing w:before="0" w:after="0" w:line="276" w:lineRule="auto"/>
        <w:jc w:val="center"/>
        <w:rPr>
          <w:rFonts w:eastAsia="Times New Roman"/>
          <w:b/>
          <w:sz w:val="30"/>
        </w:rPr>
      </w:pPr>
    </w:p>
    <w:p>
      <w:pPr>
        <w:spacing w:before="0" w:after="0" w:line="276" w:lineRule="auto"/>
        <w:jc w:val="left"/>
        <w:rPr>
          <w:rFonts w:ascii="Calibri" w:hAnsi="Calibri" w:eastAsia="Times New Roman"/>
          <w:b/>
          <w:sz w:val="22"/>
        </w:rPr>
      </w:pPr>
      <w:r>
        <w:rPr>
          <w:rFonts w:ascii="Calibri" w:hAnsi="Calibri" w:eastAsia="Times New Roman"/>
          <w:sz w:val="22"/>
          <w:lang w:val="en-US"/>
        </w:rPr>
        <w:drawing>
          <wp:inline distT="0" distB="0" distL="0" distR="0">
            <wp:extent cx="2071370" cy="679450"/>
            <wp:effectExtent l="0" t="0" r="0" b="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099028" cy="688459"/>
                    </a:xfrm>
                    <a:prstGeom prst="rect">
                      <a:avLst/>
                    </a:prstGeom>
                    <a:noFill/>
                    <a:ln>
                      <a:noFill/>
                    </a:ln>
                  </pic:spPr>
                </pic:pic>
              </a:graphicData>
            </a:graphic>
          </wp:inline>
        </w:drawing>
      </w:r>
    </w:p>
    <w:tbl>
      <w:tblPr>
        <w:tblStyle w:val="6"/>
        <w:tblW w:w="9216" w:type="dxa"/>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ayout w:type="autofit"/>
        <w:tblCellMar>
          <w:top w:w="0" w:type="dxa"/>
          <w:left w:w="108" w:type="dxa"/>
          <w:bottom w:w="0" w:type="dxa"/>
          <w:right w:w="108" w:type="dxa"/>
        </w:tblCellMar>
      </w:tblPr>
      <w:tblGrid>
        <w:gridCol w:w="4583"/>
        <w:gridCol w:w="3335"/>
        <w:gridCol w:w="1298"/>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489" w:hRule="atLeast"/>
        </w:trPr>
        <w:tc>
          <w:tcPr>
            <w:tcW w:w="4583" w:type="dxa"/>
            <w:tcBorders>
              <w:top w:val="nil"/>
              <w:left w:val="nil"/>
              <w:bottom w:val="nil"/>
              <w:right w:val="nil"/>
            </w:tcBorders>
            <w:shd w:val="clear" w:color="auto" w:fill="auto"/>
          </w:tcPr>
          <w:p>
            <w:pPr>
              <w:spacing w:before="0" w:after="0" w:line="276" w:lineRule="auto"/>
              <w:jc w:val="left"/>
              <w:rPr>
                <w:rFonts w:ascii="Arial" w:hAnsi="Arial" w:eastAsia="Times New Roman" w:cs="Arial"/>
                <w:b/>
                <w:color w:val="FFFFFF"/>
                <w:sz w:val="20"/>
                <w:szCs w:val="22"/>
              </w:rPr>
            </w:pPr>
          </w:p>
        </w:tc>
        <w:tc>
          <w:tcPr>
            <w:tcW w:w="3335" w:type="dxa"/>
            <w:tcBorders>
              <w:top w:val="nil"/>
              <w:left w:val="nil"/>
              <w:bottom w:val="nil"/>
              <w:right w:val="single" w:color="4F81BD" w:sz="6" w:space="0"/>
            </w:tcBorders>
            <w:shd w:val="clear" w:color="auto" w:fill="auto"/>
          </w:tcPr>
          <w:p>
            <w:pPr>
              <w:spacing w:before="0" w:after="0" w:line="276" w:lineRule="auto"/>
              <w:jc w:val="left"/>
              <w:rPr>
                <w:rFonts w:eastAsia="Times New Roman" w:cs="Arial"/>
                <w:color w:val="000000"/>
                <w:sz w:val="20"/>
                <w:szCs w:val="22"/>
              </w:rPr>
            </w:pPr>
            <w:r>
              <w:rPr>
                <w:rFonts w:eastAsia="Times New Roman" w:cs="Arial"/>
                <w:color w:val="000000"/>
                <w:sz w:val="20"/>
                <w:szCs w:val="22"/>
              </w:rPr>
              <w:t xml:space="preserve">Rhif Adnabod Cyfranogwr: </w:t>
            </w:r>
          </w:p>
          <w:p>
            <w:pPr>
              <w:spacing w:before="0" w:after="0" w:line="276" w:lineRule="auto"/>
              <w:jc w:val="left"/>
              <w:rPr>
                <w:rFonts w:ascii="Arial" w:hAnsi="Arial" w:eastAsia="Times New Roman" w:cs="Arial"/>
                <w:b/>
                <w:color w:val="000000"/>
                <w:sz w:val="20"/>
                <w:szCs w:val="22"/>
              </w:rPr>
            </w:pPr>
            <w:r>
              <w:rPr>
                <w:rFonts w:eastAsia="Times New Roman" w:cs="Arial"/>
                <w:color w:val="000000"/>
                <w:sz w:val="20"/>
                <w:szCs w:val="22"/>
              </w:rPr>
              <w:t>Participant Identification Number:</w:t>
            </w:r>
          </w:p>
        </w:tc>
        <w:tc>
          <w:tcPr>
            <w:tcW w:w="1296" w:type="dxa"/>
            <w:tcBorders>
              <w:top w:val="single" w:color="4F81BD" w:sz="6" w:space="0"/>
              <w:left w:val="single" w:color="4F81BD" w:sz="6" w:space="0"/>
              <w:bottom w:val="single" w:color="4F81BD" w:sz="6" w:space="0"/>
              <w:right w:val="single" w:color="4F81BD" w:sz="6" w:space="0"/>
            </w:tcBorders>
            <w:shd w:val="clear" w:color="auto" w:fill="auto"/>
          </w:tcPr>
          <w:p>
            <w:pPr>
              <w:spacing w:before="0" w:after="0" w:line="276" w:lineRule="auto"/>
              <w:jc w:val="left"/>
              <w:rPr>
                <w:rFonts w:ascii="Arial" w:hAnsi="Arial" w:eastAsia="Times New Roman" w:cs="Arial"/>
                <w:b/>
                <w:color w:val="000000"/>
                <w:sz w:val="20"/>
                <w:szCs w:val="22"/>
              </w:rPr>
            </w:pPr>
            <w:r>
              <w:rPr>
                <w:rFonts w:ascii="Arial" w:hAnsi="Arial" w:eastAsia="Times New Roman" w:cs="Arial"/>
                <w:b/>
                <w:color w:val="000000"/>
                <w:sz w:val="20"/>
                <w:szCs w:val="22"/>
              </w:rPr>
              <w:t>R1</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489" w:hRule="atLeast"/>
        </w:trPr>
        <w:tc>
          <w:tcPr>
            <w:tcW w:w="4583" w:type="dxa"/>
            <w:tcBorders>
              <w:top w:val="nil"/>
              <w:bottom w:val="nil"/>
            </w:tcBorders>
            <w:shd w:val="clear" w:color="auto" w:fill="4F81BD"/>
          </w:tcPr>
          <w:p>
            <w:pPr>
              <w:spacing w:before="0" w:after="0" w:line="276" w:lineRule="auto"/>
              <w:jc w:val="center"/>
              <w:rPr>
                <w:rFonts w:ascii="Arial" w:hAnsi="Arial" w:eastAsia="Times New Roman" w:cs="Arial"/>
                <w:b/>
                <w:color w:val="FFFFFF"/>
                <w:sz w:val="18"/>
                <w:szCs w:val="18"/>
              </w:rPr>
            </w:pPr>
          </w:p>
          <w:p>
            <w:pPr>
              <w:spacing w:before="0" w:after="0" w:line="276" w:lineRule="auto"/>
              <w:jc w:val="center"/>
              <w:rPr>
                <w:rFonts w:ascii="Arial" w:hAnsi="Arial" w:eastAsia="Times New Roman" w:cs="Arial"/>
                <w:b/>
                <w:color w:val="FFFFFF"/>
                <w:sz w:val="18"/>
                <w:szCs w:val="18"/>
              </w:rPr>
            </w:pPr>
            <w:r>
              <w:rPr>
                <w:rFonts w:ascii="Arial" w:hAnsi="Arial" w:eastAsia="Times New Roman" w:cs="Arial"/>
                <w:b/>
                <w:color w:val="FFFFFF"/>
                <w:sz w:val="18"/>
                <w:szCs w:val="18"/>
              </w:rPr>
              <w:t>FFURFLEN GANIATÂD CYFRANOGIAD</w:t>
            </w:r>
          </w:p>
        </w:tc>
        <w:tc>
          <w:tcPr>
            <w:tcW w:w="4632" w:type="dxa"/>
            <w:gridSpan w:val="2"/>
            <w:tcBorders>
              <w:top w:val="single" w:color="4F81BD" w:sz="6" w:space="0"/>
              <w:bottom w:val="single" w:color="4F81BD" w:sz="6" w:space="0"/>
            </w:tcBorders>
            <w:shd w:val="clear" w:color="auto" w:fill="4F81BD"/>
          </w:tcPr>
          <w:p>
            <w:pPr>
              <w:spacing w:before="0" w:after="0" w:line="276" w:lineRule="auto"/>
              <w:jc w:val="center"/>
              <w:rPr>
                <w:rFonts w:ascii="Arial" w:hAnsi="Arial" w:eastAsia="Times New Roman" w:cs="Arial"/>
                <w:b/>
                <w:color w:val="FFFFFF"/>
                <w:sz w:val="18"/>
                <w:szCs w:val="18"/>
              </w:rPr>
            </w:pPr>
          </w:p>
          <w:p>
            <w:pPr>
              <w:spacing w:before="0" w:after="0" w:line="276" w:lineRule="auto"/>
              <w:jc w:val="center"/>
              <w:rPr>
                <w:rFonts w:ascii="Arial" w:hAnsi="Arial" w:eastAsia="Times New Roman" w:cs="Arial"/>
                <w:b/>
                <w:color w:val="FFFFFF"/>
                <w:sz w:val="18"/>
                <w:szCs w:val="18"/>
              </w:rPr>
            </w:pPr>
            <w:r>
              <w:rPr>
                <w:rFonts w:ascii="Arial" w:hAnsi="Arial" w:eastAsia="Times New Roman" w:cs="Arial"/>
                <w:b/>
                <w:color w:val="FFFFFF"/>
                <w:sz w:val="18"/>
                <w:szCs w:val="18"/>
              </w:rPr>
              <w:t>SAMPLE PARTICIPANT INFORMATION SHEET</w:t>
            </w:r>
          </w:p>
          <w:p>
            <w:pPr>
              <w:spacing w:before="0" w:after="0" w:line="276" w:lineRule="auto"/>
              <w:jc w:val="center"/>
              <w:rPr>
                <w:rFonts w:ascii="Arial" w:hAnsi="Arial" w:eastAsia="Times New Roman" w:cs="Arial"/>
                <w:color w:val="FFFFFF"/>
                <w:sz w:val="18"/>
                <w:szCs w:val="18"/>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442" w:hRule="atLeast"/>
        </w:trPr>
        <w:tc>
          <w:tcPr>
            <w:tcW w:w="9216" w:type="dxa"/>
            <w:gridSpan w:val="3"/>
            <w:shd w:val="clear" w:color="auto" w:fill="auto"/>
          </w:tcPr>
          <w:p>
            <w:pPr>
              <w:spacing w:before="0" w:after="0" w:line="276" w:lineRule="auto"/>
              <w:jc w:val="center"/>
              <w:rPr>
                <w:rFonts w:eastAsia="Times New Roman"/>
                <w:sz w:val="20"/>
                <w:szCs w:val="22"/>
              </w:rPr>
            </w:pPr>
            <w:r>
              <w:rPr>
                <w:rFonts w:eastAsia="Times New Roman" w:cs="Arial"/>
                <w:sz w:val="18"/>
                <w:szCs w:val="22"/>
              </w:rPr>
              <w:t>Teitl Y Prosiect: /</w:t>
            </w:r>
            <w:r>
              <w:rPr>
                <w:rFonts w:eastAsia="Times New Roman" w:cs="Arial"/>
                <w:b/>
                <w:color w:val="FFFFFF"/>
                <w:sz w:val="18"/>
                <w:szCs w:val="22"/>
              </w:rPr>
              <w:t xml:space="preserve"> </w:t>
            </w:r>
            <w:r>
              <w:rPr>
                <w:rFonts w:eastAsia="Times New Roman" w:cs="Arial"/>
                <w:sz w:val="18"/>
                <w:szCs w:val="22"/>
              </w:rPr>
              <w:t xml:space="preserve">Project Title: </w:t>
            </w:r>
            <w:r>
              <w:rPr>
                <w:rFonts w:eastAsia="Times New Roman" w:cs="Arial"/>
                <w:b/>
                <w:sz w:val="18"/>
                <w:szCs w:val="22"/>
              </w:rPr>
              <w:t>Exploring the gender differences in leadership style: A general study in manufacturing in the UK</w:t>
            </w:r>
          </w:p>
        </w:tc>
      </w:tr>
    </w:tbl>
    <w:p>
      <w:pPr>
        <w:spacing w:before="0" w:after="0" w:line="276" w:lineRule="auto"/>
        <w:jc w:val="left"/>
        <w:rPr>
          <w:rFonts w:ascii="Calibri" w:hAnsi="Calibri" w:eastAsia="Times New Roman"/>
          <w:b/>
          <w:sz w:val="22"/>
        </w:rPr>
      </w:pPr>
    </w:p>
    <w:p>
      <w:pPr>
        <w:spacing w:before="0" w:after="0" w:line="276" w:lineRule="auto"/>
        <w:jc w:val="left"/>
        <w:rPr>
          <w:rFonts w:eastAsia="Times New Roman" w:cs="Arial"/>
          <w:sz w:val="20"/>
          <w:szCs w:val="20"/>
        </w:rPr>
      </w:pPr>
      <w:r>
        <w:rPr>
          <w:rFonts w:eastAsia="Times New Roman" w:cs="Arial"/>
          <w:sz w:val="20"/>
          <w:szCs w:val="20"/>
        </w:rPr>
        <w:t xml:space="preserve">Dear Sir/Madam, </w:t>
      </w:r>
    </w:p>
    <w:p>
      <w:pPr>
        <w:spacing w:before="0" w:after="0" w:line="276" w:lineRule="auto"/>
        <w:jc w:val="left"/>
        <w:rPr>
          <w:rFonts w:eastAsia="Times New Roman" w:cs="Arial"/>
          <w:sz w:val="20"/>
          <w:szCs w:val="20"/>
        </w:rPr>
      </w:pPr>
    </w:p>
    <w:p>
      <w:pPr>
        <w:spacing w:before="0" w:after="0" w:line="276" w:lineRule="auto"/>
        <w:rPr>
          <w:rFonts w:eastAsia="Calibri" w:cs="Arial"/>
          <w:sz w:val="20"/>
          <w:szCs w:val="20"/>
          <w:lang w:eastAsia="en-GB"/>
        </w:rPr>
      </w:pPr>
      <w:r>
        <w:rPr>
          <w:rFonts w:eastAsia="Calibri" w:cs="Arial"/>
          <w:color w:val="000000"/>
          <w:sz w:val="20"/>
          <w:szCs w:val="20"/>
          <w:lang w:eastAsia="en-GB"/>
        </w:rPr>
        <w:t xml:space="preserve">     My name is </w:t>
      </w:r>
      <w:r>
        <w:rPr>
          <w:rFonts w:eastAsia="Calibri" w:cs="Arial"/>
          <w:sz w:val="20"/>
          <w:szCs w:val="20"/>
          <w:lang w:eastAsia="en-GB"/>
        </w:rPr>
        <w:t xml:space="preserve">Mariana Cocos, </w:t>
      </w:r>
      <w:r>
        <w:rPr>
          <w:rFonts w:eastAsia="Calibri" w:cs="Arial"/>
          <w:color w:val="000000"/>
          <w:sz w:val="20"/>
          <w:szCs w:val="20"/>
          <w:lang w:eastAsia="en-GB"/>
        </w:rPr>
        <w:t xml:space="preserve">and I am a student in the </w:t>
      </w:r>
      <w:r>
        <w:rPr>
          <w:rFonts w:eastAsia="Calibri" w:cs="Arial"/>
          <w:sz w:val="20"/>
          <w:szCs w:val="20"/>
          <w:lang w:eastAsia="en-GB"/>
        </w:rPr>
        <w:t xml:space="preserve">School of Business, Finance and Management (London Campus), Faculty of Business and Management in University of Wales Trinity Saint David, United Kingdom. At present, I am conducting research on </w:t>
      </w:r>
      <w:r>
        <w:rPr>
          <w:rFonts w:eastAsia="Calibri" w:cs="Arial"/>
          <w:bCs/>
          <w:sz w:val="20"/>
          <w:szCs w:val="20"/>
          <w:lang w:eastAsia="en-GB"/>
        </w:rPr>
        <w:t>gender differences in leadership style: A general study in manufacturing in the UK.</w:t>
      </w:r>
      <w:r>
        <w:rPr>
          <w:rFonts w:eastAsia="Calibri" w:cs="Arial"/>
          <w:sz w:val="20"/>
          <w:szCs w:val="20"/>
          <w:lang w:eastAsia="en-GB"/>
        </w:rPr>
        <w:t xml:space="preserve"> </w:t>
      </w:r>
    </w:p>
    <w:p>
      <w:pPr>
        <w:spacing w:before="0" w:after="0" w:line="276" w:lineRule="auto"/>
        <w:rPr>
          <w:rFonts w:eastAsia="Calibri" w:cs="Arial"/>
          <w:sz w:val="20"/>
          <w:szCs w:val="20"/>
          <w:lang w:eastAsia="en-GB"/>
        </w:rPr>
      </w:pPr>
      <w:r>
        <w:rPr>
          <w:rFonts w:eastAsia="Calibri" w:cs="Arial"/>
          <w:sz w:val="20"/>
          <w:szCs w:val="20"/>
          <w:lang w:eastAsia="en-GB"/>
        </w:rPr>
        <w:softHyphen/>
      </w:r>
    </w:p>
    <w:p>
      <w:pPr>
        <w:spacing w:before="0" w:after="0" w:line="276" w:lineRule="auto"/>
        <w:rPr>
          <w:rFonts w:eastAsia="Calibri" w:cs="Arial"/>
          <w:sz w:val="20"/>
          <w:szCs w:val="20"/>
          <w:lang w:eastAsia="en-GB"/>
        </w:rPr>
      </w:pPr>
      <w:r>
        <w:rPr>
          <w:rFonts w:eastAsia="Calibri" w:cs="Arial"/>
          <w:sz w:val="20"/>
          <w:szCs w:val="20"/>
          <w:lang w:eastAsia="en-GB"/>
        </w:rPr>
        <w:t xml:space="preserve">     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pPr>
        <w:spacing w:before="0" w:after="0" w:line="276" w:lineRule="auto"/>
        <w:rPr>
          <w:rFonts w:eastAsia="Calibri" w:cs="Arial"/>
          <w:color w:val="000000"/>
          <w:sz w:val="20"/>
          <w:szCs w:val="20"/>
          <w:lang w:eastAsia="en-GB"/>
        </w:rPr>
      </w:pPr>
      <w:r>
        <w:rPr>
          <w:rFonts w:eastAsia="Calibri" w:cs="Arial"/>
          <w:color w:val="000000"/>
          <w:sz w:val="20"/>
          <w:szCs w:val="20"/>
          <w:lang w:eastAsia="en-GB"/>
        </w:rPr>
        <w:t xml:space="preserve">    All questions will be kept strictly confidential to the researchers involved and at </w:t>
      </w:r>
      <w:r>
        <w:rPr>
          <w:rFonts w:eastAsia="Calibri" w:cs="Arial"/>
          <w:b/>
          <w:color w:val="000000"/>
          <w:sz w:val="20"/>
          <w:szCs w:val="20"/>
          <w:u w:val="single"/>
          <w:lang w:eastAsia="en-GB"/>
        </w:rPr>
        <w:t>NO</w:t>
      </w:r>
      <w:r>
        <w:rPr>
          <w:rFonts w:eastAsia="Calibri" w:cs="Arial"/>
          <w:color w:val="000000"/>
          <w:sz w:val="20"/>
          <w:szCs w:val="20"/>
          <w:lang w:eastAsia="en-GB"/>
        </w:rPr>
        <w:t xml:space="preserve"> time individual questions will be released to the public. This gives you a chance to express your views on your programme a confidential and anonymous forum and still be able to make a difference. Your participation in this study is completely voluntary so you can withdraw from the questionnaire at any stage. </w:t>
      </w:r>
    </w:p>
    <w:p>
      <w:pPr>
        <w:spacing w:before="0" w:after="0" w:line="276" w:lineRule="auto"/>
        <w:rPr>
          <w:rFonts w:eastAsia="Calibri" w:cs="Arial"/>
          <w:color w:val="000000"/>
          <w:sz w:val="20"/>
          <w:szCs w:val="20"/>
          <w:lang w:eastAsia="en-GB"/>
        </w:rPr>
      </w:pPr>
      <w:r>
        <w:rPr>
          <w:rFonts w:eastAsia="Calibri" w:cs="Arial"/>
          <w:color w:val="000000"/>
          <w:sz w:val="20"/>
          <w:szCs w:val="20"/>
          <w:lang w:eastAsia="en-GB"/>
        </w:rPr>
        <w:t xml:space="preserve">     Please note, questionnaire should take no more than 30 minutes to complete but however, there is no time constraint. There are also no right or wrong answers. Attached to this letter along with the questionnaire there is a consent form where you will better understand researcher’s intension </w:t>
      </w:r>
      <w:r>
        <w:rPr>
          <w:rFonts w:eastAsia="Calibri" w:cs="Arial"/>
          <w:sz w:val="20"/>
          <w:szCs w:val="20"/>
          <w:lang w:eastAsia="en-GB"/>
        </w:rPr>
        <w:t>as this is a new project, your feedback is also important to me, and I would be much obliged if you could also complete the feedback sheet along with the questionnaire.</w:t>
      </w:r>
      <w:r>
        <w:rPr>
          <w:rFonts w:eastAsia="Calibri" w:cs="Arial"/>
          <w:color w:val="000000"/>
          <w:sz w:val="20"/>
          <w:szCs w:val="20"/>
          <w:lang w:eastAsia="en-GB"/>
        </w:rPr>
        <w:t xml:space="preserve"> I understand that your time is at a premium, but your opinions are very valuable to me. </w:t>
      </w:r>
    </w:p>
    <w:p>
      <w:pPr>
        <w:spacing w:before="0" w:after="0" w:line="276" w:lineRule="auto"/>
        <w:rPr>
          <w:rFonts w:eastAsia="Calibri" w:cs="Arial"/>
          <w:color w:val="000000"/>
          <w:sz w:val="20"/>
          <w:szCs w:val="20"/>
          <w:lang w:eastAsia="en-GB"/>
        </w:rPr>
      </w:pPr>
      <w:r>
        <w:rPr>
          <w:rFonts w:eastAsia="Calibri" w:cs="Arial"/>
          <w:color w:val="000000"/>
          <w:sz w:val="20"/>
          <w:szCs w:val="20"/>
          <w:lang w:eastAsia="en-GB"/>
        </w:rPr>
        <w:t xml:space="preserve">       After careful and precise analysis of the data obtained from this questionnaires/interviews, I will be happy to provide you 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pPr>
        <w:spacing w:before="0" w:after="0" w:line="276" w:lineRule="auto"/>
        <w:rPr>
          <w:rFonts w:eastAsia="Times New Roman" w:cs="Arial"/>
          <w:color w:val="000000"/>
          <w:sz w:val="20"/>
          <w:szCs w:val="20"/>
        </w:rPr>
      </w:pPr>
    </w:p>
    <w:p>
      <w:pPr>
        <w:spacing w:before="0" w:after="0" w:line="276" w:lineRule="auto"/>
        <w:rPr>
          <w:rFonts w:eastAsia="Times New Roman" w:cs="Arial"/>
          <w:color w:val="000000"/>
          <w:sz w:val="20"/>
          <w:szCs w:val="20"/>
        </w:rPr>
      </w:pPr>
      <w:r>
        <w:rPr>
          <w:rFonts w:eastAsia="Times New Roman" w:cs="Arial"/>
          <w:color w:val="000000"/>
          <w:sz w:val="20"/>
          <w:szCs w:val="20"/>
        </w:rPr>
        <w:t xml:space="preserve">I thank you in advance for your time and participation. If any questions do arise, feel free to contact me at your convenience. </w:t>
      </w:r>
    </w:p>
    <w:p>
      <w:pPr>
        <w:spacing w:before="0" w:after="0" w:line="276" w:lineRule="auto"/>
        <w:jc w:val="left"/>
        <w:rPr>
          <w:rFonts w:eastAsia="Times New Roman"/>
          <w:b/>
        </w:rPr>
      </w:pPr>
    </w:p>
    <w:p>
      <w:pPr>
        <w:spacing w:before="0" w:after="0" w:line="276" w:lineRule="auto"/>
        <w:jc w:val="left"/>
        <w:rPr>
          <w:rFonts w:hint="default" w:eastAsia="Times New Roman" w:cs="Arial"/>
          <w:b/>
          <w:sz w:val="22"/>
          <w:szCs w:val="22"/>
          <w:lang w:val="en-GB"/>
        </w:rPr>
      </w:pPr>
      <w:r>
        <w:rPr>
          <w:rFonts w:eastAsia="Times New Roman" w:cs="Arial"/>
          <w:b/>
          <w:sz w:val="22"/>
          <w:szCs w:val="22"/>
        </w:rPr>
        <w:t xml:space="preserve">Mariana Cocos </w:t>
      </w:r>
      <w:r>
        <w:rPr>
          <w:rFonts w:hint="default" w:eastAsia="Times New Roman" w:cs="Arial"/>
          <w:b/>
          <w:sz w:val="22"/>
          <w:szCs w:val="22"/>
          <w:lang w:val="en-GB"/>
        </w:rPr>
        <w:t>2024061</w:t>
      </w:r>
    </w:p>
    <w:p>
      <w:pPr>
        <w:spacing w:before="0" w:after="0" w:line="276" w:lineRule="auto"/>
        <w:jc w:val="left"/>
        <w:rPr>
          <w:rFonts w:eastAsia="Times New Roman" w:cs="Arial"/>
          <w:sz w:val="16"/>
          <w:szCs w:val="16"/>
        </w:rPr>
      </w:pPr>
      <w:r>
        <w:rPr>
          <w:rFonts w:eastAsia="Times New Roman" w:cs="Arial"/>
          <w:sz w:val="16"/>
          <w:szCs w:val="16"/>
        </w:rPr>
        <w:t>University of Wales Trinity Saint David (London Campus)</w:t>
      </w:r>
    </w:p>
    <w:p>
      <w:pPr>
        <w:spacing w:before="0" w:after="0" w:line="276" w:lineRule="auto"/>
        <w:jc w:val="left"/>
        <w:rPr>
          <w:rFonts w:eastAsia="Times New Roman" w:cs="Arial"/>
          <w:sz w:val="16"/>
          <w:szCs w:val="16"/>
        </w:rPr>
      </w:pPr>
      <w:r>
        <w:rPr>
          <w:rFonts w:eastAsia="Times New Roman" w:cs="Arial"/>
          <w:sz w:val="16"/>
          <w:szCs w:val="16"/>
        </w:rPr>
        <w:t>Winchester House</w:t>
      </w:r>
    </w:p>
    <w:p>
      <w:pPr>
        <w:spacing w:before="0" w:after="0" w:line="276" w:lineRule="auto"/>
        <w:jc w:val="left"/>
        <w:rPr>
          <w:rFonts w:eastAsia="Times New Roman" w:cs="Arial"/>
          <w:sz w:val="16"/>
          <w:szCs w:val="16"/>
        </w:rPr>
      </w:pPr>
      <w:r>
        <w:rPr>
          <w:rFonts w:eastAsia="Times New Roman" w:cs="Arial"/>
          <w:sz w:val="16"/>
          <w:szCs w:val="16"/>
        </w:rPr>
        <w:t>11 Cranmer Road</w:t>
      </w:r>
    </w:p>
    <w:p>
      <w:pPr>
        <w:spacing w:before="0" w:after="0" w:line="276" w:lineRule="auto"/>
        <w:jc w:val="left"/>
        <w:rPr>
          <w:rFonts w:eastAsia="Times New Roman" w:cs="Arial"/>
          <w:sz w:val="16"/>
          <w:szCs w:val="16"/>
        </w:rPr>
      </w:pPr>
      <w:r>
        <w:rPr>
          <w:rFonts w:eastAsia="Times New Roman" w:cs="Arial"/>
          <w:sz w:val="16"/>
          <w:szCs w:val="16"/>
        </w:rPr>
        <w:t>London – SW9 6EJ</w:t>
      </w:r>
    </w:p>
    <w:p>
      <w:pPr>
        <w:spacing w:before="0" w:after="0" w:line="276" w:lineRule="auto"/>
        <w:jc w:val="left"/>
        <w:rPr>
          <w:rFonts w:eastAsia="Times New Roman" w:cs="Arial"/>
          <w:sz w:val="16"/>
          <w:szCs w:val="16"/>
        </w:rPr>
      </w:pPr>
      <w:r>
        <w:rPr>
          <w:rFonts w:eastAsia="Times New Roman" w:cs="Arial"/>
          <w:sz w:val="16"/>
          <w:szCs w:val="16"/>
        </w:rPr>
        <w:t>Tel: +442075667600</w:t>
      </w:r>
    </w:p>
    <w:p>
      <w:pPr>
        <w:spacing w:before="0" w:after="0" w:line="276" w:lineRule="auto"/>
        <w:jc w:val="left"/>
        <w:rPr>
          <w:rFonts w:eastAsia="Times New Roman" w:cs="Arial"/>
          <w:sz w:val="16"/>
          <w:szCs w:val="16"/>
        </w:rPr>
      </w:pPr>
      <w:r>
        <w:rPr>
          <w:rFonts w:eastAsia="Times New Roman" w:cs="Arial"/>
          <w:sz w:val="16"/>
          <w:szCs w:val="16"/>
        </w:rPr>
        <w:t xml:space="preserve">Email: </w:t>
      </w:r>
      <w:r>
        <w:fldChar w:fldCharType="begin"/>
      </w:r>
      <w:r>
        <w:instrText xml:space="preserve"> HYPERLINK "mailto:info.london@tsd.ac.uk" </w:instrText>
      </w:r>
      <w:r>
        <w:fldChar w:fldCharType="separate"/>
      </w:r>
      <w:r>
        <w:rPr>
          <w:rFonts w:eastAsia="Times New Roman" w:cs="Arial"/>
          <w:color w:val="0563C1"/>
          <w:sz w:val="16"/>
          <w:szCs w:val="16"/>
          <w:u w:val="single"/>
        </w:rPr>
        <w:t>info.london@tsd.ac.uk</w:t>
      </w:r>
      <w:r>
        <w:rPr>
          <w:rFonts w:eastAsia="Times New Roman" w:cs="Arial"/>
          <w:color w:val="0563C1"/>
          <w:sz w:val="16"/>
          <w:szCs w:val="16"/>
          <w:u w:val="single"/>
        </w:rPr>
        <w:fldChar w:fldCharType="end"/>
      </w:r>
      <w:r>
        <w:rPr>
          <w:rFonts w:eastAsia="Times New Roman" w:cs="Arial"/>
          <w:sz w:val="16"/>
          <w:szCs w:val="16"/>
        </w:rPr>
        <w:t xml:space="preserve"> </w:t>
      </w:r>
    </w:p>
    <w:p>
      <w:pPr>
        <w:spacing w:before="0" w:after="0" w:line="276" w:lineRule="auto"/>
        <w:jc w:val="left"/>
        <w:rPr>
          <w:rFonts w:eastAsia="Times New Roman"/>
          <w:b/>
          <w:sz w:val="16"/>
          <w:szCs w:val="16"/>
        </w:rPr>
      </w:pPr>
      <w:r>
        <w:rPr>
          <w:rFonts w:eastAsia="Times New Roman" w:cs="Arial"/>
          <w:sz w:val="16"/>
          <w:szCs w:val="16"/>
        </w:rPr>
        <w:t xml:space="preserve"> </w:t>
      </w:r>
      <w:r>
        <w:rPr>
          <w:rFonts w:eastAsia="Times New Roman"/>
          <w:sz w:val="16"/>
          <w:szCs w:val="16"/>
        </w:rPr>
        <w:t xml:space="preserve">          </w:t>
      </w:r>
      <w:r>
        <w:fldChar w:fldCharType="begin"/>
      </w:r>
      <w:r>
        <w:instrText xml:space="preserve"> HYPERLINK "mailto:londonstudentservice@tsd.ac.uk" </w:instrText>
      </w:r>
      <w:r>
        <w:fldChar w:fldCharType="separate"/>
      </w:r>
      <w:r>
        <w:rPr>
          <w:rFonts w:eastAsia="Times New Roman"/>
          <w:color w:val="0563C1"/>
          <w:sz w:val="16"/>
          <w:szCs w:val="16"/>
          <w:u w:val="single"/>
        </w:rPr>
        <w:t>londonstudentservice@tsd.ac.uk</w:t>
      </w:r>
      <w:r>
        <w:rPr>
          <w:rFonts w:eastAsia="Times New Roman"/>
          <w:color w:val="0563C1"/>
          <w:sz w:val="16"/>
          <w:szCs w:val="16"/>
          <w:u w:val="single"/>
        </w:rPr>
        <w:fldChar w:fldCharType="end"/>
      </w:r>
      <w:r>
        <w:rPr>
          <w:rFonts w:eastAsia="Times New Roman"/>
          <w:b/>
          <w:sz w:val="16"/>
          <w:szCs w:val="16"/>
        </w:rPr>
        <w:t xml:space="preserve"> </w:t>
      </w:r>
    </w:p>
    <w:p>
      <w:pPr>
        <w:spacing w:before="0" w:after="0" w:line="276" w:lineRule="auto"/>
        <w:jc w:val="left"/>
        <w:rPr>
          <w:rFonts w:eastAsia="Times New Roman"/>
          <w:b/>
          <w:sz w:val="16"/>
          <w:szCs w:val="16"/>
        </w:rPr>
      </w:pPr>
    </w:p>
    <w:p>
      <w:pPr>
        <w:pStyle w:val="7"/>
        <w:rPr>
          <w:rFonts w:eastAsia="Times New Roman"/>
          <w:b/>
          <w:bCs/>
          <w:color w:val="000000" w:themeColor="text1"/>
          <w:sz w:val="28"/>
          <w:szCs w:val="28"/>
          <w14:textFill>
            <w14:solidFill>
              <w14:schemeClr w14:val="tx1"/>
            </w14:solidFill>
          </w14:textFill>
        </w:rPr>
      </w:pPr>
      <w:bookmarkStart w:id="96" w:name="_Ref154671843"/>
      <w:r>
        <w:rPr>
          <w:b/>
          <w:bCs/>
          <w:color w:val="000000" w:themeColor="text1"/>
          <w:sz w:val="28"/>
          <w:szCs w:val="28"/>
          <w14:textFill>
            <w14:solidFill>
              <w14:schemeClr w14:val="tx1"/>
            </w14:solidFill>
          </w14:textFill>
        </w:rPr>
        <w:t xml:space="preserve">Appendix </w:t>
      </w:r>
      <w:r>
        <w:rPr>
          <w:b/>
          <w:bCs/>
          <w:color w:val="000000" w:themeColor="text1"/>
          <w:sz w:val="28"/>
          <w:szCs w:val="28"/>
          <w14:textFill>
            <w14:solidFill>
              <w14:schemeClr w14:val="tx1"/>
            </w14:solidFill>
          </w14:textFill>
        </w:rPr>
        <w:fldChar w:fldCharType="begin"/>
      </w:r>
      <w:r>
        <w:rPr>
          <w:b/>
          <w:bCs/>
          <w:color w:val="000000" w:themeColor="text1"/>
          <w:sz w:val="28"/>
          <w:szCs w:val="28"/>
          <w14:textFill>
            <w14:solidFill>
              <w14:schemeClr w14:val="tx1"/>
            </w14:solidFill>
          </w14:textFill>
        </w:rPr>
        <w:instrText xml:space="preserve"> SEQ Appendix \* ARABIC </w:instrText>
      </w:r>
      <w:r>
        <w:rPr>
          <w:b/>
          <w:bCs/>
          <w:color w:val="000000" w:themeColor="text1"/>
          <w:sz w:val="28"/>
          <w:szCs w:val="28"/>
          <w14:textFill>
            <w14:solidFill>
              <w14:schemeClr w14:val="tx1"/>
            </w14:solidFill>
          </w14:textFill>
        </w:rPr>
        <w:fldChar w:fldCharType="separate"/>
      </w:r>
      <w:r>
        <w:rPr>
          <w:b/>
          <w:bCs/>
          <w:color w:val="000000" w:themeColor="text1"/>
          <w:sz w:val="28"/>
          <w:szCs w:val="28"/>
          <w14:textFill>
            <w14:solidFill>
              <w14:schemeClr w14:val="tx1"/>
            </w14:solidFill>
          </w14:textFill>
        </w:rPr>
        <w:t>5</w:t>
      </w:r>
      <w:r>
        <w:rPr>
          <w:b/>
          <w:bCs/>
          <w:color w:val="000000" w:themeColor="text1"/>
          <w:sz w:val="28"/>
          <w:szCs w:val="28"/>
          <w14:textFill>
            <w14:solidFill>
              <w14:schemeClr w14:val="tx1"/>
            </w14:solidFill>
          </w14:textFill>
        </w:rPr>
        <w:fldChar w:fldCharType="end"/>
      </w:r>
      <w:r>
        <w:rPr>
          <w:b/>
          <w:bCs/>
          <w:color w:val="000000" w:themeColor="text1"/>
          <w:sz w:val="28"/>
          <w:szCs w:val="28"/>
          <w14:textFill>
            <w14:solidFill>
              <w14:schemeClr w14:val="tx1"/>
            </w14:solidFill>
          </w14:textFill>
        </w:rPr>
        <w:t>. Participation Consent Form</w:t>
      </w:r>
      <w:bookmarkEnd w:id="96"/>
    </w:p>
    <w:p>
      <w:pPr>
        <w:spacing w:before="0" w:after="0" w:line="276" w:lineRule="auto"/>
        <w:jc w:val="center"/>
        <w:rPr>
          <w:rFonts w:eastAsia="Times New Roman"/>
          <w:b/>
          <w:sz w:val="30"/>
        </w:rPr>
      </w:pPr>
      <w:r>
        <w:rPr>
          <w:rFonts w:eastAsia="Times New Roman"/>
          <w:b/>
          <w:sz w:val="30"/>
        </w:rPr>
        <w:t xml:space="preserve">Participation Consent Form </w:t>
      </w:r>
    </w:p>
    <w:p>
      <w:pPr>
        <w:spacing w:before="0" w:after="0" w:line="276" w:lineRule="auto"/>
        <w:jc w:val="center"/>
        <w:rPr>
          <w:rFonts w:eastAsia="Times New Roman"/>
          <w:b/>
          <w:sz w:val="26"/>
        </w:rPr>
      </w:pPr>
    </w:p>
    <w:p>
      <w:pPr>
        <w:spacing w:before="0" w:after="0" w:line="276" w:lineRule="auto"/>
        <w:jc w:val="center"/>
        <w:rPr>
          <w:rFonts w:eastAsia="Times New Roman"/>
          <w:b/>
          <w:sz w:val="26"/>
        </w:rPr>
      </w:pPr>
      <w:r>
        <w:rPr>
          <w:rFonts w:ascii="Calibri" w:hAnsi="Calibri" w:eastAsia="Times New Roman"/>
          <w:lang w:val="en-US"/>
        </w:rPr>
        <mc:AlternateContent>
          <mc:Choice Requires="wps">
            <w:drawing>
              <wp:anchor distT="0" distB="0" distL="114300" distR="114300" simplePos="0" relativeHeight="251661312" behindDoc="1" locked="0" layoutInCell="1" allowOverlap="1">
                <wp:simplePos x="0" y="0"/>
                <wp:positionH relativeFrom="column">
                  <wp:posOffset>3430905</wp:posOffset>
                </wp:positionH>
                <wp:positionV relativeFrom="paragraph">
                  <wp:posOffset>39370</wp:posOffset>
                </wp:positionV>
                <wp:extent cx="2283460" cy="541655"/>
                <wp:effectExtent l="0" t="0" r="0" b="0"/>
                <wp:wrapNone/>
                <wp:docPr id="330" name="Text Box 330"/>
                <wp:cNvGraphicFramePr/>
                <a:graphic xmlns:a="http://schemas.openxmlformats.org/drawingml/2006/main">
                  <a:graphicData uri="http://schemas.microsoft.com/office/word/2010/wordprocessingShape">
                    <wps:wsp>
                      <wps:cNvSpPr txBox="1">
                        <a:spLocks noChangeArrowheads="1"/>
                      </wps:cNvSpPr>
                      <wps:spPr bwMode="auto">
                        <a:xfrm>
                          <a:off x="0" y="0"/>
                          <a:ext cx="2283303" cy="541790"/>
                        </a:xfrm>
                        <a:prstGeom prst="rect">
                          <a:avLst/>
                        </a:prstGeom>
                        <a:noFill/>
                        <a:ln>
                          <a:noFill/>
                        </a:ln>
                      </wps:spPr>
                      <wps:txbx>
                        <w:txbxContent>
                          <w:p>
                            <w:pPr>
                              <w:jc w:val="right"/>
                              <w:rPr>
                                <w:sz w:val="16"/>
                              </w:rPr>
                            </w:pPr>
                            <w:r>
                              <w:rPr>
                                <w:sz w:val="16"/>
                              </w:rPr>
                              <w:t>University of Wales Trinity Saint David (London Campus)</w:t>
                            </w:r>
                          </w:p>
                          <w:p>
                            <w:pPr>
                              <w:jc w:val="right"/>
                              <w:rPr>
                                <w:sz w:val="16"/>
                              </w:rPr>
                            </w:pPr>
                            <w:r>
                              <w:rPr>
                                <w:sz w:val="16"/>
                              </w:rPr>
                              <w:t>Winchester House</w:t>
                            </w:r>
                          </w:p>
                          <w:p>
                            <w:pPr>
                              <w:jc w:val="right"/>
                              <w:rPr>
                                <w:sz w:val="16"/>
                              </w:rPr>
                            </w:pPr>
                            <w:r>
                              <w:rPr>
                                <w:sz w:val="16"/>
                              </w:rPr>
                              <w:t>11 Cranmer Road</w:t>
                            </w:r>
                          </w:p>
                          <w:p>
                            <w:pPr>
                              <w:jc w:val="right"/>
                              <w:rPr>
                                <w:sz w:val="16"/>
                              </w:rPr>
                            </w:pPr>
                            <w:r>
                              <w:rPr>
                                <w:sz w:val="16"/>
                              </w:rPr>
                              <w:t>London – SW9 6EJ</w:t>
                            </w:r>
                          </w:p>
                          <w:p>
                            <w:pPr>
                              <w:jc w:val="right"/>
                              <w:rPr>
                                <w:sz w:val="16"/>
                              </w:rPr>
                            </w:pPr>
                            <w:r>
                              <w:rPr>
                                <w:sz w:val="16"/>
                              </w:rPr>
                              <w:t>Tel: +442075667600</w:t>
                            </w:r>
                          </w:p>
                          <w:p>
                            <w:pPr>
                              <w:jc w:val="right"/>
                              <w:rPr>
                                <w:sz w:val="16"/>
                              </w:rPr>
                            </w:pPr>
                            <w:r>
                              <w:rPr>
                                <w:sz w:val="16"/>
                              </w:rPr>
                              <w:t xml:space="preserve">Email: </w:t>
                            </w:r>
                            <w:r>
                              <w:fldChar w:fldCharType="begin"/>
                            </w:r>
                            <w:r>
                              <w:instrText xml:space="preserve"> HYPERLINK "mailto:info.london@uwtsd.ac.uk" </w:instrText>
                            </w:r>
                            <w:r>
                              <w:fldChar w:fldCharType="separate"/>
                            </w:r>
                            <w:r>
                              <w:rPr>
                                <w:rStyle w:val="10"/>
                                <w:sz w:val="16"/>
                              </w:rPr>
                              <w:t>info.london@uwtsd.ac.uk</w:t>
                            </w:r>
                            <w:r>
                              <w:rPr>
                                <w:rStyle w:val="10"/>
                                <w:sz w:val="16"/>
                              </w:rPr>
                              <w:fldChar w:fldCharType="end"/>
                            </w:r>
                            <w:r>
                              <w:rPr>
                                <w:sz w:val="16"/>
                              </w:rPr>
                              <w:t xml:space="preserve"> </w:t>
                            </w:r>
                          </w:p>
                          <w:p>
                            <w:pPr>
                              <w:jc w:val="right"/>
                              <w:rPr>
                                <w:sz w:val="16"/>
                              </w:rPr>
                            </w:pPr>
                            <w:r>
                              <w:rPr>
                                <w:sz w:val="16"/>
                              </w:rPr>
                              <w:t xml:space="preserve">            </w:t>
                            </w:r>
                            <w:r>
                              <w:fldChar w:fldCharType="begin"/>
                            </w:r>
                            <w:r>
                              <w:instrText xml:space="preserve"> HYPERLINK "mailto:londonstudentservice@uwtsd.ac.uk" </w:instrText>
                            </w:r>
                            <w:r>
                              <w:fldChar w:fldCharType="separate"/>
                            </w:r>
                            <w:r>
                              <w:rPr>
                                <w:rStyle w:val="10"/>
                                <w:sz w:val="16"/>
                              </w:rPr>
                              <w:t>londonstudentservice@uwtsd.ac.uk</w:t>
                            </w:r>
                            <w:r>
                              <w:rPr>
                                <w:rStyle w:val="10"/>
                                <w:sz w:val="16"/>
                              </w:rPr>
                              <w:fldChar w:fldCharType="end"/>
                            </w:r>
                            <w:r>
                              <w:rPr>
                                <w:sz w:val="16"/>
                              </w:rPr>
                              <w:t xml:space="preserve"> </w:t>
                            </w:r>
                          </w:p>
                        </w:txbxContent>
                      </wps:txbx>
                      <wps:bodyPr rot="0" vert="horz" wrap="square" lIns="91440" tIns="91440" rIns="91440" bIns="91440" anchor="t" anchorCtr="0" upright="1">
                        <a:noAutofit/>
                      </wps:bodyPr>
                    </wps:wsp>
                  </a:graphicData>
                </a:graphic>
              </wp:anchor>
            </w:drawing>
          </mc:Choice>
          <mc:Fallback>
            <w:pict>
              <v:shape id="_x0000_s1026" o:spid="_x0000_s1026" o:spt="202" type="#_x0000_t202" style="position:absolute;left:0pt;margin-left:270.15pt;margin-top:3.1pt;height:42.65pt;width:179.8pt;z-index:-251655168;mso-width-relative:page;mso-height-relative:page;" filled="f" stroked="f" coordsize="21600,21600" o:gfxdata="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b9RsHNYAAAAIAQAADwAAAAAAAAABACAAAAAiAAAAZHJzL2Rv&#10;d25yZXYueG1sUEsBAhQAFAAAAAgAh07iQKU5gB4DAgAAGAQAAA4AAAAAAAAAAQAgAAAAJQEAAGRy&#10;cy9lMm9Eb2MueG1sUEsFBgAAAAAGAAYAWQEAAJoFAAAAAA==&#10;">
                <v:fill on="f" focussize="0,0"/>
                <v:stroke on="f"/>
                <v:imagedata o:title=""/>
                <o:lock v:ext="edit" aspectratio="f"/>
                <v:textbox inset="2.54mm,2.54mm,2.54mm,2.54mm">
                  <w:txbxContent>
                    <w:p>
                      <w:pPr>
                        <w:jc w:val="right"/>
                        <w:rPr>
                          <w:sz w:val="16"/>
                        </w:rPr>
                      </w:pPr>
                      <w:r>
                        <w:rPr>
                          <w:sz w:val="16"/>
                        </w:rPr>
                        <w:t>University of Wales Trinity Saint David (London Campus)</w:t>
                      </w:r>
                    </w:p>
                    <w:p>
                      <w:pPr>
                        <w:jc w:val="right"/>
                        <w:rPr>
                          <w:sz w:val="16"/>
                        </w:rPr>
                      </w:pPr>
                      <w:r>
                        <w:rPr>
                          <w:sz w:val="16"/>
                        </w:rPr>
                        <w:t>Winchester House</w:t>
                      </w:r>
                    </w:p>
                    <w:p>
                      <w:pPr>
                        <w:jc w:val="right"/>
                        <w:rPr>
                          <w:sz w:val="16"/>
                        </w:rPr>
                      </w:pPr>
                      <w:r>
                        <w:rPr>
                          <w:sz w:val="16"/>
                        </w:rPr>
                        <w:t>11 Cranmer Road</w:t>
                      </w:r>
                    </w:p>
                    <w:p>
                      <w:pPr>
                        <w:jc w:val="right"/>
                        <w:rPr>
                          <w:sz w:val="16"/>
                        </w:rPr>
                      </w:pPr>
                      <w:r>
                        <w:rPr>
                          <w:sz w:val="16"/>
                        </w:rPr>
                        <w:t>London – SW9 6EJ</w:t>
                      </w:r>
                    </w:p>
                    <w:p>
                      <w:pPr>
                        <w:jc w:val="right"/>
                        <w:rPr>
                          <w:sz w:val="16"/>
                        </w:rPr>
                      </w:pPr>
                      <w:r>
                        <w:rPr>
                          <w:sz w:val="16"/>
                        </w:rPr>
                        <w:t>Tel: +442075667600</w:t>
                      </w:r>
                    </w:p>
                    <w:p>
                      <w:pPr>
                        <w:jc w:val="right"/>
                        <w:rPr>
                          <w:sz w:val="16"/>
                        </w:rPr>
                      </w:pPr>
                      <w:r>
                        <w:rPr>
                          <w:sz w:val="16"/>
                        </w:rPr>
                        <w:t xml:space="preserve">Email: </w:t>
                      </w:r>
                      <w:r>
                        <w:fldChar w:fldCharType="begin"/>
                      </w:r>
                      <w:r>
                        <w:instrText xml:space="preserve"> HYPERLINK "mailto:info.london@uwtsd.ac.uk" </w:instrText>
                      </w:r>
                      <w:r>
                        <w:fldChar w:fldCharType="separate"/>
                      </w:r>
                      <w:r>
                        <w:rPr>
                          <w:rStyle w:val="10"/>
                          <w:sz w:val="16"/>
                        </w:rPr>
                        <w:t>info.london@uwtsd.ac.uk</w:t>
                      </w:r>
                      <w:r>
                        <w:rPr>
                          <w:rStyle w:val="10"/>
                          <w:sz w:val="16"/>
                        </w:rPr>
                        <w:fldChar w:fldCharType="end"/>
                      </w:r>
                      <w:r>
                        <w:rPr>
                          <w:sz w:val="16"/>
                        </w:rPr>
                        <w:t xml:space="preserve"> </w:t>
                      </w:r>
                    </w:p>
                    <w:p>
                      <w:pPr>
                        <w:jc w:val="right"/>
                        <w:rPr>
                          <w:sz w:val="16"/>
                        </w:rPr>
                      </w:pPr>
                      <w:r>
                        <w:rPr>
                          <w:sz w:val="16"/>
                        </w:rPr>
                        <w:t xml:space="preserve">            </w:t>
                      </w:r>
                      <w:r>
                        <w:fldChar w:fldCharType="begin"/>
                      </w:r>
                      <w:r>
                        <w:instrText xml:space="preserve"> HYPERLINK "mailto:londonstudentservice@uwtsd.ac.uk" </w:instrText>
                      </w:r>
                      <w:r>
                        <w:fldChar w:fldCharType="separate"/>
                      </w:r>
                      <w:r>
                        <w:rPr>
                          <w:rStyle w:val="10"/>
                          <w:sz w:val="16"/>
                        </w:rPr>
                        <w:t>londonstudentservice@uwtsd.ac.uk</w:t>
                      </w:r>
                      <w:r>
                        <w:rPr>
                          <w:rStyle w:val="10"/>
                          <w:sz w:val="16"/>
                        </w:rPr>
                        <w:fldChar w:fldCharType="end"/>
                      </w:r>
                      <w:r>
                        <w:rPr>
                          <w:sz w:val="16"/>
                        </w:rPr>
                        <w:t xml:space="preserve"> </w:t>
                      </w:r>
                    </w:p>
                  </w:txbxContent>
                </v:textbox>
              </v:shape>
            </w:pict>
          </mc:Fallback>
        </mc:AlternateContent>
      </w:r>
    </w:p>
    <w:p>
      <w:pPr>
        <w:spacing w:before="0" w:after="0" w:line="276" w:lineRule="auto"/>
        <w:jc w:val="left"/>
        <w:rPr>
          <w:rFonts w:ascii="Calibri" w:hAnsi="Calibri" w:eastAsia="Times New Roman"/>
        </w:rPr>
      </w:pPr>
      <w:r>
        <w:rPr>
          <w:rFonts w:ascii="Calibri" w:hAnsi="Calibri" w:eastAsia="Times New Roman"/>
          <w:lang w:val="en-US"/>
        </w:rPr>
        <w:drawing>
          <wp:anchor distT="0" distB="0" distL="114300" distR="114300" simplePos="0" relativeHeight="251660288" behindDoc="1" locked="0" layoutInCell="1" allowOverlap="1">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 name="Picture 3"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2286000" cy="899795"/>
                    </a:xfrm>
                    <a:prstGeom prst="rect">
                      <a:avLst/>
                    </a:prstGeom>
                    <a:noFill/>
                    <a:ln>
                      <a:noFill/>
                    </a:ln>
                  </pic:spPr>
                </pic:pic>
              </a:graphicData>
            </a:graphic>
          </wp:anchor>
        </w:drawing>
      </w:r>
    </w:p>
    <w:p>
      <w:pPr>
        <w:spacing w:before="0" w:after="0" w:line="276" w:lineRule="auto"/>
        <w:jc w:val="left"/>
        <w:rPr>
          <w:rFonts w:ascii="Calibri" w:hAnsi="Calibri" w:eastAsia="Times New Roman"/>
        </w:rPr>
      </w:pPr>
    </w:p>
    <w:tbl>
      <w:tblPr>
        <w:tblStyle w:val="6"/>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ayout w:type="autofit"/>
        <w:tblCellMar>
          <w:top w:w="0" w:type="dxa"/>
          <w:left w:w="108" w:type="dxa"/>
          <w:bottom w:w="0" w:type="dxa"/>
          <w:right w:w="108" w:type="dxa"/>
        </w:tblCellMar>
      </w:tblPr>
      <w:tblGrid>
        <w:gridCol w:w="4591"/>
        <w:gridCol w:w="3583"/>
        <w:gridCol w:w="1062"/>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PrEx>
        <w:trPr>
          <w:trHeight w:val="572" w:hRule="atLeast"/>
        </w:trPr>
        <w:tc>
          <w:tcPr>
            <w:tcW w:w="5341" w:type="dxa"/>
            <w:tcBorders>
              <w:top w:val="nil"/>
              <w:left w:val="nil"/>
              <w:bottom w:val="nil"/>
              <w:right w:val="nil"/>
            </w:tcBorders>
            <w:shd w:val="clear" w:color="auto" w:fill="auto"/>
          </w:tcPr>
          <w:p>
            <w:pPr>
              <w:spacing w:before="0" w:after="0" w:line="276" w:lineRule="auto"/>
              <w:jc w:val="left"/>
              <w:rPr>
                <w:rFonts w:ascii="Calibri" w:hAnsi="Calibri" w:eastAsia="Times New Roman" w:cs="Arial"/>
                <w:b/>
                <w:color w:val="FFFFFF"/>
                <w:sz w:val="22"/>
                <w:szCs w:val="22"/>
              </w:rPr>
            </w:pPr>
          </w:p>
          <w:p>
            <w:pPr>
              <w:spacing w:before="0" w:after="0" w:line="276" w:lineRule="auto"/>
              <w:jc w:val="left"/>
              <w:rPr>
                <w:rFonts w:ascii="Calibri" w:hAnsi="Calibri" w:eastAsia="Times New Roman" w:cs="Arial"/>
                <w:b/>
                <w:color w:val="FFFFFF"/>
                <w:sz w:val="22"/>
                <w:szCs w:val="22"/>
              </w:rPr>
            </w:pPr>
          </w:p>
        </w:tc>
        <w:tc>
          <w:tcPr>
            <w:tcW w:w="4123" w:type="dxa"/>
            <w:tcBorders>
              <w:top w:val="nil"/>
              <w:left w:val="nil"/>
              <w:bottom w:val="nil"/>
              <w:right w:val="single" w:color="4F81BD" w:sz="6" w:space="0"/>
            </w:tcBorders>
            <w:shd w:val="clear" w:color="auto" w:fill="auto"/>
          </w:tcPr>
          <w:p>
            <w:pPr>
              <w:spacing w:before="0" w:after="0" w:line="276" w:lineRule="auto"/>
              <w:jc w:val="left"/>
              <w:rPr>
                <w:rFonts w:ascii="Calibri" w:hAnsi="Calibri" w:eastAsia="Times New Roman" w:cs="Arial"/>
                <w:sz w:val="22"/>
                <w:szCs w:val="22"/>
              </w:rPr>
            </w:pPr>
            <w:r>
              <w:rPr>
                <w:rFonts w:ascii="Calibri" w:hAnsi="Calibri" w:eastAsia="Times New Roman" w:cs="Arial"/>
                <w:sz w:val="22"/>
                <w:szCs w:val="22"/>
              </w:rPr>
              <w:t xml:space="preserve">Rhif Adnabod Cyfranogwr: </w:t>
            </w:r>
          </w:p>
          <w:p>
            <w:pPr>
              <w:spacing w:before="0" w:after="0" w:line="276" w:lineRule="auto"/>
              <w:jc w:val="left"/>
              <w:rPr>
                <w:rFonts w:ascii="Calibri" w:hAnsi="Calibri" w:eastAsia="Times New Roman" w:cs="Arial"/>
                <w:b/>
                <w:color w:val="FFFFFF"/>
                <w:sz w:val="22"/>
                <w:szCs w:val="22"/>
              </w:rPr>
            </w:pPr>
            <w:r>
              <w:rPr>
                <w:rFonts w:ascii="Calibri" w:hAnsi="Calibri" w:eastAsia="Times New Roman" w:cs="Arial"/>
                <w:sz w:val="22"/>
                <w:szCs w:val="22"/>
              </w:rPr>
              <w:t>Participant Identification Number:</w:t>
            </w:r>
          </w:p>
        </w:tc>
        <w:tc>
          <w:tcPr>
            <w:tcW w:w="1218" w:type="dxa"/>
            <w:tcBorders>
              <w:top w:val="single" w:color="4F81BD" w:sz="6" w:space="0"/>
              <w:left w:val="single" w:color="4F81BD" w:sz="6" w:space="0"/>
              <w:bottom w:val="single" w:color="4F81BD" w:sz="6" w:space="0"/>
              <w:right w:val="single" w:color="4F81BD" w:sz="6" w:space="0"/>
            </w:tcBorders>
            <w:shd w:val="clear" w:color="auto" w:fill="auto"/>
          </w:tcPr>
          <w:p>
            <w:pPr>
              <w:spacing w:before="0" w:after="0" w:line="276" w:lineRule="auto"/>
              <w:jc w:val="left"/>
              <w:rPr>
                <w:rFonts w:ascii="Calibri" w:hAnsi="Calibri" w:eastAsia="Times New Roman" w:cs="Arial"/>
                <w:b/>
                <w:color w:val="FFFFFF"/>
                <w:sz w:val="20"/>
                <w:szCs w:val="20"/>
              </w:rPr>
            </w:pPr>
            <w:r>
              <w:rPr>
                <w:rFonts w:ascii="Calibri" w:hAnsi="Calibri" w:eastAsia="Times New Roman" w:cs="Arial"/>
                <w:b/>
                <w:color w:val="000000"/>
                <w:sz w:val="20"/>
                <w:szCs w:val="20"/>
              </w:rPr>
              <w:t>R1</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5341" w:type="dxa"/>
            <w:tcBorders>
              <w:top w:val="nil"/>
            </w:tcBorders>
            <w:shd w:val="clear" w:color="auto" w:fill="4F81BD"/>
          </w:tcPr>
          <w:p>
            <w:pPr>
              <w:spacing w:before="0" w:after="0" w:line="276" w:lineRule="auto"/>
              <w:jc w:val="center"/>
              <w:rPr>
                <w:rFonts w:ascii="Calibri" w:hAnsi="Calibri" w:eastAsia="Times New Roman" w:cs="Arial"/>
                <w:b/>
                <w:color w:val="FFFFFF"/>
                <w:sz w:val="22"/>
                <w:szCs w:val="22"/>
              </w:rPr>
            </w:pPr>
          </w:p>
          <w:p>
            <w:pPr>
              <w:spacing w:before="0" w:after="0" w:line="276" w:lineRule="auto"/>
              <w:jc w:val="center"/>
              <w:rPr>
                <w:rFonts w:ascii="Calibri" w:hAnsi="Calibri" w:eastAsia="Times New Roman" w:cs="Arial"/>
                <w:b/>
                <w:color w:val="FFFFFF"/>
                <w:sz w:val="22"/>
                <w:szCs w:val="22"/>
              </w:rPr>
            </w:pPr>
            <w:r>
              <w:rPr>
                <w:rFonts w:ascii="Calibri" w:hAnsi="Calibri" w:eastAsia="Times New Roman" w:cs="Arial"/>
                <w:b/>
                <w:color w:val="FFFFFF"/>
                <w:sz w:val="22"/>
                <w:szCs w:val="22"/>
              </w:rPr>
              <w:t>FFURFLEN GANIATÂD CYFRANOGIAD</w:t>
            </w:r>
          </w:p>
        </w:tc>
        <w:tc>
          <w:tcPr>
            <w:tcW w:w="5341" w:type="dxa"/>
            <w:gridSpan w:val="2"/>
            <w:tcBorders>
              <w:top w:val="single" w:color="4F81BD" w:sz="6" w:space="0"/>
            </w:tcBorders>
            <w:shd w:val="clear" w:color="auto" w:fill="4F81BD"/>
          </w:tcPr>
          <w:p>
            <w:pPr>
              <w:spacing w:before="0" w:after="0" w:line="276" w:lineRule="auto"/>
              <w:jc w:val="center"/>
              <w:rPr>
                <w:rFonts w:ascii="Calibri" w:hAnsi="Calibri" w:eastAsia="Times New Roman" w:cs="Arial"/>
                <w:b/>
                <w:color w:val="FFFFFF"/>
                <w:sz w:val="22"/>
                <w:szCs w:val="22"/>
              </w:rPr>
            </w:pPr>
          </w:p>
          <w:p>
            <w:pPr>
              <w:spacing w:before="0" w:after="0" w:line="276" w:lineRule="auto"/>
              <w:jc w:val="center"/>
              <w:rPr>
                <w:rFonts w:ascii="Calibri" w:hAnsi="Calibri" w:eastAsia="Times New Roman" w:cs="Arial"/>
                <w:color w:val="FFFFFF"/>
                <w:sz w:val="22"/>
                <w:szCs w:val="22"/>
              </w:rPr>
            </w:pPr>
            <w:r>
              <w:rPr>
                <w:rFonts w:ascii="Calibri" w:hAnsi="Calibri" w:eastAsia="Times New Roman" w:cs="Arial"/>
                <w:b/>
                <w:color w:val="FFFFFF"/>
                <w:sz w:val="22"/>
                <w:szCs w:val="22"/>
              </w:rPr>
              <w:t>PARTICIPATION CONSENT FORM</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10682" w:type="dxa"/>
            <w:gridSpan w:val="3"/>
            <w:shd w:val="clear" w:color="auto" w:fill="auto"/>
          </w:tcPr>
          <w:p>
            <w:pPr>
              <w:spacing w:before="0" w:after="0" w:line="276" w:lineRule="auto"/>
              <w:jc w:val="center"/>
              <w:rPr>
                <w:rFonts w:ascii="Calibri" w:hAnsi="Calibri" w:eastAsia="Times New Roman" w:cs="Arial"/>
                <w:b/>
                <w:sz w:val="20"/>
                <w:szCs w:val="20"/>
              </w:rPr>
            </w:pPr>
            <w:r>
              <w:rPr>
                <w:rFonts w:ascii="Calibri" w:hAnsi="Calibri" w:eastAsia="Times New Roman" w:cs="Arial"/>
                <w:sz w:val="20"/>
                <w:szCs w:val="20"/>
              </w:rPr>
              <w:t>Teitl Y Prosiect: /</w:t>
            </w:r>
            <w:r>
              <w:rPr>
                <w:rFonts w:ascii="Calibri" w:hAnsi="Calibri" w:eastAsia="Times New Roman" w:cs="Arial"/>
                <w:b/>
                <w:color w:val="FFFFFF"/>
                <w:sz w:val="20"/>
                <w:szCs w:val="20"/>
              </w:rPr>
              <w:t xml:space="preserve"> </w:t>
            </w:r>
            <w:r>
              <w:rPr>
                <w:rFonts w:ascii="Calibri" w:hAnsi="Calibri" w:eastAsia="Times New Roman" w:cs="Arial"/>
                <w:sz w:val="20"/>
                <w:szCs w:val="20"/>
              </w:rPr>
              <w:t xml:space="preserve">Project Title: </w:t>
            </w:r>
            <w:r>
              <w:rPr>
                <w:rFonts w:ascii="Calibri" w:hAnsi="Calibri" w:eastAsia="Times New Roman" w:cs="Arial"/>
                <w:b/>
                <w:sz w:val="20"/>
                <w:szCs w:val="20"/>
              </w:rPr>
              <w:t>Exploring the gender differences in leadership style: A general study in manufacturing in the UK.</w:t>
            </w:r>
          </w:p>
          <w:p>
            <w:pPr>
              <w:spacing w:before="0" w:after="0" w:line="276" w:lineRule="auto"/>
              <w:jc w:val="center"/>
              <w:rPr>
                <w:rFonts w:ascii="Calibri" w:hAnsi="Calibri" w:eastAsia="Times New Roman"/>
                <w:sz w:val="20"/>
                <w:szCs w:val="20"/>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268" w:hRule="atLeast"/>
        </w:trPr>
        <w:tc>
          <w:tcPr>
            <w:tcW w:w="10682" w:type="dxa"/>
            <w:gridSpan w:val="3"/>
            <w:shd w:val="clear" w:color="auto" w:fill="auto"/>
          </w:tcPr>
          <w:p>
            <w:pPr>
              <w:spacing w:before="0" w:after="0" w:line="276" w:lineRule="auto"/>
              <w:jc w:val="left"/>
              <w:rPr>
                <w:rFonts w:ascii="Calibri" w:hAnsi="Calibri" w:eastAsia="Times New Roman" w:cs="Arial"/>
                <w:sz w:val="20"/>
                <w:szCs w:val="20"/>
              </w:rPr>
            </w:pPr>
            <w:r>
              <w:rPr>
                <w:rFonts w:ascii="Calibri" w:hAnsi="Calibri" w:eastAsia="Times New Roman" w:cs="Arial"/>
                <w:sz w:val="20"/>
                <w:szCs w:val="20"/>
                <w:lang w:val="cy-GB"/>
              </w:rPr>
              <w:t>Enw'r Ymchwilydd</w:t>
            </w:r>
            <w:r>
              <w:rPr>
                <w:rFonts w:ascii="Calibri" w:hAnsi="Calibri" w:eastAsia="Times New Roman"/>
                <w:sz w:val="20"/>
                <w:szCs w:val="20"/>
                <w:lang w:val="cy-GB"/>
              </w:rPr>
              <w:t xml:space="preserve"> / </w:t>
            </w:r>
            <w:r>
              <w:rPr>
                <w:rFonts w:ascii="Calibri" w:hAnsi="Calibri" w:eastAsia="Times New Roman" w:cs="Arial"/>
                <w:sz w:val="20"/>
                <w:szCs w:val="20"/>
              </w:rPr>
              <w:t>Name of Researcher: Mariana Cocos</w:t>
            </w:r>
          </w:p>
        </w:tc>
      </w:tr>
    </w:tbl>
    <w:p>
      <w:pPr>
        <w:spacing w:before="0" w:after="0" w:line="276" w:lineRule="auto"/>
        <w:jc w:val="left"/>
        <w:rPr>
          <w:rFonts w:ascii="Calibri" w:hAnsi="Calibri" w:eastAsia="Times New Roman"/>
          <w:sz w:val="20"/>
          <w:szCs w:val="20"/>
        </w:rPr>
      </w:pPr>
    </w:p>
    <w:tbl>
      <w:tblPr>
        <w:tblStyle w:val="6"/>
        <w:tblW w:w="0" w:type="auto"/>
        <w:tblInd w:w="0" w:type="dxa"/>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Layout w:type="autofit"/>
        <w:tblCellMar>
          <w:top w:w="0" w:type="dxa"/>
          <w:left w:w="108" w:type="dxa"/>
          <w:bottom w:w="0" w:type="dxa"/>
          <w:right w:w="108" w:type="dxa"/>
        </w:tblCellMar>
      </w:tblPr>
      <w:tblGrid>
        <w:gridCol w:w="662"/>
        <w:gridCol w:w="1321"/>
        <w:gridCol w:w="4545"/>
        <w:gridCol w:w="1972"/>
        <w:gridCol w:w="510"/>
      </w:tblGrid>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c>
          <w:tcPr>
            <w:tcW w:w="662" w:type="dxa"/>
            <w:shd w:val="clear" w:color="auto" w:fill="auto"/>
          </w:tcPr>
          <w:p>
            <w:pPr>
              <w:spacing w:before="0" w:after="0" w:line="276" w:lineRule="auto"/>
              <w:ind w:right="-284"/>
              <w:jc w:val="left"/>
              <w:rPr>
                <w:rFonts w:ascii="Calibri" w:hAnsi="Calibri" w:eastAsia="Times New Roman" w:cs="Arial"/>
                <w:sz w:val="20"/>
                <w:szCs w:val="20"/>
              </w:rPr>
            </w:pPr>
            <w:r>
              <w:rPr>
                <w:rFonts w:ascii="Calibri" w:hAnsi="Calibri" w:eastAsia="Times New Roman" w:cs="Arial"/>
                <w:sz w:val="20"/>
                <w:szCs w:val="20"/>
              </w:rPr>
              <w:t>1</w:t>
            </w:r>
          </w:p>
        </w:tc>
        <w:tc>
          <w:tcPr>
            <w:tcW w:w="7838" w:type="dxa"/>
            <w:gridSpan w:val="3"/>
            <w:shd w:val="clear" w:color="auto" w:fill="auto"/>
          </w:tcPr>
          <w:p>
            <w:pPr>
              <w:spacing w:before="0" w:after="0" w:line="276" w:lineRule="auto"/>
              <w:ind w:right="33"/>
              <w:rPr>
                <w:rFonts w:ascii="Calibri" w:hAnsi="Calibri" w:eastAsia="Times New Roman" w:cs="Arial"/>
                <w:sz w:val="20"/>
                <w:szCs w:val="20"/>
              </w:rPr>
            </w:pPr>
            <w:r>
              <w:rPr>
                <w:rFonts w:ascii="Calibri" w:hAnsi="Calibri" w:eastAsia="Times New Roman" w:cs="Arial"/>
                <w:sz w:val="20"/>
                <w:szCs w:val="20"/>
              </w:rPr>
              <w:t>I confirm that I have read and understand the information sheet dated 2</w:t>
            </w:r>
            <w:r>
              <w:rPr>
                <w:rFonts w:hint="default" w:ascii="Calibri" w:hAnsi="Calibri" w:eastAsia="Times New Roman" w:cs="Arial"/>
                <w:sz w:val="20"/>
                <w:szCs w:val="20"/>
                <w:lang w:val="en-GB"/>
              </w:rPr>
              <w:t>9</w:t>
            </w:r>
            <w:r>
              <w:rPr>
                <w:rFonts w:ascii="Calibri" w:hAnsi="Calibri" w:eastAsia="Times New Roman" w:cs="Arial"/>
                <w:sz w:val="20"/>
                <w:szCs w:val="20"/>
              </w:rPr>
              <w:t>.11.2023</w:t>
            </w:r>
            <w:r>
              <w:rPr>
                <w:rFonts w:ascii="Calibri" w:hAnsi="Calibri" w:eastAsia="Times New Roman" w:cs="Arial"/>
                <w:color w:val="FF0000"/>
                <w:sz w:val="20"/>
                <w:szCs w:val="20"/>
              </w:rPr>
              <w:t xml:space="preserve"> </w:t>
            </w:r>
            <w:r>
              <w:rPr>
                <w:rFonts w:ascii="Calibri" w:hAnsi="Calibri" w:eastAsia="Times New Roman" w:cs="Arial"/>
                <w:sz w:val="20"/>
                <w:szCs w:val="20"/>
              </w:rPr>
              <w:t>for the above study. I have had the opportunity to consider the information, ask questions and have had these answered satisfactorily.</w:t>
            </w:r>
          </w:p>
        </w:tc>
        <w:tc>
          <w:tcPr>
            <w:tcW w:w="510" w:type="dxa"/>
            <w:shd w:val="clear" w:color="auto" w:fill="auto"/>
          </w:tcPr>
          <w:p>
            <w:pPr>
              <w:spacing w:before="0" w:after="0" w:line="276" w:lineRule="auto"/>
              <w:ind w:right="-284"/>
              <w:jc w:val="left"/>
              <w:rPr>
                <w:rFonts w:hint="default" w:ascii="Calibri" w:hAnsi="Calibri" w:eastAsia="Times New Roman" w:cs="Arial"/>
                <w:sz w:val="20"/>
                <w:szCs w:val="20"/>
                <w:lang w:val="en-GB"/>
              </w:rPr>
            </w:pPr>
            <w:r>
              <w:rPr>
                <w:rFonts w:hint="default" w:ascii="Calibri" w:hAnsi="Calibri" w:eastAsia="Times New Roman" w:cs="Arial"/>
                <w:sz w:val="20"/>
                <w:szCs w:val="20"/>
                <w:lang w:val="en-GB"/>
              </w:rPr>
              <w:t>yes</w:t>
            </w:r>
          </w:p>
        </w:tc>
      </w:tr>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rPr>
          <w:trHeight w:val="763" w:hRule="atLeast"/>
        </w:trPr>
        <w:tc>
          <w:tcPr>
            <w:tcW w:w="662" w:type="dxa"/>
            <w:shd w:val="clear" w:color="auto" w:fill="auto"/>
          </w:tcPr>
          <w:p>
            <w:pPr>
              <w:spacing w:before="0" w:after="0" w:line="276" w:lineRule="auto"/>
              <w:ind w:right="-284"/>
              <w:jc w:val="left"/>
              <w:rPr>
                <w:rFonts w:ascii="Calibri" w:hAnsi="Calibri" w:eastAsia="Times New Roman" w:cs="Arial"/>
                <w:sz w:val="20"/>
                <w:szCs w:val="20"/>
              </w:rPr>
            </w:pPr>
            <w:r>
              <w:rPr>
                <w:rFonts w:ascii="Calibri" w:hAnsi="Calibri" w:eastAsia="Times New Roman" w:cs="Arial"/>
                <w:sz w:val="20"/>
                <w:szCs w:val="20"/>
              </w:rPr>
              <w:t>2</w:t>
            </w:r>
          </w:p>
        </w:tc>
        <w:tc>
          <w:tcPr>
            <w:tcW w:w="7838" w:type="dxa"/>
            <w:gridSpan w:val="3"/>
            <w:shd w:val="clear" w:color="auto" w:fill="auto"/>
          </w:tcPr>
          <w:p>
            <w:pPr>
              <w:spacing w:before="0" w:after="0" w:line="276" w:lineRule="auto"/>
              <w:ind w:right="33"/>
              <w:rPr>
                <w:rFonts w:ascii="Calibri" w:hAnsi="Calibri" w:eastAsia="Times New Roman" w:cs="Arial"/>
                <w:sz w:val="20"/>
                <w:szCs w:val="20"/>
              </w:rPr>
            </w:pPr>
            <w:r>
              <w:rPr>
                <w:rFonts w:ascii="Calibri" w:hAnsi="Calibri" w:eastAsia="Times New Roman" w:cs="Arial"/>
                <w:sz w:val="20"/>
                <w:szCs w:val="20"/>
              </w:rPr>
              <w:t>I understand that my participation is voluntary and that I am free to withdraw at any time, without giving any reason.</w:t>
            </w:r>
          </w:p>
        </w:tc>
        <w:tc>
          <w:tcPr>
            <w:tcW w:w="510" w:type="dxa"/>
            <w:shd w:val="clear" w:color="auto" w:fill="auto"/>
          </w:tcPr>
          <w:p>
            <w:pPr>
              <w:spacing w:before="0" w:after="0" w:line="276" w:lineRule="auto"/>
              <w:ind w:right="-284"/>
              <w:jc w:val="left"/>
              <w:rPr>
                <w:rFonts w:hint="default" w:ascii="Calibri" w:hAnsi="Calibri" w:eastAsia="Times New Roman" w:cs="Arial"/>
                <w:sz w:val="20"/>
                <w:szCs w:val="20"/>
                <w:lang w:val="en-GB"/>
              </w:rPr>
            </w:pPr>
            <w:r>
              <w:rPr>
                <w:rFonts w:hint="default" w:ascii="Calibri" w:hAnsi="Calibri" w:eastAsia="Times New Roman" w:cs="Arial"/>
                <w:sz w:val="20"/>
                <w:szCs w:val="20"/>
                <w:lang w:val="en-GB"/>
              </w:rPr>
              <w:t>yes</w:t>
            </w:r>
          </w:p>
        </w:tc>
      </w:tr>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c>
          <w:tcPr>
            <w:tcW w:w="662" w:type="dxa"/>
            <w:shd w:val="clear" w:color="auto" w:fill="auto"/>
          </w:tcPr>
          <w:p>
            <w:pPr>
              <w:spacing w:before="0" w:after="0" w:line="276" w:lineRule="auto"/>
              <w:ind w:right="-284"/>
              <w:jc w:val="left"/>
              <w:rPr>
                <w:rFonts w:ascii="Calibri" w:hAnsi="Calibri" w:eastAsia="Times New Roman" w:cs="Arial"/>
                <w:sz w:val="20"/>
                <w:szCs w:val="20"/>
              </w:rPr>
            </w:pPr>
            <w:r>
              <w:rPr>
                <w:rFonts w:ascii="Calibri" w:hAnsi="Calibri" w:eastAsia="Times New Roman" w:cs="Arial"/>
                <w:sz w:val="20"/>
                <w:szCs w:val="20"/>
              </w:rPr>
              <w:t>3</w:t>
            </w:r>
          </w:p>
        </w:tc>
        <w:tc>
          <w:tcPr>
            <w:tcW w:w="7838" w:type="dxa"/>
            <w:gridSpan w:val="3"/>
            <w:shd w:val="clear" w:color="auto" w:fill="auto"/>
          </w:tcPr>
          <w:p>
            <w:pPr>
              <w:spacing w:before="0" w:after="0" w:line="276" w:lineRule="auto"/>
              <w:ind w:right="175"/>
              <w:rPr>
                <w:rFonts w:ascii="Calibri" w:hAnsi="Calibri" w:eastAsia="Times New Roman" w:cs="Arial"/>
                <w:sz w:val="20"/>
                <w:szCs w:val="20"/>
              </w:rPr>
            </w:pPr>
            <w:r>
              <w:rPr>
                <w:rFonts w:ascii="Calibri" w:hAnsi="Calibri" w:eastAsia="Times New Roman" w:cs="Arial"/>
                <w:sz w:val="20"/>
                <w:szCs w:val="20"/>
              </w:rPr>
              <w:t>I understand that any information given by me may be used in future reports, articles or presentations by the research team.</w:t>
            </w:r>
          </w:p>
        </w:tc>
        <w:tc>
          <w:tcPr>
            <w:tcW w:w="510" w:type="dxa"/>
            <w:shd w:val="clear" w:color="auto" w:fill="auto"/>
          </w:tcPr>
          <w:p>
            <w:pPr>
              <w:spacing w:before="0" w:after="0" w:line="276" w:lineRule="auto"/>
              <w:ind w:right="-284"/>
              <w:jc w:val="left"/>
              <w:rPr>
                <w:rFonts w:hint="default" w:ascii="Calibri" w:hAnsi="Calibri" w:eastAsia="Times New Roman" w:cs="Arial"/>
                <w:sz w:val="20"/>
                <w:szCs w:val="20"/>
                <w:lang w:val="en-GB"/>
              </w:rPr>
            </w:pPr>
            <w:r>
              <w:rPr>
                <w:rFonts w:hint="default" w:ascii="Calibri" w:hAnsi="Calibri" w:eastAsia="Times New Roman" w:cs="Arial"/>
                <w:sz w:val="20"/>
                <w:szCs w:val="20"/>
                <w:lang w:val="en-GB"/>
              </w:rPr>
              <w:t>yes</w:t>
            </w:r>
          </w:p>
        </w:tc>
      </w:tr>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c>
          <w:tcPr>
            <w:tcW w:w="662" w:type="dxa"/>
            <w:shd w:val="clear" w:color="auto" w:fill="auto"/>
          </w:tcPr>
          <w:p>
            <w:pPr>
              <w:spacing w:before="0" w:after="0" w:line="276" w:lineRule="auto"/>
              <w:ind w:right="-284"/>
              <w:jc w:val="left"/>
              <w:rPr>
                <w:rFonts w:ascii="Calibri" w:hAnsi="Calibri" w:eastAsia="Times New Roman" w:cs="Arial"/>
                <w:sz w:val="20"/>
                <w:szCs w:val="20"/>
              </w:rPr>
            </w:pPr>
            <w:r>
              <w:rPr>
                <w:rFonts w:ascii="Calibri" w:hAnsi="Calibri" w:eastAsia="Times New Roman" w:cs="Arial"/>
                <w:sz w:val="20"/>
                <w:szCs w:val="20"/>
              </w:rPr>
              <w:t>4</w:t>
            </w:r>
          </w:p>
        </w:tc>
        <w:tc>
          <w:tcPr>
            <w:tcW w:w="7838" w:type="dxa"/>
            <w:gridSpan w:val="3"/>
            <w:shd w:val="clear" w:color="auto" w:fill="auto"/>
          </w:tcPr>
          <w:p>
            <w:pPr>
              <w:spacing w:before="0" w:after="0" w:line="276" w:lineRule="auto"/>
              <w:ind w:right="33"/>
              <w:rPr>
                <w:rFonts w:ascii="Calibri" w:hAnsi="Calibri" w:eastAsia="Times New Roman" w:cs="Arial"/>
                <w:sz w:val="20"/>
                <w:szCs w:val="20"/>
              </w:rPr>
            </w:pPr>
            <w:r>
              <w:rPr>
                <w:rFonts w:ascii="Calibri" w:hAnsi="Calibri" w:eastAsia="Times New Roman" w:cs="Arial"/>
                <w:sz w:val="20"/>
                <w:szCs w:val="20"/>
              </w:rPr>
              <w:t>I understand that my name will not appear in any reports, articles or presentations.</w:t>
            </w:r>
          </w:p>
        </w:tc>
        <w:tc>
          <w:tcPr>
            <w:tcW w:w="510" w:type="dxa"/>
            <w:shd w:val="clear" w:color="auto" w:fill="auto"/>
          </w:tcPr>
          <w:p>
            <w:pPr>
              <w:spacing w:before="0" w:after="0" w:line="276" w:lineRule="auto"/>
              <w:ind w:right="-284"/>
              <w:jc w:val="left"/>
              <w:rPr>
                <w:rFonts w:hint="default" w:ascii="Calibri" w:hAnsi="Calibri" w:eastAsia="Times New Roman" w:cs="Arial"/>
                <w:sz w:val="20"/>
                <w:szCs w:val="20"/>
                <w:lang w:val="en-GB"/>
              </w:rPr>
            </w:pPr>
            <w:r>
              <w:rPr>
                <w:rFonts w:hint="default" w:ascii="Calibri" w:hAnsi="Calibri" w:eastAsia="Times New Roman" w:cs="Arial"/>
                <w:sz w:val="20"/>
                <w:szCs w:val="20"/>
                <w:lang w:val="en-GB"/>
              </w:rPr>
              <w:t>yes</w:t>
            </w:r>
          </w:p>
        </w:tc>
      </w:tr>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c>
          <w:tcPr>
            <w:tcW w:w="662" w:type="dxa"/>
            <w:shd w:val="clear" w:color="auto" w:fill="auto"/>
          </w:tcPr>
          <w:p>
            <w:pPr>
              <w:spacing w:before="0" w:after="0" w:line="276" w:lineRule="auto"/>
              <w:ind w:right="-284"/>
              <w:jc w:val="left"/>
              <w:rPr>
                <w:rFonts w:ascii="Calibri" w:hAnsi="Calibri" w:eastAsia="Times New Roman" w:cs="Arial"/>
                <w:sz w:val="20"/>
                <w:szCs w:val="20"/>
              </w:rPr>
            </w:pPr>
            <w:r>
              <w:rPr>
                <w:rFonts w:ascii="Calibri" w:hAnsi="Calibri" w:eastAsia="Times New Roman" w:cs="Arial"/>
                <w:sz w:val="20"/>
                <w:szCs w:val="20"/>
              </w:rPr>
              <w:t>5</w:t>
            </w:r>
          </w:p>
        </w:tc>
        <w:tc>
          <w:tcPr>
            <w:tcW w:w="7838" w:type="dxa"/>
            <w:gridSpan w:val="3"/>
            <w:shd w:val="clear" w:color="auto" w:fill="auto"/>
          </w:tcPr>
          <w:p>
            <w:pPr>
              <w:spacing w:before="0" w:after="0" w:line="276" w:lineRule="auto"/>
              <w:ind w:right="-284"/>
              <w:rPr>
                <w:rFonts w:ascii="Calibri" w:hAnsi="Calibri" w:eastAsia="Times New Roman" w:cs="Arial"/>
                <w:sz w:val="20"/>
                <w:szCs w:val="20"/>
              </w:rPr>
            </w:pPr>
            <w:r>
              <w:rPr>
                <w:rFonts w:ascii="Calibri" w:hAnsi="Calibri" w:eastAsia="Times New Roman" w:cs="Arial"/>
                <w:sz w:val="20"/>
                <w:szCs w:val="20"/>
              </w:rPr>
              <w:t>I agree to take part in the above study.</w:t>
            </w:r>
          </w:p>
        </w:tc>
        <w:tc>
          <w:tcPr>
            <w:tcW w:w="510" w:type="dxa"/>
            <w:shd w:val="clear" w:color="auto" w:fill="auto"/>
          </w:tcPr>
          <w:p>
            <w:pPr>
              <w:spacing w:before="0" w:after="0" w:line="276" w:lineRule="auto"/>
              <w:ind w:right="-284"/>
              <w:jc w:val="left"/>
              <w:rPr>
                <w:rFonts w:hint="default" w:ascii="Calibri" w:hAnsi="Calibri" w:eastAsia="Times New Roman" w:cs="Arial"/>
                <w:sz w:val="20"/>
                <w:szCs w:val="20"/>
                <w:lang w:val="en-GB"/>
              </w:rPr>
            </w:pPr>
            <w:r>
              <w:rPr>
                <w:rFonts w:hint="default" w:ascii="Calibri" w:hAnsi="Calibri" w:eastAsia="Times New Roman" w:cs="Arial"/>
                <w:sz w:val="20"/>
                <w:szCs w:val="20"/>
                <w:lang w:val="en-GB"/>
              </w:rPr>
              <w:t>yes</w:t>
            </w:r>
          </w:p>
        </w:tc>
      </w:tr>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rPr>
          <w:trHeight w:val="391" w:hRule="atLeast"/>
        </w:trPr>
        <w:tc>
          <w:tcPr>
            <w:tcW w:w="1983" w:type="dxa"/>
            <w:gridSpan w:val="2"/>
            <w:shd w:val="clear" w:color="auto" w:fill="auto"/>
          </w:tcPr>
          <w:p>
            <w:pPr>
              <w:tabs>
                <w:tab w:val="left" w:pos="3600"/>
                <w:tab w:val="left" w:pos="6480"/>
              </w:tabs>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Name of Participant</w:t>
            </w:r>
          </w:p>
        </w:tc>
        <w:tc>
          <w:tcPr>
            <w:tcW w:w="4545" w:type="dxa"/>
            <w:shd w:val="clear" w:color="auto" w:fill="auto"/>
          </w:tcPr>
          <w:p>
            <w:pPr>
              <w:tabs>
                <w:tab w:val="left" w:pos="3600"/>
                <w:tab w:val="left" w:pos="6480"/>
              </w:tabs>
              <w:spacing w:before="0" w:after="0" w:line="276" w:lineRule="auto"/>
              <w:jc w:val="left"/>
              <w:rPr>
                <w:rFonts w:hint="default" w:ascii="Calibri" w:hAnsi="Calibri" w:eastAsia="Times New Roman" w:cs="Arial"/>
                <w:sz w:val="20"/>
                <w:szCs w:val="20"/>
                <w:lang w:val="en-GB"/>
              </w:rPr>
            </w:pPr>
            <w:r>
              <w:rPr>
                <w:rFonts w:hint="default" w:ascii="Calibri" w:hAnsi="Calibri" w:eastAsia="Times New Roman" w:cs="Arial"/>
                <w:sz w:val="20"/>
                <w:szCs w:val="20"/>
                <w:lang w:val="en-GB"/>
              </w:rPr>
              <w:t>PAUL THOMAS</w:t>
            </w:r>
          </w:p>
        </w:tc>
        <w:tc>
          <w:tcPr>
            <w:tcW w:w="2482" w:type="dxa"/>
            <w:gridSpan w:val="2"/>
            <w:shd w:val="clear" w:color="auto" w:fill="auto"/>
          </w:tcPr>
          <w:p>
            <w:pPr>
              <w:tabs>
                <w:tab w:val="left" w:pos="3600"/>
                <w:tab w:val="left" w:pos="6480"/>
              </w:tabs>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 xml:space="preserve">Signature </w:t>
            </w:r>
            <w:r>
              <w:rPr>
                <w:rFonts w:ascii="Edwardian Script ITC" w:hAnsi="Edwardian Script ITC" w:eastAsia="Times New Roman" w:cs="Biome"/>
                <w:sz w:val="20"/>
                <w:szCs w:val="20"/>
              </w:rPr>
              <w:t>Rsgfd</w:t>
            </w:r>
          </w:p>
        </w:tc>
      </w:tr>
      <w:tr>
        <w:tblPrEx>
          <w:tblBorders>
            <w:top w:val="single" w:color="4F81BD" w:sz="4" w:space="0"/>
            <w:left w:val="single" w:color="4F81BD" w:sz="4" w:space="0"/>
            <w:bottom w:val="single" w:color="4F81BD" w:sz="4" w:space="0"/>
            <w:right w:val="single" w:color="4F81BD" w:sz="4" w:space="0"/>
            <w:insideH w:val="single" w:color="4F81BD" w:sz="4" w:space="0"/>
            <w:insideV w:val="single" w:color="4F81BD" w:sz="4" w:space="0"/>
          </w:tblBorders>
          <w:tblCellMar>
            <w:top w:w="0" w:type="dxa"/>
            <w:left w:w="108" w:type="dxa"/>
            <w:bottom w:w="0" w:type="dxa"/>
            <w:right w:w="108" w:type="dxa"/>
          </w:tblCellMar>
        </w:tblPrEx>
        <w:trPr>
          <w:trHeight w:val="282" w:hRule="atLeast"/>
        </w:trPr>
        <w:tc>
          <w:tcPr>
            <w:tcW w:w="1983" w:type="dxa"/>
            <w:gridSpan w:val="2"/>
            <w:shd w:val="clear" w:color="auto" w:fill="auto"/>
          </w:tcPr>
          <w:p>
            <w:pPr>
              <w:tabs>
                <w:tab w:val="left" w:pos="3600"/>
                <w:tab w:val="left" w:pos="6480"/>
              </w:tabs>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Researcher</w:t>
            </w:r>
          </w:p>
          <w:p>
            <w:pPr>
              <w:tabs>
                <w:tab w:val="left" w:pos="3600"/>
                <w:tab w:val="left" w:pos="6480"/>
              </w:tabs>
              <w:spacing w:before="0" w:after="0" w:line="276" w:lineRule="auto"/>
              <w:jc w:val="left"/>
              <w:rPr>
                <w:rFonts w:ascii="Calibri" w:hAnsi="Calibri" w:eastAsia="Times New Roman" w:cs="Arial"/>
                <w:sz w:val="20"/>
                <w:szCs w:val="20"/>
              </w:rPr>
            </w:pPr>
          </w:p>
        </w:tc>
        <w:tc>
          <w:tcPr>
            <w:tcW w:w="4545" w:type="dxa"/>
            <w:shd w:val="clear" w:color="auto" w:fill="auto"/>
          </w:tcPr>
          <w:p>
            <w:pPr>
              <w:tabs>
                <w:tab w:val="left" w:pos="3600"/>
                <w:tab w:val="left" w:pos="6480"/>
              </w:tabs>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 xml:space="preserve">Mariana Cocos </w:t>
            </w:r>
          </w:p>
        </w:tc>
        <w:tc>
          <w:tcPr>
            <w:tcW w:w="2482" w:type="dxa"/>
            <w:gridSpan w:val="2"/>
            <w:shd w:val="clear" w:color="auto" w:fill="auto"/>
          </w:tcPr>
          <w:p>
            <w:pPr>
              <w:tabs>
                <w:tab w:val="left" w:pos="3600"/>
                <w:tab w:val="left" w:pos="6480"/>
              </w:tabs>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 xml:space="preserve">Signature </w:t>
            </w:r>
            <w:r>
              <w:rPr>
                <w:rFonts w:ascii="Edwardian Script ITC" w:hAnsi="Edwardian Script ITC" w:eastAsia="Times New Roman" w:cs="Arial"/>
                <w:sz w:val="20"/>
                <w:szCs w:val="20"/>
              </w:rPr>
              <w:t xml:space="preserve">Cocos </w:t>
            </w:r>
          </w:p>
        </w:tc>
      </w:tr>
    </w:tbl>
    <w:p>
      <w:pPr>
        <w:spacing w:before="0" w:after="0" w:line="276" w:lineRule="auto"/>
        <w:jc w:val="left"/>
        <w:rPr>
          <w:rFonts w:ascii="Calibri" w:hAnsi="Calibri" w:eastAsia="Times New Roman"/>
          <w:sz w:val="20"/>
          <w:szCs w:val="20"/>
        </w:rPr>
      </w:pPr>
    </w:p>
    <w:tbl>
      <w:tblPr>
        <w:tblStyle w:val="6"/>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ayout w:type="autofit"/>
        <w:tblCellMar>
          <w:top w:w="0" w:type="dxa"/>
          <w:left w:w="108" w:type="dxa"/>
          <w:bottom w:w="0" w:type="dxa"/>
          <w:right w:w="108" w:type="dxa"/>
        </w:tblCellMar>
      </w:tblPr>
      <w:tblGrid>
        <w:gridCol w:w="9236"/>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rPr>
          <w:trHeight w:val="814" w:hRule="atLeast"/>
        </w:trPr>
        <w:tc>
          <w:tcPr>
            <w:tcW w:w="9280" w:type="dxa"/>
            <w:shd w:val="clear" w:color="auto" w:fill="auto"/>
          </w:tcPr>
          <w:p>
            <w:pPr>
              <w:tabs>
                <w:tab w:val="left" w:pos="3600"/>
                <w:tab w:val="left" w:pos="6480"/>
              </w:tabs>
              <w:spacing w:before="0" w:after="0" w:line="276" w:lineRule="auto"/>
              <w:rPr>
                <w:rFonts w:ascii="Calibri" w:hAnsi="Calibri" w:eastAsia="Times New Roman" w:cs="Arial"/>
                <w:color w:val="000000"/>
                <w:sz w:val="20"/>
                <w:szCs w:val="20"/>
              </w:rPr>
            </w:pPr>
            <w:r>
              <w:rPr>
                <w:rFonts w:ascii="Calibri" w:hAnsi="Calibri" w:eastAsia="Times New Roman" w:cs="Arial"/>
                <w:color w:val="000000"/>
                <w:sz w:val="20"/>
                <w:szCs w:val="2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pPr>
              <w:spacing w:before="0" w:after="0" w:line="276" w:lineRule="auto"/>
              <w:rPr>
                <w:rFonts w:ascii="Calibri" w:hAnsi="Calibri" w:eastAsia="Times New Roman" w:cs="Arial"/>
                <w:sz w:val="20"/>
                <w:szCs w:val="20"/>
              </w:rPr>
            </w:pPr>
            <w:r>
              <w:rPr>
                <w:rFonts w:ascii="Calibri" w:hAnsi="Calibri" w:eastAsia="Times New Roman" w:cs="Arial"/>
                <w:sz w:val="20"/>
                <w:szCs w:val="20"/>
              </w:rPr>
              <w:t>When completed please return in the envelope provided. One copy will be given to you and the original to be kept on the file of the research team at:</w:t>
            </w:r>
          </w:p>
          <w:p>
            <w:pPr>
              <w:spacing w:before="0" w:after="0" w:line="276" w:lineRule="auto"/>
              <w:jc w:val="left"/>
              <w:rPr>
                <w:rFonts w:ascii="Calibri" w:hAnsi="Calibri" w:eastAsia="Times New Roman" w:cs="Arial"/>
                <w:b/>
                <w:sz w:val="20"/>
                <w:szCs w:val="20"/>
              </w:rPr>
            </w:pPr>
          </w:p>
          <w:p>
            <w:pPr>
              <w:spacing w:before="0" w:after="0" w:line="276" w:lineRule="auto"/>
              <w:jc w:val="left"/>
              <w:rPr>
                <w:rFonts w:hint="default" w:ascii="Calibri" w:hAnsi="Calibri" w:eastAsia="Times New Roman" w:cs="Arial"/>
                <w:b/>
                <w:sz w:val="20"/>
                <w:szCs w:val="20"/>
                <w:lang w:val="en-GB"/>
              </w:rPr>
            </w:pPr>
            <w:r>
              <w:rPr>
                <w:rFonts w:ascii="Calibri" w:hAnsi="Calibri" w:eastAsia="Times New Roman" w:cs="Arial"/>
                <w:b/>
                <w:sz w:val="20"/>
                <w:szCs w:val="20"/>
              </w:rPr>
              <w:t xml:space="preserve">Mariana Cocos </w:t>
            </w:r>
            <w:r>
              <w:rPr>
                <w:rFonts w:hint="default" w:ascii="Calibri" w:hAnsi="Calibri" w:eastAsia="Times New Roman" w:cs="Arial"/>
                <w:b/>
                <w:sz w:val="20"/>
                <w:szCs w:val="20"/>
                <w:lang w:val="en-GB"/>
              </w:rPr>
              <w:t>2024061</w:t>
            </w:r>
          </w:p>
          <w:p>
            <w:pPr>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University of Wales Trinity Saint David (London Campus)</w:t>
            </w:r>
          </w:p>
          <w:p>
            <w:pPr>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Winchester House</w:t>
            </w:r>
          </w:p>
          <w:p>
            <w:pPr>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11 Cranmer Road</w:t>
            </w:r>
          </w:p>
          <w:p>
            <w:pPr>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London – SW9 6EJ</w:t>
            </w:r>
          </w:p>
          <w:p>
            <w:pPr>
              <w:spacing w:before="0" w:after="0" w:line="276" w:lineRule="auto"/>
              <w:jc w:val="left"/>
              <w:rPr>
                <w:rFonts w:ascii="Calibri" w:hAnsi="Calibri" w:eastAsia="Times New Roman" w:cs="Arial"/>
                <w:sz w:val="20"/>
                <w:szCs w:val="20"/>
              </w:rPr>
            </w:pPr>
            <w:r>
              <w:rPr>
                <w:rFonts w:ascii="Calibri" w:hAnsi="Calibri" w:eastAsia="Times New Roman" w:cs="Arial"/>
                <w:sz w:val="20"/>
                <w:szCs w:val="20"/>
              </w:rPr>
              <w:t>Tel: +442075667600</w:t>
            </w:r>
          </w:p>
          <w:p>
            <w:pPr>
              <w:spacing w:before="0" w:after="0" w:line="276" w:lineRule="auto"/>
              <w:jc w:val="left"/>
              <w:rPr>
                <w:rFonts w:ascii="Calibri" w:hAnsi="Calibri" w:eastAsia="Times New Roman" w:cs="Arial"/>
                <w:color w:val="0563C1"/>
                <w:sz w:val="20"/>
                <w:szCs w:val="20"/>
                <w:u w:val="single"/>
              </w:rPr>
            </w:pPr>
            <w:r>
              <w:rPr>
                <w:rFonts w:ascii="Calibri" w:hAnsi="Calibri" w:eastAsia="Times New Roman" w:cs="Arial"/>
                <w:sz w:val="20"/>
                <w:szCs w:val="20"/>
              </w:rPr>
              <w:t xml:space="preserve">Email: </w:t>
            </w:r>
            <w:r>
              <w:fldChar w:fldCharType="begin"/>
            </w:r>
            <w:r>
              <w:instrText xml:space="preserve"> HYPERLINK "mailto:info.london@uwtsd.ac.uk" </w:instrText>
            </w:r>
            <w:r>
              <w:fldChar w:fldCharType="separate"/>
            </w:r>
            <w:r>
              <w:rPr>
                <w:rFonts w:ascii="Calibri" w:hAnsi="Calibri" w:eastAsia="Times New Roman" w:cs="Arial"/>
                <w:color w:val="0563C1"/>
                <w:sz w:val="20"/>
                <w:szCs w:val="20"/>
                <w:u w:val="single"/>
              </w:rPr>
              <w:t>info.london@uwtsd.ac.uk</w:t>
            </w:r>
            <w:r>
              <w:rPr>
                <w:rFonts w:ascii="Calibri" w:hAnsi="Calibri" w:eastAsia="Times New Roman" w:cs="Arial"/>
                <w:color w:val="0563C1"/>
                <w:sz w:val="20"/>
                <w:szCs w:val="20"/>
                <w:u w:val="single"/>
              </w:rPr>
              <w:fldChar w:fldCharType="end"/>
            </w:r>
          </w:p>
          <w:p>
            <w:pPr>
              <w:spacing w:before="0" w:after="0" w:line="276" w:lineRule="auto"/>
              <w:jc w:val="left"/>
              <w:rPr>
                <w:rFonts w:ascii="Calibri" w:hAnsi="Calibri" w:eastAsia="Times New Roman" w:cs="Arial"/>
                <w:sz w:val="20"/>
                <w:szCs w:val="20"/>
              </w:rPr>
            </w:pPr>
            <w:r>
              <w:rPr>
                <w:rFonts w:ascii="Calibri" w:hAnsi="Calibri" w:eastAsia="Times New Roman" w:cs="Arial"/>
                <w:b/>
                <w:strike/>
                <w:sz w:val="20"/>
                <w:szCs w:val="20"/>
              </w:rPr>
              <w:t xml:space="preserve">         : </w:t>
            </w:r>
            <w:r>
              <w:fldChar w:fldCharType="begin"/>
            </w:r>
            <w:r>
              <w:instrText xml:space="preserve"> HYPERLINK "mailto:londonstudentservice@uwtsd.ac.uk" </w:instrText>
            </w:r>
            <w:r>
              <w:fldChar w:fldCharType="separate"/>
            </w:r>
            <w:r>
              <w:rPr>
                <w:rFonts w:ascii="Calibri" w:hAnsi="Calibri" w:eastAsia="Times New Roman" w:cs="Arial"/>
                <w:color w:val="0563C1"/>
                <w:sz w:val="20"/>
                <w:szCs w:val="20"/>
                <w:u w:val="single"/>
              </w:rPr>
              <w:t>londonstudentservice@uwtsd.ac.uk</w:t>
            </w:r>
            <w:r>
              <w:rPr>
                <w:rFonts w:ascii="Calibri" w:hAnsi="Calibri" w:eastAsia="Times New Roman" w:cs="Arial"/>
                <w:color w:val="0563C1"/>
                <w:sz w:val="20"/>
                <w:szCs w:val="20"/>
                <w:u w:val="single"/>
              </w:rPr>
              <w:fldChar w:fldCharType="end"/>
            </w:r>
            <w:r>
              <w:rPr>
                <w:rFonts w:ascii="Calibri" w:hAnsi="Calibri" w:eastAsia="Times New Roman" w:cs="Arial"/>
                <w:sz w:val="20"/>
                <w:szCs w:val="20"/>
              </w:rPr>
              <w:t xml:space="preserve"> </w:t>
            </w:r>
          </w:p>
          <w:p>
            <w:pPr>
              <w:spacing w:before="0" w:after="0" w:line="276" w:lineRule="auto"/>
              <w:rPr>
                <w:rFonts w:ascii="Calibri" w:hAnsi="Calibri" w:eastAsia="Times New Roman" w:cs="Arial"/>
                <w:sz w:val="20"/>
                <w:szCs w:val="20"/>
              </w:rPr>
            </w:pPr>
          </w:p>
        </w:tc>
      </w:tr>
    </w:tbl>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bookmarkStart w:id="97" w:name="_Ref154672907"/>
      <w:r>
        <w:rPr>
          <w:b/>
          <w:bCs/>
          <w:color w:val="000000" w:themeColor="text1"/>
          <w:sz w:val="28"/>
          <w:szCs w:val="28"/>
          <w14:textFill>
            <w14:solidFill>
              <w14:schemeClr w14:val="tx1"/>
            </w14:solidFill>
          </w14:textFill>
        </w:rPr>
        <w:t xml:space="preserve">Appendix </w:t>
      </w:r>
      <w:r>
        <w:rPr>
          <w:b/>
          <w:bCs/>
          <w:color w:val="000000" w:themeColor="text1"/>
          <w:sz w:val="28"/>
          <w:szCs w:val="28"/>
          <w14:textFill>
            <w14:solidFill>
              <w14:schemeClr w14:val="tx1"/>
            </w14:solidFill>
          </w14:textFill>
        </w:rPr>
        <w:fldChar w:fldCharType="begin"/>
      </w:r>
      <w:r>
        <w:rPr>
          <w:b/>
          <w:bCs/>
          <w:color w:val="000000" w:themeColor="text1"/>
          <w:sz w:val="28"/>
          <w:szCs w:val="28"/>
          <w14:textFill>
            <w14:solidFill>
              <w14:schemeClr w14:val="tx1"/>
            </w14:solidFill>
          </w14:textFill>
        </w:rPr>
        <w:instrText xml:space="preserve"> SEQ Appendix \* ARABIC </w:instrText>
      </w:r>
      <w:r>
        <w:rPr>
          <w:b/>
          <w:bCs/>
          <w:color w:val="000000" w:themeColor="text1"/>
          <w:sz w:val="28"/>
          <w:szCs w:val="28"/>
          <w14:textFill>
            <w14:solidFill>
              <w14:schemeClr w14:val="tx1"/>
            </w14:solidFill>
          </w14:textFill>
        </w:rPr>
        <w:fldChar w:fldCharType="separate"/>
      </w:r>
      <w:r>
        <w:rPr>
          <w:b/>
          <w:bCs/>
          <w:color w:val="000000" w:themeColor="text1"/>
          <w:sz w:val="28"/>
          <w:szCs w:val="28"/>
          <w14:textFill>
            <w14:solidFill>
              <w14:schemeClr w14:val="tx1"/>
            </w14:solidFill>
          </w14:textFill>
        </w:rPr>
        <w:t>6</w:t>
      </w:r>
      <w:r>
        <w:rPr>
          <w:b/>
          <w:bCs/>
          <w:color w:val="000000" w:themeColor="text1"/>
          <w:sz w:val="28"/>
          <w:szCs w:val="28"/>
          <w14:textFill>
            <w14:solidFill>
              <w14:schemeClr w14:val="tx1"/>
            </w14:solidFill>
          </w14:textFill>
        </w:rPr>
        <w:fldChar w:fldCharType="end"/>
      </w:r>
      <w:r>
        <w:rPr>
          <w:b/>
          <w:bCs/>
          <w:color w:val="000000" w:themeColor="text1"/>
          <w:sz w:val="28"/>
          <w:szCs w:val="28"/>
          <w14:textFill>
            <w14:solidFill>
              <w14:schemeClr w14:val="tx1"/>
            </w14:solidFill>
          </w14:textFill>
        </w:rPr>
        <w:t>. Application for Ethical Approval</w:t>
      </w:r>
      <w:bookmarkEnd w:id="97"/>
    </w:p>
    <w:p>
      <w:pPr>
        <w:tabs>
          <w:tab w:val="left" w:pos="5103"/>
        </w:tabs>
        <w:jc w:val="center"/>
        <w:rPr>
          <w:rFonts w:hint="default" w:ascii="Times New Roman" w:hAnsi="Times New Roman" w:cs="Times New Roman"/>
          <w:b/>
          <w:bCs/>
          <w:sz w:val="20"/>
          <w:szCs w:val="20"/>
        </w:rPr>
      </w:pPr>
      <w:r>
        <w:rPr>
          <w:rFonts w:hint="default" w:ascii="Times New Roman" w:hAnsi="Times New Roman" w:cs="Times New Roman"/>
          <w:b/>
          <w:bCs/>
          <w:sz w:val="20"/>
          <w:szCs w:val="20"/>
        </w:rPr>
        <w:t>APPLICATION FOR ETHICAL APPROVAL</w:t>
      </w:r>
    </w:p>
    <w:p>
      <w:pPr>
        <w:tabs>
          <w:tab w:val="left" w:pos="5103"/>
        </w:tabs>
        <w:jc w:val="center"/>
        <w:rPr>
          <w:rFonts w:hint="default" w:ascii="Times New Roman" w:hAnsi="Times New Roman" w:cs="Times New Roman"/>
          <w:b/>
          <w:bCs/>
          <w:sz w:val="20"/>
          <w:szCs w:val="20"/>
        </w:rPr>
      </w:pPr>
    </w:p>
    <w:p>
      <w:pPr>
        <w:tabs>
          <w:tab w:val="left" w:pos="5103"/>
        </w:tabs>
        <w:jc w:val="both"/>
        <w:rPr>
          <w:rFonts w:hint="default" w:ascii="Times New Roman" w:hAnsi="Times New Roman" w:cs="Times New Roman"/>
          <w:b/>
          <w:bCs/>
          <w:sz w:val="20"/>
          <w:szCs w:val="20"/>
        </w:rPr>
      </w:pPr>
      <w:r>
        <w:rPr>
          <w:rFonts w:hint="default" w:ascii="Times New Roman" w:hAnsi="Times New Roman" w:cs="Times New Roman"/>
          <w:b/>
          <w:bCs/>
          <w:sz w:val="20"/>
          <w:szCs w:val="20"/>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both"/>
        <w:rPr>
          <w:rFonts w:hint="default" w:ascii="Times New Roman" w:hAnsi="Times New Roman" w:cs="Times New Roman"/>
          <w:sz w:val="20"/>
          <w:szCs w:val="20"/>
        </w:rPr>
      </w:pPr>
      <w:r>
        <w:rPr>
          <w:rFonts w:hint="default" w:ascii="Times New Roman" w:hAnsi="Times New Roman" w:cs="Times New Roman"/>
          <w:sz w:val="20"/>
          <w:szCs w:val="20"/>
        </w:rPr>
        <w:t xml:space="preserve">The University follows the OECD Frascati manual definition of </w:t>
      </w:r>
      <w:r>
        <w:rPr>
          <w:rFonts w:hint="default" w:ascii="Times New Roman" w:hAnsi="Times New Roman" w:cs="Times New Roman"/>
          <w:b/>
          <w:sz w:val="20"/>
          <w:szCs w:val="20"/>
        </w:rPr>
        <w:t>research activity</w:t>
      </w:r>
      <w:r>
        <w:rPr>
          <w:rFonts w:hint="default" w:ascii="Times New Roman" w:hAnsi="Times New Roman" w:cs="Times New Roman"/>
          <w:sz w:val="20"/>
          <w:szCs w:val="2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hint="default" w:ascii="Times New Roman" w:hAnsi="Times New Roman" w:cs="Times New Roman"/>
          <w:sz w:val="20"/>
          <w:szCs w:val="20"/>
        </w:rPr>
      </w:pPr>
      <w:r>
        <w:rPr>
          <w:rFonts w:hint="default" w:ascii="Times New Roman" w:hAnsi="Times New Roman" w:cs="Times New Roman"/>
          <w:sz w:val="20"/>
          <w:szCs w:val="20"/>
        </w:rPr>
        <w:t>The individual undertaking the research activity is known as the “principal researcher”.</w:t>
      </w:r>
    </w:p>
    <w:p>
      <w:pPr>
        <w:tabs>
          <w:tab w:val="left" w:pos="5103"/>
        </w:tabs>
        <w:jc w:val="both"/>
        <w:rPr>
          <w:rFonts w:hint="default" w:ascii="Times New Roman" w:hAnsi="Times New Roman" w:cs="Times New Roman"/>
          <w:sz w:val="20"/>
          <w:szCs w:val="20"/>
        </w:rPr>
      </w:pPr>
      <w:r>
        <w:rPr>
          <w:rFonts w:hint="default" w:ascii="Times New Roman" w:hAnsi="Times New Roman" w:cs="Times New Roman"/>
          <w:sz w:val="20"/>
          <w:szCs w:val="20"/>
        </w:rPr>
        <w:t>Ethical approval is not required for routine audits, performance reviews, quality assurance studies, testing within normal educational requirements, and literary or artistic criticism.</w:t>
      </w:r>
    </w:p>
    <w:p>
      <w:pPr>
        <w:tabs>
          <w:tab w:val="left" w:pos="5103"/>
        </w:tabs>
        <w:jc w:val="both"/>
        <w:rPr>
          <w:rFonts w:hint="default" w:ascii="Times New Roman" w:hAnsi="Times New Roman" w:cs="Times New Roman"/>
          <w:b/>
          <w:bCs/>
          <w:sz w:val="20"/>
          <w:szCs w:val="20"/>
        </w:rPr>
      </w:pPr>
      <w:r>
        <w:rPr>
          <w:rFonts w:hint="default" w:ascii="Times New Roman" w:hAnsi="Times New Roman" w:cs="Times New Roman"/>
          <w:b/>
          <w:bCs/>
          <w:sz w:val="20"/>
          <w:szCs w:val="20"/>
        </w:rPr>
        <w:t>Please read the notes for guidance before completing ALL sections of the form.</w:t>
      </w:r>
    </w:p>
    <w:p>
      <w:pPr>
        <w:autoSpaceDE w:val="0"/>
        <w:autoSpaceDN w:val="0"/>
        <w:adjustRightInd w:val="0"/>
        <w:jc w:val="both"/>
        <w:rPr>
          <w:rFonts w:hint="default" w:ascii="Times New Roman" w:hAnsi="Times New Roman" w:cs="Times New Roman"/>
          <w:sz w:val="20"/>
          <w:szCs w:val="20"/>
        </w:rPr>
      </w:pPr>
      <w:r>
        <w:rPr>
          <w:rFonts w:hint="default" w:ascii="Times New Roman" w:hAnsi="Times New Roman" w:cs="Times New Roman"/>
          <w:b/>
          <w:sz w:val="20"/>
          <w:szCs w:val="20"/>
        </w:rPr>
        <w:t>This form</w:t>
      </w:r>
      <w:r>
        <w:rPr>
          <w:rFonts w:hint="default" w:ascii="Times New Roman" w:hAnsi="Times New Roman" w:cs="Times New Roman"/>
          <w:sz w:val="20"/>
          <w:szCs w:val="20"/>
        </w:rPr>
        <w:t xml:space="preserve"> </w:t>
      </w:r>
      <w:r>
        <w:rPr>
          <w:rFonts w:hint="default" w:ascii="Times New Roman" w:hAnsi="Times New Roman" w:cs="Times New Roman"/>
          <w:b/>
          <w:sz w:val="20"/>
          <w:szCs w:val="20"/>
        </w:rPr>
        <w:t>must be completed and approved prior to undertaking any research activity.</w:t>
      </w:r>
      <w:r>
        <w:rPr>
          <w:rFonts w:hint="default" w:ascii="Times New Roman" w:hAnsi="Times New Roman" w:cs="Times New Roman"/>
          <w:sz w:val="20"/>
          <w:szCs w:val="20"/>
        </w:rPr>
        <w:t xml:space="preserve"> Please see Checklist for details of process for different categories of application.  </w:t>
      </w:r>
    </w:p>
    <w:p>
      <w:pPr>
        <w:autoSpaceDE w:val="0"/>
        <w:autoSpaceDN w:val="0"/>
        <w:adjustRightInd w:val="0"/>
        <w:jc w:val="both"/>
        <w:rPr>
          <w:rFonts w:hint="default" w:ascii="Times New Roman" w:hAnsi="Times New Roman" w:cs="Times New Roman"/>
          <w:sz w:val="20"/>
          <w:szCs w:val="20"/>
        </w:rPr>
      </w:pPr>
    </w:p>
    <w:p>
      <w:pPr>
        <w:autoSpaceDE w:val="0"/>
        <w:autoSpaceDN w:val="0"/>
        <w:adjustRightInd w:val="0"/>
        <w:spacing w:after="240"/>
        <w:jc w:val="both"/>
        <w:rPr>
          <w:rFonts w:hint="default" w:ascii="Times New Roman" w:hAnsi="Times New Roman" w:cs="Times New Roman"/>
          <w:b/>
          <w:sz w:val="20"/>
          <w:szCs w:val="20"/>
        </w:rPr>
      </w:pPr>
      <w:r>
        <w:rPr>
          <w:rFonts w:hint="default" w:ascii="Times New Roman" w:hAnsi="Times New Roman" w:cs="Times New Roman"/>
          <w:b/>
          <w:sz w:val="20"/>
          <w:szCs w:val="20"/>
        </w:rPr>
        <w:t>SECTION A: About You (Principal Researcher)</w:t>
      </w:r>
    </w:p>
    <w:tbl>
      <w:tblPr>
        <w:tblStyle w:val="6"/>
        <w:tblW w:w="11570" w:type="dxa"/>
        <w:tblInd w:w="-1122"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440"/>
        <w:gridCol w:w="3785"/>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1</w:t>
            </w:r>
          </w:p>
        </w:tc>
        <w:tc>
          <w:tcPr>
            <w:tcW w:w="4494" w:type="dxa"/>
            <w:gridSpan w:val="2"/>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Full Name:</w:t>
            </w:r>
          </w:p>
        </w:tc>
        <w:tc>
          <w:tcPr>
            <w:tcW w:w="6636" w:type="dxa"/>
            <w:gridSpan w:val="4"/>
            <w:vAlign w:val="center"/>
          </w:tcPr>
          <w:p>
            <w:pPr>
              <w:rPr>
                <w:rFonts w:hint="default" w:ascii="Times New Roman" w:hAnsi="Times New Roman" w:cs="Times New Roman"/>
                <w:sz w:val="20"/>
                <w:szCs w:val="20"/>
                <w:lang w:val="en-GB"/>
              </w:rPr>
            </w:pPr>
            <w:r>
              <w:rPr>
                <w:rFonts w:hint="default" w:ascii="Times New Roman" w:hAnsi="Times New Roman" w:cs="Times New Roman"/>
                <w:sz w:val="20"/>
                <w:szCs w:val="20"/>
              </w:rPr>
              <w:t xml:space="preserve"> Cocos</w:t>
            </w:r>
            <w:r>
              <w:rPr>
                <w:rFonts w:hint="default" w:ascii="Times New Roman" w:hAnsi="Times New Roman" w:cs="Times New Roman"/>
                <w:sz w:val="20"/>
                <w:szCs w:val="20"/>
                <w:lang w:val="en-GB"/>
              </w:rPr>
              <w:t xml:space="preserve"> </w:t>
            </w:r>
            <w:r>
              <w:rPr>
                <w:rFonts w:hint="default" w:cs="Times New Roman"/>
                <w:sz w:val="20"/>
                <w:szCs w:val="20"/>
                <w:lang w:val="en-GB"/>
              </w:rPr>
              <w:t xml:space="preserve">Mariana </w:t>
            </w:r>
            <w:r>
              <w:rPr>
                <w:rFonts w:hint="default" w:ascii="Times New Roman" w:hAnsi="Times New Roman" w:cs="Times New Roman"/>
                <w:sz w:val="20"/>
                <w:szCs w:val="20"/>
                <w:lang w:val="en-GB"/>
              </w:rPr>
              <w:t>2024061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440" w:type="dxa"/>
            <w:shd w:val="clear" w:color="auto" w:fill="BEBEBE" w:themeFill="background1" w:themeFillShade="BF"/>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2</w:t>
            </w:r>
          </w:p>
        </w:tc>
        <w:tc>
          <w:tcPr>
            <w:tcW w:w="4494" w:type="dxa"/>
            <w:gridSpan w:val="2"/>
            <w:shd w:val="clear" w:color="auto" w:fill="BEBEBE" w:themeFill="background1" w:themeFillShade="BF"/>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Tick all boxes that apply:</w:t>
            </w:r>
          </w:p>
        </w:tc>
        <w:tc>
          <w:tcPr>
            <w:tcW w:w="2551"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Member of staff:</w:t>
            </w:r>
          </w:p>
        </w:tc>
        <w:tc>
          <w:tcPr>
            <w:tcW w:w="709" w:type="dxa"/>
            <w:shd w:val="clear" w:color="auto" w:fill="BEBEBE" w:themeFill="background1" w:themeFillShade="BF"/>
            <w:vAlign w:val="center"/>
          </w:tcPr>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tc>
          <w:tcPr>
            <w:tcW w:w="2526"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Honorary research fellow:</w:t>
            </w:r>
          </w:p>
        </w:tc>
        <w:tc>
          <w:tcPr>
            <w:tcW w:w="850" w:type="dxa"/>
            <w:shd w:val="clear" w:color="auto" w:fill="BEBEBE" w:themeFill="background1" w:themeFillShade="BF"/>
            <w:vAlign w:val="center"/>
          </w:tcPr>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440" w:type="dxa"/>
            <w:shd w:val="clear" w:color="auto" w:fill="F1F1F1" w:themeFill="background1" w:themeFillShade="F2"/>
            <w:vAlign w:val="center"/>
          </w:tcPr>
          <w:p>
            <w:pPr>
              <w:rPr>
                <w:rFonts w:hint="default" w:ascii="Times New Roman" w:hAnsi="Times New Roman" w:cs="Times New Roman"/>
                <w:sz w:val="20"/>
                <w:szCs w:val="20"/>
              </w:rPr>
            </w:pPr>
          </w:p>
        </w:tc>
        <w:tc>
          <w:tcPr>
            <w:tcW w:w="3785"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Undergraduate Student</w:t>
            </w:r>
          </w:p>
        </w:tc>
        <w:sdt>
          <w:sdtPr>
            <w:rPr>
              <w:rFonts w:hint="default" w:ascii="Times New Roman" w:hAnsi="Times New Roman" w:cs="Times New Roman"/>
              <w:sz w:val="20"/>
              <w:szCs w:val="20"/>
            </w:rPr>
            <w:id w:val="-94723644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tc>
              <w:tcPr>
                <w:tcW w:w="709" w:type="dxa"/>
                <w:shd w:val="clear" w:color="auto" w:fill="BEBEBE" w:themeFill="background1" w:themeFillShade="BF"/>
                <w:vAlign w:val="center"/>
              </w:tcPr>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c>
          <w:tcPr>
            <w:tcW w:w="2551"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Taught Postgraduate Student</w:t>
            </w:r>
          </w:p>
        </w:tc>
        <w:sdt>
          <w:sdtPr>
            <w:rPr>
              <w:rFonts w:hint="default" w:ascii="Times New Roman" w:hAnsi="Times New Roman" w:cs="Times New Roman"/>
              <w:sz w:val="20"/>
              <w:szCs w:val="20"/>
            </w:rPr>
            <w:id w:val="-195494321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tc>
              <w:tcPr>
                <w:tcW w:w="709" w:type="dxa"/>
                <w:shd w:val="clear" w:color="auto" w:fill="BEBEBE" w:themeFill="background1" w:themeFillShade="BF"/>
                <w:vAlign w:val="center"/>
              </w:tcPr>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c>
          <w:tcPr>
            <w:tcW w:w="2526"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Postgraduate Research Student</w:t>
            </w:r>
          </w:p>
        </w:tc>
        <w:sdt>
          <w:sdtPr>
            <w:rPr>
              <w:rFonts w:hint="default" w:ascii="Times New Roman" w:hAnsi="Times New Roman" w:cs="Times New Roman"/>
              <w:sz w:val="20"/>
              <w:szCs w:val="20"/>
            </w:rPr>
            <w:id w:val="-7188770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tc>
              <w:tcPr>
                <w:tcW w:w="850" w:type="dxa"/>
                <w:shd w:val="clear" w:color="auto" w:fill="BEBEBE" w:themeFill="background1" w:themeFillShade="BF"/>
                <w:vAlign w:val="center"/>
              </w:tcPr>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r>
    </w:tbl>
    <w:p>
      <w:pPr>
        <w:rPr>
          <w:rFonts w:hint="default" w:ascii="Times New Roman" w:hAnsi="Times New Roman" w:cs="Times New Roman"/>
          <w:bCs/>
          <w:iCs/>
          <w:sz w:val="20"/>
          <w:szCs w:val="20"/>
        </w:rPr>
      </w:pPr>
    </w:p>
    <w:tbl>
      <w:tblPr>
        <w:tblStyle w:val="6"/>
        <w:tblW w:w="11583" w:type="dxa"/>
        <w:tblInd w:w="-1135"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413"/>
        <w:gridCol w:w="4534"/>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1196"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3</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Institute/Academic Discipline/Centre:</w:t>
            </w:r>
          </w:p>
        </w:tc>
        <w:tc>
          <w:tcPr>
            <w:tcW w:w="6636" w:type="dxa"/>
            <w:vAlign w:val="center"/>
          </w:tcPr>
          <w:p>
            <w:pPr>
              <w:spacing w:line="360" w:lineRule="auto"/>
              <w:rPr>
                <w:rFonts w:hint="default" w:ascii="Times New Roman" w:hAnsi="Times New Roman" w:cs="Times New Roman"/>
                <w:sz w:val="20"/>
                <w:szCs w:val="20"/>
              </w:rPr>
            </w:pPr>
            <w:r>
              <w:rPr>
                <w:rFonts w:hint="default" w:ascii="Times New Roman" w:hAnsi="Times New Roman" w:cs="Times New Roman"/>
                <w:sz w:val="20"/>
                <w:szCs w:val="20"/>
              </w:rPr>
              <w:t>University of Wales Trinity Saint David (London Campus)</w:t>
            </w:r>
          </w:p>
          <w:p>
            <w:pPr>
              <w:rPr>
                <w:rFonts w:hint="default" w:ascii="Times New Roman" w:hAnsi="Times New Roman" w:cs="Times New Roman"/>
                <w:sz w:val="20"/>
                <w:szCs w:val="20"/>
              </w:rPr>
            </w:pPr>
          </w:p>
          <w:p>
            <w:pPr>
              <w:rPr>
                <w:rFonts w:hint="default" w:ascii="Times New Roman" w:hAnsi="Times New Roman" w:cs="Times New Roman"/>
                <w:sz w:val="20"/>
                <w:szCs w:val="20"/>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90"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4</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Campus:</w:t>
            </w:r>
          </w:p>
        </w:tc>
        <w:tc>
          <w:tcPr>
            <w:tcW w:w="6636" w:type="dxa"/>
            <w:vAlign w:val="center"/>
          </w:tcPr>
          <w:p>
            <w:pPr>
              <w:rPr>
                <w:rFonts w:hint="default" w:ascii="Times New Roman" w:hAnsi="Times New Roman" w:cs="Times New Roman"/>
                <w:sz w:val="20"/>
                <w:szCs w:val="20"/>
                <w:lang w:val="en-GB"/>
              </w:rPr>
            </w:pPr>
            <w:r>
              <w:rPr>
                <w:rFonts w:hint="default" w:ascii="Times New Roman" w:hAnsi="Times New Roman" w:cs="Times New Roman"/>
                <w:sz w:val="20"/>
                <w:szCs w:val="20"/>
              </w:rPr>
              <w:t>London</w:t>
            </w:r>
            <w:r>
              <w:rPr>
                <w:rFonts w:hint="default" w:ascii="Times New Roman" w:hAnsi="Times New Roman" w:cs="Times New Roman"/>
                <w:sz w:val="20"/>
                <w:szCs w:val="20"/>
                <w:lang w:val="en-GB"/>
              </w:rPr>
              <w:t xml:space="preserve"> Campus</w:t>
            </w:r>
          </w:p>
          <w:p>
            <w:pPr>
              <w:rPr>
                <w:rFonts w:hint="default" w:ascii="Times New Roman" w:hAnsi="Times New Roman" w:cs="Times New Roman"/>
                <w:sz w:val="20"/>
                <w:szCs w:val="20"/>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5</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E-mail address:</w:t>
            </w:r>
          </w:p>
        </w:tc>
        <w:tc>
          <w:tcPr>
            <w:tcW w:w="6636" w:type="dxa"/>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2024061@student.uwtsd.ac.uk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6</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Contact Telephone Number:</w:t>
            </w:r>
          </w:p>
        </w:tc>
        <w:tc>
          <w:tcPr>
            <w:tcW w:w="6636" w:type="dxa"/>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07594754969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413" w:type="dxa"/>
            <w:shd w:val="clear" w:color="auto" w:fill="BEBEBE" w:themeFill="background1" w:themeFillShade="BF"/>
            <w:vAlign w:val="center"/>
          </w:tcPr>
          <w:p>
            <w:pPr>
              <w:rPr>
                <w:rFonts w:hint="default" w:ascii="Times New Roman" w:hAnsi="Times New Roman" w:cs="Times New Roman"/>
                <w:b/>
                <w:i/>
                <w:sz w:val="20"/>
                <w:szCs w:val="20"/>
              </w:rPr>
            </w:pPr>
          </w:p>
        </w:tc>
        <w:tc>
          <w:tcPr>
            <w:tcW w:w="11170" w:type="dxa"/>
            <w:gridSpan w:val="2"/>
            <w:shd w:val="clear" w:color="auto" w:fill="BEBEBE" w:themeFill="background1" w:themeFillShade="BF"/>
            <w:vAlign w:val="center"/>
          </w:tcPr>
          <w:p>
            <w:pPr>
              <w:rPr>
                <w:rFonts w:hint="default" w:ascii="Times New Roman" w:hAnsi="Times New Roman" w:cs="Times New Roman"/>
                <w:sz w:val="20"/>
                <w:szCs w:val="20"/>
              </w:rPr>
            </w:pPr>
            <w:r>
              <w:rPr>
                <w:rFonts w:hint="default" w:ascii="Times New Roman" w:hAnsi="Times New Roman" w:cs="Times New Roman"/>
                <w:b/>
                <w:i/>
                <w:sz w:val="20"/>
                <w:szCs w:val="20"/>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7</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Student Number:</w:t>
            </w:r>
          </w:p>
        </w:tc>
        <w:tc>
          <w:tcPr>
            <w:tcW w:w="6636"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2024061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8</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Programme of Study:</w:t>
            </w:r>
          </w:p>
        </w:tc>
        <w:tc>
          <w:tcPr>
            <w:tcW w:w="6636" w:type="dxa"/>
            <w:vAlign w:val="center"/>
          </w:tcPr>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 xml:space="preserve">BA ( Hons) </w:t>
            </w:r>
            <w:r>
              <w:rPr>
                <w:rFonts w:hint="default" w:ascii="Times New Roman" w:hAnsi="Times New Roman" w:cs="Times New Roman"/>
                <w:sz w:val="20"/>
                <w:szCs w:val="20"/>
              </w:rPr>
              <w:t xml:space="preserve"> Business Ma</w:t>
            </w:r>
            <w:r>
              <w:rPr>
                <w:rFonts w:hint="default" w:ascii="Times New Roman" w:hAnsi="Times New Roman" w:cs="Times New Roman"/>
                <w:sz w:val="20"/>
                <w:szCs w:val="20"/>
                <w:lang w:val="en-GB"/>
              </w:rPr>
              <w:t>nagement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413"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9</w:t>
            </w:r>
          </w:p>
        </w:tc>
        <w:tc>
          <w:tcPr>
            <w:tcW w:w="4534" w:type="dxa"/>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Director of Studies/Supervisor:</w:t>
            </w:r>
          </w:p>
        </w:tc>
        <w:tc>
          <w:tcPr>
            <w:tcW w:w="6636" w:type="dxa"/>
            <w:vAlign w:val="center"/>
          </w:tcPr>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Dr Olusoyi Ashaye</w:t>
            </w:r>
          </w:p>
        </w:tc>
      </w:tr>
    </w:tbl>
    <w:p>
      <w:pPr>
        <w:rPr>
          <w:rFonts w:hint="default" w:ascii="Times New Roman" w:hAnsi="Times New Roman" w:cs="Times New Roman"/>
          <w:bCs/>
          <w:iCs/>
          <w:sz w:val="20"/>
          <w:szCs w:val="20"/>
        </w:rPr>
      </w:pPr>
    </w:p>
    <w:p>
      <w:pPr>
        <w:autoSpaceDE w:val="0"/>
        <w:autoSpaceDN w:val="0"/>
        <w:adjustRightInd w:val="0"/>
        <w:spacing w:after="240"/>
        <w:jc w:val="both"/>
        <w:rPr>
          <w:rFonts w:hint="default" w:ascii="Times New Roman" w:hAnsi="Times New Roman" w:cs="Times New Roman"/>
          <w:b/>
          <w:sz w:val="20"/>
          <w:szCs w:val="20"/>
        </w:rPr>
      </w:pPr>
      <w:r>
        <w:rPr>
          <w:rFonts w:hint="default" w:ascii="Times New Roman" w:hAnsi="Times New Roman" w:cs="Times New Roman"/>
          <w:b/>
          <w:sz w:val="20"/>
          <w:szCs w:val="20"/>
        </w:rPr>
        <w:t>SECTION B: Approval for Research Activity</w:t>
      </w:r>
    </w:p>
    <w:tbl>
      <w:tblPr>
        <w:tblStyle w:val="14"/>
        <w:tblW w:w="11574" w:type="dxa"/>
        <w:tblInd w:w="-110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40"/>
        <w:gridCol w:w="4924"/>
        <w:gridCol w:w="2539"/>
        <w:gridCol w:w="993"/>
        <w:gridCol w:w="850"/>
        <w:gridCol w:w="992"/>
        <w:gridCol w:w="8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w:t>
            </w:r>
          </w:p>
        </w:tc>
        <w:tc>
          <w:tcPr>
            <w:tcW w:w="7463"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Has the research activity received approval in principle?</w:t>
            </w: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YES</w:t>
            </w:r>
          </w:p>
        </w:tc>
        <w:sdt>
          <w:sdtPr>
            <w:rPr>
              <w:rFonts w:hint="default" w:ascii="Times New Roman" w:hAnsi="Times New Roman" w:cs="Times New Roman"/>
              <w:bCs/>
              <w:sz w:val="20"/>
              <w:szCs w:val="20"/>
            </w:rPr>
            <w:id w:val="1447122604"/>
            <w14:checkbox>
              <w14:checked w14:val="1"/>
              <w14:checkedState w14:val="2612" w14:font="MS Gothic"/>
              <w14:uncheckedState w14:val="2610" w14:font="MS Gothic"/>
            </w14:checkbox>
          </w:sdtPr>
          <w:sdtEndPr>
            <w:rPr>
              <w:rFonts w:hint="default" w:ascii="Times New Roman" w:hAnsi="Times New Roman" w:cs="Times New Roman"/>
              <w:bCs/>
              <w:sz w:val="20"/>
              <w:szCs w:val="20"/>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eastAsia="MS Gothic" w:cs="Times New Roman"/>
                    <w:bCs/>
                    <w:sz w:val="20"/>
                    <w:szCs w:val="20"/>
                  </w:rPr>
                  <w:t>☒</w:t>
                </w:r>
              </w:p>
            </w:tc>
          </w:sdtContent>
        </w:sdt>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NO</w:t>
            </w:r>
          </w:p>
        </w:tc>
        <w:sdt>
          <w:sdtPr>
            <w:rPr>
              <w:rFonts w:hint="default" w:ascii="Times New Roman" w:hAnsi="Times New Roman" w:cs="Times New Roman"/>
              <w:bCs/>
              <w:sz w:val="20"/>
              <w:szCs w:val="20"/>
            </w:rPr>
            <w:id w:val="1244220297"/>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tc>
              <w:tcPr>
                <w:tcW w:w="836"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Cs/>
                    <w:sz w:val="20"/>
                    <w:szCs w:val="20"/>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440" w:type="dxa"/>
            <w:shd w:val="clear" w:color="auto" w:fill="F1F1F1" w:themeFill="background1" w:themeFillShade="F2"/>
          </w:tcPr>
          <w:p>
            <w:pPr>
              <w:autoSpaceDE w:val="0"/>
              <w:autoSpaceDN w:val="0"/>
              <w:adjustRightInd w:val="0"/>
              <w:rPr>
                <w:rFonts w:hint="default" w:ascii="Times New Roman" w:hAnsi="Times New Roman" w:cs="Times New Roman"/>
                <w:b/>
                <w:bCs/>
                <w:sz w:val="20"/>
                <w:szCs w:val="20"/>
              </w:rPr>
            </w:pPr>
          </w:p>
        </w:tc>
        <w:tc>
          <w:tcPr>
            <w:tcW w:w="9306" w:type="dxa"/>
            <w:gridSpan w:val="4"/>
            <w:shd w:val="clear" w:color="auto" w:fill="F1F1F1" w:themeFill="background1" w:themeFillShade="F2"/>
          </w:tcPr>
          <w:p>
            <w:pPr>
              <w:autoSpaceDE w:val="0"/>
              <w:autoSpaceDN w:val="0"/>
              <w:adjustRightInd w:val="0"/>
              <w:rPr>
                <w:rFonts w:hint="default" w:ascii="Times New Roman" w:hAnsi="Times New Roman" w:cs="Times New Roman"/>
                <w:b/>
                <w:bCs/>
                <w:sz w:val="20"/>
                <w:szCs w:val="20"/>
              </w:rPr>
            </w:pPr>
          </w:p>
        </w:tc>
        <w:tc>
          <w:tcPr>
            <w:tcW w:w="1828" w:type="dxa"/>
            <w:gridSpan w:val="2"/>
            <w:shd w:val="clear" w:color="auto" w:fill="F1F1F1" w:themeFill="background1" w:themeFillShade="F2"/>
          </w:tcPr>
          <w:p>
            <w:pPr>
              <w:autoSpaceDE w:val="0"/>
              <w:autoSpaceDN w:val="0"/>
              <w:adjustRightInd w:val="0"/>
              <w:jc w:val="both"/>
              <w:rPr>
                <w:rFonts w:hint="default" w:ascii="Times New Roman" w:hAnsi="Times New Roman" w:cs="Times New Roman"/>
                <w:b/>
                <w:bCs/>
                <w:i/>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7" w:hRule="atLeast"/>
        </w:trPr>
        <w:tc>
          <w:tcPr>
            <w:tcW w:w="440" w:type="dxa"/>
            <w:vMerge w:val="restart"/>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r>
              <w:rPr>
                <w:rFonts w:hint="default" w:ascii="Times New Roman" w:hAnsi="Times New Roman" w:cs="Times New Roman"/>
                <w:sz w:val="20"/>
                <w:szCs w:val="20"/>
              </w:rPr>
              <w:t>2</w:t>
            </w:r>
          </w:p>
        </w:tc>
        <w:tc>
          <w:tcPr>
            <w:tcW w:w="4924" w:type="dxa"/>
            <w:vMerge w:val="restart"/>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r>
              <w:rPr>
                <w:rFonts w:hint="default" w:ascii="Times New Roman" w:hAnsi="Times New Roman" w:cs="Times New Roman"/>
                <w:sz w:val="20"/>
                <w:szCs w:val="20"/>
              </w:rPr>
              <w:t>If Yes, please indicate source of approval (and date where known):</w:t>
            </w:r>
            <w:r>
              <w:rPr>
                <w:rFonts w:hint="default" w:ascii="Times New Roman" w:hAnsi="Times New Roman" w:cs="Times New Roman"/>
                <w:bCs/>
                <w:i/>
                <w:iCs/>
                <w:color w:val="FF0000"/>
                <w:sz w:val="20"/>
                <w:szCs w:val="20"/>
              </w:rPr>
              <w:t xml:space="preserve"> </w:t>
            </w:r>
            <w:r>
              <w:rPr>
                <w:rFonts w:hint="default" w:ascii="Times New Roman" w:hAnsi="Times New Roman" w:cs="Times New Roman"/>
                <w:b/>
                <w:bCs/>
                <w:i/>
                <w:iCs/>
                <w:sz w:val="20"/>
                <w:szCs w:val="20"/>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Research Degrees Committee</w:t>
            </w:r>
          </w:p>
        </w:tc>
        <w:sdt>
          <w:sdtPr>
            <w:rPr>
              <w:rFonts w:hint="default" w:ascii="Times New Roman" w:hAnsi="Times New Roman" w:cs="Times New Roman"/>
              <w:sz w:val="20"/>
              <w:szCs w:val="20"/>
            </w:rPr>
            <w:id w:val="70660679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c>
          <w:tcPr>
            <w:tcW w:w="1828" w:type="dxa"/>
            <w:gridSpan w:val="2"/>
            <w:vAlign w:val="center"/>
          </w:tcPr>
          <w:p>
            <w:pPr>
              <w:autoSpaceDE w:val="0"/>
              <w:autoSpaceDN w:val="0"/>
              <w:adjustRightInd w:val="0"/>
              <w:jc w:val="both"/>
              <w:rPr>
                <w:rFonts w:hint="default" w:ascii="Times New Roman" w:hAnsi="Times New Roman" w:cs="Times New Roman"/>
                <w:b/>
                <w:bCs/>
                <w:sz w:val="20"/>
                <w:szCs w:val="20"/>
                <w:lang w:val="en-GB"/>
              </w:rPr>
            </w:pPr>
            <w:r>
              <w:rPr>
                <w:rFonts w:hint="default" w:cs="Times New Roman"/>
                <w:b/>
                <w:bCs/>
                <w:sz w:val="20"/>
                <w:szCs w:val="20"/>
                <w:lang w:val="en-GB"/>
              </w:rPr>
              <w:t xml:space="preserve">Date </w:t>
            </w:r>
            <w:r>
              <w:rPr>
                <w:rFonts w:hint="default" w:ascii="Times New Roman" w:hAnsi="Times New Roman" w:cs="Times New Roman"/>
                <w:b/>
                <w:bCs/>
                <w:sz w:val="20"/>
                <w:szCs w:val="20"/>
                <w:lang w:val="en-GB"/>
              </w:rPr>
              <w:t>29.11.2023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8" w:hRule="atLeast"/>
        </w:trPr>
        <w:tc>
          <w:tcPr>
            <w:tcW w:w="440"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p>
        </w:tc>
        <w:tc>
          <w:tcPr>
            <w:tcW w:w="4924"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Institute Research Committee</w:t>
            </w:r>
          </w:p>
        </w:tc>
        <w:sdt>
          <w:sdtPr>
            <w:rPr>
              <w:rFonts w:hint="default" w:ascii="Times New Roman" w:hAnsi="Times New Roman" w:cs="Times New Roman"/>
              <w:sz w:val="20"/>
              <w:szCs w:val="20"/>
            </w:rPr>
            <w:id w:val="139492787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c>
          <w:tcPr>
            <w:tcW w:w="1828" w:type="dxa"/>
            <w:gridSpan w:val="2"/>
            <w:vAlign w:val="center"/>
          </w:tcPr>
          <w:p>
            <w:pPr>
              <w:autoSpaceDE w:val="0"/>
              <w:autoSpaceDN w:val="0"/>
              <w:adjustRightInd w:val="0"/>
              <w:jc w:val="center"/>
              <w:rPr>
                <w:rFonts w:hint="default" w:ascii="Times New Roman" w:hAnsi="Times New Roman" w:cs="Times New Roman"/>
                <w:b/>
                <w:bC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p>
        </w:tc>
        <w:tc>
          <w:tcPr>
            <w:tcW w:w="4924"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Other (write in)</w:t>
            </w:r>
          </w:p>
          <w:p>
            <w:pPr>
              <w:autoSpaceDE w:val="0"/>
              <w:autoSpaceDN w:val="0"/>
              <w:adjustRightInd w:val="0"/>
              <w:rPr>
                <w:rFonts w:hint="default" w:ascii="Times New Roman" w:hAnsi="Times New Roman" w:cs="Times New Roman"/>
                <w:sz w:val="20"/>
                <w:szCs w:val="20"/>
              </w:rPr>
            </w:pPr>
          </w:p>
        </w:tc>
        <w:sdt>
          <w:sdtPr>
            <w:rPr>
              <w:rFonts w:hint="default" w:ascii="Times New Roman" w:hAnsi="Times New Roman" w:cs="Times New Roman"/>
              <w:sz w:val="20"/>
              <w:szCs w:val="20"/>
            </w:rPr>
            <w:id w:val="-166407524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c>
          <w:tcPr>
            <w:tcW w:w="1828" w:type="dxa"/>
            <w:gridSpan w:val="2"/>
            <w:vAlign w:val="center"/>
          </w:tcPr>
          <w:p>
            <w:pPr>
              <w:autoSpaceDE w:val="0"/>
              <w:autoSpaceDN w:val="0"/>
              <w:adjustRightInd w:val="0"/>
              <w:jc w:val="center"/>
              <w:rPr>
                <w:rFonts w:hint="default" w:ascii="Times New Roman" w:hAnsi="Times New Roman" w:cs="Times New Roman"/>
                <w:b/>
                <w:bCs/>
                <w:sz w:val="20"/>
                <w:szCs w:val="20"/>
              </w:rPr>
            </w:pPr>
          </w:p>
        </w:tc>
      </w:tr>
    </w:tbl>
    <w:p>
      <w:pPr>
        <w:autoSpaceDE w:val="0"/>
        <w:autoSpaceDN w:val="0"/>
        <w:adjustRightInd w:val="0"/>
        <w:spacing w:after="240"/>
        <w:jc w:val="both"/>
        <w:rPr>
          <w:rFonts w:hint="default" w:ascii="Arial" w:hAnsi="Arial" w:cs="Arial"/>
          <w:bCs/>
          <w:iCs/>
        </w:rPr>
      </w:pPr>
    </w:p>
    <w:p>
      <w:pPr>
        <w:autoSpaceDE w:val="0"/>
        <w:autoSpaceDN w:val="0"/>
        <w:adjustRightInd w:val="0"/>
        <w:spacing w:after="240"/>
        <w:jc w:val="both"/>
        <w:rPr>
          <w:rFonts w:hint="default" w:ascii="Times New Roman" w:hAnsi="Times New Roman" w:cs="Times New Roman"/>
          <w:b/>
          <w:sz w:val="20"/>
          <w:szCs w:val="20"/>
        </w:rPr>
      </w:pPr>
      <w:r>
        <w:rPr>
          <w:rFonts w:hint="default" w:ascii="Times New Roman" w:hAnsi="Times New Roman" w:cs="Times New Roman"/>
          <w:b/>
          <w:sz w:val="20"/>
          <w:szCs w:val="20"/>
        </w:rPr>
        <w:t>SECTION C:  Internal and External Ethical Guidance Materials</w:t>
      </w:r>
    </w:p>
    <w:tbl>
      <w:tblPr>
        <w:tblStyle w:val="14"/>
        <w:tblW w:w="11589" w:type="dxa"/>
        <w:tblInd w:w="-110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7"/>
        <w:gridCol w:w="10028"/>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7"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p>
        </w:tc>
        <w:tc>
          <w:tcPr>
            <w:tcW w:w="11162" w:type="dxa"/>
            <w:gridSpan w:val="2"/>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427" w:type="dxa"/>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w:t>
            </w:r>
          </w:p>
        </w:tc>
        <w:tc>
          <w:tcPr>
            <w:tcW w:w="10028" w:type="dxa"/>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"file:///C:/Users/c.lohmann-hancock/AppData/Local/Microsoft/Windows/INetCache/REICoP-17-20-v3-Final.pdf" </w:instrText>
            </w:r>
            <w:r>
              <w:rPr>
                <w:rFonts w:hint="default" w:ascii="Times New Roman" w:hAnsi="Times New Roman" w:cs="Times New Roman"/>
                <w:sz w:val="20"/>
                <w:szCs w:val="20"/>
              </w:rPr>
              <w:fldChar w:fldCharType="separate"/>
            </w:r>
            <w:r>
              <w:rPr>
                <w:rStyle w:val="10"/>
                <w:rFonts w:hint="default" w:ascii="Times New Roman" w:hAnsi="Times New Roman" w:cs="Times New Roman"/>
                <w:b/>
                <w:bCs/>
                <w:color w:val="auto"/>
                <w:sz w:val="20"/>
                <w:szCs w:val="20"/>
                <w:u w:val="none"/>
              </w:rPr>
              <w:t>UWTSD Research Ethics &amp; Integrity Code of Practice</w:t>
            </w:r>
            <w:r>
              <w:rPr>
                <w:rStyle w:val="10"/>
                <w:rFonts w:hint="default" w:ascii="Times New Roman" w:hAnsi="Times New Roman" w:cs="Times New Roman"/>
                <w:b/>
                <w:bCs/>
                <w:color w:val="auto"/>
                <w:sz w:val="20"/>
                <w:szCs w:val="20"/>
                <w:u w:val="none"/>
              </w:rPr>
              <w:fldChar w:fldCharType="end"/>
            </w:r>
          </w:p>
        </w:tc>
        <w:sdt>
          <w:sdtPr>
            <w:rPr>
              <w:rFonts w:hint="default" w:ascii="Times New Roman" w:hAnsi="Times New Roman" w:cs="Times New Roman"/>
              <w:sz w:val="20"/>
              <w:szCs w:val="20"/>
            </w:rPr>
            <w:id w:val="157847950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tc>
              <w:tcPr>
                <w:tcW w:w="1134"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427" w:type="dxa"/>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2</w:t>
            </w:r>
          </w:p>
        </w:tc>
        <w:tc>
          <w:tcPr>
            <w:tcW w:w="10028" w:type="dxa"/>
            <w:vAlign w:val="center"/>
          </w:tcPr>
          <w:p>
            <w:pPr>
              <w:autoSpaceDE w:val="0"/>
              <w:autoSpaceDN w:val="0"/>
              <w:adjustRightInd w:val="0"/>
              <w:rPr>
                <w:rFonts w:hint="default" w:ascii="Times New Roman" w:hAnsi="Times New Roman" w:cs="Times New Roman"/>
                <w:b/>
                <w:bCs/>
                <w:color w:val="FF0000"/>
                <w:sz w:val="20"/>
                <w:szCs w:val="20"/>
              </w:rPr>
            </w:pPr>
            <w:r>
              <w:rPr>
                <w:rFonts w:hint="default" w:ascii="Times New Roman" w:hAnsi="Times New Roman" w:cs="Times New Roman"/>
                <w:b/>
                <w:bCs/>
                <w:sz w:val="20"/>
                <w:szCs w:val="20"/>
              </w:rPr>
              <w:t>UWTSD Research Data Management Policy</w:t>
            </w:r>
          </w:p>
        </w:tc>
        <w:tc>
          <w:tcPr>
            <w:tcW w:w="1134" w:type="dxa"/>
            <w:shd w:val="clear" w:color="auto" w:fill="BEBEBE" w:themeFill="background1" w:themeFillShade="BF"/>
            <w:vAlign w:val="center"/>
          </w:tcPr>
          <w:sdt>
            <w:sdtPr>
              <w:rPr>
                <w:rFonts w:hint="default" w:ascii="Times New Roman" w:hAnsi="Times New Roman" w:cs="Times New Roman"/>
                <w:sz w:val="20"/>
                <w:szCs w:val="20"/>
              </w:rPr>
              <w:id w:val="-2040961117"/>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i/>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427" w:type="dxa"/>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3</w:t>
            </w:r>
          </w:p>
        </w:tc>
        <w:tc>
          <w:tcPr>
            <w:tcW w:w="10028" w:type="dxa"/>
            <w:vAlign w:val="center"/>
          </w:tcPr>
          <w:p>
            <w:pPr>
              <w:autoSpaceDE w:val="0"/>
              <w:autoSpaceDN w:val="0"/>
              <w:adjustRightInd w:val="0"/>
              <w:rPr>
                <w:rFonts w:hint="default" w:ascii="Times New Roman" w:hAnsi="Times New Roman" w:cs="Times New Roman"/>
                <w:i/>
                <w:sz w:val="20"/>
                <w:szCs w:val="20"/>
              </w:rPr>
            </w:pPr>
            <w:r>
              <w:rPr>
                <w:rFonts w:hint="default" w:ascii="Times New Roman" w:hAnsi="Times New Roman" w:cs="Times New Roman"/>
                <w:i/>
                <w:sz w:val="20"/>
                <w:szCs w:val="20"/>
              </w:rPr>
              <w:t>[List any other relevant documents here]</w:t>
            </w:r>
          </w:p>
        </w:tc>
        <w:tc>
          <w:tcPr>
            <w:tcW w:w="1134" w:type="dxa"/>
            <w:shd w:val="clear" w:color="auto" w:fill="BEBEBE" w:themeFill="background1" w:themeFillShade="BF"/>
            <w:vAlign w:val="center"/>
          </w:tcPr>
          <w:sdt>
            <w:sdtPr>
              <w:rPr>
                <w:rFonts w:hint="default" w:ascii="Times New Roman" w:hAnsi="Times New Roman" w:cs="Times New Roman"/>
                <w:sz w:val="20"/>
                <w:szCs w:val="20"/>
              </w:rPr>
              <w:id w:val="-208745312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i/>
                    <w:sz w:val="20"/>
                    <w:szCs w:val="20"/>
                  </w:rPr>
                </w:pPr>
                <w:r>
                  <w:rPr>
                    <w:rFonts w:hint="default" w:ascii="Times New Roman" w:hAnsi="Times New Roman" w:eastAsia="MS Gothic" w:cs="Times New Roman"/>
                    <w:sz w:val="20"/>
                    <w:szCs w:val="20"/>
                  </w:rPr>
                  <w:t>☒</w:t>
                </w:r>
              </w:p>
            </w:sdtContent>
          </w:sdt>
        </w:tc>
      </w:tr>
    </w:tbl>
    <w:p>
      <w:pPr>
        <w:autoSpaceDE w:val="0"/>
        <w:autoSpaceDN w:val="0"/>
        <w:adjustRightInd w:val="0"/>
        <w:spacing w:after="240"/>
        <w:jc w:val="both"/>
        <w:rPr>
          <w:rFonts w:hint="default" w:ascii="Times New Roman" w:hAnsi="Times New Roman" w:cs="Times New Roman"/>
          <w:b/>
          <w:sz w:val="20"/>
          <w:szCs w:val="20"/>
        </w:rPr>
      </w:pPr>
    </w:p>
    <w:p>
      <w:pPr>
        <w:autoSpaceDE w:val="0"/>
        <w:autoSpaceDN w:val="0"/>
        <w:adjustRightInd w:val="0"/>
        <w:jc w:val="both"/>
        <w:rPr>
          <w:rFonts w:hint="default" w:ascii="Times New Roman" w:hAnsi="Times New Roman" w:cs="Times New Roman"/>
          <w:b/>
          <w:sz w:val="20"/>
          <w:szCs w:val="20"/>
        </w:rPr>
      </w:pPr>
      <w:r>
        <w:rPr>
          <w:rFonts w:hint="default" w:ascii="Times New Roman" w:hAnsi="Times New Roman" w:cs="Times New Roman"/>
          <w:b/>
          <w:sz w:val="20"/>
          <w:szCs w:val="20"/>
        </w:rPr>
        <w:t>SECTION D: External Collaborative Research Activity</w:t>
      </w:r>
    </w:p>
    <w:p>
      <w:pPr>
        <w:autoSpaceDE w:val="0"/>
        <w:autoSpaceDN w:val="0"/>
        <w:adjustRightInd w:val="0"/>
        <w:spacing w:after="240"/>
        <w:jc w:val="both"/>
        <w:rPr>
          <w:rFonts w:hint="default" w:ascii="Times New Roman" w:hAnsi="Times New Roman" w:cs="Times New Roman"/>
          <w:sz w:val="20"/>
          <w:szCs w:val="20"/>
        </w:rPr>
      </w:pPr>
      <w:r>
        <w:rPr>
          <w:rFonts w:hint="default" w:ascii="Times New Roman" w:hAnsi="Times New Roman" w:cs="Times New Roman"/>
          <w:sz w:val="20"/>
          <w:szCs w:val="20"/>
        </w:rPr>
        <w:t>If there are external collaborators, then you should gain consent from the contact persons to share their personal data with the university. If there are no external collaborators, then leave this section blank and continue to section E.</w:t>
      </w:r>
    </w:p>
    <w:tbl>
      <w:tblPr>
        <w:tblStyle w:val="14"/>
        <w:tblW w:w="11615" w:type="dxa"/>
        <w:tblInd w:w="-11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53"/>
        <w:gridCol w:w="5063"/>
        <w:gridCol w:w="2407"/>
        <w:gridCol w:w="992"/>
        <w:gridCol w:w="849"/>
        <w:gridCol w:w="991"/>
        <w:gridCol w:w="8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w:t>
            </w:r>
          </w:p>
        </w:tc>
        <w:tc>
          <w:tcPr>
            <w:tcW w:w="5063" w:type="dxa"/>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r>
              <w:rPr>
                <w:rFonts w:hint="default" w:ascii="Times New Roman" w:hAnsi="Times New Roman" w:cs="Times New Roman"/>
                <w:sz w:val="20"/>
                <w:szCs w:val="20"/>
              </w:rPr>
              <w:t>Institution</w:t>
            </w:r>
          </w:p>
        </w:tc>
        <w:tc>
          <w:tcPr>
            <w:tcW w:w="6099" w:type="dxa"/>
            <w:gridSpan w:val="5"/>
          </w:tcPr>
          <w:p>
            <w:pPr>
              <w:autoSpaceDE w:val="0"/>
              <w:autoSpaceDN w:val="0"/>
              <w:adjustRightInd w:val="0"/>
              <w:rPr>
                <w:rFonts w:hint="default" w:ascii="Times New Roman" w:hAnsi="Times New Roman" w:cs="Times New Roman"/>
                <w:bCs/>
                <w:sz w:val="20"/>
                <w:szCs w:val="20"/>
              </w:rPr>
            </w:pPr>
          </w:p>
          <w:p>
            <w:pPr>
              <w:autoSpaceDE w:val="0"/>
              <w:autoSpaceDN w:val="0"/>
              <w:adjustRightInd w:val="0"/>
              <w:rPr>
                <w:rFonts w:hint="default" w:ascii="Times New Roman" w:hAnsi="Times New Roman" w:cs="Times New Roman"/>
                <w:bC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2</w:t>
            </w:r>
          </w:p>
        </w:tc>
        <w:tc>
          <w:tcPr>
            <w:tcW w:w="5063" w:type="dxa"/>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r>
              <w:rPr>
                <w:rFonts w:hint="default" w:ascii="Times New Roman" w:hAnsi="Times New Roman" w:cs="Times New Roman"/>
                <w:sz w:val="20"/>
                <w:szCs w:val="20"/>
              </w:rPr>
              <w:t>Contact person name</w:t>
            </w:r>
          </w:p>
        </w:tc>
        <w:tc>
          <w:tcPr>
            <w:tcW w:w="6099" w:type="dxa"/>
            <w:gridSpan w:val="5"/>
          </w:tcPr>
          <w:p>
            <w:pPr>
              <w:autoSpaceDE w:val="0"/>
              <w:autoSpaceDN w:val="0"/>
              <w:adjustRightInd w:val="0"/>
              <w:rPr>
                <w:rFonts w:hint="default" w:ascii="Times New Roman" w:hAnsi="Times New Roman" w:cs="Times New Roman"/>
                <w:bCs/>
                <w:sz w:val="20"/>
                <w:szCs w:val="20"/>
              </w:rPr>
            </w:pPr>
          </w:p>
          <w:p>
            <w:pPr>
              <w:autoSpaceDE w:val="0"/>
              <w:autoSpaceDN w:val="0"/>
              <w:adjustRightInd w:val="0"/>
              <w:rPr>
                <w:rFonts w:hint="default" w:ascii="Times New Roman" w:hAnsi="Times New Roman" w:cs="Times New Roman"/>
                <w:bC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3</w:t>
            </w:r>
          </w:p>
        </w:tc>
        <w:tc>
          <w:tcPr>
            <w:tcW w:w="5063" w:type="dxa"/>
            <w:shd w:val="clear" w:color="auto" w:fill="F1F1F1" w:themeFill="background1" w:themeFillShade="F2"/>
          </w:tcPr>
          <w:p>
            <w:pPr>
              <w:autoSpaceDE w:val="0"/>
              <w:autoSpaceDN w:val="0"/>
              <w:adjustRightInd w:val="0"/>
              <w:jc w:val="both"/>
              <w:rPr>
                <w:rFonts w:hint="default" w:ascii="Times New Roman" w:hAnsi="Times New Roman" w:cs="Times New Roman"/>
                <w:sz w:val="20"/>
                <w:szCs w:val="20"/>
              </w:rPr>
            </w:pPr>
            <w:r>
              <w:rPr>
                <w:rFonts w:hint="default" w:ascii="Times New Roman" w:hAnsi="Times New Roman" w:cs="Times New Roman"/>
                <w:sz w:val="20"/>
                <w:szCs w:val="20"/>
              </w:rPr>
              <w:t>Contact person e-mail address</w:t>
            </w:r>
          </w:p>
          <w:p>
            <w:pPr>
              <w:autoSpaceDE w:val="0"/>
              <w:autoSpaceDN w:val="0"/>
              <w:adjustRightInd w:val="0"/>
              <w:jc w:val="both"/>
              <w:rPr>
                <w:rFonts w:hint="default" w:ascii="Times New Roman" w:hAnsi="Times New Roman" w:cs="Times New Roman"/>
                <w:sz w:val="20"/>
                <w:szCs w:val="20"/>
              </w:rPr>
            </w:pPr>
          </w:p>
        </w:tc>
        <w:tc>
          <w:tcPr>
            <w:tcW w:w="6099" w:type="dxa"/>
            <w:gridSpan w:val="5"/>
          </w:tcPr>
          <w:p>
            <w:pPr>
              <w:autoSpaceDE w:val="0"/>
              <w:autoSpaceDN w:val="0"/>
              <w:adjustRightInd w:val="0"/>
              <w:rPr>
                <w:rFonts w:hint="default" w:ascii="Times New Roman" w:hAnsi="Times New Roman" w:cs="Times New Roman"/>
                <w:bC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4</w:t>
            </w:r>
          </w:p>
        </w:tc>
        <w:tc>
          <w:tcPr>
            <w:tcW w:w="7470" w:type="dxa"/>
            <w:gridSpan w:val="2"/>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Is your research externally funded?</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
                <w:sz w:val="20"/>
                <w:szCs w:val="20"/>
              </w:rPr>
              <w:t>YES</w:t>
            </w:r>
          </w:p>
        </w:tc>
        <w:tc>
          <w:tcPr>
            <w:tcW w:w="849"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56344332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c>
          <w:tcPr>
            <w:tcW w:w="991"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
                <w:sz w:val="20"/>
                <w:szCs w:val="20"/>
              </w:rPr>
              <w:t>NO</w:t>
            </w:r>
          </w:p>
        </w:tc>
        <w:tc>
          <w:tcPr>
            <w:tcW w:w="860" w:type="dxa"/>
            <w:shd w:val="clear" w:color="auto" w:fill="D8D8D8" w:themeFill="background1" w:themeFillShade="D9"/>
            <w:vAlign w:val="center"/>
          </w:tcPr>
          <w:sdt>
            <w:sdtPr>
              <w:rPr>
                <w:rFonts w:hint="default" w:ascii="Times New Roman" w:hAnsi="Times New Roman" w:cs="Times New Roman"/>
                <w:bCs/>
                <w:sz w:val="20"/>
                <w:szCs w:val="20"/>
              </w:rPr>
              <w:id w:val="-748419000"/>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5</w:t>
            </w:r>
          </w:p>
        </w:tc>
        <w:tc>
          <w:tcPr>
            <w:tcW w:w="7470" w:type="dxa"/>
            <w:gridSpan w:val="2"/>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Are you in receipt of a KESS scholarship?</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
                <w:sz w:val="20"/>
                <w:szCs w:val="20"/>
              </w:rPr>
              <w:t>YES</w:t>
            </w:r>
          </w:p>
        </w:tc>
        <w:tc>
          <w:tcPr>
            <w:tcW w:w="849"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91142465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c>
          <w:tcPr>
            <w:tcW w:w="991"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
                <w:sz w:val="20"/>
                <w:szCs w:val="20"/>
              </w:rPr>
              <w:t>NO</w:t>
            </w:r>
          </w:p>
        </w:tc>
        <w:tc>
          <w:tcPr>
            <w:tcW w:w="860" w:type="dxa"/>
            <w:shd w:val="clear" w:color="auto" w:fill="D8D8D8" w:themeFill="background1" w:themeFillShade="D9"/>
            <w:vAlign w:val="center"/>
          </w:tcPr>
          <w:sdt>
            <w:sdtPr>
              <w:rPr>
                <w:rFonts w:hint="default" w:ascii="Times New Roman" w:hAnsi="Times New Roman" w:cs="Times New Roman"/>
                <w:bCs/>
                <w:sz w:val="20"/>
                <w:szCs w:val="20"/>
              </w:rPr>
              <w:id w:val="-1876681663"/>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6</w:t>
            </w:r>
          </w:p>
        </w:tc>
        <w:tc>
          <w:tcPr>
            <w:tcW w:w="5063" w:type="dxa"/>
            <w:vMerge w:val="restart"/>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Are you specifically employed to undertake this research in either a paid or voluntary capacity?</w:t>
            </w:r>
          </w:p>
        </w:tc>
        <w:tc>
          <w:tcPr>
            <w:tcW w:w="2407" w:type="dxa"/>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Voluntary</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sz w:val="20"/>
                <w:szCs w:val="20"/>
              </w:rPr>
              <w:t>YES</w:t>
            </w:r>
          </w:p>
        </w:tc>
        <w:tc>
          <w:tcPr>
            <w:tcW w:w="849" w:type="dxa"/>
            <w:shd w:val="clear" w:color="auto" w:fill="D8D8D8" w:themeFill="background1" w:themeFillShade="D9"/>
            <w:vAlign w:val="center"/>
          </w:tcPr>
          <w:sdt>
            <w:sdtPr>
              <w:rPr>
                <w:rFonts w:hint="default" w:ascii="Times New Roman" w:hAnsi="Times New Roman" w:cs="Times New Roman"/>
                <w:sz w:val="20"/>
                <w:szCs w:val="20"/>
              </w:rPr>
              <w:id w:val="-145255590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1"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sz w:val="20"/>
                <w:szCs w:val="20"/>
              </w:rPr>
              <w:t>NO</w:t>
            </w:r>
          </w:p>
        </w:tc>
        <w:tc>
          <w:tcPr>
            <w:tcW w:w="860" w:type="dxa"/>
            <w:shd w:val="clear" w:color="auto" w:fill="D8D8D8" w:themeFill="background1" w:themeFillShade="D9"/>
            <w:vAlign w:val="center"/>
          </w:tcPr>
          <w:sdt>
            <w:sdtPr>
              <w:rPr>
                <w:rFonts w:hint="default" w:ascii="Times New Roman" w:hAnsi="Times New Roman" w:cs="Times New Roman"/>
                <w:bCs/>
                <w:sz w:val="20"/>
                <w:szCs w:val="20"/>
              </w:rPr>
              <w:id w:val="-1824587797"/>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7</w:t>
            </w:r>
          </w:p>
        </w:tc>
        <w:tc>
          <w:tcPr>
            <w:tcW w:w="5063" w:type="dxa"/>
            <w:vMerge w:val="continue"/>
            <w:shd w:val="clear" w:color="auto" w:fill="F1F1F1" w:themeFill="background1" w:themeFillShade="F2"/>
          </w:tcPr>
          <w:p>
            <w:pPr>
              <w:autoSpaceDE w:val="0"/>
              <w:autoSpaceDN w:val="0"/>
              <w:adjustRightInd w:val="0"/>
              <w:rPr>
                <w:rFonts w:hint="default" w:ascii="Times New Roman" w:hAnsi="Times New Roman" w:cs="Times New Roman"/>
                <w:sz w:val="20"/>
                <w:szCs w:val="20"/>
              </w:rPr>
            </w:pPr>
          </w:p>
        </w:tc>
        <w:tc>
          <w:tcPr>
            <w:tcW w:w="2407" w:type="dxa"/>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Employed</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sz w:val="20"/>
                <w:szCs w:val="20"/>
              </w:rPr>
              <w:t>YES</w:t>
            </w:r>
          </w:p>
        </w:tc>
        <w:tc>
          <w:tcPr>
            <w:tcW w:w="849" w:type="dxa"/>
            <w:shd w:val="clear" w:color="auto" w:fill="D8D8D8" w:themeFill="background1" w:themeFillShade="D9"/>
            <w:vAlign w:val="center"/>
          </w:tcPr>
          <w:sdt>
            <w:sdtPr>
              <w:rPr>
                <w:rFonts w:hint="default" w:ascii="Times New Roman" w:hAnsi="Times New Roman" w:cs="Times New Roman"/>
                <w:sz w:val="20"/>
                <w:szCs w:val="20"/>
              </w:rPr>
              <w:id w:val="-36106057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1"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sz w:val="20"/>
                <w:szCs w:val="20"/>
              </w:rPr>
              <w:t>NO</w:t>
            </w:r>
          </w:p>
        </w:tc>
        <w:tc>
          <w:tcPr>
            <w:tcW w:w="860" w:type="dxa"/>
            <w:shd w:val="clear" w:color="auto" w:fill="D8D8D8" w:themeFill="background1" w:themeFillShade="D9"/>
            <w:vAlign w:val="center"/>
          </w:tcPr>
          <w:sdt>
            <w:sdtPr>
              <w:rPr>
                <w:rFonts w:hint="default" w:ascii="Times New Roman" w:hAnsi="Times New Roman" w:cs="Times New Roman"/>
                <w:bCs/>
                <w:sz w:val="20"/>
                <w:szCs w:val="20"/>
              </w:rPr>
              <w:id w:val="-1007364088"/>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8</w:t>
            </w:r>
          </w:p>
        </w:tc>
        <w:tc>
          <w:tcPr>
            <w:tcW w:w="506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Is the research being undertaken within an existing UWTSD Athrofa Professional Learning Partnership (APLP)?</w:t>
            </w:r>
          </w:p>
        </w:tc>
        <w:tc>
          <w:tcPr>
            <w:tcW w:w="2407" w:type="dxa"/>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If YES then the permission question below does not need to be answered.</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sz w:val="20"/>
                <w:szCs w:val="20"/>
              </w:rPr>
              <w:t>YES</w:t>
            </w:r>
          </w:p>
        </w:tc>
        <w:tc>
          <w:tcPr>
            <w:tcW w:w="849"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4850652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c>
          <w:tcPr>
            <w:tcW w:w="991"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sz w:val="20"/>
                <w:szCs w:val="20"/>
              </w:rPr>
              <w:t>NO</w:t>
            </w:r>
          </w:p>
        </w:tc>
        <w:tc>
          <w:tcPr>
            <w:tcW w:w="860" w:type="dxa"/>
            <w:shd w:val="clear" w:color="auto" w:fill="D8D8D8" w:themeFill="background1" w:themeFillShade="D9"/>
            <w:vAlign w:val="center"/>
          </w:tcPr>
          <w:sdt>
            <w:sdtPr>
              <w:rPr>
                <w:rFonts w:hint="default" w:ascii="Times New Roman" w:hAnsi="Times New Roman" w:cs="Times New Roman"/>
                <w:bCs/>
                <w:sz w:val="20"/>
                <w:szCs w:val="20"/>
              </w:rPr>
              <w:id w:val="1039408862"/>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9</w:t>
            </w:r>
          </w:p>
        </w:tc>
        <w:tc>
          <w:tcPr>
            <w:tcW w:w="5063"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Has permission to undertake the research has been provided by the partner organisation?</w:t>
            </w:r>
          </w:p>
        </w:tc>
        <w:tc>
          <w:tcPr>
            <w:tcW w:w="2407" w:type="dxa"/>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(If YES attach copy)</w:t>
            </w:r>
          </w:p>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If NO the application cannot continue</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YES</w:t>
            </w:r>
          </w:p>
        </w:tc>
        <w:tc>
          <w:tcPr>
            <w:tcW w:w="849"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8571774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c>
          <w:tcPr>
            <w:tcW w:w="991"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NO</w:t>
            </w:r>
          </w:p>
        </w:tc>
        <w:tc>
          <w:tcPr>
            <w:tcW w:w="860" w:type="dxa"/>
            <w:shd w:val="clear" w:color="auto" w:fill="D8D8D8" w:themeFill="background1" w:themeFillShade="D9"/>
            <w:vAlign w:val="center"/>
          </w:tcPr>
          <w:sdt>
            <w:sdtPr>
              <w:rPr>
                <w:rFonts w:hint="default" w:ascii="Times New Roman" w:hAnsi="Times New Roman" w:cs="Times New Roman"/>
                <w:bCs/>
                <w:sz w:val="20"/>
                <w:szCs w:val="20"/>
              </w:rPr>
              <w:id w:val="-912467415"/>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bl>
    <w:p>
      <w:pPr>
        <w:rPr>
          <w:rFonts w:hint="default" w:ascii="Times New Roman" w:hAnsi="Times New Roman" w:cs="Times New Roman"/>
          <w:bCs/>
          <w:iCs/>
          <w:sz w:val="20"/>
          <w:szCs w:val="20"/>
        </w:rPr>
      </w:pPr>
    </w:p>
    <w:p>
      <w:pPr>
        <w:rPr>
          <w:rFonts w:hint="default" w:ascii="Times New Roman" w:hAnsi="Times New Roman" w:cs="Times New Roman"/>
          <w:b/>
          <w:bCs/>
          <w:iCs/>
          <w:sz w:val="20"/>
          <w:szCs w:val="20"/>
        </w:rPr>
      </w:pPr>
    </w:p>
    <w:p>
      <w:pPr>
        <w:autoSpaceDE w:val="0"/>
        <w:autoSpaceDN w:val="0"/>
        <w:adjustRightInd w:val="0"/>
        <w:spacing w:after="240"/>
        <w:jc w:val="both"/>
        <w:rPr>
          <w:rFonts w:hint="default" w:ascii="Times New Roman" w:hAnsi="Times New Roman" w:cs="Times New Roman"/>
          <w:b/>
          <w:sz w:val="20"/>
          <w:szCs w:val="20"/>
        </w:rPr>
      </w:pPr>
      <w:r>
        <w:rPr>
          <w:rFonts w:hint="default" w:ascii="Times New Roman" w:hAnsi="Times New Roman" w:cs="Times New Roman"/>
          <w:b/>
          <w:sz w:val="20"/>
          <w:szCs w:val="20"/>
        </w:rPr>
        <w:t>Where research activity is carried out in collaboration with an external organisation</w:t>
      </w:r>
    </w:p>
    <w:tbl>
      <w:tblPr>
        <w:tblStyle w:val="14"/>
        <w:tblW w:w="12445" w:type="dxa"/>
        <w:tblInd w:w="-110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54"/>
        <w:gridCol w:w="293"/>
        <w:gridCol w:w="7161"/>
        <w:gridCol w:w="993"/>
        <w:gridCol w:w="895"/>
        <w:gridCol w:w="947"/>
        <w:gridCol w:w="871"/>
        <w:gridCol w:w="8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94" w:hRule="atLeast"/>
        </w:trPr>
        <w:tc>
          <w:tcPr>
            <w:tcW w:w="454" w:type="dxa"/>
            <w:shd w:val="clear" w:color="auto" w:fill="F1F1F1" w:themeFill="background1" w:themeFillShade="F2"/>
            <w:vAlign w:val="center"/>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10</w:t>
            </w:r>
          </w:p>
        </w:tc>
        <w:tc>
          <w:tcPr>
            <w:tcW w:w="7454"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bCs/>
                <w:sz w:val="20"/>
                <w:szCs w:val="20"/>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895" w:type="dxa"/>
            <w:shd w:val="clear" w:color="auto" w:fill="BEBEBE" w:themeFill="background1" w:themeFillShade="BF"/>
            <w:vAlign w:val="center"/>
          </w:tcPr>
          <w:sdt>
            <w:sdtPr>
              <w:rPr>
                <w:rFonts w:hint="default" w:ascii="Times New Roman" w:hAnsi="Times New Roman" w:cs="Times New Roman"/>
                <w:sz w:val="20"/>
                <w:szCs w:val="20"/>
              </w:rPr>
              <w:id w:val="-127902407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sz w:val="20"/>
                    <w:szCs w:val="20"/>
                  </w:rPr>
                  <w:t>☐</w:t>
                </w:r>
              </w:p>
            </w:sdtContent>
          </w:sdt>
        </w:tc>
        <w:tc>
          <w:tcPr>
            <w:tcW w:w="94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c>
          <w:tcPr>
            <w:tcW w:w="871" w:type="dxa"/>
            <w:shd w:val="clear" w:color="auto" w:fill="BEBEBE" w:themeFill="background1" w:themeFillShade="BF"/>
            <w:vAlign w:val="center"/>
          </w:tcPr>
          <w:sdt>
            <w:sdtPr>
              <w:rPr>
                <w:rFonts w:hint="default" w:ascii="Times New Roman" w:hAnsi="Times New Roman" w:cs="Times New Roman"/>
                <w:sz w:val="20"/>
                <w:szCs w:val="20"/>
              </w:rPr>
              <w:id w:val="-71157011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sz w:val="20"/>
                    <w:szCs w:val="20"/>
                  </w:rPr>
                  <w:t>☐</w:t>
                </w:r>
              </w:p>
            </w:sdtContent>
          </w:sdt>
        </w:tc>
        <w:tc>
          <w:tcPr>
            <w:tcW w:w="831"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7" w:type="dxa"/>
            <w:gridSpan w:val="2"/>
          </w:tcPr>
          <w:p>
            <w:pPr>
              <w:autoSpaceDE w:val="0"/>
              <w:autoSpaceDN w:val="0"/>
              <w:adjustRightInd w:val="0"/>
              <w:rPr>
                <w:rFonts w:hint="default" w:ascii="Times New Roman" w:hAnsi="Times New Roman" w:cs="Times New Roman"/>
                <w:bCs/>
                <w:sz w:val="20"/>
                <w:szCs w:val="20"/>
              </w:rPr>
            </w:pPr>
          </w:p>
        </w:tc>
        <w:tc>
          <w:tcPr>
            <w:tcW w:w="10867" w:type="dxa"/>
            <w:gridSpan w:val="5"/>
          </w:tcPr>
          <w:p>
            <w:pPr>
              <w:autoSpaceDE w:val="0"/>
              <w:autoSpaceDN w:val="0"/>
              <w:adjustRightInd w:val="0"/>
              <w:rPr>
                <w:rFonts w:hint="default" w:ascii="Times New Roman" w:hAnsi="Times New Roman" w:cs="Times New Roman"/>
                <w:bCs/>
                <w:sz w:val="20"/>
                <w:szCs w:val="20"/>
              </w:rPr>
            </w:pPr>
          </w:p>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Cs/>
                <w:sz w:val="20"/>
                <w:szCs w:val="20"/>
              </w:rPr>
              <w:t>If Yes, please attach a copy of any final approval (or interim approval) from the organisation (this may be a copy of an email if appropriate).</w:t>
            </w:r>
          </w:p>
        </w:tc>
        <w:tc>
          <w:tcPr>
            <w:tcW w:w="831" w:type="dxa"/>
          </w:tcPr>
          <w:p>
            <w:pPr>
              <w:autoSpaceDE w:val="0"/>
              <w:autoSpaceDN w:val="0"/>
              <w:adjustRightInd w:val="0"/>
              <w:rPr>
                <w:rFonts w:hint="default" w:ascii="Times New Roman" w:hAnsi="Times New Roman" w:cs="Times New Roman"/>
                <w:b/>
                <w:bCs/>
                <w:sz w:val="20"/>
                <w:szCs w:val="20"/>
              </w:rPr>
            </w:pPr>
          </w:p>
        </w:tc>
      </w:tr>
    </w:tbl>
    <w:p>
      <w:pPr>
        <w:autoSpaceDE w:val="0"/>
        <w:autoSpaceDN w:val="0"/>
        <w:adjustRightInd w:val="0"/>
        <w:spacing w:after="240"/>
        <w:jc w:val="both"/>
        <w:rPr>
          <w:rFonts w:hint="default" w:ascii="Times New Roman" w:hAnsi="Times New Roman" w:cs="Times New Roman"/>
          <w:b/>
          <w:sz w:val="20"/>
          <w:szCs w:val="20"/>
        </w:rPr>
      </w:pPr>
    </w:p>
    <w:p>
      <w:pPr>
        <w:autoSpaceDE w:val="0"/>
        <w:autoSpaceDN w:val="0"/>
        <w:adjustRightInd w:val="0"/>
        <w:spacing w:after="240"/>
        <w:jc w:val="both"/>
        <w:rPr>
          <w:rFonts w:hint="default" w:ascii="Times New Roman" w:hAnsi="Times New Roman" w:cs="Times New Roman"/>
          <w:b/>
          <w:sz w:val="20"/>
          <w:szCs w:val="20"/>
        </w:rPr>
      </w:pPr>
      <w:r>
        <w:rPr>
          <w:rFonts w:hint="default" w:ascii="Times New Roman" w:hAnsi="Times New Roman" w:cs="Times New Roman"/>
          <w:b/>
          <w:sz w:val="20"/>
          <w:szCs w:val="20"/>
        </w:rPr>
        <w:t>SECTION E: Details of Research Activity</w:t>
      </w:r>
    </w:p>
    <w:tbl>
      <w:tblPr>
        <w:tblStyle w:val="6"/>
        <w:tblW w:w="6333" w:type="pct"/>
        <w:tblInd w:w="-1213"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67"/>
        <w:gridCol w:w="4056"/>
        <w:gridCol w:w="2728"/>
        <w:gridCol w:w="2728"/>
        <w:gridCol w:w="1554"/>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0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1</w:t>
            </w:r>
          </w:p>
        </w:tc>
        <w:tc>
          <w:tcPr>
            <w:tcW w:w="175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Indicative title:</w:t>
            </w:r>
          </w:p>
        </w:tc>
        <w:tc>
          <w:tcPr>
            <w:tcW w:w="3039" w:type="pct"/>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Exploring the gender differences in leadership style: A general study in manufacturing in the UK.</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1177" w:hRule="atLeast"/>
        </w:trPr>
        <w:tc>
          <w:tcPr>
            <w:tcW w:w="20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2</w:t>
            </w:r>
          </w:p>
        </w:tc>
        <w:tc>
          <w:tcPr>
            <w:tcW w:w="175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rPr>
            </w:pPr>
            <w:r>
              <w:rPr>
                <w:rFonts w:hint="default" w:ascii="Times New Roman" w:hAnsi="Times New Roman" w:cs="Times New Roman"/>
                <w:sz w:val="20"/>
                <w:szCs w:val="20"/>
                <w:lang w:val="en-GB"/>
              </w:rPr>
              <w:t>01.12</w:t>
            </w:r>
            <w:r>
              <w:rPr>
                <w:rFonts w:hint="default" w:ascii="Times New Roman" w:hAnsi="Times New Roman" w:cs="Times New Roman"/>
                <w:sz w:val="20"/>
                <w:szCs w:val="20"/>
              </w:rPr>
              <w:t>.2023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Proposed end date:</w:t>
            </w:r>
          </w:p>
        </w:tc>
        <w:tc>
          <w:tcPr>
            <w:tcW w:w="673" w:type="pct"/>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08.12.2023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02" w:type="pct"/>
            <w:tcBorders>
              <w:top w:val="single" w:color="auto" w:sz="4" w:space="0"/>
            </w:tcBorders>
            <w:shd w:val="clear" w:color="auto" w:fill="F1F1F1" w:themeFill="background1" w:themeFillShade="F2"/>
            <w:vAlign w:val="center"/>
          </w:tcPr>
          <w:p>
            <w:pPr>
              <w:spacing w:before="120" w:after="120"/>
              <w:rPr>
                <w:rFonts w:hint="default" w:ascii="Times New Roman" w:hAnsi="Times New Roman" w:cs="Times New Roman"/>
                <w:sz w:val="20"/>
                <w:szCs w:val="20"/>
              </w:rPr>
            </w:pPr>
          </w:p>
        </w:tc>
        <w:tc>
          <w:tcPr>
            <w:tcW w:w="4797" w:type="pct"/>
            <w:gridSpan w:val="4"/>
            <w:tcBorders>
              <w:top w:val="single" w:color="auto" w:sz="4" w:space="0"/>
            </w:tcBorders>
            <w:shd w:val="clear" w:color="auto" w:fill="F1F1F1" w:themeFill="background1" w:themeFillShade="F2"/>
            <w:vAlign w:val="center"/>
          </w:tcPr>
          <w:p>
            <w:pPr>
              <w:spacing w:before="120" w:after="120"/>
              <w:rPr>
                <w:rFonts w:hint="default" w:ascii="Times New Roman" w:hAnsi="Times New Roman" w:cs="Times New Roman"/>
                <w:b/>
                <w:sz w:val="20"/>
                <w:szCs w:val="20"/>
              </w:rPr>
            </w:pPr>
            <w:r>
              <w:rPr>
                <w:rFonts w:hint="default" w:ascii="Times New Roman" w:hAnsi="Times New Roman" w:cs="Times New Roman"/>
                <w:b/>
                <w:sz w:val="20"/>
                <w:szCs w:val="20"/>
              </w:rPr>
              <w:t>Introduction to the Research (maximum 300 words per section)</w:t>
            </w:r>
          </w:p>
          <w:p>
            <w:pPr>
              <w:spacing w:before="120" w:after="120"/>
              <w:rPr>
                <w:rFonts w:hint="default" w:ascii="Times New Roman" w:hAnsi="Times New Roman" w:cs="Times New Roman"/>
                <w:b/>
                <w:sz w:val="20"/>
                <w:szCs w:val="20"/>
              </w:rPr>
            </w:pPr>
            <w:r>
              <w:rPr>
                <w:rFonts w:hint="default" w:ascii="Times New Roman" w:hAnsi="Times New Roman" w:cs="Times New Roman"/>
                <w:b/>
                <w:sz w:val="20"/>
                <w:szCs w:val="20"/>
              </w:rPr>
              <w:t xml:space="preserve">Ensure that you write for a </w:t>
            </w:r>
            <w:r>
              <w:rPr>
                <w:rFonts w:hint="default" w:ascii="Times New Roman" w:hAnsi="Times New Roman" w:cs="Times New Roman"/>
                <w:b/>
                <w:sz w:val="20"/>
                <w:szCs w:val="20"/>
                <w:u w:val="single"/>
              </w:rPr>
              <w:t>Non-Specialist Audience</w:t>
            </w:r>
            <w:r>
              <w:rPr>
                <w:rFonts w:hint="default" w:ascii="Times New Roman" w:hAnsi="Times New Roman" w:cs="Times New Roman"/>
                <w:b/>
                <w:sz w:val="20"/>
                <w:szCs w:val="20"/>
              </w:rPr>
              <w:t xml:space="preserve"> when outlining your response to the points below:</w:t>
            </w:r>
          </w:p>
          <w:p>
            <w:pPr>
              <w:pStyle w:val="30"/>
              <w:numPr>
                <w:ilvl w:val="0"/>
                <w:numId w:val="13"/>
              </w:numPr>
              <w:ind w:left="0"/>
              <w:contextualSpacing w:val="0"/>
              <w:rPr>
                <w:rFonts w:hint="default" w:ascii="Times New Roman" w:hAnsi="Times New Roman" w:cs="Times New Roman"/>
                <w:i/>
                <w:sz w:val="20"/>
                <w:szCs w:val="20"/>
              </w:rPr>
            </w:pPr>
            <w:r>
              <w:rPr>
                <w:rFonts w:hint="default" w:ascii="Times New Roman" w:hAnsi="Times New Roman" w:cs="Times New Roman"/>
                <w:i/>
                <w:sz w:val="20"/>
                <w:szCs w:val="20"/>
              </w:rPr>
              <w:t>Purpose of Research Activity</w:t>
            </w:r>
          </w:p>
          <w:p>
            <w:pPr>
              <w:pStyle w:val="30"/>
              <w:numPr>
                <w:ilvl w:val="0"/>
                <w:numId w:val="13"/>
              </w:numPr>
              <w:ind w:left="0"/>
              <w:contextualSpacing w:val="0"/>
              <w:rPr>
                <w:rFonts w:hint="default" w:ascii="Times New Roman" w:hAnsi="Times New Roman" w:cs="Times New Roman"/>
                <w:i/>
                <w:sz w:val="20"/>
                <w:szCs w:val="20"/>
              </w:rPr>
            </w:pPr>
            <w:r>
              <w:rPr>
                <w:rFonts w:hint="default" w:ascii="Times New Roman" w:hAnsi="Times New Roman" w:cs="Times New Roman"/>
                <w:i/>
                <w:sz w:val="20"/>
                <w:szCs w:val="20"/>
              </w:rPr>
              <w:t>Proposed Research Question</w:t>
            </w:r>
          </w:p>
          <w:p>
            <w:pPr>
              <w:pStyle w:val="30"/>
              <w:numPr>
                <w:ilvl w:val="0"/>
                <w:numId w:val="13"/>
              </w:numPr>
              <w:ind w:left="0"/>
              <w:contextualSpacing w:val="0"/>
              <w:rPr>
                <w:rFonts w:hint="default" w:ascii="Times New Roman" w:hAnsi="Times New Roman" w:cs="Times New Roman"/>
                <w:i/>
                <w:sz w:val="20"/>
                <w:szCs w:val="20"/>
              </w:rPr>
            </w:pPr>
            <w:r>
              <w:rPr>
                <w:rFonts w:hint="default" w:ascii="Times New Roman" w:hAnsi="Times New Roman" w:cs="Times New Roman"/>
                <w:i/>
                <w:sz w:val="20"/>
                <w:szCs w:val="20"/>
              </w:rPr>
              <w:t>Aims of Research Activity</w:t>
            </w:r>
          </w:p>
          <w:p>
            <w:pPr>
              <w:pStyle w:val="30"/>
              <w:numPr>
                <w:ilvl w:val="0"/>
                <w:numId w:val="13"/>
              </w:numPr>
              <w:spacing w:after="240"/>
              <w:ind w:left="0" w:hanging="357"/>
              <w:contextualSpacing w:val="0"/>
              <w:rPr>
                <w:rFonts w:hint="default" w:ascii="Times New Roman" w:hAnsi="Times New Roman" w:cs="Times New Roman"/>
                <w:i/>
                <w:sz w:val="20"/>
                <w:szCs w:val="20"/>
              </w:rPr>
            </w:pPr>
            <w:r>
              <w:rPr>
                <w:rFonts w:hint="default" w:ascii="Times New Roman" w:hAnsi="Times New Roman" w:cs="Times New Roman"/>
                <w:i/>
                <w:sz w:val="20"/>
                <w:szCs w:val="20"/>
              </w:rPr>
              <w:t>Objectives of Research Activity</w:t>
            </w:r>
          </w:p>
          <w:p>
            <w:pPr>
              <w:spacing w:after="120"/>
              <w:rPr>
                <w:rFonts w:hint="default" w:ascii="Times New Roman" w:hAnsi="Times New Roman" w:cs="Times New Roman"/>
                <w:sz w:val="20"/>
                <w:szCs w:val="20"/>
              </w:rPr>
            </w:pPr>
            <w:r>
              <w:rPr>
                <w:rFonts w:hint="default" w:ascii="Times New Roman" w:hAnsi="Times New Roman" w:cs="Times New Roman"/>
                <w:sz w:val="20"/>
                <w:szCs w:val="20"/>
              </w:rPr>
              <w:t xml:space="preserve">Demonstrate, briefly, how </w:t>
            </w:r>
            <w:r>
              <w:rPr>
                <w:rFonts w:hint="default" w:ascii="Times New Roman" w:hAnsi="Times New Roman" w:cs="Times New Roman"/>
                <w:b/>
                <w:sz w:val="20"/>
                <w:szCs w:val="20"/>
                <w:u w:val="single"/>
              </w:rPr>
              <w:t>Existing Research</w:t>
            </w:r>
            <w:r>
              <w:rPr>
                <w:rFonts w:hint="default" w:ascii="Times New Roman" w:hAnsi="Times New Roman" w:cs="Times New Roman"/>
                <w:sz w:val="20"/>
                <w:szCs w:val="20"/>
              </w:rPr>
              <w:t xml:space="preserve"> has informed the proposed activity and explain</w:t>
            </w:r>
          </w:p>
          <w:p>
            <w:pPr>
              <w:pStyle w:val="30"/>
              <w:numPr>
                <w:ilvl w:val="0"/>
                <w:numId w:val="13"/>
              </w:numPr>
              <w:ind w:left="0"/>
              <w:contextualSpacing w:val="0"/>
              <w:rPr>
                <w:rFonts w:hint="default" w:ascii="Times New Roman" w:hAnsi="Times New Roman" w:cs="Times New Roman"/>
                <w:i/>
                <w:sz w:val="20"/>
                <w:szCs w:val="20"/>
              </w:rPr>
            </w:pPr>
            <w:r>
              <w:rPr>
                <w:rFonts w:hint="default" w:ascii="Times New Roman" w:hAnsi="Times New Roman" w:cs="Times New Roman"/>
                <w:i/>
                <w:sz w:val="20"/>
                <w:szCs w:val="20"/>
              </w:rPr>
              <w:t xml:space="preserve">What the research activity will add to the body of knowledge </w:t>
            </w:r>
          </w:p>
          <w:p>
            <w:pPr>
              <w:pStyle w:val="30"/>
              <w:numPr>
                <w:ilvl w:val="0"/>
                <w:numId w:val="13"/>
              </w:numPr>
              <w:ind w:left="0"/>
              <w:contextualSpacing w:val="0"/>
              <w:rPr>
                <w:rFonts w:hint="default" w:ascii="Times New Roman" w:hAnsi="Times New Roman" w:cs="Times New Roman"/>
                <w:sz w:val="20"/>
                <w:szCs w:val="20"/>
              </w:rPr>
            </w:pPr>
            <w:r>
              <w:rPr>
                <w:rFonts w:hint="default" w:ascii="Times New Roman" w:hAnsi="Times New Roman" w:cs="Times New Roman"/>
                <w:i/>
                <w:sz w:val="20"/>
                <w:szCs w:val="20"/>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02" w:type="pct"/>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3</w:t>
            </w:r>
          </w:p>
        </w:tc>
        <w:tc>
          <w:tcPr>
            <w:tcW w:w="4797" w:type="pct"/>
            <w:gridSpan w:val="4"/>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
                <w:bCs/>
                <w:sz w:val="20"/>
                <w:szCs w:val="20"/>
              </w:rPr>
              <w:t>Purpose of Research Activity</w:t>
            </w:r>
          </w:p>
          <w:p>
            <w:pPr>
              <w:rPr>
                <w:rFonts w:hint="default" w:ascii="Times New Roman" w:hAnsi="Times New Roman" w:cs="Times New Roman"/>
                <w:sz w:val="20"/>
                <w:szCs w:val="20"/>
              </w:rPr>
            </w:pPr>
            <w:r>
              <w:rPr>
                <w:rFonts w:hint="default" w:ascii="Times New Roman" w:hAnsi="Times New Roman" w:cs="Times New Roman"/>
                <w:sz w:val="20"/>
                <w:szCs w:val="20"/>
              </w:rPr>
              <w:t>The purpose of the research is to explore gender differences in leadership style in the manufacturing industry in the United Kingdom. By examining gender-related variations in leadership style, the research attempts to determine potential factors, challenges, biases, and opportunities for improving gender equality and inclusivity in leadership roles.</w:t>
            </w:r>
          </w:p>
          <w:p>
            <w:pPr>
              <w:rPr>
                <w:rFonts w:hint="default" w:ascii="Times New Roman" w:hAnsi="Times New Roman" w:cs="Times New Roman"/>
                <w:sz w:val="20"/>
                <w:szCs w:val="20"/>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992" w:hRule="atLeast"/>
        </w:trPr>
        <w:tc>
          <w:tcPr>
            <w:tcW w:w="202" w:type="pct"/>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4</w:t>
            </w:r>
          </w:p>
        </w:tc>
        <w:tc>
          <w:tcPr>
            <w:tcW w:w="4797" w:type="pct"/>
            <w:gridSpan w:val="4"/>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
                <w:bCs/>
                <w:sz w:val="20"/>
                <w:szCs w:val="20"/>
              </w:rPr>
              <w:t>Research Question</w:t>
            </w:r>
          </w:p>
          <w:p>
            <w:pPr>
              <w:rPr>
                <w:rFonts w:hint="default" w:ascii="Times New Roman" w:hAnsi="Times New Roman" w:cs="Times New Roman"/>
                <w:sz w:val="20"/>
                <w:szCs w:val="20"/>
              </w:rPr>
            </w:pPr>
          </w:p>
          <w:p>
            <w:pPr>
              <w:numPr>
                <w:ilvl w:val="0"/>
                <w:numId w:val="14"/>
              </w:numPr>
              <w:ind w:left="360" w:leftChars="0"/>
              <w:rPr>
                <w:rFonts w:hint="default" w:ascii="Times New Roman" w:hAnsi="Times New Roman" w:cs="Times New Roman"/>
                <w:sz w:val="20"/>
                <w:szCs w:val="20"/>
              </w:rPr>
            </w:pPr>
            <w:r>
              <w:rPr>
                <w:rFonts w:hint="default" w:ascii="Times New Roman" w:hAnsi="Times New Roman" w:cs="Times New Roman"/>
                <w:sz w:val="20"/>
                <w:szCs w:val="20"/>
              </w:rPr>
              <w:t>What are the most common leadership styles demonstrated by leaders (based on gender) in the manufacturing industry in the UK?</w:t>
            </w:r>
          </w:p>
          <w:p>
            <w:pPr>
              <w:numPr>
                <w:ilvl w:val="0"/>
                <w:numId w:val="14"/>
              </w:numPr>
              <w:ind w:left="360" w:leftChars="0" w:firstLine="0" w:firstLineChars="0"/>
              <w:rPr>
                <w:rFonts w:hint="default" w:ascii="Times New Roman" w:hAnsi="Times New Roman" w:cs="Times New Roman"/>
                <w:sz w:val="20"/>
                <w:szCs w:val="20"/>
              </w:rPr>
            </w:pPr>
            <w:r>
              <w:rPr>
                <w:rFonts w:hint="default" w:ascii="Times New Roman" w:hAnsi="Times New Roman" w:cs="Times New Roman"/>
                <w:sz w:val="20"/>
                <w:szCs w:val="20"/>
              </w:rPr>
              <w:t>How various factors such as personal traits, organisational culture, and career experiences, influence the adoption of specific leadership styles among leaders in the manufacturing sector?</w:t>
            </w:r>
          </w:p>
          <w:p>
            <w:pPr>
              <w:numPr>
                <w:ilvl w:val="0"/>
                <w:numId w:val="14"/>
              </w:numPr>
              <w:ind w:left="360" w:leftChars="0" w:firstLine="0" w:firstLineChars="0"/>
              <w:rPr>
                <w:rFonts w:hint="default" w:ascii="Times New Roman" w:hAnsi="Times New Roman" w:cs="Times New Roman"/>
                <w:sz w:val="20"/>
                <w:szCs w:val="20"/>
              </w:rPr>
            </w:pPr>
            <w:r>
              <w:rPr>
                <w:rFonts w:hint="default" w:ascii="Times New Roman" w:hAnsi="Times New Roman" w:cs="Times New Roman"/>
                <w:sz w:val="20"/>
                <w:szCs w:val="20"/>
              </w:rPr>
              <w:t>What gender-related challenges faced by leaders in the manufacturing sector, and why do these challenges affect their leadership style and decision-making?</w:t>
            </w:r>
          </w:p>
          <w:p>
            <w:pPr>
              <w:numPr>
                <w:ilvl w:val="0"/>
                <w:numId w:val="14"/>
              </w:numPr>
              <w:ind w:left="360" w:leftChars="0" w:firstLine="0" w:firstLineChars="0"/>
              <w:rPr>
                <w:rFonts w:hint="default" w:ascii="Times New Roman" w:hAnsi="Times New Roman" w:cs="Times New Roman"/>
                <w:sz w:val="20"/>
                <w:szCs w:val="20"/>
              </w:rPr>
            </w:pPr>
            <w:r>
              <w:rPr>
                <w:rFonts w:hint="default" w:ascii="Times New Roman" w:hAnsi="Times New Roman" w:cs="Times New Roman"/>
                <w:sz w:val="20"/>
                <w:szCs w:val="20"/>
              </w:rPr>
              <w:t>How these challenges can be addressed?</w:t>
            </w:r>
          </w:p>
          <w:p>
            <w:pPr>
              <w:autoSpaceDE w:val="0"/>
              <w:autoSpaceDN w:val="0"/>
              <w:adjustRightInd w:val="0"/>
              <w:rPr>
                <w:rFonts w:hint="default" w:ascii="Times New Roman" w:hAnsi="Times New Roman" w:cs="Times New Roman"/>
                <w:b/>
                <w:bCs/>
                <w:sz w:val="20"/>
                <w:szCs w:val="20"/>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2918" w:hRule="atLeast"/>
        </w:trPr>
        <w:tc>
          <w:tcPr>
            <w:tcW w:w="202" w:type="pct"/>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5</w:t>
            </w:r>
          </w:p>
        </w:tc>
        <w:tc>
          <w:tcPr>
            <w:tcW w:w="4797" w:type="pct"/>
            <w:gridSpan w:val="4"/>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
                <w:bCs/>
                <w:sz w:val="20"/>
                <w:szCs w:val="20"/>
              </w:rPr>
              <w:t>Aims of Research Activity</w:t>
            </w:r>
          </w:p>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The research aims is to understand the impact gender differences have on leadership style selection in manufacturing in the UK.</w:t>
            </w: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color w:val="808080"/>
                <w:sz w:val="20"/>
                <w:szCs w:val="20"/>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1215" w:hRule="atLeast"/>
        </w:trPr>
        <w:tc>
          <w:tcPr>
            <w:tcW w:w="202" w:type="pct"/>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6</w:t>
            </w:r>
          </w:p>
        </w:tc>
        <w:tc>
          <w:tcPr>
            <w:tcW w:w="4797" w:type="pct"/>
            <w:gridSpan w:val="4"/>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
                <w:bCs/>
                <w:sz w:val="20"/>
                <w:szCs w:val="20"/>
              </w:rPr>
              <w:t>Objectives of Research Activity</w:t>
            </w:r>
          </w:p>
          <w:p>
            <w:pPr>
              <w:numPr>
                <w:ilvl w:val="0"/>
                <w:numId w:val="15"/>
              </w:numPr>
              <w:ind w:left="360" w:leftChars="0"/>
              <w:rPr>
                <w:rFonts w:hint="default" w:ascii="Times New Roman" w:hAnsi="Times New Roman" w:cs="Times New Roman"/>
                <w:sz w:val="20"/>
                <w:szCs w:val="20"/>
              </w:rPr>
            </w:pPr>
            <w:r>
              <w:rPr>
                <w:rFonts w:hint="default" w:ascii="Times New Roman" w:hAnsi="Times New Roman" w:cs="Times New Roman"/>
                <w:sz w:val="20"/>
                <w:szCs w:val="20"/>
              </w:rPr>
              <w:t>To conduct a literature review on gender differences in leadership style in manufacturing in the UK</w:t>
            </w:r>
            <w:r>
              <w:rPr>
                <w:rFonts w:hint="default" w:ascii="Times New Roman" w:hAnsi="Times New Roman" w:cs="Times New Roman"/>
                <w:sz w:val="20"/>
                <w:szCs w:val="20"/>
                <w:lang w:val="en-GB"/>
              </w:rPr>
              <w:t xml:space="preserve"> </w:t>
            </w:r>
          </w:p>
          <w:p>
            <w:pPr>
              <w:numPr>
                <w:ilvl w:val="0"/>
                <w:numId w:val="15"/>
              </w:numPr>
              <w:ind w:left="360" w:leftChars="0"/>
              <w:rPr>
                <w:rFonts w:hint="default" w:ascii="Times New Roman" w:hAnsi="Times New Roman" w:cs="Times New Roman"/>
                <w:sz w:val="20"/>
                <w:szCs w:val="20"/>
              </w:rPr>
            </w:pPr>
            <w:r>
              <w:rPr>
                <w:rFonts w:hint="default" w:ascii="Times New Roman" w:hAnsi="Times New Roman" w:cs="Times New Roman"/>
                <w:sz w:val="20"/>
                <w:szCs w:val="20"/>
              </w:rPr>
              <w:t>To compare and analyse gender differences in leadership approaches.</w:t>
            </w:r>
          </w:p>
          <w:p>
            <w:pPr>
              <w:numPr>
                <w:ilvl w:val="0"/>
                <w:numId w:val="15"/>
              </w:numPr>
              <w:ind w:left="360" w:leftChars="0" w:firstLine="0" w:firstLineChars="0"/>
              <w:rPr>
                <w:rFonts w:hint="default" w:ascii="Times New Roman" w:hAnsi="Times New Roman" w:cs="Times New Roman"/>
                <w:sz w:val="20"/>
                <w:szCs w:val="20"/>
              </w:rPr>
            </w:pPr>
            <w:r>
              <w:rPr>
                <w:rFonts w:hint="default" w:ascii="Times New Roman" w:hAnsi="Times New Roman" w:cs="Times New Roman"/>
                <w:sz w:val="20"/>
                <w:szCs w:val="20"/>
              </w:rPr>
              <w:t>To explore the factors influencing the adoption of specific leadership styles in the manufacturing sector.</w:t>
            </w:r>
          </w:p>
          <w:p>
            <w:pPr>
              <w:numPr>
                <w:ilvl w:val="0"/>
                <w:numId w:val="0"/>
              </w:numPr>
              <w:ind w:left="360" w:leftChars="0"/>
              <w:rPr>
                <w:rFonts w:hint="default" w:ascii="Times New Roman" w:hAnsi="Times New Roman" w:cs="Times New Roman"/>
                <w:sz w:val="20"/>
                <w:szCs w:val="20"/>
              </w:rPr>
            </w:pPr>
            <w:r>
              <w:rPr>
                <w:rFonts w:hint="default" w:ascii="Times New Roman" w:hAnsi="Times New Roman" w:cs="Times New Roman"/>
                <w:sz w:val="20"/>
                <w:szCs w:val="20"/>
                <w:lang w:val="en-GB"/>
              </w:rPr>
              <w:t>d.</w:t>
            </w:r>
            <w:r>
              <w:rPr>
                <w:rFonts w:hint="default" w:ascii="Times New Roman" w:hAnsi="Times New Roman" w:cs="Times New Roman"/>
                <w:sz w:val="20"/>
                <w:szCs w:val="20"/>
              </w:rPr>
              <w:t xml:space="preserve">To examine the perceptions of employees regarding the effectiveness leaders based on gender. </w:t>
            </w:r>
          </w:p>
          <w:p>
            <w:pPr>
              <w:numPr>
                <w:ilvl w:val="0"/>
                <w:numId w:val="0"/>
              </w:numPr>
              <w:ind w:left="360" w:leftChars="0"/>
              <w:rPr>
                <w:rFonts w:hint="default" w:ascii="Times New Roman" w:hAnsi="Times New Roman" w:cs="Times New Roman"/>
                <w:sz w:val="20"/>
                <w:szCs w:val="20"/>
              </w:rPr>
            </w:pPr>
            <w:r>
              <w:rPr>
                <w:rFonts w:hint="default" w:ascii="Times New Roman" w:hAnsi="Times New Roman" w:cs="Times New Roman"/>
                <w:sz w:val="20"/>
                <w:szCs w:val="20"/>
                <w:lang w:val="en-GB"/>
              </w:rPr>
              <w:t>e.</w:t>
            </w:r>
            <w:r>
              <w:rPr>
                <w:rFonts w:hint="default" w:ascii="Times New Roman" w:hAnsi="Times New Roman" w:cs="Times New Roman"/>
                <w:sz w:val="20"/>
                <w:szCs w:val="20"/>
              </w:rPr>
              <w:t>To make recommendations on improving efficiency of leadership and gender equality in the manufacturing industry in the UK.</w:t>
            </w: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color w:val="808080"/>
                <w:sz w:val="20"/>
                <w:szCs w:val="20"/>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02" w:type="pct"/>
            <w:shd w:val="clear" w:color="auto" w:fill="F1F1F1" w:themeFill="background1" w:themeFillShade="F2"/>
            <w:vAlign w:val="center"/>
          </w:tcPr>
          <w:p>
            <w:pPr>
              <w:spacing w:before="120" w:after="120"/>
              <w:rPr>
                <w:rFonts w:hint="default" w:ascii="Times New Roman" w:hAnsi="Times New Roman" w:cs="Times New Roman"/>
                <w:sz w:val="20"/>
                <w:szCs w:val="20"/>
              </w:rPr>
            </w:pPr>
          </w:p>
        </w:tc>
        <w:tc>
          <w:tcPr>
            <w:tcW w:w="4797" w:type="pct"/>
            <w:gridSpan w:val="4"/>
            <w:shd w:val="clear" w:color="auto" w:fill="F1F1F1" w:themeFill="background1" w:themeFillShade="F2"/>
            <w:vAlign w:val="center"/>
          </w:tcPr>
          <w:p>
            <w:pPr>
              <w:spacing w:before="120" w:after="120"/>
              <w:rPr>
                <w:rFonts w:hint="default" w:ascii="Times New Roman" w:hAnsi="Times New Roman" w:cs="Times New Roman"/>
                <w:b/>
                <w:sz w:val="20"/>
                <w:szCs w:val="20"/>
              </w:rPr>
            </w:pPr>
            <w:r>
              <w:rPr>
                <w:rFonts w:hint="default" w:ascii="Times New Roman" w:hAnsi="Times New Roman" w:cs="Times New Roman"/>
                <w:b/>
                <w:sz w:val="20"/>
                <w:szCs w:val="20"/>
              </w:rPr>
              <w:t>Proposed methods (maximum 600 words)</w:t>
            </w:r>
          </w:p>
          <w:p>
            <w:pPr>
              <w:rPr>
                <w:rFonts w:hint="default" w:ascii="Times New Roman" w:hAnsi="Times New Roman" w:cs="Times New Roman"/>
                <w:sz w:val="20"/>
                <w:szCs w:val="20"/>
              </w:rPr>
            </w:pPr>
            <w:r>
              <w:rPr>
                <w:rFonts w:hint="default" w:ascii="Times New Roman" w:hAnsi="Times New Roman" w:cs="Times New Roman"/>
                <w:sz w:val="20"/>
                <w:szCs w:val="20"/>
              </w:rPr>
              <w:t xml:space="preserve">Provide a brief summary of all the methods that </w:t>
            </w:r>
            <w:r>
              <w:rPr>
                <w:rFonts w:hint="default" w:ascii="Times New Roman" w:hAnsi="Times New Roman" w:cs="Times New Roman"/>
                <w:b/>
                <w:sz w:val="20"/>
                <w:szCs w:val="20"/>
              </w:rPr>
              <w:t>may</w:t>
            </w:r>
            <w:r>
              <w:rPr>
                <w:rFonts w:hint="default" w:ascii="Times New Roman" w:hAnsi="Times New Roman" w:cs="Times New Roman"/>
                <w:sz w:val="20"/>
                <w:szCs w:val="2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02" w:type="pct"/>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7</w:t>
            </w:r>
          </w:p>
        </w:tc>
        <w:tc>
          <w:tcPr>
            <w:tcW w:w="4797" w:type="pct"/>
            <w:gridSpan w:val="4"/>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The study employs a qualitative research methodology to delve into the intricate nuances of how gender differences impact the selection of leadership styles within the context of the UK manufacturing sector. Recognising the need to explore the complexities, factors, and challenges involved, this research is grounded in interpretivism with elements of feminist philosophy, embracing the idea that social and gender constructs play a pivotal role in shaping leadership styles and decisions.</w:t>
            </w:r>
          </w:p>
          <w:p>
            <w:pPr>
              <w:rPr>
                <w:rFonts w:hint="default" w:ascii="Times New Roman" w:hAnsi="Times New Roman" w:cs="Times New Roman"/>
                <w:b/>
                <w:sz w:val="20"/>
                <w:szCs w:val="20"/>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871" w:hRule="atLeast"/>
        </w:trPr>
        <w:tc>
          <w:tcPr>
            <w:tcW w:w="202" w:type="pct"/>
            <w:shd w:val="clear" w:color="auto" w:fill="F1F1F1" w:themeFill="background1" w:themeFillShade="F2"/>
            <w:vAlign w:val="center"/>
          </w:tcPr>
          <w:p>
            <w:pPr>
              <w:spacing w:before="120"/>
              <w:rPr>
                <w:rFonts w:hint="default" w:ascii="Times New Roman" w:hAnsi="Times New Roman" w:cs="Times New Roman"/>
                <w:bCs/>
                <w:sz w:val="20"/>
                <w:szCs w:val="20"/>
              </w:rPr>
            </w:pPr>
            <w:r>
              <w:rPr>
                <w:rFonts w:hint="default" w:ascii="Times New Roman" w:hAnsi="Times New Roman" w:cs="Times New Roman"/>
                <w:sz w:val="20"/>
                <w:szCs w:val="20"/>
              </w:rPr>
              <w:br w:type="page"/>
            </w:r>
          </w:p>
        </w:tc>
        <w:tc>
          <w:tcPr>
            <w:tcW w:w="4797" w:type="pct"/>
            <w:gridSpan w:val="4"/>
            <w:shd w:val="clear" w:color="auto" w:fill="F1F1F1" w:themeFill="background1" w:themeFillShade="F2"/>
            <w:vAlign w:val="center"/>
          </w:tcPr>
          <w:p>
            <w:pPr>
              <w:spacing w:before="120"/>
              <w:rPr>
                <w:rFonts w:hint="default" w:ascii="Times New Roman" w:hAnsi="Times New Roman" w:cs="Times New Roman"/>
                <w:b/>
                <w:sz w:val="20"/>
                <w:szCs w:val="20"/>
              </w:rPr>
            </w:pPr>
            <w:r>
              <w:rPr>
                <w:rFonts w:hint="default" w:ascii="Times New Roman" w:hAnsi="Times New Roman" w:cs="Times New Roman"/>
                <w:b/>
                <w:sz w:val="20"/>
                <w:szCs w:val="20"/>
              </w:rPr>
              <w:t>Location of research activity</w:t>
            </w:r>
          </w:p>
          <w:p>
            <w:pPr>
              <w:rPr>
                <w:rFonts w:hint="default" w:ascii="Times New Roman" w:hAnsi="Times New Roman" w:cs="Times New Roman"/>
                <w:sz w:val="20"/>
                <w:szCs w:val="20"/>
              </w:rPr>
            </w:pPr>
            <w:r>
              <w:rPr>
                <w:rFonts w:hint="default" w:ascii="Times New Roman" w:hAnsi="Times New Roman" w:cs="Times New Roman"/>
                <w:sz w:val="20"/>
                <w:szCs w:val="20"/>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02" w:type="pct"/>
            <w:vAlign w:val="center"/>
          </w:tcPr>
          <w:p>
            <w:pPr>
              <w:rPr>
                <w:rFonts w:hint="default" w:ascii="Times New Roman" w:hAnsi="Times New Roman" w:cs="Times New Roman"/>
                <w:bCs/>
                <w:sz w:val="20"/>
                <w:szCs w:val="20"/>
              </w:rPr>
            </w:pPr>
            <w:r>
              <w:rPr>
                <w:rFonts w:hint="default" w:ascii="Times New Roman" w:hAnsi="Times New Roman" w:cs="Times New Roman"/>
                <w:bCs/>
                <w:sz w:val="20"/>
                <w:szCs w:val="20"/>
              </w:rPr>
              <w:t>8</w:t>
            </w:r>
          </w:p>
        </w:tc>
        <w:tc>
          <w:tcPr>
            <w:tcW w:w="4797" w:type="pct"/>
            <w:gridSpan w:val="4"/>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 xml:space="preserve">The research activity takes place in the </w:t>
            </w:r>
            <w:r>
              <w:rPr>
                <w:rFonts w:hint="default" w:ascii="Times New Roman" w:hAnsi="Times New Roman" w:cs="Times New Roman"/>
                <w:sz w:val="20"/>
                <w:szCs w:val="20"/>
                <w:lang w:val="en-GB"/>
              </w:rPr>
              <w:t xml:space="preserve">Sleepeezee Company Strood Kent </w:t>
            </w:r>
            <w:r>
              <w:rPr>
                <w:rFonts w:hint="default" w:ascii="Times New Roman" w:hAnsi="Times New Roman" w:cs="Times New Roman"/>
                <w:sz w:val="20"/>
                <w:szCs w:val="20"/>
              </w:rPr>
              <w:t xml:space="preserve">United Kingdom. </w:t>
            </w:r>
          </w:p>
          <w:p>
            <w:pPr>
              <w:rPr>
                <w:rFonts w:hint="default" w:ascii="Times New Roman" w:hAnsi="Times New Roman" w:cs="Times New Roman"/>
                <w:b/>
                <w:sz w:val="20"/>
                <w:szCs w:val="20"/>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3172" w:hRule="atLeast"/>
        </w:trPr>
        <w:tc>
          <w:tcPr>
            <w:tcW w:w="202" w:type="pct"/>
            <w:shd w:val="clear" w:color="auto" w:fill="F1F1F1" w:themeFill="background1" w:themeFillShade="F2"/>
            <w:vAlign w:val="center"/>
          </w:tcPr>
          <w:p>
            <w:pPr>
              <w:spacing w:before="120"/>
              <w:rPr>
                <w:rFonts w:hint="default" w:ascii="Times New Roman" w:hAnsi="Times New Roman" w:cs="Times New Roman"/>
                <w:bCs/>
                <w:sz w:val="20"/>
                <w:szCs w:val="20"/>
              </w:rPr>
            </w:pPr>
          </w:p>
        </w:tc>
        <w:tc>
          <w:tcPr>
            <w:tcW w:w="4797" w:type="pct"/>
            <w:gridSpan w:val="4"/>
            <w:shd w:val="clear" w:color="auto" w:fill="F1F1F1" w:themeFill="background1" w:themeFillShade="F2"/>
            <w:vAlign w:val="center"/>
          </w:tcPr>
          <w:p>
            <w:pPr>
              <w:spacing w:before="120"/>
              <w:rPr>
                <w:rFonts w:hint="default" w:ascii="Times New Roman" w:hAnsi="Times New Roman" w:cs="Times New Roman"/>
                <w:b/>
                <w:sz w:val="20"/>
                <w:szCs w:val="20"/>
              </w:rPr>
            </w:pPr>
            <w:r>
              <w:rPr>
                <w:rFonts w:hint="default" w:ascii="Times New Roman" w:hAnsi="Times New Roman" w:cs="Times New Roman"/>
                <w:b/>
                <w:sz w:val="20"/>
                <w:szCs w:val="20"/>
              </w:rPr>
              <w:t>Research activity outside of the UK</w:t>
            </w: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724" w:hRule="atLeast"/>
        </w:trPr>
        <w:tc>
          <w:tcPr>
            <w:tcW w:w="202" w:type="pct"/>
            <w:vAlign w:val="center"/>
          </w:tcPr>
          <w:p>
            <w:pPr>
              <w:rPr>
                <w:rFonts w:hint="default" w:ascii="Times New Roman" w:hAnsi="Times New Roman" w:cs="Times New Roman"/>
                <w:bCs/>
                <w:sz w:val="20"/>
                <w:szCs w:val="20"/>
              </w:rPr>
            </w:pPr>
            <w:r>
              <w:rPr>
                <w:rFonts w:hint="default" w:ascii="Times New Roman" w:hAnsi="Times New Roman" w:cs="Times New Roman"/>
                <w:bCs/>
                <w:sz w:val="20"/>
                <w:szCs w:val="20"/>
              </w:rPr>
              <w:t>9</w:t>
            </w:r>
          </w:p>
        </w:tc>
        <w:tc>
          <w:tcPr>
            <w:tcW w:w="4797" w:type="pct"/>
            <w:gridSpan w:val="4"/>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There aren’t any additional specific ethical issues. I live in the country where I will conduct the research.</w:t>
            </w:r>
          </w:p>
          <w:p>
            <w:pPr>
              <w:rPr>
                <w:rFonts w:hint="default" w:ascii="Times New Roman" w:hAnsi="Times New Roman" w:cs="Times New Roman"/>
                <w:b/>
                <w:i/>
                <w:sz w:val="20"/>
                <w:szCs w:val="20"/>
              </w:rPr>
            </w:pPr>
          </w:p>
        </w:tc>
      </w:tr>
    </w:tbl>
    <w:p>
      <w:pPr>
        <w:rPr>
          <w:rFonts w:hint="default" w:ascii="Times New Roman" w:hAnsi="Times New Roman" w:cs="Times New Roman"/>
          <w:sz w:val="20"/>
          <w:szCs w:val="20"/>
        </w:rPr>
      </w:pPr>
    </w:p>
    <w:tbl>
      <w:tblPr>
        <w:tblStyle w:val="14"/>
        <w:tblW w:w="11660" w:type="dxa"/>
        <w:tblInd w:w="-117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3"/>
        <w:gridCol w:w="8615"/>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493" w:type="dxa"/>
            <w:vMerge w:val="restart"/>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10</w:t>
            </w:r>
          </w:p>
        </w:tc>
        <w:tc>
          <w:tcPr>
            <w:tcW w:w="8615" w:type="dxa"/>
            <w:vMerge w:val="restart"/>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 xml:space="preserve">Use of documentation not in the public domain: Are any documents </w:t>
            </w:r>
            <w:r>
              <w:rPr>
                <w:rFonts w:hint="default" w:ascii="Times New Roman" w:hAnsi="Times New Roman" w:cs="Times New Roman"/>
                <w:b/>
                <w:sz w:val="20"/>
                <w:szCs w:val="20"/>
                <w:u w:val="single"/>
              </w:rPr>
              <w:t>NOT</w:t>
            </w:r>
            <w:r>
              <w:rPr>
                <w:rFonts w:hint="default" w:ascii="Times New Roman" w:hAnsi="Times New Roman" w:cs="Times New Roman"/>
                <w:sz w:val="20"/>
                <w:szCs w:val="20"/>
              </w:rPr>
              <w:t xml:space="preserve"> publicly available? </w:t>
            </w:r>
          </w:p>
          <w:p>
            <w:pPr>
              <w:autoSpaceDE w:val="0"/>
              <w:autoSpaceDN w:val="0"/>
              <w:adjustRightInd w:val="0"/>
              <w:rPr>
                <w:rFonts w:hint="default" w:ascii="Times New Roman" w:hAnsi="Times New Roman" w:cs="Times New Roman"/>
                <w:bCs/>
                <w:sz w:val="20"/>
                <w:szCs w:val="20"/>
              </w:rPr>
            </w:pPr>
          </w:p>
        </w:tc>
        <w:tc>
          <w:tcPr>
            <w:tcW w:w="127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NO</w:t>
            </w:r>
          </w:p>
        </w:tc>
        <w:tc>
          <w:tcPr>
            <w:tcW w:w="1276" w:type="dxa"/>
            <w:shd w:val="clear" w:color="auto" w:fill="D8D8D8" w:themeFill="background1" w:themeFillShade="D9"/>
            <w:vAlign w:val="center"/>
          </w:tcPr>
          <w:sdt>
            <w:sdtPr>
              <w:rPr>
                <w:rFonts w:hint="default" w:ascii="Times New Roman" w:hAnsi="Times New Roman" w:cs="Times New Roman"/>
                <w:bCs/>
                <w:sz w:val="20"/>
                <w:szCs w:val="20"/>
              </w:rPr>
              <w:id w:val="1420137672"/>
              <w14:checkbox>
                <w14:checked w14:val="1"/>
                <w14:checkedState w14:val="2612" w14:font="MS Gothic"/>
                <w14:uncheckedState w14:val="2610" w14:font="MS Gothic"/>
              </w14:checkbox>
            </w:sdtPr>
            <w:sdtEndPr>
              <w:rPr>
                <w:rFonts w:hint="default" w:ascii="Times New Roman" w:hAnsi="Times New Roman" w:cs="Times New Roman"/>
                <w:bCs/>
                <w:sz w:val="20"/>
                <w:szCs w:val="20"/>
              </w:rPr>
            </w:sdtEndPr>
            <w:sdtContent>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eastAsia="MS Gothic" w:cs="Times New Roman"/>
                    <w:bCs/>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493" w:type="dxa"/>
            <w:vMerge w:val="continue"/>
            <w:shd w:val="clear" w:color="auto" w:fill="F1F1F1" w:themeFill="background1" w:themeFillShade="F2"/>
            <w:vAlign w:val="center"/>
          </w:tcPr>
          <w:p>
            <w:pPr>
              <w:autoSpaceDE w:val="0"/>
              <w:autoSpaceDN w:val="0"/>
              <w:adjustRightInd w:val="0"/>
              <w:rPr>
                <w:rFonts w:hint="default" w:ascii="Times New Roman" w:hAnsi="Times New Roman" w:cs="Times New Roman"/>
                <w:bCs/>
                <w:sz w:val="20"/>
                <w:szCs w:val="20"/>
              </w:rPr>
            </w:pPr>
          </w:p>
        </w:tc>
        <w:tc>
          <w:tcPr>
            <w:tcW w:w="8615" w:type="dxa"/>
            <w:vMerge w:val="continue"/>
            <w:shd w:val="clear" w:color="auto" w:fill="F1F1F1" w:themeFill="background1" w:themeFillShade="F2"/>
          </w:tcPr>
          <w:p>
            <w:pPr>
              <w:autoSpaceDE w:val="0"/>
              <w:autoSpaceDN w:val="0"/>
              <w:adjustRightInd w:val="0"/>
              <w:rPr>
                <w:rFonts w:hint="default" w:ascii="Times New Roman" w:hAnsi="Times New Roman" w:cs="Times New Roman"/>
                <w:bCs/>
                <w:sz w:val="20"/>
                <w:szCs w:val="20"/>
              </w:rPr>
            </w:pPr>
          </w:p>
        </w:tc>
        <w:tc>
          <w:tcPr>
            <w:tcW w:w="127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YES</w:t>
            </w:r>
          </w:p>
        </w:tc>
        <w:tc>
          <w:tcPr>
            <w:tcW w:w="1276"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Cs/>
                <w:sz w:val="20"/>
                <w:szCs w:val="20"/>
              </w:rPr>
            </w:pPr>
            <w:sdt>
              <w:sdtPr>
                <w:rPr>
                  <w:rFonts w:hint="default" w:ascii="Times New Roman" w:hAnsi="Times New Roman" w:cs="Times New Roman"/>
                  <w:bCs/>
                  <w:sz w:val="20"/>
                  <w:szCs w:val="20"/>
                </w:rPr>
                <w:id w:val="1644230281"/>
                <w14:checkbox>
                  <w14:checked w14:val="0"/>
                  <w14:checkedState w14:val="2612" w14:font="MS Gothic"/>
                  <w14:uncheckedState w14:val="2610" w14:font="MS Gothic"/>
                </w14:checkbox>
              </w:sdtPr>
              <w:sdtEndPr>
                <w:rPr>
                  <w:rFonts w:hint="default" w:ascii="Times New Roman" w:hAnsi="Times New Roman" w:cs="Times New Roman"/>
                  <w:bCs/>
                  <w:sz w:val="20"/>
                  <w:szCs w:val="20"/>
                </w:rPr>
              </w:sdtEndPr>
              <w:sdtContent>
                <w:r>
                  <w:rPr>
                    <w:rFonts w:hint="default" w:ascii="Times New Roman" w:hAnsi="Times New Roman" w:eastAsia="MS Gothic" w:cs="Times New Roman"/>
                    <w:bCs/>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93" w:type="dxa"/>
            <w:shd w:val="clear" w:color="auto" w:fill="FFFFFF" w:themeFill="background1"/>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11</w:t>
            </w:r>
          </w:p>
        </w:tc>
        <w:tc>
          <w:tcPr>
            <w:tcW w:w="11167" w:type="dxa"/>
            <w:gridSpan w:val="3"/>
            <w:shd w:val="clear" w:color="auto" w:fill="FFFFFF" w:themeFill="background1"/>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i/>
                <w:sz w:val="20"/>
                <w:szCs w:val="20"/>
              </w:rPr>
              <w:t>(this box should expand as you type)</w:t>
            </w:r>
          </w:p>
        </w:tc>
      </w:tr>
    </w:tbl>
    <w:p>
      <w:pPr>
        <w:autoSpaceDE w:val="0"/>
        <w:autoSpaceDN w:val="0"/>
        <w:adjustRightInd w:val="0"/>
        <w:spacing w:after="240"/>
        <w:jc w:val="both"/>
        <w:rPr>
          <w:rFonts w:hint="default" w:ascii="Times New Roman" w:hAnsi="Times New Roman" w:cs="Times New Roman"/>
          <w:b/>
          <w:sz w:val="20"/>
          <w:szCs w:val="20"/>
        </w:rPr>
      </w:pPr>
    </w:p>
    <w:tbl>
      <w:tblPr>
        <w:tblStyle w:val="14"/>
        <w:tblW w:w="11626" w:type="dxa"/>
        <w:tblInd w:w="-117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6"/>
        <w:gridCol w:w="9488"/>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p>
        </w:tc>
        <w:tc>
          <w:tcPr>
            <w:tcW w:w="9488" w:type="dxa"/>
            <w:shd w:val="clear" w:color="auto" w:fill="F1F1F1" w:themeFill="background1" w:themeFillShade="F2"/>
          </w:tcPr>
          <w:p>
            <w:pPr>
              <w:autoSpaceDE w:val="0"/>
              <w:autoSpaceDN w:val="0"/>
              <w:adjustRightInd w:val="0"/>
              <w:jc w:val="both"/>
              <w:rPr>
                <w:rFonts w:hint="default" w:ascii="Times New Roman" w:hAnsi="Times New Roman" w:cs="Times New Roman"/>
                <w:b/>
                <w:sz w:val="20"/>
                <w:szCs w:val="20"/>
              </w:rPr>
            </w:pPr>
            <w:r>
              <w:rPr>
                <w:rFonts w:hint="default" w:ascii="Times New Roman" w:hAnsi="Times New Roman" w:cs="Times New Roman"/>
                <w:b/>
                <w:sz w:val="20"/>
                <w:szCs w:val="20"/>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82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12</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prosperous Wales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63209739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70845799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13</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resilient Wales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48088155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45659383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14</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healthier Wales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94010019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8672250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15</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more equal Wales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932964474"/>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58025328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16</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Wales of cohesive communities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6808542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96072152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17</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Wales of vibrant culture and thriving Welsh language</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82326797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41209576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18</w:t>
            </w:r>
          </w:p>
        </w:tc>
        <w:tc>
          <w:tcPr>
            <w:tcW w:w="94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 globally responsible Wales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46246281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5351375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19</w:t>
            </w:r>
          </w:p>
        </w:tc>
        <w:tc>
          <w:tcPr>
            <w:tcW w:w="11160"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bCs/>
                <w:sz w:val="20"/>
                <w:szCs w:val="20"/>
              </w:rPr>
            </w:pPr>
            <w:r>
              <w:rPr>
                <w:rFonts w:hint="default" w:ascii="Times New Roman" w:hAnsi="Times New Roman" w:cs="Times New Roman"/>
                <w:sz w:val="20"/>
                <w:szCs w:val="20"/>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6" w:type="dxa"/>
            <w:vAlign w:val="center"/>
          </w:tcPr>
          <w:p>
            <w:pPr>
              <w:autoSpaceDE w:val="0"/>
              <w:autoSpaceDN w:val="0"/>
              <w:adjustRightInd w:val="0"/>
              <w:jc w:val="center"/>
              <w:rPr>
                <w:rFonts w:hint="default" w:ascii="Times New Roman" w:hAnsi="Times New Roman" w:cs="Times New Roman"/>
                <w:sz w:val="20"/>
                <w:szCs w:val="20"/>
              </w:rPr>
            </w:pPr>
          </w:p>
        </w:tc>
        <w:tc>
          <w:tcPr>
            <w:tcW w:w="11160" w:type="dxa"/>
            <w:gridSpan w:val="3"/>
            <w:shd w:val="clear" w:color="auto" w:fill="auto"/>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This research aligns with the outlined aim in the Well-being of Future Generations (Wales) Act 2015. Specifically, it addresses the aim of creating a more equal Wales by exploring gender differences in leadership style within the manufacturing industry. By examining potential biases, challenges, and opportunities for improving gender equality in leadership roles, this research directly contributes to the goal of fostering greater inclusivity and fairness. Additionally, it indirectly supports the aim of prosperous Wales by advocating for diverse and inclusive leadership, which can enhance innovation and effectiveness within industries like manufacturing.</w:t>
            </w: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color w:val="808080"/>
                <w:sz w:val="20"/>
                <w:szCs w:val="20"/>
              </w:rPr>
              <w:t>(this box should expand as you type)</w:t>
            </w:r>
          </w:p>
        </w:tc>
      </w:tr>
    </w:tbl>
    <w:p>
      <w:pPr>
        <w:autoSpaceDE w:val="0"/>
        <w:autoSpaceDN w:val="0"/>
        <w:adjustRightInd w:val="0"/>
        <w:spacing w:after="240"/>
        <w:jc w:val="both"/>
        <w:rPr>
          <w:rFonts w:hint="default" w:ascii="Times New Roman" w:hAnsi="Times New Roman" w:cs="Times New Roman"/>
          <w:b/>
          <w:sz w:val="20"/>
          <w:szCs w:val="20"/>
        </w:rPr>
      </w:pPr>
    </w:p>
    <w:p>
      <w:pPr>
        <w:spacing w:after="240"/>
        <w:rPr>
          <w:rFonts w:hint="default" w:ascii="Times New Roman" w:hAnsi="Times New Roman" w:cs="Times New Roman"/>
          <w:b/>
          <w:sz w:val="20"/>
          <w:szCs w:val="20"/>
        </w:rPr>
      </w:pPr>
      <w:r>
        <w:rPr>
          <w:rFonts w:hint="default" w:ascii="Times New Roman" w:hAnsi="Times New Roman" w:cs="Times New Roman"/>
          <w:b/>
          <w:sz w:val="20"/>
          <w:szCs w:val="20"/>
        </w:rPr>
        <w:t>SECTION F: Scope of Research Activity</w:t>
      </w:r>
    </w:p>
    <w:tbl>
      <w:tblPr>
        <w:tblStyle w:val="14"/>
        <w:tblW w:w="11600" w:type="dxa"/>
        <w:tblInd w:w="-114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40"/>
        <w:gridCol w:w="9498"/>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b/>
                <w:sz w:val="20"/>
                <w:szCs w:val="20"/>
              </w:rPr>
            </w:pP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b/>
                <w:sz w:val="20"/>
                <w:szCs w:val="20"/>
              </w:rPr>
            </w:pPr>
            <w:r>
              <w:rPr>
                <w:rFonts w:hint="default" w:ascii="Times New Roman" w:hAnsi="Times New Roman" w:cs="Times New Roman"/>
                <w:b/>
                <w:sz w:val="20"/>
                <w:szCs w:val="20"/>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81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a questionnaire or similar research instrument?</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184373907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47414393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2</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interviews?</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800765487"/>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74992678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3</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focus groups?</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50704970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23836872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4</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 xml:space="preserve">Use of participant diaries? </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31946866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90048358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5</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video or audio recording?</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49472329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67229889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6</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computer-generated log files?</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28239488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33891743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7</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Participant observation with their knowledge?</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194259949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62628674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8</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Participant observation without their knowledge?</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38718734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580675213"/>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9</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Access to personal or confidential information without the participants’ specific consent?</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139712056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58704826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10</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72391151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65527024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11</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Performance of any acts which may cause embarrassment or affect self-esteem?</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199497716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211944280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12</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Investigation of participants involved in illegal activities?</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57035038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90475863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13</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procedures that involve deception?</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36271935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07470024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14</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Administration of any substance, agent or placebo?</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192479893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62462524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15</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Working with live vertebrate animals?</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30042863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236861983"/>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16</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Procedures that may have a negative impact on the environment?</w:t>
            </w:r>
          </w:p>
        </w:tc>
        <w:tc>
          <w:tcPr>
            <w:tcW w:w="846" w:type="dxa"/>
            <w:shd w:val="clear" w:color="auto" w:fill="BEBEBE" w:themeFill="background1" w:themeFillShade="BF"/>
            <w:vAlign w:val="center"/>
          </w:tcPr>
          <w:sdt>
            <w:sdtPr>
              <w:rPr>
                <w:rFonts w:hint="default" w:ascii="Times New Roman" w:hAnsi="Times New Roman" w:cs="Times New Roman"/>
                <w:sz w:val="20"/>
                <w:szCs w:val="20"/>
              </w:rPr>
              <w:id w:val="164724739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0"/>
                <w:szCs w:val="20"/>
              </w:rPr>
              <w:id w:val="-1995170133"/>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17</w:t>
            </w:r>
          </w:p>
        </w:tc>
        <w:tc>
          <w:tcPr>
            <w:tcW w:w="949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hint="default" w:ascii="Times New Roman" w:hAnsi="Times New Roman" w:cs="Times New Roman"/>
                <w:sz w:val="20"/>
                <w:szCs w:val="20"/>
              </w:rPr>
              <w:id w:val="204902366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16" w:type="dxa"/>
            <w:vMerge w:val="restart"/>
            <w:shd w:val="clear" w:color="auto" w:fill="BEBEBE" w:themeFill="background1" w:themeFillShade="BF"/>
            <w:vAlign w:val="center"/>
          </w:tcPr>
          <w:sdt>
            <w:sdtPr>
              <w:rPr>
                <w:rFonts w:hint="default" w:ascii="Times New Roman" w:hAnsi="Times New Roman" w:cs="Times New Roman"/>
                <w:sz w:val="20"/>
                <w:szCs w:val="20"/>
              </w:rPr>
              <w:id w:val="1900947946"/>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vAlign w:val="center"/>
          </w:tcPr>
          <w:p>
            <w:pPr>
              <w:autoSpaceDE w:val="0"/>
              <w:autoSpaceDN w:val="0"/>
              <w:adjustRightInd w:val="0"/>
              <w:rPr>
                <w:rFonts w:hint="default" w:ascii="Times New Roman" w:hAnsi="Times New Roman" w:cs="Times New Roman"/>
                <w:sz w:val="20"/>
                <w:szCs w:val="20"/>
              </w:rPr>
            </w:pPr>
          </w:p>
        </w:tc>
        <w:tc>
          <w:tcPr>
            <w:tcW w:w="9498" w:type="dxa"/>
            <w:shd w:val="clear" w:color="auto" w:fill="auto"/>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Details of any other primary data collection method:</w:t>
            </w: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0"/>
                <w:szCs w:val="20"/>
              </w:rPr>
            </w:pPr>
          </w:p>
        </w:tc>
        <w:tc>
          <w:tcPr>
            <w:tcW w:w="816"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0"/>
                <w:szCs w:val="20"/>
              </w:rPr>
            </w:pPr>
          </w:p>
        </w:tc>
      </w:tr>
    </w:tbl>
    <w:p>
      <w:pPr>
        <w:jc w:val="both"/>
        <w:rPr>
          <w:rFonts w:hint="default" w:ascii="Times New Roman" w:hAnsi="Times New Roman" w:cs="Times New Roman"/>
          <w:bCs/>
          <w:iCs/>
          <w:sz w:val="20"/>
          <w:szCs w:val="20"/>
        </w:rPr>
      </w:pPr>
      <w:r>
        <w:rPr>
          <w:rFonts w:hint="default" w:ascii="Times New Roman" w:hAnsi="Times New Roman" w:cs="Times New Roman"/>
          <w:bCs/>
          <w:iCs/>
          <w:sz w:val="20"/>
          <w:szCs w:val="20"/>
        </w:rPr>
        <w:t xml:space="preserve">If NO to every question, then the research activity is (ethically) low risk and </w:t>
      </w:r>
      <w:r>
        <w:rPr>
          <w:rFonts w:hint="default" w:ascii="Times New Roman" w:hAnsi="Times New Roman" w:cs="Times New Roman"/>
          <w:b/>
          <w:bCs/>
          <w:iCs/>
          <w:sz w:val="20"/>
          <w:szCs w:val="20"/>
        </w:rPr>
        <w:t>may</w:t>
      </w:r>
      <w:r>
        <w:rPr>
          <w:rFonts w:hint="default" w:ascii="Times New Roman" w:hAnsi="Times New Roman" w:cs="Times New Roman"/>
          <w:bCs/>
          <w:iCs/>
          <w:sz w:val="20"/>
          <w:szCs w:val="20"/>
        </w:rPr>
        <w:t xml:space="preserve"> be exempt from </w:t>
      </w:r>
      <w:r>
        <w:rPr>
          <w:rFonts w:hint="default" w:ascii="Times New Roman" w:hAnsi="Times New Roman" w:cs="Times New Roman"/>
          <w:b/>
          <w:bCs/>
          <w:iCs/>
          <w:sz w:val="20"/>
          <w:szCs w:val="20"/>
        </w:rPr>
        <w:t>some</w:t>
      </w:r>
      <w:r>
        <w:rPr>
          <w:rFonts w:hint="default" w:ascii="Times New Roman" w:hAnsi="Times New Roman" w:cs="Times New Roman"/>
          <w:bCs/>
          <w:iCs/>
          <w:sz w:val="20"/>
          <w:szCs w:val="20"/>
        </w:rPr>
        <w:t xml:space="preserve"> of the following sections (please refer to Guidance Notes).</w:t>
      </w:r>
    </w:p>
    <w:p>
      <w:pPr>
        <w:rPr>
          <w:rFonts w:hint="default" w:ascii="Times New Roman" w:hAnsi="Times New Roman" w:cs="Times New Roman"/>
          <w:bCs/>
          <w:iCs/>
          <w:sz w:val="20"/>
          <w:szCs w:val="20"/>
        </w:rPr>
      </w:pPr>
    </w:p>
    <w:p>
      <w:pPr>
        <w:rPr>
          <w:rFonts w:hint="default" w:ascii="Times New Roman" w:hAnsi="Times New Roman" w:cs="Times New Roman"/>
          <w:bCs/>
          <w:iCs/>
          <w:sz w:val="20"/>
          <w:szCs w:val="20"/>
        </w:rPr>
      </w:pPr>
      <w:r>
        <w:rPr>
          <w:rFonts w:hint="default" w:ascii="Times New Roman" w:hAnsi="Times New Roman" w:cs="Times New Roman"/>
          <w:bCs/>
          <w:iCs/>
          <w:sz w:val="20"/>
          <w:szCs w:val="20"/>
        </w:rPr>
        <w:t xml:space="preserve">If YES to any question, then no research activity should be undertaken until full ethical approval has been obtained. </w:t>
      </w:r>
    </w:p>
    <w:p>
      <w:pPr>
        <w:rPr>
          <w:rFonts w:hint="default" w:ascii="Times New Roman" w:hAnsi="Times New Roman" w:cs="Times New Roman"/>
          <w:bCs/>
          <w:iCs/>
          <w:sz w:val="20"/>
          <w:szCs w:val="20"/>
        </w:rPr>
      </w:pPr>
    </w:p>
    <w:p>
      <w:pPr>
        <w:autoSpaceDE w:val="0"/>
        <w:autoSpaceDN w:val="0"/>
        <w:adjustRightInd w:val="0"/>
        <w:spacing w:after="240"/>
        <w:jc w:val="both"/>
        <w:rPr>
          <w:rFonts w:hint="default" w:ascii="Times New Roman" w:hAnsi="Times New Roman" w:cs="Times New Roman"/>
          <w:b/>
          <w:sz w:val="20"/>
          <w:szCs w:val="20"/>
        </w:rPr>
      </w:pPr>
      <w:r>
        <w:rPr>
          <w:rFonts w:hint="default" w:ascii="Times New Roman" w:hAnsi="Times New Roman" w:cs="Times New Roman"/>
          <w:b/>
          <w:sz w:val="20"/>
          <w:szCs w:val="20"/>
        </w:rPr>
        <w:t>SECTION G: Intended Participants</w:t>
      </w:r>
    </w:p>
    <w:p>
      <w:pPr>
        <w:rPr>
          <w:rFonts w:hint="default" w:ascii="Times New Roman" w:hAnsi="Times New Roman" w:cs="Times New Roman"/>
          <w:bCs/>
          <w:sz w:val="20"/>
          <w:szCs w:val="20"/>
        </w:rPr>
      </w:pPr>
      <w:r>
        <w:rPr>
          <w:rFonts w:hint="default" w:ascii="Times New Roman" w:hAnsi="Times New Roman" w:cs="Times New Roman"/>
          <w:bCs/>
          <w:sz w:val="20"/>
          <w:szCs w:val="20"/>
        </w:rPr>
        <w:t>If there are no participants then do not complete this section, but go directly to section H.</w:t>
      </w:r>
    </w:p>
    <w:p>
      <w:pPr>
        <w:rPr>
          <w:rFonts w:hint="default" w:ascii="Times New Roman" w:hAnsi="Times New Roman" w:cs="Times New Roman"/>
          <w:bCs/>
          <w:sz w:val="20"/>
          <w:szCs w:val="20"/>
        </w:rPr>
      </w:pPr>
    </w:p>
    <w:tbl>
      <w:tblPr>
        <w:tblStyle w:val="14"/>
        <w:tblW w:w="11613" w:type="dxa"/>
        <w:tblInd w:w="-11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
        <w:gridCol w:w="9474"/>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p>
        </w:tc>
        <w:tc>
          <w:tcPr>
            <w:tcW w:w="9474" w:type="dxa"/>
            <w:shd w:val="clear" w:color="auto" w:fill="F1F1F1" w:themeFill="background1" w:themeFillShade="F2"/>
          </w:tcPr>
          <w:p>
            <w:pPr>
              <w:autoSpaceDE w:val="0"/>
              <w:autoSpaceDN w:val="0"/>
              <w:adjustRightInd w:val="0"/>
              <w:jc w:val="both"/>
              <w:rPr>
                <w:rFonts w:hint="default" w:ascii="Times New Roman" w:hAnsi="Times New Roman" w:cs="Times New Roman"/>
                <w:b/>
                <w:sz w:val="20"/>
                <w:szCs w:val="20"/>
              </w:rPr>
            </w:pPr>
            <w:r>
              <w:rPr>
                <w:rFonts w:hint="default" w:ascii="Times New Roman" w:hAnsi="Times New Roman" w:cs="Times New Roman"/>
                <w:b/>
                <w:sz w:val="20"/>
                <w:szCs w:val="20"/>
              </w:rPr>
              <w:t>Who are the intended participants:</w:t>
            </w:r>
          </w:p>
        </w:tc>
        <w:tc>
          <w:tcPr>
            <w:tcW w:w="850"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82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Students or staff at the University?</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22776399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94730625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Adults (over the age of 18 and competent to give consent)?</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78024719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66643513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3</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Vulnerable adults?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55597856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43566853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4</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37547282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88736146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5</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Prisoners?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69279390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32641141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6</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Young offenders?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25541016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23600058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7</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01645307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67307004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8</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People engaged in illegal activities?</w:t>
            </w:r>
          </w:p>
        </w:tc>
        <w:tc>
          <w:tcPr>
            <w:tcW w:w="850" w:type="dxa"/>
            <w:shd w:val="clear" w:color="auto" w:fill="BEBEBE" w:themeFill="background1" w:themeFillShade="BF"/>
            <w:vAlign w:val="center"/>
          </w:tcPr>
          <w:sdt>
            <w:sdtPr>
              <w:rPr>
                <w:rFonts w:hint="default" w:ascii="Times New Roman" w:hAnsi="Times New Roman" w:cs="Times New Roman"/>
                <w:sz w:val="20"/>
                <w:szCs w:val="20"/>
              </w:rPr>
              <w:id w:val="-151985084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0"/>
                <w:szCs w:val="20"/>
              </w:rPr>
              <w:id w:val="1072859745"/>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9</w:t>
            </w:r>
          </w:p>
        </w:tc>
        <w:tc>
          <w:tcPr>
            <w:tcW w:w="9474"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Others. Please indicate the participants below, and specifically any group who may be unable to give consent.</w:t>
            </w:r>
          </w:p>
          <w:p>
            <w:pPr>
              <w:autoSpaceDE w:val="0"/>
              <w:autoSpaceDN w:val="0"/>
              <w:adjustRightInd w:val="0"/>
              <w:rPr>
                <w:rFonts w:hint="default" w:ascii="Times New Roman" w:hAnsi="Times New Roman" w:cs="Times New Roman"/>
                <w:sz w:val="20"/>
                <w:szCs w:val="20"/>
              </w:rPr>
            </w:pPr>
          </w:p>
        </w:tc>
        <w:tc>
          <w:tcPr>
            <w:tcW w:w="850" w:type="dxa"/>
            <w:vMerge w:val="restart"/>
            <w:shd w:val="clear" w:color="auto" w:fill="BEBEBE" w:themeFill="background1" w:themeFillShade="BF"/>
            <w:vAlign w:val="center"/>
          </w:tcPr>
          <w:sdt>
            <w:sdtPr>
              <w:rPr>
                <w:rFonts w:hint="default" w:ascii="Times New Roman" w:hAnsi="Times New Roman" w:cs="Times New Roman"/>
                <w:sz w:val="20"/>
                <w:szCs w:val="20"/>
              </w:rPr>
              <w:id w:val="-198491803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22" w:type="dxa"/>
            <w:vMerge w:val="restart"/>
            <w:shd w:val="clear" w:color="auto" w:fill="BEBEBE" w:themeFill="background1" w:themeFillShade="BF"/>
            <w:vAlign w:val="center"/>
          </w:tcPr>
          <w:sdt>
            <w:sdtPr>
              <w:rPr>
                <w:rFonts w:hint="default" w:ascii="Times New Roman" w:hAnsi="Times New Roman" w:cs="Times New Roman"/>
                <w:sz w:val="20"/>
                <w:szCs w:val="20"/>
              </w:rPr>
              <w:id w:val="-187005256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7" w:type="dxa"/>
            <w:vAlign w:val="center"/>
          </w:tcPr>
          <w:p>
            <w:pPr>
              <w:autoSpaceDE w:val="0"/>
              <w:autoSpaceDN w:val="0"/>
              <w:adjustRightInd w:val="0"/>
              <w:jc w:val="center"/>
              <w:rPr>
                <w:rFonts w:hint="default" w:ascii="Times New Roman" w:hAnsi="Times New Roman" w:cs="Times New Roman"/>
                <w:sz w:val="20"/>
                <w:szCs w:val="20"/>
              </w:rPr>
            </w:pPr>
          </w:p>
        </w:tc>
        <w:tc>
          <w:tcPr>
            <w:tcW w:w="9474" w:type="dxa"/>
            <w:shd w:val="clear" w:color="auto" w:fill="auto"/>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Details of any other participant groups:</w:t>
            </w:r>
          </w:p>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 xml:space="preserve">Leaders from Manufacturing industry. </w:t>
            </w: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color w:val="808080"/>
                <w:sz w:val="20"/>
                <w:szCs w:val="20"/>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0"/>
                <w:szCs w:val="20"/>
              </w:rPr>
            </w:pPr>
          </w:p>
        </w:tc>
        <w:tc>
          <w:tcPr>
            <w:tcW w:w="822"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0"/>
                <w:szCs w:val="20"/>
              </w:rPr>
            </w:pPr>
          </w:p>
        </w:tc>
      </w:tr>
    </w:tbl>
    <w:p>
      <w:pPr>
        <w:rPr>
          <w:rFonts w:hint="default" w:ascii="Times New Roman" w:hAnsi="Times New Roman" w:cs="Times New Roman"/>
          <w:bCs/>
          <w:sz w:val="20"/>
          <w:szCs w:val="20"/>
        </w:rPr>
      </w:pPr>
    </w:p>
    <w:tbl>
      <w:tblPr>
        <w:tblStyle w:val="14"/>
        <w:tblW w:w="11586" w:type="dxa"/>
        <w:tblInd w:w="-11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40"/>
        <w:gridCol w:w="4513"/>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14" w:hRule="atLeast"/>
        </w:trPr>
        <w:tc>
          <w:tcPr>
            <w:tcW w:w="440" w:type="dxa"/>
            <w:tcBorders>
              <w:bottom w:val="single" w:color="auto" w:sz="4" w:space="0"/>
            </w:tcBorders>
            <w:shd w:val="clear" w:color="auto" w:fill="F1F1F1" w:themeFill="background1" w:themeFillShade="F2"/>
          </w:tcPr>
          <w:p>
            <w:pPr>
              <w:rPr>
                <w:rFonts w:hint="default" w:ascii="Times New Roman" w:hAnsi="Times New Roman" w:cs="Times New Roman"/>
                <w:bCs/>
                <w:sz w:val="20"/>
                <w:szCs w:val="20"/>
              </w:rPr>
            </w:pPr>
          </w:p>
        </w:tc>
        <w:tc>
          <w:tcPr>
            <w:tcW w:w="11146" w:type="dxa"/>
            <w:gridSpan w:val="2"/>
            <w:tcBorders>
              <w:bottom w:val="single" w:color="auto" w:sz="4" w:space="0"/>
            </w:tcBorders>
            <w:shd w:val="clear" w:color="auto" w:fill="F1F1F1" w:themeFill="background1" w:themeFillShade="F2"/>
            <w:vAlign w:val="center"/>
          </w:tcPr>
          <w:p>
            <w:pPr>
              <w:rPr>
                <w:rFonts w:hint="default" w:ascii="Times New Roman" w:hAnsi="Times New Roman" w:cs="Times New Roman"/>
                <w:b/>
                <w:sz w:val="20"/>
                <w:szCs w:val="20"/>
              </w:rPr>
            </w:pPr>
            <w:r>
              <w:rPr>
                <w:rFonts w:hint="default" w:ascii="Times New Roman" w:hAnsi="Times New Roman" w:cs="Times New Roman"/>
                <w:b/>
                <w:sz w:val="20"/>
                <w:szCs w:val="20"/>
              </w:rPr>
              <w:t>Participant numbers and source</w:t>
            </w: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10</w:t>
            </w:r>
          </w:p>
        </w:tc>
        <w:tc>
          <w:tcPr>
            <w:tcW w:w="451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How many participants are expected?</w:t>
            </w:r>
          </w:p>
          <w:p>
            <w:pPr>
              <w:rPr>
                <w:rFonts w:hint="default" w:ascii="Times New Roman" w:hAnsi="Times New Roman" w:cs="Times New Roman"/>
                <w:sz w:val="20"/>
                <w:szCs w:val="20"/>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5-10</w:t>
            </w:r>
          </w:p>
          <w:p>
            <w:pPr>
              <w:rPr>
                <w:rFonts w:hint="default" w:ascii="Times New Roman" w:hAnsi="Times New Roman" w:cs="Times New Roman"/>
                <w:b/>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11</w:t>
            </w:r>
          </w:p>
        </w:tc>
        <w:tc>
          <w:tcPr>
            <w:tcW w:w="451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Who will the participants be?</w:t>
            </w:r>
          </w:p>
          <w:p>
            <w:pPr>
              <w:rPr>
                <w:rFonts w:hint="default" w:ascii="Times New Roman" w:hAnsi="Times New Roman" w:cs="Times New Roman"/>
                <w:sz w:val="20"/>
                <w:szCs w:val="20"/>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 xml:space="preserve">Individuals in leadership roles. </w:t>
            </w:r>
          </w:p>
          <w:p>
            <w:pPr>
              <w:rPr>
                <w:rFonts w:hint="default" w:ascii="Times New Roman" w:hAnsi="Times New Roman" w:cs="Times New Roman"/>
                <w:i/>
                <w:color w:val="808080"/>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tcBorders>
              <w:top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12</w:t>
            </w:r>
          </w:p>
        </w:tc>
        <w:tc>
          <w:tcPr>
            <w:tcW w:w="4513" w:type="dxa"/>
            <w:tcBorders>
              <w:top w:val="single" w:color="auto" w:sz="4" w:space="0"/>
            </w:tcBorders>
            <w:shd w:val="clear" w:color="auto" w:fill="F1F1F1" w:themeFill="background1" w:themeFillShade="F2"/>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How will you identify the participants?</w:t>
            </w:r>
          </w:p>
        </w:tc>
        <w:tc>
          <w:tcPr>
            <w:tcW w:w="6633" w:type="dxa"/>
            <w:tcBorders>
              <w:top w:val="single" w:color="auto" w:sz="4" w:space="0"/>
            </w:tcBorders>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 xml:space="preserve"> </w:t>
            </w:r>
            <w:r>
              <w:rPr>
                <w:rFonts w:hint="default" w:ascii="Times New Roman" w:hAnsi="Times New Roman" w:cs="Times New Roman"/>
                <w:sz w:val="20"/>
                <w:szCs w:val="20"/>
                <w:lang w:val="en-GB"/>
              </w:rPr>
              <w:t>P</w:t>
            </w:r>
            <w:r>
              <w:rPr>
                <w:rFonts w:hint="default" w:ascii="Times New Roman" w:hAnsi="Times New Roman" w:cs="Times New Roman"/>
                <w:sz w:val="20"/>
                <w:szCs w:val="20"/>
              </w:rPr>
              <w:t xml:space="preserve">articipants </w:t>
            </w:r>
            <w:r>
              <w:rPr>
                <w:rFonts w:hint="default" w:ascii="Times New Roman" w:hAnsi="Times New Roman" w:cs="Times New Roman"/>
                <w:sz w:val="20"/>
                <w:szCs w:val="20"/>
                <w:lang w:val="en-GB"/>
              </w:rPr>
              <w:t xml:space="preserve">are chosen “on purpose” , </w:t>
            </w:r>
            <w:r>
              <w:rPr>
                <w:rFonts w:hint="default" w:ascii="Times New Roman" w:hAnsi="Times New Roman" w:cs="Times New Roman"/>
                <w:sz w:val="20"/>
                <w:szCs w:val="20"/>
              </w:rPr>
              <w:t xml:space="preserve">who represent a diverse range of leadership styles, considering both male and female leaders from my current workplace. </w:t>
            </w:r>
          </w:p>
          <w:p>
            <w:pPr>
              <w:rPr>
                <w:rFonts w:hint="default" w:ascii="Times New Roman" w:hAnsi="Times New Roman" w:cs="Times New Roman"/>
                <w:sz w:val="20"/>
                <w:szCs w:val="20"/>
              </w:rPr>
            </w:pPr>
          </w:p>
          <w:p>
            <w:pPr>
              <w:rPr>
                <w:rFonts w:hint="default" w:ascii="Times New Roman" w:hAnsi="Times New Roman" w:cs="Times New Roman"/>
                <w:color w:val="808080"/>
                <w:sz w:val="20"/>
                <w:szCs w:val="20"/>
              </w:rPr>
            </w:pPr>
          </w:p>
        </w:tc>
      </w:tr>
    </w:tbl>
    <w:p>
      <w:pPr>
        <w:rPr>
          <w:rFonts w:hint="default" w:ascii="Times New Roman" w:hAnsi="Times New Roman" w:cs="Times New Roman"/>
          <w:bCs/>
          <w:sz w:val="20"/>
          <w:szCs w:val="20"/>
        </w:rPr>
      </w:pPr>
    </w:p>
    <w:p>
      <w:pPr>
        <w:rPr>
          <w:rFonts w:hint="default" w:ascii="Times New Roman" w:hAnsi="Times New Roman" w:cs="Times New Roman"/>
          <w:sz w:val="20"/>
          <w:szCs w:val="20"/>
        </w:rPr>
      </w:pPr>
    </w:p>
    <w:tbl>
      <w:tblPr>
        <w:tblStyle w:val="14"/>
        <w:tblW w:w="11647" w:type="dxa"/>
        <w:tblInd w:w="-11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40"/>
        <w:gridCol w:w="8372"/>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p>
        </w:tc>
        <w:tc>
          <w:tcPr>
            <w:tcW w:w="8372" w:type="dxa"/>
            <w:shd w:val="clear" w:color="auto" w:fill="F1F1F1" w:themeFill="background1" w:themeFillShade="F2"/>
          </w:tcPr>
          <w:p>
            <w:pPr>
              <w:autoSpaceDE w:val="0"/>
              <w:autoSpaceDN w:val="0"/>
              <w:adjustRightInd w:val="0"/>
              <w:jc w:val="both"/>
              <w:rPr>
                <w:rFonts w:hint="default" w:ascii="Times New Roman" w:hAnsi="Times New Roman" w:cs="Times New Roman"/>
                <w:b/>
                <w:sz w:val="20"/>
                <w:szCs w:val="20"/>
              </w:rPr>
            </w:pPr>
            <w:r>
              <w:rPr>
                <w:rFonts w:hint="default" w:ascii="Times New Roman" w:hAnsi="Times New Roman" w:cs="Times New Roman"/>
                <w:b/>
                <w:sz w:val="20"/>
                <w:szCs w:val="20"/>
              </w:rPr>
              <w:t>Information for participants:</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851"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13</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638854427"/>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183841572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201827235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14</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tell participants that their participation is voluntary?</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917978816"/>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26674509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196461357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15</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obtain written consent for participation?</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7307100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177721479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204620075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16</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907947677"/>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199795487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83388731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17</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the research is observational, will you ask participants for their consent to being observed?</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6549896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32790711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84324213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18</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tell participants that they may withdraw from the research at any time and for any reason?</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689744163"/>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1160307203"/>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27000421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19</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20004605"/>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50274824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19612545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20</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96221617"/>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71535789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86181930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4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21</w:t>
            </w:r>
          </w:p>
        </w:tc>
        <w:tc>
          <w:tcPr>
            <w:tcW w:w="837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507015635"/>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28270137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107542890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tcBorders>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22</w:t>
            </w:r>
          </w:p>
        </w:tc>
        <w:tc>
          <w:tcPr>
            <w:tcW w:w="11207" w:type="dxa"/>
            <w:gridSpan w:val="4"/>
            <w:tcBorders>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NO</w:t>
            </w:r>
            <w:r>
              <w:rPr>
                <w:rFonts w:hint="default" w:ascii="Times New Roman" w:hAnsi="Times New Roman" w:cs="Times New Roman"/>
                <w:b/>
                <w:bCs/>
                <w:sz w:val="20"/>
                <w:szCs w:val="20"/>
              </w:rPr>
              <w:t xml:space="preserve"> </w:t>
            </w:r>
            <w:r>
              <w:rPr>
                <w:rFonts w:hint="default" w:ascii="Times New Roman" w:hAnsi="Times New Roman" w:cs="Times New Roman"/>
                <w:sz w:val="20"/>
                <w:szCs w:val="20"/>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40" w:type="dxa"/>
            <w:vAlign w:val="center"/>
          </w:tcPr>
          <w:p>
            <w:pPr>
              <w:jc w:val="center"/>
              <w:rPr>
                <w:rFonts w:hint="default" w:ascii="Times New Roman" w:hAnsi="Times New Roman" w:cs="Times New Roman"/>
                <w:sz w:val="20"/>
                <w:szCs w:val="20"/>
              </w:rPr>
            </w:pPr>
          </w:p>
        </w:tc>
        <w:tc>
          <w:tcPr>
            <w:tcW w:w="11207" w:type="dxa"/>
            <w:gridSpan w:val="4"/>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bl>
    <w:p>
      <w:pPr>
        <w:rPr>
          <w:rFonts w:hint="default" w:ascii="Times New Roman" w:hAnsi="Times New Roman" w:cs="Times New Roman"/>
          <w:sz w:val="20"/>
          <w:szCs w:val="20"/>
        </w:rPr>
      </w:pPr>
    </w:p>
    <w:tbl>
      <w:tblPr>
        <w:tblStyle w:val="14"/>
        <w:tblW w:w="11660" w:type="dxa"/>
        <w:tblInd w:w="-117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
        <w:gridCol w:w="8399"/>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 w:type="dxa"/>
            <w:shd w:val="clear" w:color="auto" w:fill="F1F1F1" w:themeFill="background1" w:themeFillShade="F2"/>
          </w:tcPr>
          <w:p>
            <w:pPr>
              <w:autoSpaceDE w:val="0"/>
              <w:autoSpaceDN w:val="0"/>
              <w:adjustRightInd w:val="0"/>
              <w:jc w:val="both"/>
              <w:rPr>
                <w:rFonts w:hint="default" w:ascii="Times New Roman" w:hAnsi="Times New Roman" w:cs="Times New Roman"/>
                <w:bCs/>
                <w:sz w:val="20"/>
                <w:szCs w:val="20"/>
              </w:rPr>
            </w:pPr>
          </w:p>
        </w:tc>
        <w:tc>
          <w:tcPr>
            <w:tcW w:w="8399" w:type="dxa"/>
            <w:shd w:val="clear" w:color="auto" w:fill="F1F1F1" w:themeFill="background1" w:themeFillShade="F2"/>
            <w:vAlign w:val="center"/>
          </w:tcPr>
          <w:p>
            <w:pPr>
              <w:autoSpaceDE w:val="0"/>
              <w:autoSpaceDN w:val="0"/>
              <w:adjustRightInd w:val="0"/>
              <w:rPr>
                <w:rFonts w:hint="default" w:ascii="Times New Roman" w:hAnsi="Times New Roman" w:cs="Times New Roman"/>
                <w:b/>
                <w:sz w:val="20"/>
                <w:szCs w:val="20"/>
              </w:rPr>
            </w:pPr>
            <w:r>
              <w:rPr>
                <w:rFonts w:hint="default" w:ascii="Times New Roman" w:hAnsi="Times New Roman" w:cs="Times New Roman"/>
                <w:b/>
                <w:sz w:val="20"/>
                <w:szCs w:val="20"/>
              </w:rPr>
              <w:t>Information for participants:</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851"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p>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2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24</w:t>
            </w:r>
          </w:p>
        </w:tc>
        <w:tc>
          <w:tcPr>
            <w:tcW w:w="8399"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participants be paid?</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5104376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256140063"/>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63421972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2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25</w:t>
            </w:r>
          </w:p>
        </w:tc>
        <w:tc>
          <w:tcPr>
            <w:tcW w:w="8399"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Is specialist electrical or other equipment to be used with participants?</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43898245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2089267095"/>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42546884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2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26</w:t>
            </w:r>
          </w:p>
        </w:tc>
        <w:tc>
          <w:tcPr>
            <w:tcW w:w="8399"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22560696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1565337314"/>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13357519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2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27</w:t>
            </w:r>
          </w:p>
        </w:tc>
        <w:tc>
          <w:tcPr>
            <w:tcW w:w="8399"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87393224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0"/>
                <w:szCs w:val="20"/>
              </w:rPr>
              <w:id w:val="-186736174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0"/>
                <w:szCs w:val="20"/>
              </w:rPr>
              <w:id w:val="21432836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2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28</w:t>
            </w:r>
          </w:p>
        </w:tc>
        <w:tc>
          <w:tcPr>
            <w:tcW w:w="11234" w:type="dxa"/>
            <w:gridSpan w:val="4"/>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YES</w:t>
            </w:r>
            <w:r>
              <w:rPr>
                <w:rFonts w:hint="default" w:ascii="Times New Roman" w:hAnsi="Times New Roman" w:cs="Times New Roman"/>
                <w:b/>
                <w:bCs/>
                <w:sz w:val="20"/>
                <w:szCs w:val="20"/>
              </w:rPr>
              <w:t xml:space="preserve"> </w:t>
            </w:r>
            <w:r>
              <w:rPr>
                <w:rFonts w:hint="default" w:ascii="Times New Roman" w:hAnsi="Times New Roman" w:cs="Times New Roman"/>
                <w:sz w:val="20"/>
                <w:szCs w:val="20"/>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26" w:type="dxa"/>
            <w:vAlign w:val="center"/>
          </w:tcPr>
          <w:p>
            <w:pPr>
              <w:jc w:val="center"/>
              <w:rPr>
                <w:rFonts w:hint="default" w:ascii="Times New Roman" w:hAnsi="Times New Roman" w:cs="Times New Roman"/>
                <w:sz w:val="20"/>
                <w:szCs w:val="20"/>
              </w:rPr>
            </w:pPr>
          </w:p>
        </w:tc>
        <w:tc>
          <w:tcPr>
            <w:tcW w:w="11234" w:type="dxa"/>
            <w:gridSpan w:val="4"/>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bl>
    <w:p>
      <w:pPr>
        <w:autoSpaceDE w:val="0"/>
        <w:autoSpaceDN w:val="0"/>
        <w:adjustRightInd w:val="0"/>
        <w:spacing w:after="240"/>
        <w:jc w:val="both"/>
        <w:rPr>
          <w:rFonts w:hint="default" w:ascii="Times New Roman" w:hAnsi="Times New Roman" w:cs="Times New Roman"/>
          <w:b/>
          <w:sz w:val="20"/>
          <w:szCs w:val="20"/>
        </w:rPr>
      </w:pPr>
    </w:p>
    <w:p>
      <w:pPr>
        <w:rPr>
          <w:rFonts w:hint="default" w:ascii="Times New Roman" w:hAnsi="Times New Roman" w:cs="Times New Roman"/>
          <w:b/>
          <w:sz w:val="20"/>
          <w:szCs w:val="20"/>
        </w:rPr>
      </w:pPr>
    </w:p>
    <w:p>
      <w:pPr>
        <w:rPr>
          <w:rFonts w:hint="default" w:ascii="Times New Roman" w:hAnsi="Times New Roman" w:cs="Times New Roman"/>
          <w:b/>
          <w:sz w:val="20"/>
          <w:szCs w:val="20"/>
        </w:rPr>
      </w:pPr>
    </w:p>
    <w:p>
      <w:pPr>
        <w:rPr>
          <w:rFonts w:hint="default" w:ascii="Times New Roman" w:hAnsi="Times New Roman" w:cs="Times New Roman"/>
          <w:b/>
          <w:sz w:val="20"/>
          <w:szCs w:val="20"/>
        </w:rPr>
      </w:pPr>
    </w:p>
    <w:p>
      <w:pPr>
        <w:rPr>
          <w:rFonts w:hint="default" w:ascii="Times New Roman" w:hAnsi="Times New Roman" w:cs="Times New Roman"/>
          <w:b/>
          <w:sz w:val="20"/>
          <w:szCs w:val="20"/>
        </w:rPr>
      </w:pPr>
    </w:p>
    <w:p>
      <w:pPr>
        <w:rPr>
          <w:rFonts w:hint="default" w:ascii="Times New Roman" w:hAnsi="Times New Roman" w:cs="Times New Roman"/>
          <w:b/>
          <w:sz w:val="20"/>
          <w:szCs w:val="20"/>
        </w:rPr>
      </w:pPr>
      <w:r>
        <w:rPr>
          <w:rFonts w:hint="default" w:ascii="Times New Roman" w:hAnsi="Times New Roman" w:cs="Times New Roman"/>
          <w:b/>
          <w:sz w:val="20"/>
          <w:szCs w:val="20"/>
        </w:rPr>
        <w:t>SECTION H: Anticipated Risks</w:t>
      </w:r>
    </w:p>
    <w:p>
      <w:pPr>
        <w:rPr>
          <w:rFonts w:hint="default" w:ascii="Times New Roman" w:hAnsi="Times New Roman" w:cs="Times New Roman"/>
          <w:b/>
          <w:sz w:val="20"/>
          <w:szCs w:val="20"/>
        </w:rPr>
      </w:pPr>
    </w:p>
    <w:tbl>
      <w:tblPr>
        <w:tblStyle w:val="6"/>
        <w:tblW w:w="11660" w:type="dxa"/>
        <w:tblInd w:w="-117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00"/>
        <w:gridCol w:w="6328"/>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b w:val="0"/>
                <w:bCs w:val="0"/>
                <w:sz w:val="20"/>
                <w:szCs w:val="20"/>
              </w:rPr>
            </w:pPr>
          </w:p>
        </w:tc>
        <w:tc>
          <w:tcPr>
            <w:tcW w:w="11260" w:type="dxa"/>
            <w:gridSpan w:val="4"/>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0"/>
                <w:szCs w:val="20"/>
              </w:rPr>
            </w:pPr>
            <w:r>
              <w:rPr>
                <w:rFonts w:hint="default" w:ascii="Times New Roman" w:hAnsi="Times New Roman" w:cs="Times New Roman"/>
                <w:sz w:val="20"/>
                <w:szCs w:val="20"/>
              </w:rPr>
              <w:br w:type="page"/>
            </w:r>
            <w:r>
              <w:rPr>
                <w:rFonts w:hint="default" w:ascii="Times New Roman" w:hAnsi="Times New Roman" w:cs="Times New Roman"/>
                <w:sz w:val="20"/>
                <w:szCs w:val="20"/>
              </w:rPr>
              <w:t>Outline any anticipated risks</w:t>
            </w:r>
            <w:r>
              <w:rPr>
                <w:rFonts w:hint="default" w:ascii="Times New Roman" w:hAnsi="Times New Roman" w:eastAsia="SimSun" w:cs="Times New Roman"/>
                <w:sz w:val="20"/>
                <w:szCs w:val="20"/>
                <w:lang w:eastAsia="zh-CN"/>
              </w:rPr>
              <w:t xml:space="preserve"> </w:t>
            </w:r>
            <w:r>
              <w:rPr>
                <w:rFonts w:hint="default" w:ascii="Times New Roman" w:hAnsi="Times New Roman" w:cs="Times New Roman"/>
                <w:sz w:val="20"/>
                <w:szCs w:val="20"/>
              </w:rPr>
              <w:t xml:space="preserve">that may adversely affect any of the participants, the researchers and/or the University, and the steps that will be taken to address them. </w:t>
            </w:r>
          </w:p>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 xml:space="preserve">If you have completed a full risk assessment (for example as required by a laboratory, or external research collaborator) you may append that to this form.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vMerge w:val="restart"/>
            <w:shd w:val="clear" w:color="auto" w:fill="F1F1F1" w:themeFill="background1" w:themeFillShade="F2"/>
            <w:vAlign w:val="center"/>
          </w:tcPr>
          <w:p>
            <w:pPr>
              <w:pStyle w:val="2"/>
              <w:tabs>
                <w:tab w:val="left" w:pos="5103"/>
              </w:tabs>
              <w:rPr>
                <w:rFonts w:hint="default" w:ascii="Times New Roman" w:hAnsi="Times New Roman" w:cs="Times New Roman"/>
                <w:b w:val="0"/>
                <w:bCs w:val="0"/>
                <w:sz w:val="20"/>
                <w:szCs w:val="20"/>
              </w:rPr>
            </w:pPr>
            <w:r>
              <w:rPr>
                <w:rFonts w:hint="default" w:ascii="Times New Roman" w:hAnsi="Times New Roman" w:cs="Times New Roman"/>
                <w:b w:val="0"/>
                <w:bCs w:val="0"/>
                <w:sz w:val="20"/>
                <w:szCs w:val="20"/>
              </w:rPr>
              <w:t>1</w:t>
            </w:r>
          </w:p>
        </w:tc>
        <w:tc>
          <w:tcPr>
            <w:tcW w:w="9730" w:type="dxa"/>
            <w:gridSpan w:val="2"/>
            <w:vMerge w:val="restart"/>
            <w:shd w:val="clear" w:color="auto" w:fill="F1F1F1" w:themeFill="background1" w:themeFillShade="F2"/>
            <w:vAlign w:val="center"/>
          </w:tcPr>
          <w:p>
            <w:pPr>
              <w:pStyle w:val="2"/>
              <w:tabs>
                <w:tab w:val="left" w:pos="5103"/>
              </w:tabs>
              <w:jc w:val="left"/>
              <w:rPr>
                <w:rFonts w:hint="default" w:ascii="Times New Roman" w:hAnsi="Times New Roman" w:cs="Times New Roman"/>
                <w:sz w:val="20"/>
                <w:szCs w:val="20"/>
              </w:rPr>
            </w:pPr>
            <w:r>
              <w:rPr>
                <w:rFonts w:hint="default" w:ascii="Times New Roman" w:hAnsi="Times New Roman" w:cs="Times New Roman"/>
                <w:sz w:val="20"/>
                <w:szCs w:val="20"/>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0"/>
                <w:szCs w:val="20"/>
              </w:rPr>
            </w:pPr>
            <w:r>
              <w:rPr>
                <w:rFonts w:hint="default" w:ascii="Times New Roman" w:hAnsi="Times New Roman" w:cs="Times New Roman"/>
                <w:sz w:val="20"/>
                <w:szCs w:val="20"/>
              </w:rPr>
              <w:t xml:space="preserve">Yes </w:t>
            </w:r>
          </w:p>
        </w:tc>
        <w:tc>
          <w:tcPr>
            <w:tcW w:w="680" w:type="dxa"/>
            <w:tcBorders>
              <w:bottom w:val="single" w:color="auto" w:sz="4" w:space="0"/>
            </w:tcBorders>
            <w:shd w:val="clear" w:color="auto" w:fill="BEBEBE" w:themeFill="background1" w:themeFillShade="BF"/>
          </w:tcPr>
          <w:p>
            <w:pPr>
              <w:pStyle w:val="2"/>
              <w:tabs>
                <w:tab w:val="left" w:pos="5103"/>
              </w:tabs>
              <w:rPr>
                <w:rFonts w:hint="default" w:ascii="Times New Roman" w:hAnsi="Times New Roman" w:cs="Times New Roman"/>
                <w:sz w:val="20"/>
                <w:szCs w:val="20"/>
              </w:rPr>
            </w:pPr>
            <w:sdt>
              <w:sdtPr>
                <w:rPr>
                  <w:rFonts w:hint="default" w:ascii="Times New Roman" w:hAnsi="Times New Roman" w:cs="Times New Roman"/>
                  <w:b w:val="0"/>
                  <w:bCs w:val="0"/>
                  <w:sz w:val="20"/>
                  <w:szCs w:val="20"/>
                </w:rPr>
                <w:id w:val="-2006964611"/>
                <w14:checkbox>
                  <w14:checked w14:val="1"/>
                  <w14:checkedState w14:val="2612" w14:font="MS Gothic"/>
                  <w14:uncheckedState w14:val="2610" w14:font="MS Gothic"/>
                </w14:checkbox>
              </w:sdtPr>
              <w:sdtEndPr>
                <w:rPr>
                  <w:rFonts w:hint="default" w:ascii="Times New Roman" w:hAnsi="Times New Roman" w:cs="Times New Roman"/>
                  <w:b w:val="0"/>
                  <w:bCs w:val="0"/>
                  <w:sz w:val="20"/>
                  <w:szCs w:val="20"/>
                </w:rPr>
              </w:sdtEndPr>
              <w:sdtContent>
                <w:r>
                  <w:rPr>
                    <w:rFonts w:hint="default" w:ascii="Times New Roman" w:hAnsi="Times New Roman" w:eastAsia="MS Gothic" w:cs="Times New Roman"/>
                    <w:b w:val="0"/>
                    <w:bCs w:val="0"/>
                    <w:sz w:val="20"/>
                    <w:szCs w:val="20"/>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vMerge w:val="continue"/>
            <w:tcBorders>
              <w:bottom w:val="single" w:color="auto" w:sz="4" w:space="0"/>
            </w:tcBorders>
            <w:shd w:val="clear" w:color="auto" w:fill="F1F1F1" w:themeFill="background1" w:themeFillShade="F2"/>
            <w:vAlign w:val="center"/>
          </w:tcPr>
          <w:p>
            <w:pPr>
              <w:pStyle w:val="2"/>
              <w:tabs>
                <w:tab w:val="left" w:pos="5103"/>
              </w:tabs>
              <w:rPr>
                <w:rFonts w:hint="default" w:ascii="Times New Roman" w:hAnsi="Times New Roman" w:cs="Times New Roman"/>
                <w:b w:val="0"/>
                <w:bCs w:val="0"/>
                <w:sz w:val="20"/>
                <w:szCs w:val="20"/>
              </w:rPr>
            </w:pPr>
          </w:p>
        </w:tc>
        <w:tc>
          <w:tcPr>
            <w:tcW w:w="9730" w:type="dxa"/>
            <w:gridSpan w:val="2"/>
            <w:vMerge w:val="continue"/>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0"/>
                <w:szCs w:val="20"/>
              </w:rPr>
            </w:pPr>
          </w:p>
        </w:tc>
        <w:tc>
          <w:tcPr>
            <w:tcW w:w="850" w:type="dxa"/>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0"/>
                <w:szCs w:val="20"/>
              </w:rPr>
            </w:pPr>
            <w:r>
              <w:rPr>
                <w:rFonts w:hint="default" w:ascii="Times New Roman" w:hAnsi="Times New Roman" w:cs="Times New Roman"/>
                <w:sz w:val="20"/>
                <w:szCs w:val="20"/>
              </w:rPr>
              <w:t>No</w:t>
            </w:r>
          </w:p>
        </w:tc>
        <w:tc>
          <w:tcPr>
            <w:tcW w:w="680" w:type="dxa"/>
            <w:tcBorders>
              <w:bottom w:val="single" w:color="auto" w:sz="4" w:space="0"/>
            </w:tcBorders>
            <w:shd w:val="clear" w:color="auto" w:fill="BEBEBE" w:themeFill="background1" w:themeFillShade="BF"/>
          </w:tcPr>
          <w:p>
            <w:pPr>
              <w:pStyle w:val="2"/>
              <w:tabs>
                <w:tab w:val="left" w:pos="5103"/>
              </w:tabs>
              <w:rPr>
                <w:rFonts w:hint="default" w:ascii="Times New Roman" w:hAnsi="Times New Roman" w:cs="Times New Roman"/>
                <w:b w:val="0"/>
                <w:bCs w:val="0"/>
                <w:sz w:val="20"/>
                <w:szCs w:val="20"/>
              </w:rPr>
            </w:pPr>
            <w:sdt>
              <w:sdtPr>
                <w:rPr>
                  <w:rFonts w:hint="default" w:ascii="Times New Roman" w:hAnsi="Times New Roman" w:cs="Times New Roman"/>
                  <w:b w:val="0"/>
                  <w:bCs w:val="0"/>
                  <w:sz w:val="20"/>
                  <w:szCs w:val="20"/>
                </w:rPr>
                <w:id w:val="-389729326"/>
                <w14:checkbox>
                  <w14:checked w14:val="0"/>
                  <w14:checkedState w14:val="2612" w14:font="MS Gothic"/>
                  <w14:uncheckedState w14:val="2610" w14:font="MS Gothic"/>
                </w14:checkbox>
              </w:sdtPr>
              <w:sdtEndPr>
                <w:rPr>
                  <w:rFonts w:hint="default" w:ascii="Times New Roman" w:hAnsi="Times New Roman" w:cs="Times New Roman"/>
                  <w:b w:val="0"/>
                  <w:bCs w:val="0"/>
                  <w:sz w:val="20"/>
                  <w:szCs w:val="20"/>
                </w:rPr>
              </w:sdtEndPr>
              <w:sdtContent>
                <w:r>
                  <w:rPr>
                    <w:rFonts w:hint="default" w:ascii="Times New Roman" w:hAnsi="Times New Roman" w:eastAsia="MS Gothic" w:cs="Times New Roman"/>
                    <w:b w:val="0"/>
                    <w:bCs w:val="0"/>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bottom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2</w:t>
            </w:r>
          </w:p>
        </w:tc>
        <w:tc>
          <w:tcPr>
            <w:tcW w:w="11260" w:type="dxa"/>
            <w:gridSpan w:val="4"/>
            <w:tcBorders>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
                <w:sz w:val="20"/>
                <w:szCs w:val="20"/>
              </w:rPr>
              <w:t>Risks to participants</w:t>
            </w:r>
          </w:p>
          <w:p>
            <w:pPr>
              <w:rPr>
                <w:rFonts w:hint="default" w:ascii="Times New Roman" w:hAnsi="Times New Roman" w:cs="Times New Roman"/>
                <w:b/>
                <w:sz w:val="20"/>
                <w:szCs w:val="20"/>
              </w:rPr>
            </w:pPr>
            <w:r>
              <w:rPr>
                <w:rFonts w:hint="default" w:ascii="Times New Roman" w:hAnsi="Times New Roman" w:cs="Times New Roman"/>
                <w:sz w:val="20"/>
                <w:szCs w:val="20"/>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0"/>
                <w:szCs w:val="20"/>
              </w:rPr>
            </w:pPr>
          </w:p>
        </w:tc>
        <w:tc>
          <w:tcPr>
            <w:tcW w:w="6328"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Risk to participants:</w:t>
            </w:r>
          </w:p>
          <w:p>
            <w:pPr>
              <w:rPr>
                <w:rFonts w:hint="default" w:ascii="Times New Roman" w:hAnsi="Times New Roman" w:cs="Times New Roman"/>
                <w:sz w:val="20"/>
                <w:szCs w:val="20"/>
                <w:lang w:val="en-GB"/>
              </w:rPr>
            </w:pPr>
            <w:r>
              <w:rPr>
                <w:rFonts w:hint="default" w:ascii="Times New Roman" w:hAnsi="Times New Roman" w:cs="Times New Roman"/>
                <w:sz w:val="20"/>
                <w:szCs w:val="20"/>
              </w:rPr>
              <w:t>Sensitive organisational information</w:t>
            </w:r>
            <w:r>
              <w:rPr>
                <w:rFonts w:hint="default" w:ascii="Times New Roman" w:hAnsi="Times New Roman" w:cs="Times New Roman"/>
                <w:sz w:val="20"/>
                <w:szCs w:val="20"/>
                <w:lang w:val="en-GB"/>
              </w:rPr>
              <w:t>.</w:t>
            </w:r>
          </w:p>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Lost of data</w:t>
            </w: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sz w:val="20"/>
                <w:szCs w:val="20"/>
                <w:lang w:val="en-GB"/>
              </w:rPr>
            </w:pPr>
            <w:r>
              <w:rPr>
                <w:rFonts w:hint="default" w:ascii="Times New Roman" w:hAnsi="Times New Roman" w:cs="Times New Roman"/>
                <w:i/>
                <w:sz w:val="20"/>
                <w:szCs w:val="20"/>
              </w:rPr>
              <w:t>Secure confidentiality and use secure communication channels when interacting with participants or storing/transferring sensitive data. Ensure that your research design and data handling procedures comply with ethical standards</w:t>
            </w: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i/>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bottom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3</w:t>
            </w:r>
          </w:p>
        </w:tc>
        <w:tc>
          <w:tcPr>
            <w:tcW w:w="11260" w:type="dxa"/>
            <w:gridSpan w:val="4"/>
            <w:tcBorders>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Cs/>
                <w:sz w:val="20"/>
                <w:szCs w:val="2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hint="default" w:ascii="Times New Roman" w:hAnsi="Times New Roman" w:cs="Times New Roman"/>
                <w:color w:val="161616"/>
                <w:sz w:val="20"/>
                <w:szCs w:val="20"/>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vAlign w:val="center"/>
          </w:tcPr>
          <w:p>
            <w:pPr>
              <w:jc w:val="center"/>
              <w:rPr>
                <w:rFonts w:hint="default" w:ascii="Times New Roman" w:hAnsi="Times New Roman" w:cs="Times New Roman"/>
                <w:sz w:val="20"/>
                <w:szCs w:val="20"/>
              </w:rPr>
            </w:pPr>
          </w:p>
        </w:tc>
        <w:tc>
          <w:tcPr>
            <w:tcW w:w="11260" w:type="dxa"/>
            <w:gridSpan w:val="4"/>
            <w:tcBorders>
              <w:top w:val="single" w:color="auto" w:sz="4" w:space="0"/>
              <w:bottom w:val="single" w:color="auto" w:sz="4" w:space="0"/>
            </w:tcBorders>
          </w:tcPr>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4</w:t>
            </w:r>
          </w:p>
        </w:tc>
        <w:tc>
          <w:tcPr>
            <w:tcW w:w="11260"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
                <w:sz w:val="20"/>
                <w:szCs w:val="20"/>
              </w:rPr>
              <w:t>Risks to the investigator</w:t>
            </w:r>
          </w:p>
          <w:p>
            <w:pPr>
              <w:rPr>
                <w:rFonts w:hint="default" w:ascii="Times New Roman" w:hAnsi="Times New Roman" w:cs="Times New Roman"/>
                <w:sz w:val="20"/>
                <w:szCs w:val="20"/>
              </w:rPr>
            </w:pPr>
            <w:r>
              <w:rPr>
                <w:rFonts w:hint="default" w:ascii="Times New Roman" w:hAnsi="Times New Roman" w:cs="Times New Roman"/>
                <w:sz w:val="20"/>
                <w:szCs w:val="20"/>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50" w:hRule="atLeast"/>
        </w:trPr>
        <w:tc>
          <w:tcPr>
            <w:tcW w:w="400"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0"/>
                <w:szCs w:val="20"/>
              </w:rPr>
            </w:pPr>
          </w:p>
        </w:tc>
        <w:tc>
          <w:tcPr>
            <w:tcW w:w="6328"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Risk to the investigator:</w:t>
            </w:r>
          </w:p>
          <w:p>
            <w:pPr>
              <w:pStyle w:val="30"/>
              <w:numPr>
                <w:ilvl w:val="0"/>
                <w:numId w:val="16"/>
              </w:num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Risk of accusation of harm/impropriety, conflict of interest</w:t>
            </w: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0"/>
                <w:szCs w:val="20"/>
              </w:rPr>
            </w:pPr>
            <w:r>
              <w:rPr>
                <w:rFonts w:hint="default" w:ascii="Times New Roman" w:hAnsi="Times New Roman" w:cs="Times New Roman"/>
                <w:i/>
                <w:sz w:val="20"/>
                <w:szCs w:val="20"/>
              </w:rPr>
              <w:t>How you will mitigate the risk to the investigator:</w:t>
            </w:r>
          </w:p>
          <w:p>
            <w:pPr>
              <w:pStyle w:val="30"/>
              <w:numPr>
                <w:ilvl w:val="0"/>
                <w:numId w:val="16"/>
              </w:numPr>
              <w:rPr>
                <w:rFonts w:hint="default" w:ascii="Times New Roman" w:hAnsi="Times New Roman" w:cs="Times New Roman"/>
                <w:sz w:val="20"/>
                <w:szCs w:val="20"/>
              </w:rPr>
            </w:pPr>
            <w:r>
              <w:rPr>
                <w:rFonts w:hint="default" w:ascii="Times New Roman" w:hAnsi="Times New Roman" w:cs="Times New Roman"/>
                <w:sz w:val="20"/>
                <w:szCs w:val="20"/>
              </w:rPr>
              <w:t>Maintain ethical standards and transparency throughout the research process.</w:t>
            </w:r>
          </w:p>
          <w:p>
            <w:pPr>
              <w:pStyle w:val="30"/>
              <w:numPr>
                <w:ilvl w:val="0"/>
                <w:numId w:val="16"/>
              </w:numPr>
              <w:rPr>
                <w:rFonts w:hint="default" w:ascii="Times New Roman" w:hAnsi="Times New Roman" w:cs="Times New Roman"/>
                <w:sz w:val="20"/>
                <w:szCs w:val="20"/>
              </w:rPr>
            </w:pPr>
            <w:r>
              <w:rPr>
                <w:rFonts w:hint="default" w:ascii="Times New Roman" w:hAnsi="Times New Roman" w:cs="Times New Roman"/>
                <w:sz w:val="20"/>
                <w:szCs w:val="20"/>
              </w:rPr>
              <w:t>Obtain informed consent from all participants involved in the research. Clearly explain the purpose of the study, potential risks, and benefits, how their data will be used, and their rights as participants.</w:t>
            </w:r>
          </w:p>
          <w:p>
            <w:pPr>
              <w:pStyle w:val="30"/>
              <w:numPr>
                <w:ilvl w:val="0"/>
                <w:numId w:val="16"/>
              </w:numPr>
              <w:rPr>
                <w:rFonts w:hint="default" w:ascii="Times New Roman" w:hAnsi="Times New Roman" w:cs="Times New Roman"/>
                <w:sz w:val="20"/>
                <w:szCs w:val="20"/>
              </w:rPr>
            </w:pPr>
            <w:r>
              <w:rPr>
                <w:rFonts w:hint="default" w:ascii="Times New Roman" w:hAnsi="Times New Roman" w:cs="Times New Roman"/>
                <w:sz w:val="20"/>
                <w:szCs w:val="20"/>
              </w:rPr>
              <w:t>Implement measures to protect the well-being and privacy of research participants.</w:t>
            </w: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09" w:hRule="atLeast"/>
        </w:trPr>
        <w:tc>
          <w:tcPr>
            <w:tcW w:w="400" w:type="dxa"/>
            <w:tcBorders>
              <w:top w:val="single" w:color="auto" w:sz="4" w:space="0"/>
              <w:bottom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5</w:t>
            </w:r>
          </w:p>
        </w:tc>
        <w:tc>
          <w:tcPr>
            <w:tcW w:w="11260"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
                <w:sz w:val="20"/>
                <w:szCs w:val="20"/>
              </w:rPr>
              <w:t>University/institutional risks</w:t>
            </w:r>
          </w:p>
          <w:p>
            <w:pPr>
              <w:rPr>
                <w:rFonts w:hint="default" w:ascii="Times New Roman" w:hAnsi="Times New Roman" w:cs="Times New Roman"/>
                <w:sz w:val="20"/>
                <w:szCs w:val="20"/>
              </w:rPr>
            </w:pPr>
            <w:r>
              <w:rPr>
                <w:rFonts w:hint="default" w:ascii="Times New Roman" w:hAnsi="Times New Roman" w:cs="Times New Roman"/>
                <w:sz w:val="20"/>
                <w:szCs w:val="20"/>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0"/>
                <w:szCs w:val="20"/>
              </w:rPr>
            </w:pPr>
          </w:p>
        </w:tc>
        <w:tc>
          <w:tcPr>
            <w:tcW w:w="6328"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Risk to the University:</w:t>
            </w:r>
          </w:p>
          <w:p>
            <w:pPr>
              <w:rPr>
                <w:rFonts w:hint="default" w:ascii="Times New Roman" w:hAnsi="Times New Roman" w:cs="Times New Roman"/>
                <w:sz w:val="20"/>
                <w:szCs w:val="20"/>
              </w:rPr>
            </w:pPr>
            <w:r>
              <w:rPr>
                <w:rFonts w:hint="default" w:ascii="Times New Roman" w:hAnsi="Times New Roman" w:cs="Times New Roman"/>
                <w:sz w:val="20"/>
                <w:szCs w:val="20"/>
              </w:rPr>
              <w:t>data protection</w:t>
            </w: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0"/>
                <w:szCs w:val="20"/>
              </w:rPr>
            </w:pPr>
            <w:r>
              <w:rPr>
                <w:rFonts w:hint="default" w:ascii="Times New Roman" w:hAnsi="Times New Roman" w:cs="Times New Roman"/>
                <w:i/>
                <w:sz w:val="20"/>
                <w:szCs w:val="20"/>
              </w:rPr>
              <w:t>How you will mitigate the risk to the University:</w:t>
            </w:r>
          </w:p>
          <w:p>
            <w:pPr>
              <w:rPr>
                <w:rFonts w:hint="default" w:ascii="Times New Roman" w:hAnsi="Times New Roman" w:cs="Times New Roman"/>
                <w:sz w:val="20"/>
                <w:szCs w:val="20"/>
              </w:rPr>
            </w:pPr>
            <w:r>
              <w:rPr>
                <w:rFonts w:hint="default" w:ascii="Times New Roman" w:hAnsi="Times New Roman" w:cs="Times New Roman"/>
                <w:sz w:val="20"/>
                <w:szCs w:val="20"/>
              </w:rPr>
              <w:t>Adhere to the university's data protection policies, guidelines, and procedures.</w:t>
            </w:r>
          </w:p>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Stored in University, server for safety.</w:t>
            </w:r>
          </w:p>
          <w:p>
            <w:pPr>
              <w:autoSpaceDE w:val="0"/>
              <w:autoSpaceDN w:val="0"/>
              <w:adjustRightInd w:val="0"/>
              <w:rPr>
                <w:rFonts w:hint="default" w:ascii="Times New Roman" w:hAnsi="Times New Roman"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shd w:val="clear" w:color="auto" w:fill="F1F1F1" w:themeFill="background1" w:themeFillShade="F2"/>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6</w:t>
            </w:r>
          </w:p>
        </w:tc>
        <w:tc>
          <w:tcPr>
            <w:tcW w:w="11260"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
                <w:sz w:val="20"/>
                <w:szCs w:val="20"/>
              </w:rPr>
              <w:t>Environmental risks</w:t>
            </w:r>
          </w:p>
          <w:p>
            <w:pPr>
              <w:rPr>
                <w:rFonts w:hint="default" w:ascii="Times New Roman" w:hAnsi="Times New Roman" w:cs="Times New Roman"/>
                <w:sz w:val="20"/>
                <w:szCs w:val="20"/>
              </w:rPr>
            </w:pPr>
            <w:r>
              <w:rPr>
                <w:rFonts w:hint="default" w:ascii="Times New Roman" w:hAnsi="Times New Roman" w:cs="Times New Roman"/>
                <w:sz w:val="20"/>
                <w:szCs w:val="20"/>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0"/>
                <w:szCs w:val="20"/>
              </w:rPr>
            </w:pPr>
          </w:p>
        </w:tc>
        <w:tc>
          <w:tcPr>
            <w:tcW w:w="6328"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Risk to the environment:</w:t>
            </w:r>
          </w:p>
          <w:p>
            <w:pPr>
              <w:rPr>
                <w:rFonts w:hint="default" w:ascii="Times New Roman" w:hAnsi="Times New Roman" w:cs="Times New Roman"/>
                <w:sz w:val="20"/>
                <w:szCs w:val="20"/>
                <w:lang w:val="en-GB"/>
              </w:rPr>
            </w:pPr>
            <w:r>
              <w:rPr>
                <w:rFonts w:hint="default" w:ascii="Times New Roman" w:hAnsi="Times New Roman" w:cs="Times New Roman"/>
                <w:sz w:val="20"/>
                <w:szCs w:val="20"/>
              </w:rPr>
              <w:t xml:space="preserve">Waste </w:t>
            </w:r>
            <w:r>
              <w:rPr>
                <w:rFonts w:hint="default" w:ascii="Times New Roman" w:hAnsi="Times New Roman" w:cs="Times New Roman"/>
                <w:sz w:val="20"/>
                <w:szCs w:val="20"/>
                <w:lang w:val="en-GB"/>
              </w:rPr>
              <w:t xml:space="preserve">. </w:t>
            </w:r>
          </w:p>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Covid or flu.</w:t>
            </w:r>
          </w:p>
          <w:p>
            <w:pPr>
              <w:autoSpaceDE w:val="0"/>
              <w:autoSpaceDN w:val="0"/>
              <w:adjustRightInd w:val="0"/>
              <w:rPr>
                <w:rFonts w:hint="default" w:ascii="Times New Roman" w:hAnsi="Times New Roman" w:cs="Times New Roman"/>
                <w:sz w:val="20"/>
                <w:szCs w:val="20"/>
              </w:rPr>
            </w:pP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0"/>
                <w:szCs w:val="20"/>
              </w:rPr>
            </w:pPr>
            <w:r>
              <w:rPr>
                <w:rFonts w:hint="default" w:ascii="Times New Roman" w:hAnsi="Times New Roman" w:cs="Times New Roman"/>
                <w:i/>
                <w:sz w:val="20"/>
                <w:szCs w:val="20"/>
              </w:rPr>
              <w:t>How you will mitigate the risk to environment:</w:t>
            </w:r>
          </w:p>
          <w:p>
            <w:pPr>
              <w:rPr>
                <w:rFonts w:hint="default" w:ascii="Times New Roman" w:hAnsi="Times New Roman" w:cs="Times New Roman"/>
                <w:sz w:val="20"/>
                <w:szCs w:val="20"/>
              </w:rPr>
            </w:pPr>
            <w:r>
              <w:rPr>
                <w:rFonts w:hint="default" w:ascii="Times New Roman" w:hAnsi="Times New Roman" w:cs="Times New Roman"/>
                <w:sz w:val="20"/>
                <w:szCs w:val="20"/>
              </w:rPr>
              <w:t>Minimise waste generation by using digital documentation and data storage instead of paper whenever feasible.</w:t>
            </w:r>
          </w:p>
          <w:p>
            <w:pPr>
              <w:rPr>
                <w:rFonts w:hint="default" w:ascii="Times New Roman" w:hAnsi="Times New Roman" w:cs="Times New Roman"/>
                <w:sz w:val="20"/>
                <w:szCs w:val="20"/>
                <w:lang w:val="en-GB"/>
              </w:rPr>
            </w:pPr>
            <w:r>
              <w:rPr>
                <w:rFonts w:hint="default" w:ascii="Times New Roman" w:hAnsi="Times New Roman" w:cs="Times New Roman"/>
                <w:sz w:val="20"/>
                <w:szCs w:val="20"/>
                <w:lang w:val="en-GB"/>
              </w:rPr>
              <w:t>Use personal protective equipment (PPE)</w:t>
            </w:r>
          </w:p>
          <w:p>
            <w:pPr>
              <w:autoSpaceDE w:val="0"/>
              <w:autoSpaceDN w:val="0"/>
              <w:adjustRightInd w:val="0"/>
              <w:rPr>
                <w:rFonts w:hint="default" w:ascii="Times New Roman" w:hAnsi="Times New Roman" w:cs="Times New Roman"/>
                <w:sz w:val="20"/>
                <w:szCs w:val="20"/>
              </w:rPr>
            </w:pPr>
          </w:p>
        </w:tc>
      </w:tr>
    </w:tbl>
    <w:p>
      <w:pPr>
        <w:rPr>
          <w:rFonts w:hint="default" w:ascii="Times New Roman" w:hAnsi="Times New Roman" w:cs="Times New Roman"/>
          <w:sz w:val="20"/>
          <w:szCs w:val="20"/>
        </w:rPr>
      </w:pPr>
    </w:p>
    <w:tbl>
      <w:tblPr>
        <w:tblStyle w:val="6"/>
        <w:tblW w:w="11674" w:type="dxa"/>
        <w:tblInd w:w="-11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00"/>
        <w:gridCol w:w="8752"/>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40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p>
        </w:tc>
        <w:tc>
          <w:tcPr>
            <w:tcW w:w="11274"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b/>
                <w:sz w:val="20"/>
                <w:szCs w:val="20"/>
              </w:rPr>
            </w:pPr>
            <w:r>
              <w:rPr>
                <w:rFonts w:hint="default" w:ascii="Times New Roman" w:hAnsi="Times New Roman" w:cs="Times New Roman"/>
                <w:b/>
                <w:sz w:val="20"/>
                <w:szCs w:val="20"/>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p>
        </w:tc>
        <w:tc>
          <w:tcPr>
            <w:tcW w:w="8752"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p>
            <w:pPr>
              <w:autoSpaceDE w:val="0"/>
              <w:autoSpaceDN w:val="0"/>
              <w:adjustRightInd w:val="0"/>
              <w:jc w:val="center"/>
              <w:rPr>
                <w:rFonts w:hint="default" w:ascii="Times New Roman" w:hAnsi="Times New Roman" w:cs="Times New Roman"/>
                <w:b/>
                <w:sz w:val="20"/>
                <w:szCs w:val="20"/>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p>
            <w:pPr>
              <w:autoSpaceDE w:val="0"/>
              <w:autoSpaceDN w:val="0"/>
              <w:adjustRightInd w:val="0"/>
              <w:jc w:val="center"/>
              <w:rPr>
                <w:rFonts w:hint="default" w:ascii="Times New Roman" w:hAnsi="Times New Roman" w:cs="Times New Roman"/>
                <w:b/>
                <w:sz w:val="20"/>
                <w:szCs w:val="20"/>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N/A</w:t>
            </w:r>
          </w:p>
          <w:p>
            <w:pPr>
              <w:autoSpaceDE w:val="0"/>
              <w:autoSpaceDN w:val="0"/>
              <w:adjustRightInd w:val="0"/>
              <w:jc w:val="center"/>
              <w:rPr>
                <w:rFonts w:hint="default" w:ascii="Times New Roman" w:hAnsi="Times New Roman" w:cs="Times New Roman"/>
                <w:b/>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40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Cs/>
                <w:sz w:val="20"/>
                <w:szCs w:val="20"/>
              </w:rPr>
              <w:t>7</w:t>
            </w:r>
          </w:p>
        </w:tc>
        <w:tc>
          <w:tcPr>
            <w:tcW w:w="8752"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41878043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201891523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77448275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400"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Cs/>
                <w:sz w:val="20"/>
                <w:szCs w:val="20"/>
              </w:rPr>
              <w:t>8</w:t>
            </w:r>
          </w:p>
        </w:tc>
        <w:tc>
          <w:tcPr>
            <w:tcW w:w="8752"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hint="default" w:ascii="Times New Roman" w:hAnsi="Times New Roman" w:cs="Times New Roman"/>
                <w:b/>
                <w:bCs/>
                <w:sz w:val="20"/>
                <w:szCs w:val="20"/>
              </w:rPr>
            </w:pPr>
          </w:p>
        </w:tc>
      </w:tr>
    </w:tbl>
    <w:p>
      <w:pPr>
        <w:autoSpaceDE w:val="0"/>
        <w:autoSpaceDN w:val="0"/>
        <w:adjustRightInd w:val="0"/>
        <w:spacing w:after="240"/>
        <w:jc w:val="both"/>
        <w:rPr>
          <w:rFonts w:hint="default" w:ascii="Times New Roman" w:hAnsi="Times New Roman" w:cs="Times New Roman"/>
          <w:b/>
          <w:sz w:val="20"/>
          <w:szCs w:val="20"/>
        </w:rPr>
      </w:pPr>
    </w:p>
    <w:p>
      <w:pPr>
        <w:rPr>
          <w:rFonts w:hint="default" w:ascii="Times New Roman" w:hAnsi="Times New Roman" w:cs="Times New Roman"/>
          <w:b/>
          <w:sz w:val="20"/>
          <w:szCs w:val="20"/>
        </w:rPr>
      </w:pPr>
      <w:r>
        <w:rPr>
          <w:rFonts w:hint="default" w:ascii="Times New Roman" w:hAnsi="Times New Roman" w:cs="Times New Roman"/>
          <w:b/>
          <w:sz w:val="20"/>
          <w:szCs w:val="20"/>
        </w:rPr>
        <w:t>SECTION I: Feedback, Consent and Confidentiality</w:t>
      </w:r>
    </w:p>
    <w:p>
      <w:pPr>
        <w:rPr>
          <w:rFonts w:hint="default" w:ascii="Times New Roman" w:hAnsi="Times New Roman" w:cs="Times New Roman"/>
          <w:b/>
          <w:sz w:val="20"/>
          <w:szCs w:val="20"/>
        </w:rPr>
      </w:pPr>
    </w:p>
    <w:tbl>
      <w:tblPr>
        <w:tblStyle w:val="6"/>
        <w:tblW w:w="11674" w:type="dxa"/>
        <w:tblInd w:w="-11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
        <w:gridCol w:w="112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Cs/>
                <w:sz w:val="20"/>
                <w:szCs w:val="20"/>
              </w:rPr>
            </w:pPr>
            <w:r>
              <w:rPr>
                <w:rFonts w:hint="default" w:ascii="Times New Roman" w:hAnsi="Times New Roman" w:cs="Times New Roman"/>
                <w:bCs/>
                <w:sz w:val="20"/>
                <w:szCs w:val="20"/>
              </w:rPr>
              <w:t>1</w:t>
            </w:r>
          </w:p>
        </w:tc>
        <w:tc>
          <w:tcPr>
            <w:tcW w:w="11260"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
                <w:sz w:val="20"/>
                <w:szCs w:val="20"/>
              </w:rPr>
              <w:t>Feedback</w:t>
            </w:r>
          </w:p>
          <w:p>
            <w:pPr>
              <w:rPr>
                <w:rFonts w:hint="default" w:ascii="Times New Roman" w:hAnsi="Times New Roman" w:cs="Times New Roman"/>
                <w:sz w:val="20"/>
                <w:szCs w:val="20"/>
              </w:rPr>
            </w:pPr>
            <w:r>
              <w:rPr>
                <w:rFonts w:hint="default" w:ascii="Times New Roman" w:hAnsi="Times New Roman" w:cs="Times New Roman"/>
                <w:sz w:val="20"/>
                <w:szCs w:val="20"/>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 w:type="dxa"/>
            <w:tcBorders>
              <w:top w:val="single" w:color="auto" w:sz="4" w:space="0"/>
              <w:bottom w:val="single" w:color="auto" w:sz="4" w:space="0"/>
            </w:tcBorders>
          </w:tcPr>
          <w:p>
            <w:pPr>
              <w:rPr>
                <w:rFonts w:hint="default" w:ascii="Times New Roman" w:hAnsi="Times New Roman" w:cs="Times New Roman"/>
                <w:bCs/>
                <w:sz w:val="20"/>
                <w:szCs w:val="20"/>
              </w:rPr>
            </w:pPr>
          </w:p>
        </w:tc>
        <w:tc>
          <w:tcPr>
            <w:tcW w:w="11260" w:type="dxa"/>
            <w:tcBorders>
              <w:top w:val="single" w:color="auto" w:sz="4" w:space="0"/>
              <w:bottom w:val="single" w:color="auto" w:sz="4" w:space="0"/>
            </w:tcBorders>
          </w:tcPr>
          <w:p>
            <w:pPr>
              <w:rPr>
                <w:rFonts w:hint="default" w:ascii="Times New Roman" w:hAnsi="Times New Roman" w:cs="Times New Roman"/>
                <w:sz w:val="20"/>
                <w:szCs w:val="20"/>
              </w:rPr>
            </w:pPr>
          </w:p>
          <w:p>
            <w:pPr>
              <w:rPr>
                <w:rFonts w:hint="default" w:ascii="Times New Roman" w:hAnsi="Times New Roman" w:cs="Times New Roman"/>
                <w:sz w:val="20"/>
                <w:szCs w:val="20"/>
              </w:rPr>
            </w:pPr>
            <w:r>
              <w:rPr>
                <w:rFonts w:hint="default" w:ascii="Times New Roman" w:hAnsi="Times New Roman" w:cs="Times New Roman"/>
                <w:sz w:val="20"/>
                <w:szCs w:val="20"/>
              </w:rPr>
              <w:t>Share the outcomes of the research with participants, allowing them to understand how their participation contributed to the study.</w:t>
            </w:r>
            <w:r>
              <w:rPr>
                <w:rFonts w:hint="default" w:ascii="Times New Roman" w:hAnsi="Times New Roman" w:cs="Times New Roman"/>
                <w:color w:val="0F0F0F"/>
                <w:sz w:val="20"/>
                <w:szCs w:val="20"/>
              </w:rPr>
              <w:t xml:space="preserve"> </w:t>
            </w:r>
            <w:r>
              <w:rPr>
                <w:rFonts w:hint="default" w:ascii="Times New Roman" w:hAnsi="Times New Roman" w:cs="Times New Roman"/>
                <w:sz w:val="20"/>
                <w:szCs w:val="20"/>
              </w:rPr>
              <w:t>The feedback will be provided after the research findings have been analysed and validated.</w:t>
            </w:r>
          </w:p>
          <w:p>
            <w:pPr>
              <w:autoSpaceDE w:val="0"/>
              <w:autoSpaceDN w:val="0"/>
              <w:adjustRightInd w:val="0"/>
              <w:rPr>
                <w:rFonts w:hint="default" w:ascii="Times New Roman" w:hAnsi="Times New Roman"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5" w:hRule="atLeast"/>
        </w:trPr>
        <w:tc>
          <w:tcPr>
            <w:tcW w:w="414"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Cs/>
                <w:sz w:val="20"/>
                <w:szCs w:val="20"/>
              </w:rPr>
            </w:pPr>
            <w:r>
              <w:rPr>
                <w:rFonts w:hint="default" w:ascii="Times New Roman" w:hAnsi="Times New Roman" w:cs="Times New Roman"/>
                <w:bCs/>
                <w:sz w:val="20"/>
                <w:szCs w:val="20"/>
              </w:rPr>
              <w:t>2</w:t>
            </w:r>
          </w:p>
        </w:tc>
        <w:tc>
          <w:tcPr>
            <w:tcW w:w="11260"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0"/>
                <w:szCs w:val="20"/>
              </w:rPr>
            </w:pPr>
            <w:r>
              <w:rPr>
                <w:rFonts w:hint="default" w:ascii="Times New Roman" w:hAnsi="Times New Roman" w:cs="Times New Roman"/>
                <w:b/>
                <w:sz w:val="20"/>
                <w:szCs w:val="20"/>
              </w:rPr>
              <w:t>Informed consent</w:t>
            </w:r>
          </w:p>
          <w:p>
            <w:pPr>
              <w:autoSpaceDE w:val="0"/>
              <w:autoSpaceDN w:val="0"/>
              <w:adjustRightInd w:val="0"/>
              <w:rPr>
                <w:rFonts w:hint="default" w:ascii="Times New Roman" w:hAnsi="Times New Roman" w:cs="Times New Roman"/>
                <w:sz w:val="20"/>
                <w:szCs w:val="20"/>
                <w:lang w:eastAsia="en-GB"/>
              </w:rPr>
            </w:pPr>
            <w:r>
              <w:rPr>
                <w:rFonts w:hint="default" w:ascii="Times New Roman" w:hAnsi="Times New Roman" w:cs="Times New Roman"/>
                <w:sz w:val="20"/>
                <w:szCs w:val="20"/>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15" w:hRule="atLeast"/>
        </w:trPr>
        <w:tc>
          <w:tcPr>
            <w:tcW w:w="414" w:type="dxa"/>
            <w:tcBorders>
              <w:top w:val="single" w:color="auto" w:sz="4" w:space="0"/>
              <w:bottom w:val="single" w:color="auto" w:sz="4" w:space="0"/>
            </w:tcBorders>
          </w:tcPr>
          <w:p>
            <w:pPr>
              <w:rPr>
                <w:rFonts w:hint="default" w:ascii="Times New Roman" w:hAnsi="Times New Roman" w:cs="Times New Roman"/>
                <w:bCs/>
                <w:sz w:val="20"/>
                <w:szCs w:val="20"/>
              </w:rPr>
            </w:pPr>
          </w:p>
        </w:tc>
        <w:tc>
          <w:tcPr>
            <w:tcW w:w="11260" w:type="dxa"/>
            <w:tcBorders>
              <w:top w:val="single" w:color="auto" w:sz="4" w:space="0"/>
              <w:bottom w:val="single" w:color="auto" w:sz="4" w:space="0"/>
            </w:tcBorders>
          </w:tcPr>
          <w:p>
            <w:pPr>
              <w:rPr>
                <w:rFonts w:hint="default" w:ascii="Times New Roman" w:hAnsi="Times New Roman" w:cs="Times New Roman"/>
                <w:sz w:val="20"/>
                <w:szCs w:val="20"/>
              </w:rPr>
            </w:pPr>
            <w:r>
              <w:rPr>
                <w:rFonts w:hint="default" w:ascii="Times New Roman" w:hAnsi="Times New Roman" w:cs="Times New Roman"/>
                <w:sz w:val="20"/>
                <w:szCs w:val="20"/>
              </w:rPr>
              <w:t xml:space="preserve">Prepare detailed information sheets outlining the purpose, procedures, potential risks, benefits in clear and understandable language. The information on data handling, confidentiality measures, will be provided. Written consent will be obtained from participants before data collection begins. Provide consent forms that clearly outline the key points covered in the informational materials. </w:t>
            </w:r>
          </w:p>
          <w:p>
            <w:pPr>
              <w:autoSpaceDE w:val="0"/>
              <w:autoSpaceDN w:val="0"/>
              <w:adjustRightInd w:val="0"/>
              <w:rPr>
                <w:rFonts w:hint="default" w:ascii="Times New Roman" w:hAnsi="Times New Roman"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4" w:hRule="atLeast"/>
        </w:trPr>
        <w:tc>
          <w:tcPr>
            <w:tcW w:w="414"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Cs/>
                <w:sz w:val="20"/>
                <w:szCs w:val="20"/>
              </w:rPr>
            </w:pPr>
            <w:r>
              <w:rPr>
                <w:rFonts w:hint="default" w:ascii="Times New Roman" w:hAnsi="Times New Roman" w:cs="Times New Roman"/>
                <w:bCs/>
                <w:sz w:val="20"/>
                <w:szCs w:val="20"/>
              </w:rPr>
              <w:t>3</w:t>
            </w:r>
          </w:p>
        </w:tc>
        <w:tc>
          <w:tcPr>
            <w:tcW w:w="11260"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
                <w:sz w:val="20"/>
                <w:szCs w:val="20"/>
              </w:rPr>
            </w:pPr>
            <w:r>
              <w:rPr>
                <w:rFonts w:hint="default" w:ascii="Times New Roman" w:hAnsi="Times New Roman" w:cs="Times New Roman"/>
                <w:b/>
                <w:sz w:val="20"/>
                <w:szCs w:val="20"/>
              </w:rPr>
              <w:t>Confidentiality / Anonymity</w:t>
            </w:r>
          </w:p>
          <w:p>
            <w:pPr>
              <w:rPr>
                <w:rFonts w:hint="default" w:ascii="Times New Roman" w:hAnsi="Times New Roman" w:cs="Times New Roman"/>
                <w:sz w:val="20"/>
                <w:szCs w:val="20"/>
              </w:rPr>
            </w:pPr>
            <w:r>
              <w:rPr>
                <w:rFonts w:hint="default" w:ascii="Times New Roman" w:hAnsi="Times New Roman" w:cs="Times New Roman"/>
                <w:sz w:val="20"/>
                <w:szCs w:val="20"/>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 w:type="dxa"/>
            <w:tcBorders>
              <w:top w:val="single" w:color="auto" w:sz="4" w:space="0"/>
              <w:bottom w:val="single" w:color="auto" w:sz="4" w:space="0"/>
            </w:tcBorders>
          </w:tcPr>
          <w:p>
            <w:pPr>
              <w:rPr>
                <w:rFonts w:hint="default" w:ascii="Times New Roman" w:hAnsi="Times New Roman" w:cs="Times New Roman"/>
                <w:bCs/>
                <w:sz w:val="20"/>
                <w:szCs w:val="20"/>
              </w:rPr>
            </w:pPr>
          </w:p>
        </w:tc>
        <w:tc>
          <w:tcPr>
            <w:tcW w:w="11260" w:type="dxa"/>
            <w:tcBorders>
              <w:top w:val="single" w:color="auto" w:sz="4" w:space="0"/>
              <w:bottom w:val="single" w:color="auto" w:sz="4" w:space="0"/>
            </w:tcBorders>
          </w:tcPr>
          <w:p>
            <w:pPr>
              <w:rPr>
                <w:rFonts w:hint="default" w:ascii="Times New Roman" w:hAnsi="Times New Roman" w:cs="Times New Roman"/>
                <w:sz w:val="20"/>
                <w:szCs w:val="20"/>
              </w:rPr>
            </w:pPr>
          </w:p>
          <w:p>
            <w:pPr>
              <w:numPr>
                <w:ilvl w:val="0"/>
                <w:numId w:val="17"/>
              </w:numPr>
              <w:rPr>
                <w:rFonts w:hint="default" w:ascii="Times New Roman" w:hAnsi="Times New Roman" w:cs="Times New Roman"/>
                <w:sz w:val="20"/>
                <w:szCs w:val="20"/>
              </w:rPr>
            </w:pPr>
            <w:r>
              <w:rPr>
                <w:rFonts w:hint="default" w:ascii="Times New Roman" w:hAnsi="Times New Roman" w:cs="Times New Roman"/>
                <w:sz w:val="20"/>
                <w:szCs w:val="20"/>
              </w:rPr>
              <w:t>Data aggregation or grouping will be used wherever possible to present findings without singling out individuals. Adhere to ethical guidelines and legal requirements concerning confidentiality and anonymity as per prevailing data protection legislation.</w:t>
            </w:r>
          </w:p>
          <w:p>
            <w:pPr>
              <w:numPr>
                <w:ilvl w:val="0"/>
                <w:numId w:val="17"/>
              </w:numPr>
              <w:rPr>
                <w:rFonts w:hint="default" w:ascii="Times New Roman" w:hAnsi="Times New Roman" w:cs="Times New Roman"/>
                <w:sz w:val="20"/>
                <w:szCs w:val="20"/>
              </w:rPr>
            </w:pPr>
            <w:r>
              <w:rPr>
                <w:rFonts w:hint="default" w:ascii="Times New Roman" w:hAnsi="Times New Roman" w:cs="Times New Roman"/>
                <w:sz w:val="20"/>
                <w:szCs w:val="20"/>
              </w:rPr>
              <w:t>Clearly communicate to participants the measures taken to ensure their information remains confidential and anonymised.</w:t>
            </w:r>
          </w:p>
          <w:p>
            <w:pPr>
              <w:autoSpaceDE w:val="0"/>
              <w:autoSpaceDN w:val="0"/>
              <w:adjustRightInd w:val="0"/>
              <w:rPr>
                <w:rFonts w:hint="default" w:ascii="Times New Roman" w:hAnsi="Times New Roman" w:cs="Times New Roman"/>
                <w:sz w:val="20"/>
                <w:szCs w:val="20"/>
              </w:rPr>
            </w:pPr>
          </w:p>
        </w:tc>
      </w:tr>
    </w:tbl>
    <w:p>
      <w:pPr>
        <w:rPr>
          <w:rFonts w:hint="default" w:ascii="Times New Roman" w:hAnsi="Times New Roman" w:cs="Times New Roman"/>
          <w:sz w:val="20"/>
          <w:szCs w:val="20"/>
        </w:rPr>
      </w:pPr>
    </w:p>
    <w:p>
      <w:pPr>
        <w:rPr>
          <w:rFonts w:hint="default" w:ascii="Times New Roman" w:hAnsi="Times New Roman" w:cs="Times New Roman"/>
          <w:b/>
          <w:sz w:val="20"/>
          <w:szCs w:val="20"/>
        </w:rPr>
      </w:pPr>
      <w:r>
        <w:rPr>
          <w:rFonts w:hint="default" w:ascii="Times New Roman" w:hAnsi="Times New Roman" w:cs="Times New Roman"/>
          <w:b/>
          <w:sz w:val="20"/>
          <w:szCs w:val="20"/>
        </w:rPr>
        <w:t>SECTION J: Data Protection and Storage</w:t>
      </w:r>
    </w:p>
    <w:p>
      <w:pPr>
        <w:rPr>
          <w:rFonts w:hint="default" w:ascii="Times New Roman" w:hAnsi="Times New Roman" w:cs="Times New Roman"/>
          <w:b/>
          <w:sz w:val="20"/>
          <w:szCs w:val="20"/>
        </w:rPr>
      </w:pPr>
    </w:p>
    <w:tbl>
      <w:tblPr>
        <w:tblStyle w:val="6"/>
        <w:tblW w:w="11660" w:type="dxa"/>
        <w:tblInd w:w="-117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400"/>
        <w:gridCol w:w="9242"/>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400"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cs="Times New Roman"/>
                <w:sz w:val="20"/>
                <w:szCs w:val="20"/>
              </w:rPr>
            </w:pPr>
          </w:p>
        </w:tc>
        <w:tc>
          <w:tcPr>
            <w:tcW w:w="9242"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Does the research activity involve personal da</w:t>
            </w:r>
            <w:r>
              <w:rPr>
                <w:rFonts w:hint="default" w:ascii="Times New Roman" w:hAnsi="Times New Roman" w:cs="Times New Roman"/>
                <w:sz w:val="20"/>
                <w:szCs w:val="20"/>
                <w:shd w:val="clear" w:color="auto" w:fill="F1F1F1" w:themeFill="background1" w:themeFillShade="F2"/>
              </w:rPr>
              <w:t>t</w:t>
            </w:r>
            <w:r>
              <w:rPr>
                <w:rFonts w:hint="default" w:ascii="Times New Roman" w:hAnsi="Times New Roman" w:cs="Times New Roman"/>
                <w:sz w:val="20"/>
                <w:szCs w:val="20"/>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eastAsia="MS Gothic" w:cs="Times New Roman"/>
                <w:b/>
                <w:bCs/>
                <w:sz w:val="20"/>
                <w:szCs w:val="20"/>
                <w:lang w:val="en-US"/>
              </w:rPr>
            </w:pPr>
            <w:r>
              <w:rPr>
                <w:rFonts w:hint="default" w:ascii="Times New Roman" w:hAnsi="Times New Roman" w:cs="Times New Roman"/>
                <w:b/>
                <w:bCs/>
                <w:sz w:val="20"/>
                <w:szCs w:val="20"/>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eastAsia="MS Gothic" w:cs="Times New Roman"/>
                <w:b/>
                <w:bCs/>
                <w:sz w:val="20"/>
                <w:szCs w:val="20"/>
                <w:lang w:val="en-US"/>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400"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spacing w:before="0" w:beforeAutospacing="0" w:after="0" w:afterAutospacing="0"/>
              <w:jc w:val="center"/>
              <w:rPr>
                <w:rFonts w:hint="default" w:ascii="Times New Roman" w:hAnsi="Times New Roman" w:cs="Times New Roman"/>
                <w:bCs/>
                <w:iCs/>
                <w:sz w:val="20"/>
                <w:szCs w:val="20"/>
              </w:rPr>
            </w:pPr>
            <w:r>
              <w:rPr>
                <w:rFonts w:hint="default" w:ascii="Times New Roman" w:hAnsi="Times New Roman" w:cs="Times New Roman"/>
                <w:bCs/>
                <w:iCs/>
                <w:sz w:val="20"/>
                <w:szCs w:val="20"/>
              </w:rPr>
              <w:t>1</w:t>
            </w:r>
          </w:p>
        </w:tc>
        <w:tc>
          <w:tcPr>
            <w:tcW w:w="9242"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b/>
                <w:bCs/>
                <w:i/>
                <w:iCs/>
                <w:sz w:val="20"/>
                <w:szCs w:val="20"/>
              </w:rPr>
              <w:t>“Personal data”</w:t>
            </w:r>
            <w:r>
              <w:rPr>
                <w:rFonts w:hint="default" w:ascii="Times New Roman" w:hAnsi="Times New Roman" w:cs="Times New Roman"/>
                <w:i/>
                <w:iCs/>
                <w:sz w:val="20"/>
                <w:szCs w:val="20"/>
              </w:rPr>
              <w:t xml:space="preserve"> </w:t>
            </w:r>
            <w:r>
              <w:rPr>
                <w:rFonts w:hint="default" w:ascii="Times New Roman" w:hAnsi="Times New Roman" w:cs="Times New Roman"/>
                <w:i/>
                <w:iCs/>
                <w:color w:val="333333"/>
                <w:sz w:val="20"/>
                <w:szCs w:val="20"/>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1"/>
              <w:autoSpaceDE w:val="0"/>
              <w:autoSpaceDN w:val="0"/>
              <w:adjustRightInd w:val="0"/>
              <w:jc w:val="center"/>
              <w:rPr>
                <w:rFonts w:hint="default" w:ascii="Times New Roman" w:hAnsi="Times New Roman" w:eastAsia="MS Gothic" w:cs="Times New Roman"/>
                <w:sz w:val="20"/>
                <w:szCs w:val="20"/>
                <w:lang w:val="en-US"/>
              </w:rPr>
            </w:pPr>
            <w:r>
              <w:rPr>
                <w:rFonts w:hint="default" w:ascii="Times New Roman" w:hAnsi="Times New Roman" w:eastAsia="MS Gothic" w:cs="Times New Roman"/>
                <w:sz w:val="20"/>
                <w:szCs w:val="20"/>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1"/>
              <w:autoSpaceDE w:val="0"/>
              <w:autoSpaceDN w:val="0"/>
              <w:adjustRightInd w:val="0"/>
              <w:jc w:val="center"/>
              <w:rPr>
                <w:rFonts w:hint="default" w:ascii="Times New Roman" w:hAnsi="Times New Roman" w:eastAsia="MS Gothic" w:cs="Times New Roman"/>
                <w:sz w:val="20"/>
                <w:szCs w:val="20"/>
                <w:lang w:val="en-US"/>
              </w:rPr>
            </w:pPr>
            <w:sdt>
              <w:sdtPr>
                <w:rPr>
                  <w:rFonts w:hint="default" w:ascii="Times New Roman" w:hAnsi="Times New Roman" w:cs="Times New Roman"/>
                  <w:sz w:val="20"/>
                  <w:szCs w:val="20"/>
                </w:rPr>
                <w:id w:val="-464273835"/>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40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cs="Times New Roman"/>
                <w:sz w:val="20"/>
                <w:szCs w:val="20"/>
              </w:rPr>
            </w:pPr>
          </w:p>
        </w:tc>
        <w:tc>
          <w:tcPr>
            <w:tcW w:w="11260"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YES, provide a</w:t>
            </w:r>
            <w:r>
              <w:rPr>
                <w:rFonts w:hint="default" w:ascii="Times New Roman" w:hAnsi="Times New Roman" w:cs="Times New Roman"/>
                <w:b/>
                <w:bCs/>
                <w:sz w:val="20"/>
                <w:szCs w:val="20"/>
              </w:rPr>
              <w:t xml:space="preserve"> </w:t>
            </w:r>
            <w:r>
              <w:rPr>
                <w:rFonts w:hint="default" w:ascii="Times New Roman" w:hAnsi="Times New Roman" w:cs="Times New Roman"/>
                <w:sz w:val="20"/>
                <w:szCs w:val="20"/>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90" w:hRule="atLeast"/>
        </w:trPr>
        <w:tc>
          <w:tcPr>
            <w:tcW w:w="400" w:type="dxa"/>
            <w:tcBorders>
              <w:top w:val="single" w:color="auto" w:sz="4" w:space="0"/>
              <w:left w:val="single" w:color="auto" w:sz="4" w:space="0"/>
              <w:bottom w:val="single" w:color="auto" w:sz="4" w:space="0"/>
              <w:right w:val="single" w:color="auto" w:sz="4" w:space="0"/>
            </w:tcBorders>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2</w:t>
            </w:r>
          </w:p>
        </w:tc>
        <w:tc>
          <w:tcPr>
            <w:tcW w:w="11260" w:type="dxa"/>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i/>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400"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spacing w:before="0" w:beforeAutospacing="0" w:after="0" w:afterAutospacing="0"/>
              <w:jc w:val="center"/>
              <w:rPr>
                <w:rFonts w:hint="default" w:ascii="Times New Roman" w:hAnsi="Times New Roman" w:cs="Times New Roman"/>
                <w:sz w:val="20"/>
                <w:szCs w:val="20"/>
              </w:rPr>
            </w:pPr>
          </w:p>
        </w:tc>
        <w:tc>
          <w:tcPr>
            <w:tcW w:w="9242"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spacing w:before="0" w:beforeAutospacing="0" w:after="0" w:afterAutospacing="0"/>
              <w:rPr>
                <w:rFonts w:hint="default" w:ascii="Times New Roman" w:hAnsi="Times New Roman" w:cs="Times New Roman" w:eastAsiaTheme="minorHAnsi"/>
                <w:sz w:val="20"/>
                <w:szCs w:val="20"/>
              </w:rPr>
            </w:pPr>
            <w:r>
              <w:rPr>
                <w:rFonts w:hint="default" w:ascii="Times New Roman" w:hAnsi="Times New Roman" w:cs="Times New Roman"/>
                <w:sz w:val="20"/>
                <w:szCs w:val="20"/>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eastAsia="MS Gothic" w:cs="Times New Roman"/>
                <w:b/>
                <w:bCs/>
                <w:sz w:val="20"/>
                <w:szCs w:val="20"/>
                <w:lang w:val="en-US"/>
              </w:rPr>
            </w:pPr>
            <w:r>
              <w:rPr>
                <w:rFonts w:hint="default" w:ascii="Times New Roman" w:hAnsi="Times New Roman" w:cs="Times New Roman"/>
                <w:b/>
                <w:bCs/>
                <w:sz w:val="20"/>
                <w:szCs w:val="20"/>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eastAsia="MS Gothic" w:cs="Times New Roman"/>
                <w:b/>
                <w:bCs/>
                <w:sz w:val="20"/>
                <w:szCs w:val="20"/>
                <w:lang w:val="en-US"/>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40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spacing w:before="0" w:beforeAutospacing="0" w:after="0" w:afterAutospacing="0"/>
              <w:jc w:val="center"/>
              <w:rPr>
                <w:rStyle w:val="13"/>
                <w:rFonts w:hint="default" w:ascii="Times New Roman" w:hAnsi="Times New Roman" w:cs="Times New Roman"/>
                <w:b w:val="0"/>
                <w:iCs/>
                <w:color w:val="000000"/>
                <w:sz w:val="20"/>
                <w:szCs w:val="20"/>
              </w:rPr>
            </w:pPr>
            <w:r>
              <w:rPr>
                <w:rStyle w:val="13"/>
                <w:rFonts w:hint="default" w:ascii="Times New Roman" w:hAnsi="Times New Roman" w:cs="Times New Roman"/>
                <w:b w:val="0"/>
                <w:iCs/>
                <w:color w:val="000000"/>
                <w:sz w:val="20"/>
                <w:szCs w:val="20"/>
              </w:rPr>
              <w:t>3</w:t>
            </w:r>
          </w:p>
        </w:tc>
        <w:tc>
          <w:tcPr>
            <w:tcW w:w="924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spacing w:before="0" w:beforeAutospacing="0" w:after="0" w:afterAutospacing="0"/>
              <w:rPr>
                <w:rFonts w:hint="default" w:ascii="Times New Roman" w:hAnsi="Times New Roman" w:cs="Times New Roman"/>
                <w:sz w:val="20"/>
                <w:szCs w:val="20"/>
              </w:rPr>
            </w:pPr>
            <w:r>
              <w:rPr>
                <w:rStyle w:val="13"/>
                <w:rFonts w:hint="default" w:ascii="Times New Roman" w:hAnsi="Times New Roman" w:cs="Times New Roman"/>
                <w:i/>
                <w:iCs/>
                <w:color w:val="000000"/>
                <w:sz w:val="20"/>
                <w:szCs w:val="20"/>
              </w:rPr>
              <w:t>“Special category data”</w:t>
            </w:r>
            <w:r>
              <w:rPr>
                <w:rFonts w:hint="default" w:ascii="Times New Roman" w:hAnsi="Times New Roman" w:cs="Times New Roman"/>
                <w:i/>
                <w:iCs/>
                <w:color w:val="000000"/>
                <w:sz w:val="20"/>
                <w:szCs w:val="20"/>
              </w:rPr>
              <w:t> means sensitive personal data consisting of information as to the data subjects’ –</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(a) racial or ethnic origin,</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(b) political opinions,</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(c ) religious beliefs or other beliefs of a similar nature,</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(d) membership of a trade union (within the meaning of the Trade Union and Labour Relations (Consolidation) Act 1992),</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(e) physical or mental health or condition,</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(f) sexual life,</w:t>
            </w:r>
          </w:p>
          <w:p>
            <w:pPr>
              <w:pStyle w:val="11"/>
              <w:spacing w:before="0" w:beforeAutospacing="0" w:after="0" w:afterAutospacing="0"/>
              <w:rPr>
                <w:rFonts w:hint="default" w:ascii="Times New Roman" w:hAnsi="Times New Roman" w:cs="Times New Roman"/>
                <w:sz w:val="20"/>
                <w:szCs w:val="20"/>
              </w:rPr>
            </w:pPr>
            <w:r>
              <w:rPr>
                <w:rFonts w:hint="default" w:ascii="Times New Roman" w:hAnsi="Times New Roman" w:cs="Times New Roman"/>
                <w:i/>
                <w:iCs/>
                <w:color w:val="000000"/>
                <w:sz w:val="20"/>
                <w:szCs w:val="20"/>
              </w:rPr>
              <w:t>(g) genetics,</w:t>
            </w:r>
          </w:p>
          <w:p>
            <w:pPr>
              <w:pStyle w:val="11"/>
              <w:spacing w:before="0" w:beforeAutospacing="0" w:after="0" w:afterAutospacing="0"/>
              <w:rPr>
                <w:rFonts w:hint="default" w:ascii="Times New Roman" w:hAnsi="Times New Roman" w:cs="Times New Roman"/>
                <w:i/>
                <w:iCs/>
                <w:color w:val="000000"/>
                <w:sz w:val="20"/>
                <w:szCs w:val="20"/>
              </w:rPr>
            </w:pPr>
            <w:r>
              <w:rPr>
                <w:rFonts w:hint="default" w:ascii="Times New Roman" w:hAnsi="Times New Roman" w:cs="Times New Roman"/>
                <w:i/>
                <w:iCs/>
                <w:color w:val="000000"/>
                <w:sz w:val="20"/>
                <w:szCs w:val="20"/>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1"/>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1"/>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326017306"/>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40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jc w:val="center"/>
              <w:rPr>
                <w:rFonts w:hint="default" w:ascii="Times New Roman" w:hAnsi="Times New Roman" w:cs="Times New Roman"/>
                <w:sz w:val="20"/>
                <w:szCs w:val="20"/>
              </w:rPr>
            </w:pPr>
          </w:p>
        </w:tc>
        <w:tc>
          <w:tcPr>
            <w:tcW w:w="11260"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1"/>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If YES, provide a</w:t>
            </w:r>
            <w:r>
              <w:rPr>
                <w:rFonts w:hint="default" w:ascii="Times New Roman" w:hAnsi="Times New Roman" w:cs="Times New Roman"/>
                <w:b/>
                <w:bCs/>
                <w:sz w:val="20"/>
                <w:szCs w:val="20"/>
              </w:rPr>
              <w:t xml:space="preserve"> </w:t>
            </w:r>
            <w:r>
              <w:rPr>
                <w:rFonts w:hint="default" w:ascii="Times New Roman" w:hAnsi="Times New Roman" w:cs="Times New Roman"/>
                <w:sz w:val="20"/>
                <w:szCs w:val="20"/>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1248" w:hRule="atLeast"/>
        </w:trPr>
        <w:tc>
          <w:tcPr>
            <w:tcW w:w="400" w:type="dxa"/>
            <w:tcBorders>
              <w:top w:val="single" w:color="auto" w:sz="4" w:space="0"/>
              <w:left w:val="single" w:color="auto" w:sz="4" w:space="0"/>
              <w:bottom w:val="single" w:color="auto" w:sz="4" w:space="0"/>
              <w:right w:val="single" w:color="auto" w:sz="4" w:space="0"/>
            </w:tcBorders>
            <w:vAlign w:val="center"/>
          </w:tcPr>
          <w:p>
            <w:pPr>
              <w:jc w:val="center"/>
              <w:rPr>
                <w:rFonts w:hint="default" w:ascii="Times New Roman" w:hAnsi="Times New Roman" w:cs="Times New Roman"/>
                <w:sz w:val="20"/>
                <w:szCs w:val="20"/>
              </w:rPr>
            </w:pPr>
            <w:r>
              <w:rPr>
                <w:rFonts w:hint="default" w:ascii="Times New Roman" w:hAnsi="Times New Roman" w:cs="Times New Roman"/>
                <w:sz w:val="20"/>
                <w:szCs w:val="20"/>
              </w:rPr>
              <w:t>4</w:t>
            </w:r>
          </w:p>
        </w:tc>
        <w:tc>
          <w:tcPr>
            <w:tcW w:w="11260" w:type="dxa"/>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bl>
    <w:p>
      <w:pPr>
        <w:rPr>
          <w:rFonts w:hint="default" w:ascii="Times New Roman" w:hAnsi="Times New Roman" w:cs="Times New Roman"/>
          <w:sz w:val="20"/>
          <w:szCs w:val="20"/>
        </w:rPr>
      </w:pPr>
    </w:p>
    <w:tbl>
      <w:tblPr>
        <w:tblStyle w:val="14"/>
        <w:tblW w:w="11754" w:type="dxa"/>
        <w:tblInd w:w="-126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4"/>
        <w:gridCol w:w="9282"/>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p>
        </w:tc>
        <w:tc>
          <w:tcPr>
            <w:tcW w:w="9282" w:type="dxa"/>
            <w:shd w:val="clear" w:color="auto" w:fill="F1F1F1" w:themeFill="background1" w:themeFillShade="F2"/>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
                <w:sz w:val="20"/>
                <w:szCs w:val="20"/>
              </w:rPr>
              <w:br w:type="page"/>
            </w:r>
            <w:r>
              <w:rPr>
                <w:rFonts w:hint="default" w:ascii="Times New Roman" w:hAnsi="Times New Roman" w:cs="Times New Roman"/>
                <w:b/>
                <w:sz w:val="20"/>
                <w:szCs w:val="20"/>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1026"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5</w:t>
            </w:r>
          </w:p>
        </w:tc>
        <w:tc>
          <w:tcPr>
            <w:tcW w:w="928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Manual files (i.e. in paper form)?</w:t>
            </w:r>
          </w:p>
        </w:tc>
        <w:tc>
          <w:tcPr>
            <w:tcW w:w="992" w:type="dxa"/>
            <w:shd w:val="clear" w:color="auto" w:fill="BEBEBE" w:themeFill="background1" w:themeFillShade="BF"/>
          </w:tcPr>
          <w:sdt>
            <w:sdtPr>
              <w:rPr>
                <w:rFonts w:hint="default" w:ascii="Times New Roman" w:hAnsi="Times New Roman" w:cs="Times New Roman"/>
                <w:sz w:val="20"/>
                <w:szCs w:val="20"/>
              </w:rPr>
              <w:id w:val="-71689136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tcPr>
          <w:sdt>
            <w:sdtPr>
              <w:rPr>
                <w:rFonts w:hint="default" w:ascii="Times New Roman" w:hAnsi="Times New Roman" w:cs="Times New Roman"/>
                <w:sz w:val="20"/>
                <w:szCs w:val="20"/>
              </w:rPr>
              <w:id w:val="12451245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6</w:t>
            </w:r>
          </w:p>
        </w:tc>
        <w:tc>
          <w:tcPr>
            <w:tcW w:w="928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University computers?</w:t>
            </w:r>
          </w:p>
        </w:tc>
        <w:tc>
          <w:tcPr>
            <w:tcW w:w="992" w:type="dxa"/>
            <w:shd w:val="clear" w:color="auto" w:fill="BEBEBE" w:themeFill="background1" w:themeFillShade="BF"/>
          </w:tcPr>
          <w:sdt>
            <w:sdtPr>
              <w:rPr>
                <w:rFonts w:hint="default" w:ascii="Times New Roman" w:hAnsi="Times New Roman" w:cs="Times New Roman"/>
                <w:sz w:val="20"/>
                <w:szCs w:val="20"/>
              </w:rPr>
              <w:id w:val="-105894206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tcPr>
          <w:sdt>
            <w:sdtPr>
              <w:rPr>
                <w:rFonts w:hint="default" w:ascii="Times New Roman" w:hAnsi="Times New Roman" w:cs="Times New Roman"/>
                <w:sz w:val="20"/>
                <w:szCs w:val="20"/>
              </w:rPr>
              <w:id w:val="-1525707884"/>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7</w:t>
            </w:r>
          </w:p>
        </w:tc>
        <w:tc>
          <w:tcPr>
            <w:tcW w:w="928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Private company computers?</w:t>
            </w:r>
          </w:p>
        </w:tc>
        <w:tc>
          <w:tcPr>
            <w:tcW w:w="992" w:type="dxa"/>
            <w:shd w:val="clear" w:color="auto" w:fill="BEBEBE" w:themeFill="background1" w:themeFillShade="BF"/>
          </w:tcPr>
          <w:sdt>
            <w:sdtPr>
              <w:rPr>
                <w:rFonts w:hint="default" w:ascii="Times New Roman" w:hAnsi="Times New Roman" w:cs="Times New Roman"/>
                <w:sz w:val="20"/>
                <w:szCs w:val="20"/>
              </w:rPr>
              <w:id w:val="42877952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tcPr>
          <w:sdt>
            <w:sdtPr>
              <w:rPr>
                <w:rFonts w:hint="default" w:ascii="Times New Roman" w:hAnsi="Times New Roman" w:cs="Times New Roman"/>
                <w:sz w:val="20"/>
                <w:szCs w:val="20"/>
              </w:rPr>
              <w:id w:val="1738441066"/>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8</w:t>
            </w:r>
          </w:p>
        </w:tc>
        <w:tc>
          <w:tcPr>
            <w:tcW w:w="928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Home or other personal computers?</w:t>
            </w:r>
          </w:p>
        </w:tc>
        <w:tc>
          <w:tcPr>
            <w:tcW w:w="992" w:type="dxa"/>
            <w:shd w:val="clear" w:color="auto" w:fill="BEBEBE" w:themeFill="background1" w:themeFillShade="BF"/>
          </w:tcPr>
          <w:sdt>
            <w:sdtPr>
              <w:rPr>
                <w:rFonts w:hint="default" w:ascii="Times New Roman" w:hAnsi="Times New Roman" w:cs="Times New Roman"/>
                <w:sz w:val="20"/>
                <w:szCs w:val="20"/>
              </w:rPr>
              <w:id w:val="66667671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tcPr>
          <w:sdt>
            <w:sdtPr>
              <w:rPr>
                <w:rFonts w:hint="default" w:ascii="Times New Roman" w:hAnsi="Times New Roman" w:cs="Times New Roman"/>
                <w:sz w:val="20"/>
                <w:szCs w:val="20"/>
              </w:rPr>
              <w:id w:val="24330919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9</w:t>
            </w:r>
          </w:p>
        </w:tc>
        <w:tc>
          <w:tcPr>
            <w:tcW w:w="928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Laptop computers/ CDs/ Portable disk-drives/ memory sticks?</w:t>
            </w:r>
          </w:p>
        </w:tc>
        <w:tc>
          <w:tcPr>
            <w:tcW w:w="992" w:type="dxa"/>
            <w:shd w:val="clear" w:color="auto" w:fill="BEBEBE" w:themeFill="background1" w:themeFillShade="BF"/>
          </w:tcPr>
          <w:sdt>
            <w:sdtPr>
              <w:rPr>
                <w:rFonts w:hint="default" w:ascii="Times New Roman" w:hAnsi="Times New Roman" w:cs="Times New Roman"/>
                <w:sz w:val="20"/>
                <w:szCs w:val="20"/>
              </w:rPr>
              <w:id w:val="1761182650"/>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tcPr>
          <w:sdt>
            <w:sdtPr>
              <w:rPr>
                <w:rFonts w:hint="default" w:ascii="Times New Roman" w:hAnsi="Times New Roman" w:cs="Times New Roman"/>
                <w:sz w:val="20"/>
                <w:szCs w:val="20"/>
              </w:rPr>
              <w:id w:val="-103148901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10</w:t>
            </w:r>
          </w:p>
        </w:tc>
        <w:tc>
          <w:tcPr>
            <w:tcW w:w="928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“Cloud” storage or websites?</w:t>
            </w:r>
          </w:p>
        </w:tc>
        <w:tc>
          <w:tcPr>
            <w:tcW w:w="992" w:type="dxa"/>
            <w:shd w:val="clear" w:color="auto" w:fill="BEBEBE" w:themeFill="background1" w:themeFillShade="BF"/>
          </w:tcPr>
          <w:sdt>
            <w:sdtPr>
              <w:rPr>
                <w:rFonts w:hint="default" w:ascii="Times New Roman" w:hAnsi="Times New Roman" w:cs="Times New Roman"/>
                <w:sz w:val="20"/>
                <w:szCs w:val="20"/>
              </w:rPr>
              <w:id w:val="-4037644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tcPr>
          <w:sdt>
            <w:sdtPr>
              <w:rPr>
                <w:rFonts w:hint="default" w:ascii="Times New Roman" w:hAnsi="Times New Roman" w:cs="Times New Roman"/>
                <w:sz w:val="20"/>
                <w:szCs w:val="20"/>
              </w:rPr>
              <w:id w:val="-200403784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11</w:t>
            </w:r>
          </w:p>
        </w:tc>
        <w:tc>
          <w:tcPr>
            <w:tcW w:w="9282"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Other – specify:</w:t>
            </w:r>
          </w:p>
          <w:p>
            <w:pPr>
              <w:autoSpaceDE w:val="0"/>
              <w:autoSpaceDN w:val="0"/>
              <w:adjustRightInd w:val="0"/>
              <w:rPr>
                <w:rFonts w:hint="default" w:ascii="Times New Roman" w:hAnsi="Times New Roman" w:cs="Times New Roman"/>
                <w:sz w:val="20"/>
                <w:szCs w:val="20"/>
              </w:rPr>
            </w:pPr>
          </w:p>
        </w:tc>
        <w:tc>
          <w:tcPr>
            <w:tcW w:w="992" w:type="dxa"/>
            <w:shd w:val="clear" w:color="auto" w:fill="BEBEBE" w:themeFill="background1" w:themeFillShade="BF"/>
            <w:vAlign w:val="center"/>
          </w:tcPr>
          <w:sdt>
            <w:sdtPr>
              <w:rPr>
                <w:rFonts w:hint="default" w:ascii="Times New Roman" w:hAnsi="Times New Roman" w:cs="Times New Roman"/>
                <w:sz w:val="20"/>
                <w:szCs w:val="20"/>
              </w:rPr>
              <w:id w:val="-1556230815"/>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0"/>
                <w:szCs w:val="20"/>
              </w:rPr>
              <w:id w:val="157554495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sz w:val="20"/>
                <w:szCs w:val="20"/>
              </w:rPr>
              <w:t>12</w:t>
            </w:r>
          </w:p>
        </w:tc>
        <w:tc>
          <w:tcPr>
            <w:tcW w:w="11300" w:type="dxa"/>
            <w:gridSpan w:val="3"/>
            <w:shd w:val="clear" w:color="auto" w:fill="F1F1F1" w:themeFill="background1" w:themeFillShade="F2"/>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Cs/>
                <w:sz w:val="20"/>
                <w:szCs w:val="20"/>
              </w:rPr>
              <w:t xml:space="preserve">For all stored data, explain the measures in place to ensure the security of the data collected, data confidentiality, including details of backup procedures, </w:t>
            </w:r>
            <w:r>
              <w:rPr>
                <w:rFonts w:hint="default" w:ascii="Times New Roman" w:hAnsi="Times New Roman" w:cs="Times New Roman"/>
                <w:bCs/>
                <w:sz w:val="20"/>
                <w:szCs w:val="20"/>
                <w:shd w:val="clear" w:color="auto" w:fill="F1F1F1" w:themeFill="background1" w:themeFillShade="F2"/>
              </w:rPr>
              <w:t>password</w:t>
            </w:r>
            <w:r>
              <w:rPr>
                <w:rFonts w:hint="default" w:ascii="Times New Roman" w:hAnsi="Times New Roman" w:cs="Times New Roman"/>
                <w:bCs/>
                <w:sz w:val="20"/>
                <w:szCs w:val="20"/>
              </w:rPr>
              <w:t xml:space="preserve"> protection, encryption, anonymisation and pseudonymisation</w:t>
            </w:r>
            <w:r>
              <w:rPr>
                <w:rFonts w:hint="default" w:ascii="Times New Roman" w:hAnsi="Times New Roman" w:cs="Times New Roman"/>
                <w:sz w:val="20"/>
                <w:szCs w:val="20"/>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54" w:type="dxa"/>
            <w:vAlign w:val="center"/>
          </w:tcPr>
          <w:p>
            <w:pPr>
              <w:jc w:val="center"/>
              <w:rPr>
                <w:rFonts w:hint="default" w:ascii="Times New Roman" w:hAnsi="Times New Roman" w:cs="Times New Roman"/>
                <w:sz w:val="20"/>
                <w:szCs w:val="20"/>
              </w:rPr>
            </w:pPr>
          </w:p>
        </w:tc>
        <w:tc>
          <w:tcPr>
            <w:tcW w:w="11300" w:type="dxa"/>
            <w:gridSpan w:val="3"/>
          </w:tcPr>
          <w:p>
            <w:pPr>
              <w:autoSpaceDE w:val="0"/>
              <w:autoSpaceDN w:val="0"/>
              <w:adjustRightInd w:val="0"/>
              <w:rPr>
                <w:rFonts w:hint="default" w:ascii="Times New Roman" w:hAnsi="Times New Roman" w:cs="Times New Roman"/>
                <w:i/>
                <w:color w:val="808080"/>
                <w:sz w:val="20"/>
                <w:szCs w:val="20"/>
              </w:rPr>
            </w:pPr>
          </w:p>
          <w:p>
            <w:pPr>
              <w:autoSpaceDE w:val="0"/>
              <w:autoSpaceDN w:val="0"/>
              <w:adjustRightInd w:val="0"/>
              <w:rPr>
                <w:rFonts w:hint="default" w:ascii="Times New Roman" w:hAnsi="Times New Roman" w:cs="Times New Roman"/>
                <w:i/>
                <w:color w:val="000000" w:themeColor="text1"/>
                <w:sz w:val="20"/>
                <w:szCs w:val="20"/>
                <w14:textFill>
                  <w14:solidFill>
                    <w14:schemeClr w14:val="tx1"/>
                  </w14:solidFill>
                </w14:textFill>
              </w:rPr>
            </w:pPr>
            <w:r>
              <w:rPr>
                <w:rFonts w:hint="default" w:ascii="Times New Roman" w:hAnsi="Times New Roman" w:cs="Times New Roman"/>
                <w:i/>
                <w:color w:val="000000" w:themeColor="text1"/>
                <w:sz w:val="20"/>
                <w:szCs w:val="20"/>
                <w14:textFill>
                  <w14:solidFill>
                    <w14:schemeClr w14:val="tx1"/>
                  </w14:solidFill>
                </w14:textFill>
              </w:rPr>
              <w:t>Access to stored data is restricted to authorised personnel involved directly in the research.</w:t>
            </w:r>
          </w:p>
          <w:p>
            <w:pPr>
              <w:autoSpaceDE w:val="0"/>
              <w:autoSpaceDN w:val="0"/>
              <w:adjustRightInd w:val="0"/>
              <w:rPr>
                <w:rFonts w:hint="default" w:ascii="Times New Roman" w:hAnsi="Times New Roman" w:cs="Times New Roman"/>
                <w:b/>
                <w:bCs/>
                <w:sz w:val="20"/>
                <w:szCs w:val="20"/>
              </w:rPr>
            </w:pPr>
          </w:p>
        </w:tc>
      </w:tr>
    </w:tbl>
    <w:p>
      <w:pPr>
        <w:rPr>
          <w:rFonts w:hint="default" w:ascii="Times New Roman" w:hAnsi="Times New Roman" w:cs="Times New Roman"/>
          <w:sz w:val="20"/>
          <w:szCs w:val="20"/>
        </w:rPr>
      </w:pPr>
    </w:p>
    <w:tbl>
      <w:tblPr>
        <w:tblStyle w:val="14"/>
        <w:tblW w:w="12148" w:type="dxa"/>
        <w:tblInd w:w="-126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27"/>
        <w:gridCol w:w="9627"/>
        <w:gridCol w:w="800"/>
        <w:gridCol w:w="12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p>
        </w:tc>
        <w:tc>
          <w:tcPr>
            <w:tcW w:w="11721"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b/>
                <w:bCs/>
                <w:sz w:val="20"/>
                <w:szCs w:val="20"/>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sz w:val="20"/>
                <w:szCs w:val="20"/>
              </w:rPr>
              <w:t xml:space="preserve">Will the research activity </w:t>
            </w:r>
            <w:r>
              <w:rPr>
                <w:rFonts w:hint="default" w:ascii="Times New Roman" w:hAnsi="Times New Roman" w:cs="Times New Roman"/>
                <w:bCs/>
                <w:sz w:val="20"/>
                <w:szCs w:val="20"/>
              </w:rPr>
              <w:t>involve any of the following activities:</w:t>
            </w:r>
          </w:p>
        </w:tc>
        <w:tc>
          <w:tcPr>
            <w:tcW w:w="80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YES</w:t>
            </w:r>
          </w:p>
        </w:tc>
        <w:tc>
          <w:tcPr>
            <w:tcW w:w="1294"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0"/>
                <w:szCs w:val="20"/>
              </w:rPr>
            </w:pPr>
            <w:r>
              <w:rPr>
                <w:rFonts w:hint="default" w:ascii="Times New Roman" w:hAnsi="Times New Roman" w:cs="Times New Roman"/>
                <w:b/>
                <w:bCs/>
                <w:sz w:val="20"/>
                <w:szCs w:val="20"/>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13</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Electronic transfer of data in any form?</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24334734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80913804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1"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14</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Sharing of data with others at the University outside of the immediate research team?</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206609976"/>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116296910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15</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Sharing of data with other organisations?</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853718064"/>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692922631"/>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16</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Export of data outside the UK or importing of data from outside the UK?</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1311477419"/>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982232726"/>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17</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personal addresses, postcodes, faxes, emails or telephone numbers?</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580263657"/>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705679297"/>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18</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Publication of data that might allow identification of individuals?</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183325988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4849584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19</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Use of data management system?</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131718242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1535304944"/>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20</w:t>
            </w:r>
          </w:p>
        </w:tc>
        <w:tc>
          <w:tcPr>
            <w:tcW w:w="9627" w:type="dxa"/>
            <w:shd w:val="clear" w:color="auto" w:fill="F1F1F1" w:themeFill="background1" w:themeFillShade="F2"/>
            <w:vAlign w:val="center"/>
          </w:tcPr>
          <w:p>
            <w:pPr>
              <w:autoSpaceDE w:val="0"/>
              <w:autoSpaceDN w:val="0"/>
              <w:adjustRightInd w:val="0"/>
              <w:rPr>
                <w:rFonts w:hint="default" w:ascii="Times New Roman" w:hAnsi="Times New Roman" w:cs="Times New Roman"/>
                <w:b/>
                <w:bCs/>
                <w:sz w:val="20"/>
                <w:szCs w:val="20"/>
              </w:rPr>
            </w:pPr>
            <w:r>
              <w:rPr>
                <w:rFonts w:hint="default" w:ascii="Times New Roman" w:hAnsi="Times New Roman" w:cs="Times New Roman"/>
                <w:sz w:val="20"/>
                <w:szCs w:val="20"/>
              </w:rPr>
              <w:t>Data archiving?</w:t>
            </w:r>
          </w:p>
        </w:tc>
        <w:tc>
          <w:tcPr>
            <w:tcW w:w="800" w:type="dxa"/>
            <w:shd w:val="clear" w:color="auto" w:fill="BEBEBE" w:themeFill="background1" w:themeFillShade="BF"/>
            <w:vAlign w:val="center"/>
          </w:tcPr>
          <w:sdt>
            <w:sdtPr>
              <w:rPr>
                <w:rFonts w:hint="default" w:ascii="Times New Roman" w:hAnsi="Times New Roman" w:cs="Times New Roman"/>
                <w:sz w:val="20"/>
                <w:szCs w:val="20"/>
              </w:rPr>
              <w:id w:val="337199998"/>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294" w:type="dxa"/>
            <w:shd w:val="clear" w:color="auto" w:fill="BEBEBE" w:themeFill="background1" w:themeFillShade="BF"/>
            <w:vAlign w:val="center"/>
          </w:tcPr>
          <w:sdt>
            <w:sdtPr>
              <w:rPr>
                <w:rFonts w:hint="default" w:ascii="Times New Roman" w:hAnsi="Times New Roman" w:cs="Times New Roman"/>
                <w:sz w:val="20"/>
                <w:szCs w:val="20"/>
              </w:rPr>
              <w:id w:val="-433046498"/>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80" w:hRule="atLeast"/>
        </w:trPr>
        <w:tc>
          <w:tcPr>
            <w:tcW w:w="427" w:type="dxa"/>
            <w:shd w:val="clear" w:color="auto" w:fill="F1F1F1" w:themeFill="background1" w:themeFillShade="F2"/>
            <w:vAlign w:val="center"/>
          </w:tcPr>
          <w:p>
            <w:pPr>
              <w:spacing w:before="120" w:after="120"/>
              <w:jc w:val="center"/>
              <w:rPr>
                <w:rFonts w:hint="default" w:ascii="Times New Roman" w:hAnsi="Times New Roman" w:cs="Times New Roman"/>
                <w:sz w:val="20"/>
                <w:szCs w:val="20"/>
              </w:rPr>
            </w:pPr>
            <w:r>
              <w:rPr>
                <w:rFonts w:hint="default" w:ascii="Times New Roman" w:hAnsi="Times New Roman" w:cs="Times New Roman"/>
                <w:sz w:val="20"/>
                <w:szCs w:val="20"/>
              </w:rPr>
              <w:t>21</w:t>
            </w:r>
          </w:p>
        </w:tc>
        <w:tc>
          <w:tcPr>
            <w:tcW w:w="11721" w:type="dxa"/>
            <w:gridSpan w:val="3"/>
            <w:shd w:val="clear" w:color="auto" w:fill="F1F1F1" w:themeFill="background1" w:themeFillShade="F2"/>
            <w:vAlign w:val="center"/>
          </w:tcPr>
          <w:p>
            <w:pPr>
              <w:spacing w:before="120" w:after="120"/>
              <w:rPr>
                <w:rFonts w:hint="default" w:ascii="Times New Roman" w:hAnsi="Times New Roman" w:cs="Times New Roman"/>
                <w:bCs/>
                <w:sz w:val="20"/>
                <w:szCs w:val="20"/>
              </w:rPr>
            </w:pPr>
            <w:r>
              <w:rPr>
                <w:rFonts w:hint="default" w:ascii="Times New Roman" w:hAnsi="Times New Roman" w:cs="Times New Roman"/>
                <w:sz w:val="20"/>
                <w:szCs w:val="20"/>
              </w:rPr>
              <w:t>If YES</w:t>
            </w:r>
            <w:r>
              <w:rPr>
                <w:rFonts w:hint="default" w:ascii="Times New Roman" w:hAnsi="Times New Roman" w:cs="Times New Roman"/>
                <w:b/>
                <w:bCs/>
                <w:sz w:val="20"/>
                <w:szCs w:val="20"/>
              </w:rPr>
              <w:t xml:space="preserve"> </w:t>
            </w:r>
            <w:r>
              <w:rPr>
                <w:rFonts w:hint="default" w:ascii="Times New Roman" w:hAnsi="Times New Roman" w:cs="Times New Roman"/>
                <w:sz w:val="20"/>
                <w:szCs w:val="20"/>
              </w:rPr>
              <w:t xml:space="preserve">to any question, please provide full details, </w:t>
            </w:r>
            <w:r>
              <w:rPr>
                <w:rFonts w:hint="default" w:ascii="Times New Roman" w:hAnsi="Times New Roman" w:cs="Times New Roman"/>
                <w:bCs/>
                <w:sz w:val="20"/>
                <w:szCs w:val="20"/>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81" w:hRule="atLeast"/>
        </w:trPr>
        <w:tc>
          <w:tcPr>
            <w:tcW w:w="427" w:type="dxa"/>
            <w:vAlign w:val="center"/>
          </w:tcPr>
          <w:p>
            <w:pPr>
              <w:autoSpaceDE w:val="0"/>
              <w:autoSpaceDN w:val="0"/>
              <w:adjustRightInd w:val="0"/>
              <w:jc w:val="center"/>
              <w:rPr>
                <w:rFonts w:hint="default" w:ascii="Times New Roman" w:hAnsi="Times New Roman" w:cs="Times New Roman"/>
                <w:sz w:val="20"/>
                <w:szCs w:val="20"/>
              </w:rPr>
            </w:pPr>
          </w:p>
        </w:tc>
        <w:tc>
          <w:tcPr>
            <w:tcW w:w="11721" w:type="dxa"/>
            <w:gridSpan w:val="3"/>
            <w:vAlign w:val="center"/>
          </w:tcPr>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sz w:val="20"/>
                <w:szCs w:val="20"/>
              </w:rPr>
              <w:t>22</w:t>
            </w:r>
          </w:p>
        </w:tc>
        <w:tc>
          <w:tcPr>
            <w:tcW w:w="11721"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bCs/>
                <w:sz w:val="20"/>
                <w:szCs w:val="20"/>
              </w:rPr>
              <w:t>List all who will have access to the data generated by the research activity</w:t>
            </w:r>
            <w:r>
              <w:rPr>
                <w:rFonts w:hint="default" w:ascii="Times New Roman" w:hAnsi="Times New Roman" w:cs="Times New Roman"/>
                <w:sz w:val="20"/>
                <w:szCs w:val="20"/>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81" w:hRule="atLeast"/>
        </w:trPr>
        <w:tc>
          <w:tcPr>
            <w:tcW w:w="427" w:type="dxa"/>
            <w:vAlign w:val="center"/>
          </w:tcPr>
          <w:p>
            <w:pPr>
              <w:autoSpaceDE w:val="0"/>
              <w:autoSpaceDN w:val="0"/>
              <w:adjustRightInd w:val="0"/>
              <w:jc w:val="center"/>
              <w:rPr>
                <w:rFonts w:hint="default" w:ascii="Times New Roman" w:hAnsi="Times New Roman" w:cs="Times New Roman"/>
                <w:sz w:val="20"/>
                <w:szCs w:val="20"/>
              </w:rPr>
            </w:pPr>
          </w:p>
        </w:tc>
        <w:tc>
          <w:tcPr>
            <w:tcW w:w="11721" w:type="dxa"/>
            <w:gridSpan w:val="3"/>
            <w:vAlign w:val="center"/>
          </w:tcPr>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sz w:val="20"/>
                <w:szCs w:val="20"/>
              </w:rPr>
              <w:t>23</w:t>
            </w:r>
          </w:p>
        </w:tc>
        <w:tc>
          <w:tcPr>
            <w:tcW w:w="11721" w:type="dxa"/>
            <w:gridSpan w:val="3"/>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bCs/>
                <w:sz w:val="20"/>
                <w:szCs w:val="20"/>
              </w:rPr>
              <w:t>List who will have control of, and act as custodian(s) for, data generated by the research activity</w:t>
            </w:r>
            <w:r>
              <w:rPr>
                <w:rFonts w:hint="default" w:ascii="Times New Roman" w:hAnsi="Times New Roman" w:cs="Times New Roman"/>
                <w:sz w:val="20"/>
                <w:szCs w:val="20"/>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96" w:hRule="atLeast"/>
        </w:trPr>
        <w:tc>
          <w:tcPr>
            <w:tcW w:w="427" w:type="dxa"/>
            <w:vAlign w:val="center"/>
          </w:tcPr>
          <w:p>
            <w:pPr>
              <w:autoSpaceDE w:val="0"/>
              <w:autoSpaceDN w:val="0"/>
              <w:adjustRightInd w:val="0"/>
              <w:jc w:val="center"/>
              <w:rPr>
                <w:rFonts w:hint="default" w:ascii="Times New Roman" w:hAnsi="Times New Roman" w:cs="Times New Roman"/>
                <w:sz w:val="20"/>
                <w:szCs w:val="20"/>
              </w:rPr>
            </w:pPr>
          </w:p>
        </w:tc>
        <w:tc>
          <w:tcPr>
            <w:tcW w:w="11721" w:type="dxa"/>
            <w:gridSpan w:val="3"/>
          </w:tcPr>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92"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sz w:val="20"/>
                <w:szCs w:val="20"/>
              </w:rPr>
              <w:t>24</w:t>
            </w:r>
          </w:p>
        </w:tc>
        <w:tc>
          <w:tcPr>
            <w:tcW w:w="11721" w:type="dxa"/>
            <w:gridSpan w:val="3"/>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bCs/>
                <w:sz w:val="20"/>
                <w:szCs w:val="20"/>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04" w:hRule="atLeast"/>
        </w:trPr>
        <w:tc>
          <w:tcPr>
            <w:tcW w:w="427" w:type="dxa"/>
            <w:vAlign w:val="center"/>
          </w:tcPr>
          <w:p>
            <w:pPr>
              <w:autoSpaceDE w:val="0"/>
              <w:autoSpaceDN w:val="0"/>
              <w:adjustRightInd w:val="0"/>
              <w:jc w:val="center"/>
              <w:rPr>
                <w:rFonts w:hint="default" w:ascii="Times New Roman" w:hAnsi="Times New Roman" w:cs="Times New Roman"/>
                <w:sz w:val="20"/>
                <w:szCs w:val="20"/>
              </w:rPr>
            </w:pPr>
          </w:p>
        </w:tc>
        <w:tc>
          <w:tcPr>
            <w:tcW w:w="11721" w:type="dxa"/>
            <w:gridSpan w:val="3"/>
          </w:tcPr>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77"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0"/>
                <w:szCs w:val="20"/>
              </w:rPr>
            </w:pPr>
            <w:r>
              <w:rPr>
                <w:rFonts w:hint="default" w:ascii="Times New Roman" w:hAnsi="Times New Roman" w:cs="Times New Roman"/>
                <w:sz w:val="20"/>
                <w:szCs w:val="20"/>
              </w:rPr>
              <w:t>25</w:t>
            </w:r>
          </w:p>
        </w:tc>
        <w:tc>
          <w:tcPr>
            <w:tcW w:w="11721" w:type="dxa"/>
            <w:gridSpan w:val="3"/>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sz w:val="20"/>
                <w:szCs w:val="20"/>
              </w:rPr>
              <w:t xml:space="preserve">Please indicate if your data will be stored in the UWTSD Research Data Repository (see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hint="default" w:ascii="Times New Roman" w:hAnsi="Times New Roman" w:cs="Times New Roman"/>
                <w:sz w:val="20"/>
                <w:szCs w:val="20"/>
              </w:rPr>
              <w:fldChar w:fldCharType="separate"/>
            </w:r>
            <w:r>
              <w:rPr>
                <w:rStyle w:val="10"/>
                <w:rFonts w:hint="default" w:ascii="Times New Roman" w:hAnsi="Times New Roman" w:cs="Times New Roman"/>
                <w:color w:val="000000"/>
                <w:sz w:val="20"/>
                <w:szCs w:val="20"/>
              </w:rPr>
              <w:t>https://researchdata.uwtsd.ac.uk/</w:t>
            </w:r>
            <w:r>
              <w:rPr>
                <w:rStyle w:val="10"/>
                <w:rFonts w:hint="default" w:ascii="Times New Roman" w:hAnsi="Times New Roman" w:cs="Times New Roman"/>
                <w:color w:val="000000"/>
                <w:sz w:val="20"/>
                <w:szCs w:val="20"/>
              </w:rPr>
              <w:fldChar w:fldCharType="end"/>
            </w:r>
            <w:r>
              <w:rPr>
                <w:rFonts w:hint="default" w:ascii="Times New Roman" w:hAnsi="Times New Roman" w:cs="Times New Roman"/>
                <w:color w:val="000000"/>
                <w:sz w:val="20"/>
                <w:szCs w:val="20"/>
              </w:rPr>
              <w:t xml:space="preserve"> )</w:t>
            </w:r>
            <w:r>
              <w:rPr>
                <w:rFonts w:hint="default" w:cs="Times New Roman"/>
                <w:color w:val="000000"/>
                <w:sz w:val="20"/>
                <w:szCs w:val="20"/>
                <w:lang w:val="en-GB"/>
              </w:rPr>
              <w:t>.</w:t>
            </w:r>
            <w:r>
              <w:rPr>
                <w:rFonts w:hint="default" w:ascii="Times New Roman" w:hAnsi="Times New Roman" w:cs="Times New Roman"/>
                <w:color w:val="000000"/>
                <w:sz w:val="20"/>
                <w:szCs w:val="20"/>
              </w:rPr>
              <w:t xml:space="preserve"> If so please explain. (</w:t>
            </w:r>
            <w:r>
              <w:rPr>
                <w:rFonts w:hint="default" w:ascii="Times New Roman" w:hAnsi="Times New Roman" w:cs="Times New Roman"/>
                <w:i/>
                <w:color w:val="000000"/>
                <w:sz w:val="20"/>
                <w:szCs w:val="20"/>
              </w:rPr>
              <w:t>Most relevant to academic staff)</w:t>
            </w:r>
            <w:r>
              <w:rPr>
                <w:rFonts w:hint="default" w:ascii="Times New Roman" w:hAnsi="Times New Roman" w:cs="Times New Roman"/>
                <w:color w:val="000000"/>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5" w:hRule="atLeast"/>
        </w:trPr>
        <w:tc>
          <w:tcPr>
            <w:tcW w:w="427" w:type="dxa"/>
            <w:vAlign w:val="center"/>
          </w:tcPr>
          <w:p>
            <w:pPr>
              <w:autoSpaceDE w:val="0"/>
              <w:autoSpaceDN w:val="0"/>
              <w:adjustRightInd w:val="0"/>
              <w:jc w:val="center"/>
              <w:rPr>
                <w:rFonts w:hint="default" w:ascii="Times New Roman" w:hAnsi="Times New Roman" w:cs="Times New Roman"/>
                <w:sz w:val="20"/>
                <w:szCs w:val="20"/>
              </w:rPr>
            </w:pPr>
          </w:p>
        </w:tc>
        <w:tc>
          <w:tcPr>
            <w:tcW w:w="11721" w:type="dxa"/>
            <w:gridSpan w:val="3"/>
          </w:tcPr>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p>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i/>
                <w:color w:val="808080"/>
                <w:sz w:val="20"/>
                <w:szCs w:val="20"/>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1"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Cs/>
                <w:sz w:val="20"/>
                <w:szCs w:val="20"/>
              </w:rPr>
              <w:t>26</w:t>
            </w:r>
          </w:p>
        </w:tc>
        <w:tc>
          <w:tcPr>
            <w:tcW w:w="9627" w:type="dxa"/>
            <w:shd w:val="clear" w:color="auto" w:fill="F1F1F1" w:themeFill="background1" w:themeFillShade="F2"/>
          </w:tcPr>
          <w:p>
            <w:pPr>
              <w:autoSpaceDE w:val="0"/>
              <w:autoSpaceDN w:val="0"/>
              <w:adjustRightInd w:val="0"/>
              <w:rPr>
                <w:rFonts w:hint="default" w:ascii="Times New Roman" w:hAnsi="Times New Roman" w:cs="Times New Roman"/>
                <w:color w:val="000000"/>
                <w:sz w:val="20"/>
                <w:szCs w:val="20"/>
              </w:rPr>
            </w:pPr>
            <w:r>
              <w:rPr>
                <w:rFonts w:hint="default" w:ascii="Times New Roman" w:hAnsi="Times New Roman" w:cs="Times New Roman"/>
                <w:bCs/>
                <w:sz w:val="20"/>
                <w:szCs w:val="20"/>
              </w:rPr>
              <w:t xml:space="preserve">Confirm that you have read the UWTSD guidance on data management (see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hint="default" w:ascii="Times New Roman" w:hAnsi="Times New Roman" w:cs="Times New Roman"/>
                <w:sz w:val="20"/>
                <w:szCs w:val="20"/>
              </w:rPr>
              <w:fldChar w:fldCharType="separate"/>
            </w:r>
            <w:r>
              <w:rPr>
                <w:rStyle w:val="10"/>
                <w:rFonts w:hint="default" w:ascii="Times New Roman" w:hAnsi="Times New Roman" w:cs="Times New Roman"/>
                <w:color w:val="000000"/>
                <w:sz w:val="20"/>
                <w:szCs w:val="20"/>
              </w:rPr>
              <w:t>https://www.uwtsd.ac.uk/library/research-data-management/</w:t>
            </w:r>
            <w:r>
              <w:rPr>
                <w:rStyle w:val="10"/>
                <w:rFonts w:hint="default" w:ascii="Times New Roman" w:hAnsi="Times New Roman" w:cs="Times New Roman"/>
                <w:color w:val="000000"/>
                <w:sz w:val="20"/>
                <w:szCs w:val="20"/>
              </w:rPr>
              <w:fldChar w:fldCharType="end"/>
            </w:r>
            <w:r>
              <w:rPr>
                <w:rFonts w:hint="default" w:ascii="Times New Roman" w:hAnsi="Times New Roman" w:cs="Times New Roman"/>
                <w:color w:val="000000"/>
                <w:sz w:val="20"/>
                <w:szCs w:val="20"/>
              </w:rPr>
              <w:t>)</w:t>
            </w:r>
          </w:p>
        </w:tc>
        <w:tc>
          <w:tcPr>
            <w:tcW w:w="80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YES</w:t>
            </w:r>
          </w:p>
        </w:tc>
        <w:tc>
          <w:tcPr>
            <w:tcW w:w="1294"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912113242"/>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1" w:hRule="atLeast"/>
        </w:trPr>
        <w:tc>
          <w:tcPr>
            <w:tcW w:w="42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0"/>
                <w:szCs w:val="20"/>
              </w:rPr>
            </w:pPr>
            <w:r>
              <w:rPr>
                <w:rFonts w:hint="default" w:ascii="Times New Roman" w:hAnsi="Times New Roman" w:cs="Times New Roman"/>
                <w:bCs/>
                <w:sz w:val="20"/>
                <w:szCs w:val="20"/>
              </w:rPr>
              <w:t>27</w:t>
            </w:r>
          </w:p>
        </w:tc>
        <w:tc>
          <w:tcPr>
            <w:tcW w:w="9627" w:type="dxa"/>
            <w:shd w:val="clear" w:color="auto" w:fill="F1F1F1" w:themeFill="background1" w:themeFillShade="F2"/>
          </w:tcPr>
          <w:p>
            <w:pPr>
              <w:autoSpaceDE w:val="0"/>
              <w:autoSpaceDN w:val="0"/>
              <w:adjustRightInd w:val="0"/>
              <w:rPr>
                <w:rFonts w:hint="default" w:ascii="Times New Roman" w:hAnsi="Times New Roman" w:cs="Times New Roman"/>
                <w:sz w:val="20"/>
                <w:szCs w:val="20"/>
              </w:rPr>
            </w:pPr>
            <w:r>
              <w:rPr>
                <w:rFonts w:hint="default" w:ascii="Times New Roman" w:hAnsi="Times New Roman" w:cs="Times New Roman"/>
                <w:bCs/>
                <w:sz w:val="20"/>
                <w:szCs w:val="20"/>
              </w:rPr>
              <w:t>Confirm that you are aware that you need to keep all data until after your research has completed or the end of your funding</w:t>
            </w:r>
          </w:p>
        </w:tc>
        <w:tc>
          <w:tcPr>
            <w:tcW w:w="800"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0"/>
                <w:szCs w:val="20"/>
              </w:rPr>
            </w:pPr>
            <w:r>
              <w:rPr>
                <w:rFonts w:hint="default" w:ascii="Times New Roman" w:hAnsi="Times New Roman" w:cs="Times New Roman"/>
                <w:b/>
                <w:sz w:val="20"/>
                <w:szCs w:val="20"/>
              </w:rPr>
              <w:t>YES</w:t>
            </w:r>
          </w:p>
        </w:tc>
        <w:tc>
          <w:tcPr>
            <w:tcW w:w="1294"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0"/>
                <w:szCs w:val="20"/>
              </w:rPr>
            </w:pPr>
            <w:sdt>
              <w:sdtPr>
                <w:rPr>
                  <w:rFonts w:hint="default" w:ascii="Times New Roman" w:hAnsi="Times New Roman" w:cs="Times New Roman"/>
                  <w:sz w:val="20"/>
                  <w:szCs w:val="20"/>
                </w:rPr>
                <w:id w:val="1277371831"/>
                <w14:checkbox>
                  <w14:checked w14:val="0"/>
                  <w14:checkedState w14:val="2612" w14:font="MS Gothic"/>
                  <w14:uncheckedState w14:val="2610" w14:font="MS Gothic"/>
                </w14:checkbox>
              </w:sdtPr>
              <w:sdtEndPr>
                <w:rPr>
                  <w:rFonts w:hint="default" w:ascii="Times New Roman" w:hAnsi="Times New Roman" w:cs="Times New Roman"/>
                  <w:sz w:val="20"/>
                  <w:szCs w:val="20"/>
                </w:rPr>
              </w:sdtEndPr>
              <w:sdtContent>
                <w:r>
                  <w:rPr>
                    <w:rFonts w:hint="default" w:ascii="Times New Roman" w:hAnsi="Times New Roman" w:eastAsia="MS Gothic" w:cs="Times New Roman"/>
                    <w:sz w:val="20"/>
                    <w:szCs w:val="20"/>
                  </w:rPr>
                  <w:t>☐</w:t>
                </w:r>
              </w:sdtContent>
            </w:sdt>
          </w:p>
        </w:tc>
      </w:tr>
    </w:tbl>
    <w:p>
      <w:pPr>
        <w:rPr>
          <w:rFonts w:hint="default" w:ascii="Times New Roman" w:hAnsi="Times New Roman" w:cs="Times New Roman"/>
          <w:b/>
          <w:bCs/>
          <w:sz w:val="20"/>
          <w:szCs w:val="20"/>
        </w:rPr>
      </w:pPr>
    </w:p>
    <w:p>
      <w:pPr>
        <w:rPr>
          <w:rFonts w:hint="default" w:ascii="Times New Roman" w:hAnsi="Times New Roman" w:cs="Times New Roman"/>
          <w:b/>
          <w:sz w:val="20"/>
          <w:szCs w:val="20"/>
        </w:rPr>
      </w:pPr>
      <w:r>
        <w:rPr>
          <w:rFonts w:hint="default" w:ascii="Times New Roman" w:hAnsi="Times New Roman" w:cs="Times New Roman"/>
          <w:b/>
          <w:sz w:val="20"/>
          <w:szCs w:val="20"/>
        </w:rPr>
        <w:t>SECTION K: Declaration</w:t>
      </w:r>
    </w:p>
    <w:tbl>
      <w:tblPr>
        <w:tblStyle w:val="6"/>
        <w:tblW w:w="11466" w:type="dxa"/>
        <w:tblInd w:w="-109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653"/>
        <w:gridCol w:w="3968"/>
        <w:gridCol w:w="3832"/>
        <w:gridCol w:w="3013"/>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653" w:type="dxa"/>
            <w:shd w:val="clear" w:color="auto" w:fill="F1F1F1" w:themeFill="background1" w:themeFillShade="F2"/>
            <w:vAlign w:val="center"/>
          </w:tcPr>
          <w:p>
            <w:pPr>
              <w:jc w:val="center"/>
              <w:rPr>
                <w:rFonts w:hint="default" w:ascii="Times New Roman" w:hAnsi="Times New Roman" w:cs="Times New Roman"/>
                <w:sz w:val="20"/>
                <w:szCs w:val="20"/>
              </w:rPr>
            </w:pPr>
          </w:p>
        </w:tc>
        <w:tc>
          <w:tcPr>
            <w:tcW w:w="10813" w:type="dxa"/>
            <w:gridSpan w:val="3"/>
            <w:shd w:val="clear" w:color="auto" w:fill="F1F1F1" w:themeFill="background1" w:themeFillShade="F2"/>
            <w:vAlign w:val="center"/>
          </w:tcPr>
          <w:p>
            <w:pPr>
              <w:jc w:val="both"/>
              <w:rPr>
                <w:rFonts w:hint="default" w:ascii="Times New Roman" w:hAnsi="Times New Roman" w:cs="Times New Roman"/>
                <w:b/>
                <w:bCs/>
                <w:color w:val="000000"/>
                <w:sz w:val="20"/>
                <w:szCs w:val="20"/>
              </w:rPr>
            </w:pPr>
            <w:r>
              <w:rPr>
                <w:rFonts w:hint="default" w:ascii="Times New Roman" w:hAnsi="Times New Roman" w:cs="Times New Roman"/>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Pr>
                <w:rFonts w:hint="default" w:ascii="Times New Roman" w:hAnsi="Times New Roman" w:cs="Times New Roman"/>
                <w:b/>
                <w:bCs/>
                <w:color w:val="000000"/>
                <w:sz w:val="20"/>
                <w:szCs w:val="20"/>
              </w:rPr>
              <w:t>.</w:t>
            </w:r>
          </w:p>
          <w:p>
            <w:pPr>
              <w:jc w:val="both"/>
              <w:rPr>
                <w:rFonts w:hint="default" w:ascii="Times New Roman" w:hAnsi="Times New Roman" w:cs="Times New Roman"/>
                <w:b/>
                <w:bCs/>
                <w:color w:val="000000"/>
                <w:sz w:val="20"/>
                <w:szCs w:val="20"/>
              </w:rPr>
            </w:pPr>
          </w:p>
          <w:p>
            <w:pPr>
              <w:jc w:val="both"/>
              <w:rPr>
                <w:rFonts w:hint="default" w:ascii="Times New Roman" w:hAnsi="Times New Roman" w:cs="Times New Roman"/>
                <w:color w:val="000080"/>
                <w:sz w:val="20"/>
                <w:szCs w:val="20"/>
              </w:rPr>
            </w:pPr>
            <w:r>
              <w:rPr>
                <w:rFonts w:hint="default" w:ascii="Times New Roman" w:hAnsi="Times New Roman" w:cs="Times New Roman"/>
                <w:sz w:val="20"/>
                <w:szCs w:val="20"/>
              </w:rPr>
              <w:t xml:space="preserve">In submitting this application I hereby confirm that I undertake to ensure that the above named research activity will meet the University’s Research Ethics and Integrity Code of Practice which is published on the website: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"https://www.uwtsd.ac.uk/research/research-ethics/" </w:instrText>
            </w:r>
            <w:r>
              <w:rPr>
                <w:rFonts w:hint="default" w:ascii="Times New Roman" w:hAnsi="Times New Roman" w:cs="Times New Roman"/>
                <w:sz w:val="20"/>
                <w:szCs w:val="20"/>
              </w:rPr>
              <w:fldChar w:fldCharType="separate"/>
            </w:r>
            <w:r>
              <w:rPr>
                <w:rStyle w:val="10"/>
                <w:rFonts w:hint="default" w:ascii="Times New Roman" w:hAnsi="Times New Roman" w:cs="Times New Roman"/>
                <w:sz w:val="20"/>
                <w:szCs w:val="20"/>
              </w:rPr>
              <w:t>https://www.uwtsd.ac.uk/research/research-ethics/</w:t>
            </w:r>
            <w:r>
              <w:rPr>
                <w:rStyle w:val="10"/>
                <w:rFonts w:hint="default" w:ascii="Times New Roman" w:hAnsi="Times New Roman" w:cs="Times New Roman"/>
                <w:sz w:val="20"/>
                <w:szCs w:val="20"/>
              </w:rPr>
              <w:fldChar w:fldCharType="end"/>
            </w:r>
            <w:r>
              <w:rPr>
                <w:rFonts w:hint="default" w:ascii="Times New Roman" w:hAnsi="Times New Roman" w:cs="Times New Roman"/>
                <w:sz w:val="20"/>
                <w:szCs w:val="20"/>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65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hint="default" w:ascii="Times New Roman" w:hAnsi="Times New Roman" w:cs="Times New Roman"/>
                <w:bCs/>
                <w:sz w:val="20"/>
                <w:szCs w:val="20"/>
              </w:rPr>
            </w:pPr>
            <w:r>
              <w:rPr>
                <w:rFonts w:hint="default" w:ascii="Times New Roman" w:hAnsi="Times New Roman" w:cs="Times New Roman"/>
                <w:bCs/>
                <w:sz w:val="20"/>
                <w:szCs w:val="20"/>
              </w:rPr>
              <w:t>1</w:t>
            </w:r>
          </w:p>
        </w:tc>
        <w:tc>
          <w:tcPr>
            <w:tcW w:w="396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hint="default" w:ascii="Times New Roman" w:hAnsi="Times New Roman" w:cs="Times New Roman"/>
                <w:sz w:val="20"/>
                <w:szCs w:val="20"/>
              </w:rPr>
            </w:pPr>
            <w:r>
              <w:rPr>
                <w:rFonts w:hint="default" w:ascii="Times New Roman" w:hAnsi="Times New Roman" w:cs="Times New Roman"/>
                <w:b/>
                <w:bCs/>
                <w:sz w:val="20"/>
                <w:szCs w:val="20"/>
              </w:rPr>
              <w:t>Signature of applicant:</w:t>
            </w:r>
          </w:p>
        </w:tc>
        <w:tc>
          <w:tcPr>
            <w:tcW w:w="3832" w:type="dxa"/>
            <w:tcBorders>
              <w:left w:val="single" w:color="auto" w:sz="4" w:space="0"/>
            </w:tcBorders>
            <w:vAlign w:val="center"/>
          </w:tcPr>
          <w:p>
            <w:pPr>
              <w:spacing w:before="100" w:beforeAutospacing="1" w:after="100" w:afterAutospacing="1"/>
              <w:rPr>
                <w:rFonts w:hint="default" w:ascii="Times New Roman" w:hAnsi="Times New Roman" w:cs="Times New Roman"/>
                <w:sz w:val="20"/>
                <w:szCs w:val="20"/>
                <w:lang w:val="en-GB"/>
              </w:rPr>
            </w:pPr>
            <w:r>
              <w:rPr>
                <w:rFonts w:hint="default" w:ascii="Times New Roman" w:hAnsi="Times New Roman" w:cs="Times New Roman"/>
                <w:sz w:val="20"/>
                <w:szCs w:val="20"/>
              </w:rPr>
              <w:t>Mariana Cocos</w:t>
            </w:r>
            <w:r>
              <w:rPr>
                <w:rFonts w:hint="default" w:ascii="Times New Roman" w:hAnsi="Times New Roman" w:cs="Times New Roman"/>
                <w:sz w:val="20"/>
                <w:szCs w:val="20"/>
                <w:lang w:val="en-GB"/>
              </w:rPr>
              <w:t xml:space="preserve"> 2024061</w:t>
            </w:r>
          </w:p>
        </w:tc>
        <w:tc>
          <w:tcPr>
            <w:tcW w:w="3013" w:type="dxa"/>
            <w:vAlign w:val="center"/>
          </w:tcPr>
          <w:p>
            <w:pPr>
              <w:spacing w:before="100" w:beforeAutospacing="1" w:after="100" w:afterAutospacing="1"/>
              <w:rPr>
                <w:rFonts w:hint="default" w:ascii="Times New Roman" w:hAnsi="Times New Roman" w:cs="Times New Roman"/>
                <w:sz w:val="20"/>
                <w:szCs w:val="20"/>
                <w:lang w:val="en-GB"/>
              </w:rPr>
            </w:pPr>
            <w:r>
              <w:rPr>
                <w:rFonts w:hint="default" w:ascii="Times New Roman" w:hAnsi="Times New Roman" w:cs="Times New Roman"/>
                <w:b/>
                <w:bCs/>
                <w:sz w:val="20"/>
                <w:szCs w:val="20"/>
              </w:rPr>
              <w:t>Date:</w:t>
            </w:r>
            <w:r>
              <w:rPr>
                <w:rFonts w:hint="default" w:ascii="Times New Roman" w:hAnsi="Times New Roman" w:cs="Times New Roman"/>
                <w:b/>
                <w:bCs/>
                <w:sz w:val="20"/>
                <w:szCs w:val="20"/>
                <w:lang w:val="en-GB"/>
              </w:rPr>
              <w:t>10.12.2023</w:t>
            </w:r>
          </w:p>
        </w:tc>
      </w:tr>
    </w:tbl>
    <w:p>
      <w:pPr>
        <w:rPr>
          <w:rFonts w:hint="default" w:ascii="Times New Roman" w:hAnsi="Times New Roman" w:cs="Times New Roman"/>
          <w:sz w:val="20"/>
          <w:szCs w:val="20"/>
        </w:rPr>
      </w:pPr>
    </w:p>
    <w:p>
      <w:pPr>
        <w:rPr>
          <w:rFonts w:hint="default" w:ascii="Times New Roman" w:hAnsi="Times New Roman" w:cs="Times New Roman"/>
          <w:b/>
          <w:i/>
          <w:sz w:val="20"/>
          <w:szCs w:val="20"/>
        </w:rPr>
      </w:pPr>
      <w:r>
        <w:rPr>
          <w:rFonts w:hint="default" w:ascii="Times New Roman" w:hAnsi="Times New Roman" w:cs="Times New Roman"/>
          <w:b/>
          <w:i/>
          <w:sz w:val="20"/>
          <w:szCs w:val="20"/>
        </w:rPr>
        <w:t>For STUDENT Submissions:</w:t>
      </w:r>
    </w:p>
    <w:tbl>
      <w:tblPr>
        <w:tblStyle w:val="6"/>
        <w:tblW w:w="6171" w:type="pct"/>
        <w:tblInd w:w="-106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11"/>
        <w:gridCol w:w="3795"/>
        <w:gridCol w:w="4019"/>
        <w:gridCol w:w="29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268" w:type="pct"/>
            <w:shd w:val="clear" w:color="auto" w:fill="F1F1F1" w:themeFill="background1" w:themeFillShade="F2"/>
            <w:vAlign w:val="center"/>
          </w:tcPr>
          <w:p>
            <w:pPr>
              <w:pStyle w:val="30"/>
              <w:ind w:left="0"/>
              <w:jc w:val="center"/>
              <w:rPr>
                <w:rFonts w:hint="default" w:ascii="Times New Roman" w:hAnsi="Times New Roman" w:cs="Times New Roman"/>
                <w:sz w:val="20"/>
                <w:szCs w:val="20"/>
              </w:rPr>
            </w:pPr>
            <w:r>
              <w:rPr>
                <w:rFonts w:hint="default" w:ascii="Times New Roman" w:hAnsi="Times New Roman" w:cs="Times New Roman"/>
                <w:sz w:val="20"/>
                <w:szCs w:val="20"/>
              </w:rPr>
              <w:t>2</w:t>
            </w:r>
          </w:p>
        </w:tc>
        <w:tc>
          <w:tcPr>
            <w:tcW w:w="1664" w:type="pct"/>
            <w:shd w:val="clear" w:color="auto" w:fill="F1F1F1" w:themeFill="background1" w:themeFillShade="F2"/>
            <w:vAlign w:val="center"/>
          </w:tcPr>
          <w:p>
            <w:pPr>
              <w:pStyle w:val="30"/>
              <w:ind w:left="0"/>
              <w:rPr>
                <w:rFonts w:hint="default" w:ascii="Times New Roman" w:hAnsi="Times New Roman" w:cs="Times New Roman"/>
                <w:sz w:val="20"/>
                <w:szCs w:val="20"/>
              </w:rPr>
            </w:pPr>
            <w:r>
              <w:rPr>
                <w:rFonts w:hint="default" w:ascii="Times New Roman" w:hAnsi="Times New Roman" w:cs="Times New Roman"/>
                <w:sz w:val="20"/>
                <w:szCs w:val="20"/>
              </w:rPr>
              <w:t>Director of Studies/Supervisor:</w:t>
            </w:r>
          </w:p>
        </w:tc>
        <w:tc>
          <w:tcPr>
            <w:tcW w:w="1762" w:type="pct"/>
            <w:shd w:val="clear" w:color="auto" w:fill="auto"/>
            <w:vAlign w:val="center"/>
          </w:tcPr>
          <w:p>
            <w:pPr>
              <w:pStyle w:val="30"/>
              <w:ind w:left="0"/>
              <w:rPr>
                <w:rFonts w:hint="default" w:ascii="Times New Roman" w:hAnsi="Times New Roman" w:cs="Times New Roman"/>
                <w:sz w:val="20"/>
                <w:szCs w:val="20"/>
              </w:rPr>
            </w:pPr>
            <w:r>
              <w:rPr>
                <w:rFonts w:hint="default" w:ascii="Times New Roman" w:hAnsi="Times New Roman" w:cs="Times New Roman"/>
                <w:sz w:val="20"/>
                <w:szCs w:val="20"/>
                <w:lang w:val="en-GB"/>
              </w:rPr>
              <w:t>Dr Olusoyi Ashaye</w:t>
            </w:r>
          </w:p>
        </w:tc>
        <w:tc>
          <w:tcPr>
            <w:tcW w:w="1304" w:type="pct"/>
            <w:vMerge w:val="restart"/>
          </w:tcPr>
          <w:p>
            <w:pPr>
              <w:pStyle w:val="30"/>
              <w:ind w:left="0"/>
              <w:rPr>
                <w:rFonts w:hint="default" w:ascii="Times New Roman" w:hAnsi="Times New Roman" w:cs="Times New Roman"/>
                <w:sz w:val="20"/>
                <w:szCs w:val="20"/>
                <w:lang w:val="en-GB"/>
              </w:rPr>
            </w:pPr>
            <w:r>
              <w:rPr>
                <w:rFonts w:hint="default" w:ascii="Times New Roman" w:hAnsi="Times New Roman" w:cs="Times New Roman"/>
                <w:b/>
                <w:bCs/>
                <w:sz w:val="20"/>
                <w:szCs w:val="20"/>
              </w:rPr>
              <w:t>Date:</w:t>
            </w:r>
            <w:r>
              <w:rPr>
                <w:rFonts w:hint="default" w:ascii="Times New Roman" w:hAnsi="Times New Roman" w:cs="Times New Roman"/>
                <w:b/>
                <w:bCs/>
                <w:sz w:val="20"/>
                <w:szCs w:val="20"/>
                <w:lang w:val="en-GB"/>
              </w:rPr>
              <w:t>10.12.2023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268" w:type="pct"/>
            <w:shd w:val="clear" w:color="auto" w:fill="F1F1F1" w:themeFill="background1" w:themeFillShade="F2"/>
            <w:vAlign w:val="center"/>
          </w:tcPr>
          <w:p>
            <w:pPr>
              <w:pStyle w:val="30"/>
              <w:ind w:left="0"/>
              <w:jc w:val="center"/>
              <w:rPr>
                <w:rFonts w:hint="default" w:ascii="Times New Roman" w:hAnsi="Times New Roman" w:cs="Times New Roman"/>
                <w:sz w:val="20"/>
                <w:szCs w:val="20"/>
              </w:rPr>
            </w:pPr>
            <w:r>
              <w:rPr>
                <w:rFonts w:hint="default" w:ascii="Times New Roman" w:hAnsi="Times New Roman" w:cs="Times New Roman"/>
                <w:sz w:val="20"/>
                <w:szCs w:val="20"/>
              </w:rPr>
              <w:t>3</w:t>
            </w:r>
          </w:p>
        </w:tc>
        <w:tc>
          <w:tcPr>
            <w:tcW w:w="1664" w:type="pct"/>
            <w:shd w:val="clear" w:color="auto" w:fill="F1F1F1" w:themeFill="background1" w:themeFillShade="F2"/>
            <w:vAlign w:val="center"/>
          </w:tcPr>
          <w:p>
            <w:pPr>
              <w:pStyle w:val="30"/>
              <w:ind w:left="0"/>
              <w:rPr>
                <w:rFonts w:hint="default" w:ascii="Times New Roman" w:hAnsi="Times New Roman" w:cs="Times New Roman"/>
                <w:sz w:val="20"/>
                <w:szCs w:val="20"/>
              </w:rPr>
            </w:pPr>
            <w:r>
              <w:rPr>
                <w:rFonts w:hint="default" w:ascii="Times New Roman" w:hAnsi="Times New Roman" w:cs="Times New Roman"/>
                <w:sz w:val="20"/>
                <w:szCs w:val="20"/>
              </w:rPr>
              <w:t>Signature:</w:t>
            </w:r>
          </w:p>
        </w:tc>
        <w:tc>
          <w:tcPr>
            <w:tcW w:w="1762" w:type="pct"/>
            <w:shd w:val="clear" w:color="auto" w:fill="auto"/>
            <w:vAlign w:val="center"/>
          </w:tcPr>
          <w:p>
            <w:pPr>
              <w:pStyle w:val="30"/>
              <w:ind w:left="0"/>
              <w:rPr>
                <w:rFonts w:hint="default" w:ascii="Times New Roman" w:hAnsi="Times New Roman" w:cs="Times New Roman"/>
                <w:sz w:val="20"/>
                <w:szCs w:val="20"/>
              </w:rPr>
            </w:pPr>
          </w:p>
          <w:p>
            <w:pPr>
              <w:pStyle w:val="30"/>
              <w:ind w:left="0"/>
              <w:rPr>
                <w:rFonts w:hint="default" w:ascii="Times New Roman" w:hAnsi="Times New Roman" w:cs="Times New Roman"/>
                <w:sz w:val="20"/>
                <w:szCs w:val="20"/>
              </w:rPr>
            </w:pPr>
          </w:p>
        </w:tc>
        <w:tc>
          <w:tcPr>
            <w:tcW w:w="1304" w:type="pct"/>
            <w:vMerge w:val="continue"/>
            <w:vAlign w:val="center"/>
          </w:tcPr>
          <w:p>
            <w:pPr>
              <w:pStyle w:val="30"/>
              <w:ind w:left="0"/>
              <w:rPr>
                <w:rFonts w:hint="default" w:ascii="Times New Roman" w:hAnsi="Times New Roman" w:cs="Times New Roman"/>
                <w:sz w:val="20"/>
                <w:szCs w:val="20"/>
              </w:rPr>
            </w:pPr>
          </w:p>
        </w:tc>
      </w:tr>
    </w:tbl>
    <w:p>
      <w:pPr>
        <w:rPr>
          <w:rFonts w:hint="default" w:ascii="Times New Roman" w:hAnsi="Times New Roman" w:cs="Times New Roman"/>
          <w:sz w:val="20"/>
          <w:szCs w:val="20"/>
        </w:rPr>
      </w:pPr>
    </w:p>
    <w:p>
      <w:pPr>
        <w:rPr>
          <w:rFonts w:hint="default" w:ascii="Times New Roman" w:hAnsi="Times New Roman" w:cs="Times New Roman"/>
          <w:b/>
          <w:i/>
          <w:sz w:val="20"/>
          <w:szCs w:val="20"/>
        </w:rPr>
      </w:pPr>
      <w:r>
        <w:rPr>
          <w:rFonts w:hint="default" w:ascii="Times New Roman" w:hAnsi="Times New Roman" w:cs="Times New Roman"/>
          <w:b/>
          <w:i/>
          <w:sz w:val="20"/>
          <w:szCs w:val="20"/>
        </w:rPr>
        <w:t>For STAFF Submissions:</w:t>
      </w:r>
    </w:p>
    <w:tbl>
      <w:tblPr>
        <w:tblStyle w:val="6"/>
        <w:tblW w:w="6121" w:type="pct"/>
        <w:tblInd w:w="-100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6"/>
        <w:gridCol w:w="3785"/>
        <w:gridCol w:w="4025"/>
        <w:gridCol w:w="29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246" w:type="pct"/>
            <w:shd w:val="clear" w:color="auto" w:fill="F1F1F1" w:themeFill="background1" w:themeFillShade="F2"/>
            <w:vAlign w:val="center"/>
          </w:tcPr>
          <w:p>
            <w:pPr>
              <w:pStyle w:val="30"/>
              <w:ind w:left="0"/>
              <w:jc w:val="center"/>
              <w:rPr>
                <w:rFonts w:hint="default" w:ascii="Times New Roman" w:hAnsi="Times New Roman" w:cs="Times New Roman"/>
                <w:sz w:val="20"/>
                <w:szCs w:val="20"/>
              </w:rPr>
            </w:pPr>
            <w:r>
              <w:rPr>
                <w:rFonts w:hint="default" w:ascii="Times New Roman" w:hAnsi="Times New Roman" w:cs="Times New Roman"/>
                <w:sz w:val="20"/>
                <w:szCs w:val="20"/>
              </w:rPr>
              <w:t>4</w:t>
            </w:r>
          </w:p>
        </w:tc>
        <w:tc>
          <w:tcPr>
            <w:tcW w:w="1673" w:type="pct"/>
            <w:shd w:val="clear" w:color="auto" w:fill="F1F1F1" w:themeFill="background1" w:themeFillShade="F2"/>
            <w:vAlign w:val="center"/>
          </w:tcPr>
          <w:p>
            <w:pPr>
              <w:pStyle w:val="30"/>
              <w:ind w:left="0"/>
              <w:rPr>
                <w:rFonts w:hint="default" w:ascii="Times New Roman" w:hAnsi="Times New Roman" w:cs="Times New Roman"/>
                <w:sz w:val="20"/>
                <w:szCs w:val="20"/>
              </w:rPr>
            </w:pPr>
            <w:r>
              <w:rPr>
                <w:rFonts w:hint="default" w:ascii="Times New Roman" w:hAnsi="Times New Roman" w:cs="Times New Roman"/>
                <w:sz w:val="20"/>
                <w:szCs w:val="20"/>
              </w:rPr>
              <w:t>Academic Director/ Assistant Dean:</w:t>
            </w:r>
          </w:p>
        </w:tc>
        <w:tc>
          <w:tcPr>
            <w:tcW w:w="1779" w:type="pct"/>
            <w:shd w:val="clear" w:color="auto" w:fill="auto"/>
            <w:vAlign w:val="center"/>
          </w:tcPr>
          <w:p>
            <w:pPr>
              <w:pStyle w:val="30"/>
              <w:ind w:left="0"/>
              <w:rPr>
                <w:rFonts w:hint="default" w:ascii="Times New Roman" w:hAnsi="Times New Roman" w:cs="Times New Roman"/>
                <w:sz w:val="20"/>
                <w:szCs w:val="20"/>
              </w:rPr>
            </w:pPr>
          </w:p>
        </w:tc>
        <w:tc>
          <w:tcPr>
            <w:tcW w:w="1300" w:type="pct"/>
            <w:vMerge w:val="restart"/>
          </w:tcPr>
          <w:p>
            <w:pPr>
              <w:pStyle w:val="30"/>
              <w:ind w:left="0"/>
              <w:rPr>
                <w:rFonts w:hint="default" w:ascii="Times New Roman" w:hAnsi="Times New Roman" w:cs="Times New Roman"/>
                <w:sz w:val="20"/>
                <w:szCs w:val="20"/>
              </w:rPr>
            </w:pPr>
            <w:r>
              <w:rPr>
                <w:rFonts w:hint="default" w:ascii="Times New Roman" w:hAnsi="Times New Roman" w:cs="Times New Roman"/>
                <w:b/>
                <w:bCs/>
                <w:sz w:val="20"/>
                <w:szCs w:val="20"/>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246" w:type="pct"/>
            <w:shd w:val="clear" w:color="auto" w:fill="F1F1F1" w:themeFill="background1" w:themeFillShade="F2"/>
            <w:vAlign w:val="center"/>
          </w:tcPr>
          <w:p>
            <w:pPr>
              <w:pStyle w:val="30"/>
              <w:ind w:left="0"/>
              <w:jc w:val="center"/>
              <w:rPr>
                <w:rFonts w:hint="default" w:ascii="Times New Roman" w:hAnsi="Times New Roman" w:cs="Times New Roman"/>
                <w:sz w:val="20"/>
                <w:szCs w:val="20"/>
              </w:rPr>
            </w:pPr>
            <w:r>
              <w:rPr>
                <w:rFonts w:hint="default" w:ascii="Times New Roman" w:hAnsi="Times New Roman" w:cs="Times New Roman"/>
                <w:sz w:val="20"/>
                <w:szCs w:val="20"/>
              </w:rPr>
              <w:t>5</w:t>
            </w:r>
          </w:p>
        </w:tc>
        <w:tc>
          <w:tcPr>
            <w:tcW w:w="1673" w:type="pct"/>
            <w:shd w:val="clear" w:color="auto" w:fill="F1F1F1" w:themeFill="background1" w:themeFillShade="F2"/>
            <w:vAlign w:val="center"/>
          </w:tcPr>
          <w:p>
            <w:pPr>
              <w:pStyle w:val="30"/>
              <w:ind w:left="0"/>
              <w:rPr>
                <w:rFonts w:hint="default" w:ascii="Times New Roman" w:hAnsi="Times New Roman" w:cs="Times New Roman"/>
                <w:sz w:val="20"/>
                <w:szCs w:val="20"/>
              </w:rPr>
            </w:pPr>
            <w:r>
              <w:rPr>
                <w:rFonts w:hint="default" w:ascii="Times New Roman" w:hAnsi="Times New Roman" w:cs="Times New Roman"/>
                <w:sz w:val="20"/>
                <w:szCs w:val="20"/>
              </w:rPr>
              <w:t>Signature:</w:t>
            </w:r>
          </w:p>
        </w:tc>
        <w:tc>
          <w:tcPr>
            <w:tcW w:w="1779" w:type="pct"/>
            <w:shd w:val="clear" w:color="auto" w:fill="auto"/>
            <w:vAlign w:val="center"/>
          </w:tcPr>
          <w:p>
            <w:pPr>
              <w:pStyle w:val="30"/>
              <w:ind w:left="0"/>
              <w:rPr>
                <w:rFonts w:hint="default" w:ascii="Times New Roman" w:hAnsi="Times New Roman" w:cs="Times New Roman"/>
                <w:sz w:val="20"/>
                <w:szCs w:val="20"/>
              </w:rPr>
            </w:pPr>
          </w:p>
          <w:p>
            <w:pPr>
              <w:pStyle w:val="30"/>
              <w:ind w:left="0"/>
              <w:rPr>
                <w:rFonts w:hint="default" w:ascii="Times New Roman" w:hAnsi="Times New Roman" w:cs="Times New Roman"/>
                <w:sz w:val="20"/>
                <w:szCs w:val="20"/>
              </w:rPr>
            </w:pPr>
          </w:p>
        </w:tc>
        <w:tc>
          <w:tcPr>
            <w:tcW w:w="1300" w:type="pct"/>
            <w:vMerge w:val="continue"/>
            <w:vAlign w:val="center"/>
          </w:tcPr>
          <w:p>
            <w:pPr>
              <w:pStyle w:val="30"/>
              <w:ind w:left="0"/>
              <w:rPr>
                <w:rFonts w:hint="default" w:ascii="Times New Roman" w:hAnsi="Times New Roman" w:cs="Times New Roman"/>
                <w:sz w:val="20"/>
                <w:szCs w:val="20"/>
              </w:rPr>
            </w:pPr>
          </w:p>
        </w:tc>
      </w:tr>
    </w:tbl>
    <w:p>
      <w:pPr>
        <w:rPr>
          <w:rFonts w:hint="default" w:ascii="Times New Roman" w:hAnsi="Times New Roman" w:cs="Times New Roman"/>
          <w:b/>
          <w:sz w:val="20"/>
          <w:szCs w:val="20"/>
        </w:rPr>
      </w:pPr>
    </w:p>
    <w:p>
      <w:pPr>
        <w:rPr>
          <w:rFonts w:hint="default" w:ascii="Times New Roman" w:hAnsi="Times New Roman" w:cs="Times New Roman"/>
          <w:b/>
          <w:sz w:val="20"/>
          <w:szCs w:val="20"/>
        </w:rPr>
      </w:pPr>
    </w:p>
    <w:p>
      <w:pPr>
        <w:rPr>
          <w:rFonts w:hint="default" w:ascii="Times New Roman" w:hAnsi="Times New Roman" w:cs="Times New Roman"/>
          <w:b/>
          <w:sz w:val="20"/>
          <w:szCs w:val="20"/>
        </w:rPr>
      </w:pPr>
    </w:p>
    <w:p>
      <w:pPr>
        <w:rPr>
          <w:rFonts w:hint="default" w:ascii="Times New Roman" w:hAnsi="Times New Roman" w:cs="Times New Roman"/>
          <w:b/>
          <w:sz w:val="20"/>
          <w:szCs w:val="20"/>
        </w:rPr>
      </w:pPr>
    </w:p>
    <w:p>
      <w:pPr>
        <w:autoSpaceDE w:val="0"/>
        <w:autoSpaceDN w:val="0"/>
        <w:adjustRightInd w:val="0"/>
        <w:spacing w:after="240"/>
        <w:jc w:val="both"/>
        <w:rPr>
          <w:rFonts w:hint="default" w:ascii="Times New Roman" w:hAnsi="Times New Roman" w:cs="Times New Roman"/>
          <w:bCs/>
          <w:sz w:val="20"/>
          <w:szCs w:val="20"/>
        </w:rPr>
      </w:pPr>
      <w:r>
        <w:rPr>
          <w:rFonts w:hint="default" w:ascii="Times New Roman" w:hAnsi="Times New Roman" w:cs="Times New Roman"/>
          <w:b/>
          <w:sz w:val="20"/>
          <w:szCs w:val="20"/>
        </w:rPr>
        <w:t xml:space="preserve">Checklist: </w:t>
      </w:r>
      <w:r>
        <w:rPr>
          <w:rFonts w:hint="default" w:ascii="Times New Roman" w:hAnsi="Times New Roman" w:cs="Times New Roman"/>
          <w:bCs/>
          <w:sz w:val="20"/>
          <w:szCs w:val="20"/>
        </w:rPr>
        <w:t>Please complete the checklist below to ensure that you have completed the form according to the guidelines and attached any required documentation:</w:t>
      </w:r>
    </w:p>
    <w:tbl>
      <w:tblPr>
        <w:tblStyle w:val="14"/>
        <w:tblW w:w="11487" w:type="dxa"/>
        <w:tblInd w:w="-100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109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454446193"/>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eastAsia="MS Gothic"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eastAsia="MS Gothic" w:cs="Times New Roman"/>
                <w:bCs/>
                <w:sz w:val="20"/>
                <w:szCs w:val="20"/>
              </w:rPr>
            </w:pPr>
            <w:r>
              <w:rPr>
                <w:rFonts w:hint="default" w:ascii="Times New Roman" w:hAnsi="Times New Roman" w:eastAsia="MS Gothic" w:cs="Times New Roman"/>
                <w:bCs/>
                <w:sz w:val="20"/>
                <w:szCs w:val="20"/>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770363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eastAsia="MS Gothic"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 xml:space="preserve">I have completed </w:t>
            </w:r>
            <w:r>
              <w:rPr>
                <w:rFonts w:hint="default" w:ascii="Times New Roman" w:hAnsi="Times New Roman" w:cs="Times New Roman"/>
                <w:b/>
                <w:sz w:val="20"/>
                <w:szCs w:val="20"/>
              </w:rPr>
              <w:t>ALL RELEVANT</w:t>
            </w:r>
            <w:r>
              <w:rPr>
                <w:rFonts w:hint="default" w:ascii="Times New Roman" w:hAnsi="Times New Roman" w:cs="Times New Roman"/>
                <w:sz w:val="20"/>
                <w:szCs w:val="20"/>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39392188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97829567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 have attached a copy of final/interim approval from external organisation (</w:t>
            </w:r>
            <w:r>
              <w:rPr>
                <w:rFonts w:hint="default" w:ascii="Times New Roman" w:hAnsi="Times New Roman" w:cs="Times New Roman"/>
                <w:b/>
                <w:sz w:val="20"/>
                <w:szCs w:val="20"/>
              </w:rPr>
              <w:t>where appropriate</w:t>
            </w:r>
            <w:r>
              <w:rPr>
                <w:rFonts w:hint="default" w:ascii="Times New Roman" w:hAnsi="Times New Roman" w:cs="Times New Roman"/>
                <w:sz w:val="20"/>
                <w:szCs w:val="20"/>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893926499"/>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 have attached a full risk assessment (where appropriate) ONLY</w:t>
            </w:r>
            <w:r>
              <w:rPr>
                <w:rFonts w:hint="default" w:ascii="Times New Roman" w:hAnsi="Times New Roman" w:cs="Times New Roman"/>
                <w:i/>
                <w:sz w:val="20"/>
                <w:szCs w:val="20"/>
              </w:rPr>
              <w:t xml:space="preserve"> TICK IF YOU HAVE</w:t>
            </w:r>
            <w:r>
              <w:rPr>
                <w:rFonts w:hint="default" w:ascii="Times New Roman" w:hAnsi="Times New Roman" w:cs="Times New Roman"/>
                <w:b/>
                <w:i/>
                <w:sz w:val="20"/>
                <w:szCs w:val="20"/>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189257540"/>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 understand that it is my responsibility to ensure that the above-named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547" w:type="dxa"/>
            <w:shd w:val="clear" w:color="auto" w:fill="BEBEBE" w:themeFill="background1" w:themeFillShade="BF"/>
            <w:vAlign w:val="center"/>
          </w:tcPr>
          <w:sdt>
            <w:sdtPr>
              <w:rPr>
                <w:rFonts w:hint="default" w:ascii="Times New Roman" w:hAnsi="Times New Roman" w:cs="Times New Roman"/>
                <w:sz w:val="20"/>
                <w:szCs w:val="20"/>
              </w:rPr>
              <w:id w:val="1030683582"/>
              <w14:checkbox>
                <w14:checked w14:val="1"/>
                <w14:checkedState w14:val="2612" w14:font="MS Gothic"/>
                <w14:uncheckedState w14:val="2610" w14:font="MS Gothic"/>
              </w14:checkbox>
            </w:sdtPr>
            <w:sdtEndPr>
              <w:rPr>
                <w:rFonts w:hint="default" w:ascii="Times New Roman" w:hAnsi="Times New Roman" w:cs="Times New Roman"/>
                <w:sz w:val="20"/>
                <w:szCs w:val="20"/>
              </w:rPr>
            </w:sdtEndPr>
            <w:sdtContent>
              <w:p>
                <w:pPr>
                  <w:jc w:val="center"/>
                  <w:rPr>
                    <w:rFonts w:hint="default" w:ascii="Times New Roman" w:hAnsi="Times New Roman" w:cs="Times New Roman"/>
                    <w:sz w:val="20"/>
                    <w:szCs w:val="20"/>
                  </w:rPr>
                </w:pPr>
                <w:r>
                  <w:rPr>
                    <w:rFonts w:hint="default" w:ascii="Times New Roman" w:hAnsi="Times New Roman" w:eastAsia="MS Gothic" w:cs="Times New Roman"/>
                    <w:sz w:val="20"/>
                    <w:szCs w:val="20"/>
                  </w:rPr>
                  <w:t>☒</w:t>
                </w:r>
              </w:p>
            </w:sdtContent>
          </w:sdt>
        </w:tc>
        <w:tc>
          <w:tcPr>
            <w:tcW w:w="10940" w:type="dxa"/>
            <w:vAlign w:val="center"/>
          </w:tcPr>
          <w:p>
            <w:pPr>
              <w:rPr>
                <w:rFonts w:hint="default" w:ascii="Times New Roman" w:hAnsi="Times New Roman" w:cs="Times New Roman"/>
                <w:sz w:val="20"/>
                <w:szCs w:val="20"/>
              </w:rPr>
            </w:pPr>
            <w:r>
              <w:rPr>
                <w:rFonts w:hint="default" w:ascii="Times New Roman" w:hAnsi="Times New Roman" w:cs="Times New Roman"/>
                <w:sz w:val="20"/>
                <w:szCs w:val="20"/>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hint="default" w:ascii="Times New Roman" w:hAnsi="Times New Roman" w:cs="Times New Roman"/>
          <w:b/>
          <w:bCs/>
          <w:sz w:val="20"/>
          <w:szCs w:val="20"/>
        </w:rPr>
      </w:pPr>
    </w:p>
    <w:tbl>
      <w:tblPr>
        <w:tblStyle w:val="6"/>
        <w:tblW w:w="11514" w:type="dxa"/>
        <w:tblInd w:w="-102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5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1514" w:type="dxa"/>
            <w:shd w:val="clear" w:color="auto" w:fill="D8D8D8" w:themeFill="background1" w:themeFillShade="D9"/>
          </w:tcPr>
          <w:p>
            <w:pPr>
              <w:rPr>
                <w:rFonts w:hint="default" w:ascii="Times New Roman" w:hAnsi="Times New Roman" w:cs="Times New Roman"/>
                <w:b/>
                <w:sz w:val="20"/>
                <w:szCs w:val="20"/>
              </w:rPr>
            </w:pPr>
            <w:r>
              <w:rPr>
                <w:rFonts w:hint="default" w:ascii="Times New Roman" w:hAnsi="Times New Roman" w:cs="Times New Roman"/>
                <w:b/>
                <w:sz w:val="20"/>
                <w:szCs w:val="20"/>
              </w:rPr>
              <w:t>RESEARCH STUDENTS AND STAFF ONLY</w:t>
            </w:r>
          </w:p>
          <w:p>
            <w:pPr>
              <w:rPr>
                <w:rFonts w:hint="default" w:ascii="Times New Roman" w:hAnsi="Times New Roman" w:cs="Times New Roman"/>
                <w:sz w:val="20"/>
                <w:szCs w:val="20"/>
              </w:rPr>
            </w:pPr>
            <w:r>
              <w:rPr>
                <w:rFonts w:hint="default" w:ascii="Times New Roman" w:hAnsi="Times New Roman" w:cs="Times New Roman"/>
                <w:sz w:val="20"/>
                <w:szCs w:val="20"/>
              </w:rPr>
              <w:t xml:space="preserve">All communications relating to this application during its processing must be in writing and emailed to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"mailto:pgresearch@uwtsd.ac.uk" </w:instrText>
            </w:r>
            <w:r>
              <w:rPr>
                <w:rFonts w:hint="default" w:ascii="Times New Roman" w:hAnsi="Times New Roman" w:cs="Times New Roman"/>
                <w:sz w:val="20"/>
                <w:szCs w:val="20"/>
              </w:rPr>
              <w:fldChar w:fldCharType="separate"/>
            </w:r>
            <w:r>
              <w:rPr>
                <w:rStyle w:val="10"/>
                <w:rFonts w:hint="default" w:ascii="Times New Roman" w:hAnsi="Times New Roman" w:cs="Times New Roman"/>
                <w:sz w:val="20"/>
                <w:szCs w:val="20"/>
              </w:rPr>
              <w:t>pgresearch@uwtsd.ac.uk</w:t>
            </w:r>
            <w:r>
              <w:rPr>
                <w:rStyle w:val="10"/>
                <w:rFonts w:hint="default" w:ascii="Times New Roman" w:hAnsi="Times New Roman" w:cs="Times New Roman"/>
                <w:sz w:val="20"/>
                <w:szCs w:val="20"/>
              </w:rPr>
              <w:fldChar w:fldCharType="end"/>
            </w:r>
            <w:r>
              <w:rPr>
                <w:rFonts w:hint="default" w:ascii="Times New Roman" w:hAnsi="Times New Roman" w:cs="Times New Roman"/>
                <w:sz w:val="20"/>
                <w:szCs w:val="20"/>
              </w:rPr>
              <w:t xml:space="preserve"> , with the title ‘Ethical Approval’ followed by your name.</w:t>
            </w:r>
          </w:p>
          <w:p>
            <w:pPr>
              <w:rPr>
                <w:rFonts w:hint="default" w:ascii="Times New Roman" w:hAnsi="Times New Roman" w:cs="Times New Roman"/>
                <w:sz w:val="20"/>
                <w:szCs w:val="20"/>
              </w:rPr>
            </w:pPr>
            <w:r>
              <w:rPr>
                <w:rFonts w:hint="default" w:ascii="Times New Roman" w:hAnsi="Times New Roman" w:cs="Times New Roman"/>
                <w:color w:val="000000"/>
                <w:sz w:val="20"/>
                <w:szCs w:val="20"/>
              </w:rPr>
              <w:t>You will be informed of the outcome of your claim by email; therefore,</w:t>
            </w:r>
            <w:r>
              <w:rPr>
                <w:rFonts w:hint="default" w:ascii="Times New Roman" w:hAnsi="Times New Roman" w:cs="Times New Roman"/>
                <w:b/>
                <w:color w:val="000000"/>
                <w:sz w:val="20"/>
                <w:szCs w:val="20"/>
              </w:rPr>
              <w:t xml:space="preserve"> </w:t>
            </w:r>
            <w:r>
              <w:rPr>
                <w:rStyle w:val="13"/>
                <w:rFonts w:hint="default" w:ascii="Times New Roman" w:hAnsi="Times New Roman" w:cs="Times New Roman"/>
                <w:b w:val="0"/>
                <w:bCs w:val="0"/>
                <w:color w:val="000000"/>
                <w:sz w:val="20"/>
                <w:szCs w:val="20"/>
              </w:rPr>
              <w:t>it is important that you check your University and personal email accounts regularly</w:t>
            </w:r>
            <w:r>
              <w:rPr>
                <w:rFonts w:hint="default" w:ascii="Times New Roman" w:hAnsi="Times New Roman" w:cs="Times New Roman"/>
                <w:b/>
                <w:bCs/>
                <w:sz w:val="20"/>
                <w:szCs w:val="20"/>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14"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hint="default" w:ascii="Times New Roman" w:hAnsi="Times New Roman" w:cs="Times New Roman"/>
                <w:b/>
                <w:sz w:val="20"/>
                <w:szCs w:val="20"/>
              </w:rPr>
            </w:pPr>
            <w:r>
              <w:rPr>
                <w:rFonts w:hint="default" w:ascii="Times New Roman" w:hAnsi="Times New Roman" w:cs="Times New Roman"/>
                <w:b/>
                <w:bCs/>
                <w:sz w:val="20"/>
                <w:szCs w:val="20"/>
              </w:rPr>
              <w:t xml:space="preserve">STUDENTS ON UNDERGRADUATE OR TAUGHT MASTERS PROGRAMMES </w:t>
            </w:r>
            <w:r>
              <w:rPr>
                <w:rFonts w:hint="default" w:ascii="Times New Roman" w:hAnsi="Times New Roman" w:cs="Times New Roman"/>
                <w:bCs/>
                <w:sz w:val="20"/>
                <w:szCs w:val="20"/>
              </w:rPr>
              <w:t>should submit this form (and receive the outcome) via systems explained to you by the supervisor/module leader.</w:t>
            </w:r>
          </w:p>
        </w:tc>
      </w:tr>
    </w:tbl>
    <w:p>
      <w:pPr>
        <w:tabs>
          <w:tab w:val="left" w:pos="5103"/>
        </w:tabs>
        <w:rPr>
          <w:rFonts w:hint="default" w:ascii="Times New Roman" w:hAnsi="Times New Roman" w:cs="Times New Roman"/>
          <w:bCs/>
          <w:sz w:val="20"/>
          <w:szCs w:val="20"/>
        </w:rPr>
      </w:pPr>
    </w:p>
    <w:p>
      <w:pPr>
        <w:rPr>
          <w:rFonts w:hint="default" w:ascii="Times New Roman" w:hAnsi="Times New Roman" w:cs="Times New Roman"/>
          <w:sz w:val="20"/>
          <w:szCs w:val="20"/>
        </w:rPr>
      </w:pPr>
      <w:r>
        <w:rPr>
          <w:rFonts w:hint="default" w:ascii="Times New Roman" w:hAnsi="Times New Roman" w:cs="Times New Roman"/>
          <w:b/>
          <w:bCs/>
          <w:sz w:val="20"/>
          <w:szCs w:val="20"/>
        </w:rPr>
        <w:t>This form is available electronically from the Academic Office web pages:</w:t>
      </w:r>
      <w:r>
        <w:rPr>
          <w:rFonts w:hint="default" w:ascii="Times New Roman" w:hAnsi="Times New Roman" w:cs="Times New Roman"/>
          <w:sz w:val="20"/>
          <w:szCs w:val="20"/>
        </w:rPr>
        <w:t xml:space="preserve">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"https://www.uwtsd.ac.uk/academic-office/appendices-and-forms/" </w:instrText>
      </w:r>
      <w:r>
        <w:rPr>
          <w:rFonts w:hint="default" w:ascii="Times New Roman" w:hAnsi="Times New Roman" w:cs="Times New Roman"/>
          <w:sz w:val="20"/>
          <w:szCs w:val="20"/>
        </w:rPr>
        <w:fldChar w:fldCharType="separate"/>
      </w:r>
      <w:r>
        <w:rPr>
          <w:rStyle w:val="10"/>
          <w:rFonts w:hint="default" w:ascii="Times New Roman" w:hAnsi="Times New Roman" w:cs="Times New Roman"/>
          <w:sz w:val="20"/>
          <w:szCs w:val="20"/>
        </w:rPr>
        <w:t>https://www.uwtsd.ac.uk/academic-office/appendices-and-forms/</w:t>
      </w:r>
      <w:r>
        <w:rPr>
          <w:rStyle w:val="10"/>
          <w:rFonts w:hint="default" w:ascii="Times New Roman" w:hAnsi="Times New Roman" w:cs="Times New Roman"/>
          <w:sz w:val="20"/>
          <w:szCs w:val="20"/>
        </w:rPr>
        <w:fldChar w:fldCharType="end"/>
      </w: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rPr>
          <w:rFonts w:hint="default" w:ascii="Times New Roman" w:hAnsi="Times New Roman" w:cs="Times New Roman"/>
          <w:sz w:val="20"/>
          <w:szCs w:val="20"/>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rPr>
          <w:b/>
          <w:bCs/>
          <w:color w:val="000000" w:themeColor="text1"/>
          <w:sz w:val="28"/>
          <w:szCs w:val="28"/>
          <w14:textFill>
            <w14:solidFill>
              <w14:schemeClr w14:val="tx1"/>
            </w14:solidFill>
          </w14:textFill>
        </w:rPr>
      </w:pPr>
    </w:p>
    <w:p>
      <w:pPr>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pStyle w:val="7"/>
        <w:rPr>
          <w:b/>
          <w:bCs/>
          <w:color w:val="000000" w:themeColor="text1"/>
          <w:sz w:val="28"/>
          <w:szCs w:val="28"/>
          <w14:textFill>
            <w14:solidFill>
              <w14:schemeClr w14:val="tx1"/>
            </w14:solidFill>
          </w14:textFill>
        </w:rPr>
      </w:pPr>
    </w:p>
    <w:p>
      <w:pPr>
        <w:rPr>
          <w:rFonts w:hint="default"/>
          <w:b/>
          <w:bCs/>
          <w:color w:val="000000" w:themeColor="text1"/>
          <w:sz w:val="28"/>
          <w:szCs w:val="28"/>
          <w:lang w:val="en-GB"/>
          <w14:textFill>
            <w14:solidFill>
              <w14:schemeClr w14:val="tx1"/>
            </w14:solidFill>
          </w14:textFill>
        </w:rPr>
      </w:pPr>
    </w:p>
    <w:p>
      <w:pPr>
        <w:pStyle w:val="7"/>
        <w:rPr>
          <w:b/>
          <w:bCs/>
          <w:color w:val="000000" w:themeColor="text1"/>
          <w:sz w:val="28"/>
          <w:szCs w:val="28"/>
          <w14:textFill>
            <w14:solidFill>
              <w14:schemeClr w14:val="tx1"/>
            </w14:solidFill>
          </w14:textFill>
        </w:rPr>
      </w:pPr>
      <w:r>
        <w:rPr>
          <w:b/>
          <w:bCs/>
          <w:color w:val="000000" w:themeColor="text1"/>
          <w:sz w:val="28"/>
          <w:szCs w:val="28"/>
          <w14:textFill>
            <w14:solidFill>
              <w14:schemeClr w14:val="tx1"/>
            </w14:solidFill>
          </w14:textFill>
        </w:rPr>
        <w:t xml:space="preserve">Appendix </w:t>
      </w:r>
      <w:r>
        <w:rPr>
          <w:b/>
          <w:bCs/>
          <w:color w:val="000000" w:themeColor="text1"/>
          <w:sz w:val="28"/>
          <w:szCs w:val="28"/>
          <w14:textFill>
            <w14:solidFill>
              <w14:schemeClr w14:val="tx1"/>
            </w14:solidFill>
          </w14:textFill>
        </w:rPr>
        <w:fldChar w:fldCharType="begin"/>
      </w:r>
      <w:r>
        <w:rPr>
          <w:b/>
          <w:bCs/>
          <w:color w:val="000000" w:themeColor="text1"/>
          <w:sz w:val="28"/>
          <w:szCs w:val="28"/>
          <w14:textFill>
            <w14:solidFill>
              <w14:schemeClr w14:val="tx1"/>
            </w14:solidFill>
          </w14:textFill>
        </w:rPr>
        <w:instrText xml:space="preserve"> SEQ Appendix \* ARABIC </w:instrText>
      </w:r>
      <w:r>
        <w:rPr>
          <w:b/>
          <w:bCs/>
          <w:color w:val="000000" w:themeColor="text1"/>
          <w:sz w:val="28"/>
          <w:szCs w:val="28"/>
          <w14:textFill>
            <w14:solidFill>
              <w14:schemeClr w14:val="tx1"/>
            </w14:solidFill>
          </w14:textFill>
        </w:rPr>
        <w:fldChar w:fldCharType="separate"/>
      </w:r>
      <w:r>
        <w:rPr>
          <w:b/>
          <w:bCs/>
          <w:color w:val="000000" w:themeColor="text1"/>
          <w:sz w:val="28"/>
          <w:szCs w:val="28"/>
          <w14:textFill>
            <w14:solidFill>
              <w14:schemeClr w14:val="tx1"/>
            </w14:solidFill>
          </w14:textFill>
        </w:rPr>
        <w:t>7</w:t>
      </w:r>
      <w:r>
        <w:rPr>
          <w:b/>
          <w:bCs/>
          <w:color w:val="000000" w:themeColor="text1"/>
          <w:sz w:val="28"/>
          <w:szCs w:val="28"/>
          <w14:textFill>
            <w14:solidFill>
              <w14:schemeClr w14:val="tx1"/>
            </w14:solidFill>
          </w14:textFill>
        </w:rPr>
        <w:fldChar w:fldCharType="end"/>
      </w:r>
      <w:r>
        <w:rPr>
          <w:b/>
          <w:bCs/>
          <w:color w:val="000000" w:themeColor="text1"/>
          <w:sz w:val="28"/>
          <w:szCs w:val="28"/>
          <w14:textFill>
            <w14:solidFill>
              <w14:schemeClr w14:val="tx1"/>
            </w14:solidFill>
          </w14:textFill>
        </w:rPr>
        <w:t>. Research Time Prospects</w:t>
      </w:r>
    </w:p>
    <w:p>
      <w:r>
        <w:t>The Gantt chart is used to project the chapters and the milestones for the successful completion of the study.</w:t>
      </w:r>
    </w:p>
    <w:tbl>
      <w:tblPr>
        <w:tblStyle w:val="32"/>
        <w:tblW w:w="9298" w:type="dxa"/>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1648"/>
        <w:gridCol w:w="1123"/>
        <w:gridCol w:w="1309"/>
        <w:gridCol w:w="1309"/>
        <w:gridCol w:w="1309"/>
        <w:gridCol w:w="1309"/>
        <w:gridCol w:w="1291"/>
      </w:tblGrid>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33" w:hRule="atLeast"/>
        </w:trPr>
        <w:tc>
          <w:tcPr>
            <w:tcW w:w="1648"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bCs/>
                <w:sz w:val="20"/>
                <w:szCs w:val="20"/>
                <w:lang w:val="en-US"/>
              </w:rPr>
            </w:pPr>
            <w:bookmarkStart w:id="98" w:name="_Toc153906101"/>
          </w:p>
        </w:tc>
        <w:tc>
          <w:tcPr>
            <w:tcW w:w="1123"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GB"/>
              </w:rPr>
              <w:t>15</w:t>
            </w:r>
            <w:r>
              <w:rPr>
                <w:rFonts w:hint="default" w:ascii="Times New Roman" w:hAnsi="Times New Roman" w:eastAsia="Calibri" w:cs="Times New Roman"/>
                <w:b/>
                <w:bCs/>
                <w:sz w:val="20"/>
                <w:szCs w:val="20"/>
                <w:lang w:val="en-US"/>
              </w:rPr>
              <w:t>.</w:t>
            </w:r>
            <w:r>
              <w:rPr>
                <w:rFonts w:hint="default" w:ascii="Times New Roman" w:hAnsi="Times New Roman" w:eastAsia="Calibri" w:cs="Times New Roman"/>
                <w:b/>
                <w:bCs/>
                <w:sz w:val="20"/>
                <w:szCs w:val="20"/>
                <w:lang w:val="en-GB"/>
              </w:rPr>
              <w:t>09</w:t>
            </w:r>
            <w:r>
              <w:rPr>
                <w:rFonts w:hint="default" w:ascii="Times New Roman" w:hAnsi="Times New Roman" w:eastAsia="Calibri" w:cs="Times New Roman"/>
                <w:b/>
                <w:bCs/>
                <w:sz w:val="20"/>
                <w:szCs w:val="20"/>
                <w:lang w:val="en-US"/>
              </w:rPr>
              <w:t>.2023</w:t>
            </w:r>
          </w:p>
        </w:tc>
        <w:tc>
          <w:tcPr>
            <w:tcW w:w="1309"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GB"/>
              </w:rPr>
              <w:t>01</w:t>
            </w:r>
            <w:r>
              <w:rPr>
                <w:rFonts w:hint="default" w:ascii="Times New Roman" w:hAnsi="Times New Roman" w:eastAsia="Calibri" w:cs="Times New Roman"/>
                <w:b/>
                <w:bCs/>
                <w:sz w:val="20"/>
                <w:szCs w:val="20"/>
                <w:lang w:val="en-US"/>
              </w:rPr>
              <w:t>.</w:t>
            </w:r>
            <w:r>
              <w:rPr>
                <w:rFonts w:hint="default" w:ascii="Times New Roman" w:hAnsi="Times New Roman" w:eastAsia="Calibri" w:cs="Times New Roman"/>
                <w:b/>
                <w:bCs/>
                <w:sz w:val="20"/>
                <w:szCs w:val="20"/>
                <w:lang w:val="en-GB"/>
              </w:rPr>
              <w:t>10</w:t>
            </w:r>
            <w:r>
              <w:rPr>
                <w:rFonts w:hint="default" w:ascii="Times New Roman" w:hAnsi="Times New Roman" w:eastAsia="Calibri" w:cs="Times New Roman"/>
                <w:b/>
                <w:bCs/>
                <w:sz w:val="20"/>
                <w:szCs w:val="20"/>
                <w:lang w:val="en-US"/>
              </w:rPr>
              <w:t>.2023</w:t>
            </w:r>
          </w:p>
        </w:tc>
        <w:tc>
          <w:tcPr>
            <w:tcW w:w="1309"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GB"/>
              </w:rPr>
              <w:t>15</w:t>
            </w:r>
            <w:r>
              <w:rPr>
                <w:rFonts w:hint="default" w:ascii="Times New Roman" w:hAnsi="Times New Roman" w:eastAsia="Calibri" w:cs="Times New Roman"/>
                <w:b/>
                <w:bCs/>
                <w:sz w:val="20"/>
                <w:szCs w:val="20"/>
                <w:lang w:val="en-US"/>
              </w:rPr>
              <w:t>.</w:t>
            </w:r>
            <w:r>
              <w:rPr>
                <w:rFonts w:hint="default" w:ascii="Times New Roman" w:hAnsi="Times New Roman" w:eastAsia="Calibri" w:cs="Times New Roman"/>
                <w:b/>
                <w:bCs/>
                <w:sz w:val="20"/>
                <w:szCs w:val="20"/>
                <w:lang w:val="en-GB"/>
              </w:rPr>
              <w:t>10</w:t>
            </w:r>
            <w:r>
              <w:rPr>
                <w:rFonts w:hint="default" w:ascii="Times New Roman" w:hAnsi="Times New Roman" w:eastAsia="Calibri" w:cs="Times New Roman"/>
                <w:b/>
                <w:bCs/>
                <w:sz w:val="20"/>
                <w:szCs w:val="20"/>
                <w:lang w:val="en-US"/>
              </w:rPr>
              <w:t>.2023</w:t>
            </w:r>
          </w:p>
        </w:tc>
        <w:tc>
          <w:tcPr>
            <w:tcW w:w="1309"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GB"/>
              </w:rPr>
              <w:t>01.11</w:t>
            </w:r>
            <w:r>
              <w:rPr>
                <w:rFonts w:hint="default" w:ascii="Times New Roman" w:hAnsi="Times New Roman" w:eastAsia="Calibri" w:cs="Times New Roman"/>
                <w:b/>
                <w:bCs/>
                <w:sz w:val="20"/>
                <w:szCs w:val="20"/>
                <w:lang w:val="en-US"/>
              </w:rPr>
              <w:t>.2023</w:t>
            </w:r>
          </w:p>
        </w:tc>
        <w:tc>
          <w:tcPr>
            <w:tcW w:w="1309"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bCs/>
                <w:sz w:val="20"/>
                <w:szCs w:val="20"/>
                <w:lang w:val="en-GB"/>
              </w:rPr>
            </w:pPr>
            <w:r>
              <w:rPr>
                <w:rFonts w:hint="default" w:ascii="Times New Roman" w:hAnsi="Times New Roman" w:eastAsia="Calibri" w:cs="Times New Roman"/>
                <w:b/>
                <w:bCs/>
                <w:sz w:val="20"/>
                <w:szCs w:val="20"/>
                <w:lang w:val="en-GB"/>
              </w:rPr>
              <w:t>15.11</w:t>
            </w:r>
            <w:r>
              <w:rPr>
                <w:rFonts w:hint="default" w:ascii="Times New Roman" w:hAnsi="Times New Roman" w:eastAsia="Calibri" w:cs="Times New Roman"/>
                <w:b/>
                <w:bCs/>
                <w:sz w:val="20"/>
                <w:szCs w:val="20"/>
                <w:lang w:val="en-US"/>
              </w:rPr>
              <w:t>.202</w:t>
            </w:r>
            <w:r>
              <w:rPr>
                <w:rFonts w:hint="default" w:ascii="Times New Roman" w:hAnsi="Times New Roman" w:eastAsia="Calibri" w:cs="Times New Roman"/>
                <w:b/>
                <w:bCs/>
                <w:sz w:val="20"/>
                <w:szCs w:val="20"/>
                <w:lang w:val="en-GB"/>
              </w:rPr>
              <w:t>3</w:t>
            </w:r>
          </w:p>
        </w:tc>
        <w:tc>
          <w:tcPr>
            <w:tcW w:w="1291" w:type="dxa"/>
            <w:tcBorders>
              <w:bottom w:val="single" w:color="666666" w:themeColor="text1" w:themeTint="99" w:sz="12" w:space="0"/>
              <w:insideH w:val="single" w:sz="12" w:space="0"/>
            </w:tcBorders>
          </w:tcPr>
          <w:p>
            <w:pPr>
              <w:spacing w:before="0" w:after="160" w:line="480" w:lineRule="auto"/>
              <w:jc w:val="left"/>
              <w:rPr>
                <w:rFonts w:hint="default" w:ascii="Times New Roman" w:hAnsi="Times New Roman" w:eastAsia="Calibri" w:cs="Times New Roman"/>
                <w:b w:val="0"/>
                <w:bCs w:val="0"/>
                <w:sz w:val="20"/>
                <w:szCs w:val="20"/>
                <w:lang w:val="en-US"/>
              </w:rPr>
            </w:pPr>
            <w:r>
              <w:rPr>
                <w:rFonts w:hint="default" w:ascii="Times New Roman" w:hAnsi="Times New Roman" w:eastAsia="Calibri" w:cs="Times New Roman"/>
                <w:b/>
                <w:bCs/>
                <w:sz w:val="20"/>
                <w:szCs w:val="20"/>
                <w:lang w:val="en-GB"/>
              </w:rPr>
              <w:t>01.12</w:t>
            </w:r>
            <w:r>
              <w:rPr>
                <w:rFonts w:hint="default" w:ascii="Times New Roman" w:hAnsi="Times New Roman" w:eastAsia="Calibri" w:cs="Times New Roman"/>
                <w:b/>
                <w:bCs/>
                <w:sz w:val="20"/>
                <w:szCs w:val="20"/>
                <w:lang w:val="en-US"/>
              </w:rPr>
              <w:t>.2023</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56" w:hRule="atLeast"/>
        </w:trPr>
        <w:tc>
          <w:tcPr>
            <w:tcW w:w="1648" w:type="dxa"/>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US"/>
              </w:rPr>
              <w:t xml:space="preserve">Chapter one </w:t>
            </w:r>
          </w:p>
        </w:tc>
        <w:tc>
          <w:tcPr>
            <w:tcW w:w="1123" w:type="dxa"/>
            <w:shd w:val="clear" w:color="auto" w:fill="B4A3B8" w:themeFill="background2" w:themeFillShade="BF"/>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291" w:type="dxa"/>
          </w:tcPr>
          <w:p>
            <w:pPr>
              <w:spacing w:before="0" w:after="160" w:line="480" w:lineRule="auto"/>
              <w:jc w:val="left"/>
              <w:rPr>
                <w:rFonts w:hint="default" w:ascii="Times New Roman" w:hAnsi="Times New Roman" w:eastAsia="Calibri" w:cs="Times New Roman"/>
                <w:sz w:val="20"/>
                <w:szCs w:val="20"/>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33" w:hRule="atLeast"/>
        </w:trPr>
        <w:tc>
          <w:tcPr>
            <w:tcW w:w="1648" w:type="dxa"/>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US"/>
              </w:rPr>
              <w:t>Chapter two</w:t>
            </w:r>
          </w:p>
        </w:tc>
        <w:tc>
          <w:tcPr>
            <w:tcW w:w="1123"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shd w:val="clear" w:color="auto" w:fill="B4A3B8" w:themeFill="background2" w:themeFillShade="BF"/>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291" w:type="dxa"/>
          </w:tcPr>
          <w:p>
            <w:pPr>
              <w:spacing w:before="0" w:after="160" w:line="480" w:lineRule="auto"/>
              <w:jc w:val="left"/>
              <w:rPr>
                <w:rFonts w:hint="default" w:ascii="Times New Roman" w:hAnsi="Times New Roman" w:eastAsia="Calibri" w:cs="Times New Roman"/>
                <w:sz w:val="20"/>
                <w:szCs w:val="20"/>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33" w:hRule="atLeast"/>
        </w:trPr>
        <w:tc>
          <w:tcPr>
            <w:tcW w:w="1648" w:type="dxa"/>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US"/>
              </w:rPr>
              <w:t>Chapter three</w:t>
            </w:r>
          </w:p>
        </w:tc>
        <w:tc>
          <w:tcPr>
            <w:tcW w:w="1123"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shd w:val="clear" w:color="auto" w:fill="B4A3B8" w:themeFill="background2" w:themeFillShade="BF"/>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291" w:type="dxa"/>
          </w:tcPr>
          <w:p>
            <w:pPr>
              <w:spacing w:before="0" w:after="160" w:line="480" w:lineRule="auto"/>
              <w:jc w:val="left"/>
              <w:rPr>
                <w:rFonts w:hint="default" w:ascii="Times New Roman" w:hAnsi="Times New Roman" w:eastAsia="Calibri" w:cs="Times New Roman"/>
                <w:sz w:val="20"/>
                <w:szCs w:val="20"/>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33" w:hRule="atLeast"/>
        </w:trPr>
        <w:tc>
          <w:tcPr>
            <w:tcW w:w="1648" w:type="dxa"/>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US"/>
              </w:rPr>
              <w:t>Chapter four</w:t>
            </w:r>
          </w:p>
        </w:tc>
        <w:tc>
          <w:tcPr>
            <w:tcW w:w="1123"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shd w:val="clear" w:color="auto" w:fill="B4A3B8" w:themeFill="background2" w:themeFillShade="BF"/>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291" w:type="dxa"/>
          </w:tcPr>
          <w:p>
            <w:pPr>
              <w:spacing w:before="0" w:after="160" w:line="480" w:lineRule="auto"/>
              <w:jc w:val="left"/>
              <w:rPr>
                <w:rFonts w:hint="default" w:ascii="Times New Roman" w:hAnsi="Times New Roman" w:eastAsia="Calibri" w:cs="Times New Roman"/>
                <w:sz w:val="20"/>
                <w:szCs w:val="20"/>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33" w:hRule="atLeast"/>
        </w:trPr>
        <w:tc>
          <w:tcPr>
            <w:tcW w:w="1648" w:type="dxa"/>
          </w:tcPr>
          <w:p>
            <w:pPr>
              <w:spacing w:before="0" w:after="160" w:line="480" w:lineRule="auto"/>
              <w:jc w:val="left"/>
              <w:rPr>
                <w:rFonts w:hint="default" w:ascii="Times New Roman" w:hAnsi="Times New Roman" w:eastAsia="Calibri" w:cs="Times New Roman"/>
                <w:b/>
                <w:bCs w:val="0"/>
                <w:sz w:val="20"/>
                <w:szCs w:val="20"/>
                <w:lang w:val="en-US"/>
              </w:rPr>
            </w:pPr>
            <w:r>
              <w:rPr>
                <w:rFonts w:hint="default" w:ascii="Times New Roman" w:hAnsi="Times New Roman" w:eastAsia="Calibri" w:cs="Times New Roman"/>
                <w:b/>
                <w:bCs/>
                <w:sz w:val="20"/>
                <w:szCs w:val="20"/>
                <w:lang w:val="en-US"/>
              </w:rPr>
              <w:t xml:space="preserve">Chapter five </w:t>
            </w:r>
          </w:p>
        </w:tc>
        <w:tc>
          <w:tcPr>
            <w:tcW w:w="1123"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shd w:val="clear" w:color="auto" w:fill="FFFFFF" w:themeFill="background1"/>
          </w:tcPr>
          <w:p>
            <w:pPr>
              <w:spacing w:before="0" w:after="160" w:line="480" w:lineRule="auto"/>
              <w:jc w:val="left"/>
              <w:rPr>
                <w:rFonts w:hint="default" w:ascii="Times New Roman" w:hAnsi="Times New Roman" w:eastAsia="Calibri" w:cs="Times New Roman"/>
                <w:color w:val="FFFFFF" w:themeColor="background1"/>
                <w:sz w:val="20"/>
                <w:szCs w:val="20"/>
                <w:lang w:val="en-US"/>
                <w14:textFill>
                  <w14:solidFill>
                    <w14:schemeClr w14:val="bg1"/>
                  </w14:solidFill>
                </w14:textFill>
              </w:rPr>
            </w:pPr>
          </w:p>
        </w:tc>
        <w:tc>
          <w:tcPr>
            <w:tcW w:w="1309" w:type="dxa"/>
            <w:shd w:val="clear" w:color="auto" w:fill="FFFFFF" w:themeFill="background1"/>
          </w:tcPr>
          <w:p>
            <w:pPr>
              <w:spacing w:before="0" w:after="160" w:line="480" w:lineRule="auto"/>
              <w:jc w:val="left"/>
              <w:rPr>
                <w:rFonts w:hint="default" w:ascii="Times New Roman" w:hAnsi="Times New Roman" w:eastAsia="Calibri" w:cs="Times New Roman"/>
                <w:color w:val="FFFFFF" w:themeColor="background1"/>
                <w:sz w:val="20"/>
                <w:szCs w:val="20"/>
                <w:lang w:val="en-US"/>
                <w14:textFill>
                  <w14:solidFill>
                    <w14:schemeClr w14:val="bg1"/>
                  </w14:solidFill>
                </w14:textFill>
              </w:rPr>
            </w:pPr>
          </w:p>
        </w:tc>
        <w:tc>
          <w:tcPr>
            <w:tcW w:w="1309" w:type="dxa"/>
            <w:shd w:val="clear" w:color="auto" w:fill="B4A3B8" w:themeFill="background2" w:themeFillShade="BF"/>
          </w:tcPr>
          <w:p>
            <w:pPr>
              <w:spacing w:before="0" w:after="160" w:line="480" w:lineRule="auto"/>
              <w:jc w:val="left"/>
              <w:rPr>
                <w:rFonts w:hint="default" w:ascii="Times New Roman" w:hAnsi="Times New Roman" w:eastAsia="Calibri" w:cs="Times New Roman"/>
                <w:sz w:val="20"/>
                <w:szCs w:val="20"/>
                <w:lang w:val="en-US"/>
              </w:rPr>
            </w:pPr>
          </w:p>
        </w:tc>
        <w:tc>
          <w:tcPr>
            <w:tcW w:w="1291" w:type="dxa"/>
          </w:tcPr>
          <w:p>
            <w:pPr>
              <w:spacing w:before="0" w:after="160" w:line="480" w:lineRule="auto"/>
              <w:jc w:val="left"/>
              <w:rPr>
                <w:rFonts w:hint="default" w:ascii="Times New Roman" w:hAnsi="Times New Roman" w:eastAsia="Calibri" w:cs="Times New Roman"/>
                <w:sz w:val="20"/>
                <w:szCs w:val="20"/>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745" w:hRule="atLeast"/>
        </w:trPr>
        <w:tc>
          <w:tcPr>
            <w:tcW w:w="1648" w:type="dxa"/>
          </w:tcPr>
          <w:p>
            <w:pPr>
              <w:spacing w:before="0" w:after="160" w:line="480" w:lineRule="auto"/>
              <w:jc w:val="left"/>
              <w:rPr>
                <w:rFonts w:hint="default" w:ascii="Times New Roman" w:hAnsi="Times New Roman" w:eastAsia="Calibri" w:cs="Times New Roman"/>
                <w:b/>
                <w:bCs/>
                <w:sz w:val="20"/>
                <w:szCs w:val="20"/>
                <w:lang w:val="en-US"/>
              </w:rPr>
            </w:pPr>
            <w:r>
              <w:rPr>
                <w:rFonts w:hint="default" w:ascii="Times New Roman" w:hAnsi="Times New Roman" w:eastAsia="Calibri" w:cs="Times New Roman"/>
                <w:b/>
                <w:bCs/>
                <w:sz w:val="20"/>
                <w:szCs w:val="20"/>
                <w:lang w:val="en-US"/>
              </w:rPr>
              <w:t>Revision</w:t>
            </w:r>
          </w:p>
        </w:tc>
        <w:tc>
          <w:tcPr>
            <w:tcW w:w="1123"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tcPr>
          <w:p>
            <w:pPr>
              <w:spacing w:before="0" w:after="160" w:line="480" w:lineRule="auto"/>
              <w:jc w:val="left"/>
              <w:rPr>
                <w:rFonts w:hint="default" w:ascii="Times New Roman" w:hAnsi="Times New Roman" w:eastAsia="Calibri" w:cs="Times New Roman"/>
                <w:sz w:val="20"/>
                <w:szCs w:val="20"/>
                <w:lang w:val="en-US"/>
              </w:rPr>
            </w:pPr>
          </w:p>
        </w:tc>
        <w:tc>
          <w:tcPr>
            <w:tcW w:w="1309" w:type="dxa"/>
            <w:shd w:val="clear" w:color="auto" w:fill="FFFFFF" w:themeFill="background1"/>
          </w:tcPr>
          <w:p>
            <w:pPr>
              <w:spacing w:before="0" w:after="160" w:line="480" w:lineRule="auto"/>
              <w:jc w:val="left"/>
              <w:rPr>
                <w:rFonts w:hint="default" w:ascii="Times New Roman" w:hAnsi="Times New Roman" w:eastAsia="Calibri" w:cs="Times New Roman"/>
                <w:sz w:val="20"/>
                <w:szCs w:val="20"/>
                <w:lang w:val="en-US"/>
              </w:rPr>
            </w:pPr>
          </w:p>
        </w:tc>
        <w:tc>
          <w:tcPr>
            <w:tcW w:w="1291" w:type="dxa"/>
            <w:shd w:val="clear" w:color="auto" w:fill="B4A3B8" w:themeFill="background2" w:themeFillShade="BF"/>
          </w:tcPr>
          <w:p>
            <w:pPr>
              <w:spacing w:before="0" w:after="160" w:line="480" w:lineRule="auto"/>
              <w:jc w:val="left"/>
              <w:rPr>
                <w:rFonts w:hint="default" w:ascii="Times New Roman" w:hAnsi="Times New Roman" w:eastAsia="Calibri" w:cs="Times New Roman"/>
                <w:sz w:val="20"/>
                <w:szCs w:val="20"/>
                <w:lang w:val="en-US"/>
              </w:rPr>
            </w:pPr>
          </w:p>
        </w:tc>
      </w:tr>
    </w:tbl>
    <w:p>
      <w:pPr>
        <w:pStyle w:val="7"/>
        <w:jc w:val="center"/>
        <w:rPr>
          <w:b/>
          <w:bCs/>
          <w:color w:val="000000" w:themeColor="text1"/>
          <w:sz w:val="20"/>
          <w:szCs w:val="20"/>
          <w14:textFill>
            <w14:solidFill>
              <w14:schemeClr w14:val="tx1"/>
            </w14:solidFill>
          </w14:textFill>
        </w:rPr>
      </w:pPr>
    </w:p>
    <w:p>
      <w:pPr>
        <w:pStyle w:val="7"/>
        <w:jc w:val="center"/>
        <w:rPr>
          <w:b/>
          <w:bCs/>
          <w:color w:val="000000" w:themeColor="text1"/>
          <w:sz w:val="20"/>
          <w:szCs w:val="20"/>
          <w14:textFill>
            <w14:solidFill>
              <w14:schemeClr w14:val="tx1"/>
            </w14:solidFill>
          </w14:textFill>
        </w:rPr>
      </w:pPr>
    </w:p>
    <w:p>
      <w:pPr>
        <w:pStyle w:val="7"/>
        <w:jc w:val="center"/>
        <w:rPr>
          <w:b/>
          <w:bCs/>
          <w:color w:val="000000" w:themeColor="text1"/>
          <w:sz w:val="20"/>
          <w:szCs w:val="20"/>
          <w14:textFill>
            <w14:solidFill>
              <w14:schemeClr w14:val="tx1"/>
            </w14:solidFill>
          </w14:textFill>
        </w:rPr>
      </w:pPr>
      <w:r>
        <w:rPr>
          <w:b/>
          <w:bCs/>
          <w:color w:val="000000" w:themeColor="text1"/>
          <w:sz w:val="20"/>
          <w:szCs w:val="20"/>
          <w14:textFill>
            <w14:solidFill>
              <w14:schemeClr w14:val="tx1"/>
            </w14:solidFill>
          </w14:textFill>
        </w:rPr>
        <w:t xml:space="preserve">Table </w:t>
      </w:r>
      <w:r>
        <w:rPr>
          <w:b/>
          <w:bCs/>
          <w:color w:val="000000" w:themeColor="text1"/>
          <w:sz w:val="20"/>
          <w:szCs w:val="20"/>
          <w14:textFill>
            <w14:solidFill>
              <w14:schemeClr w14:val="tx1"/>
            </w14:solidFill>
          </w14:textFill>
        </w:rPr>
        <w:fldChar w:fldCharType="begin"/>
      </w:r>
      <w:r>
        <w:rPr>
          <w:b/>
          <w:bCs/>
          <w:color w:val="000000" w:themeColor="text1"/>
          <w:sz w:val="20"/>
          <w:szCs w:val="20"/>
          <w14:textFill>
            <w14:solidFill>
              <w14:schemeClr w14:val="tx1"/>
            </w14:solidFill>
          </w14:textFill>
        </w:rPr>
        <w:instrText xml:space="preserve"> SEQ Table \* ARABIC </w:instrText>
      </w:r>
      <w:r>
        <w:rPr>
          <w:b/>
          <w:bCs/>
          <w:color w:val="000000" w:themeColor="text1"/>
          <w:sz w:val="20"/>
          <w:szCs w:val="20"/>
          <w14:textFill>
            <w14:solidFill>
              <w14:schemeClr w14:val="tx1"/>
            </w14:solidFill>
          </w14:textFill>
        </w:rPr>
        <w:fldChar w:fldCharType="separate"/>
      </w:r>
      <w:r>
        <w:rPr>
          <w:b/>
          <w:bCs/>
          <w:color w:val="000000" w:themeColor="text1"/>
          <w:sz w:val="20"/>
          <w:szCs w:val="20"/>
          <w14:textFill>
            <w14:solidFill>
              <w14:schemeClr w14:val="tx1"/>
            </w14:solidFill>
          </w14:textFill>
        </w:rPr>
        <w:t>5</w:t>
      </w:r>
      <w:r>
        <w:rPr>
          <w:b/>
          <w:bCs/>
          <w:color w:val="000000" w:themeColor="text1"/>
          <w:sz w:val="20"/>
          <w:szCs w:val="20"/>
          <w14:textFill>
            <w14:solidFill>
              <w14:schemeClr w14:val="tx1"/>
            </w14:solidFill>
          </w14:textFill>
        </w:rPr>
        <w:fldChar w:fldCharType="end"/>
      </w:r>
      <w:r>
        <w:rPr>
          <w:b/>
          <w:bCs/>
          <w:color w:val="000000" w:themeColor="text1"/>
          <w:sz w:val="20"/>
          <w:szCs w:val="20"/>
          <w14:textFill>
            <w14:solidFill>
              <w14:schemeClr w14:val="tx1"/>
            </w14:solidFill>
          </w14:textFill>
        </w:rPr>
        <w:t>.Time prospects adapted from Gant Chart</w:t>
      </w:r>
      <w:bookmarkEnd w:id="98"/>
    </w:p>
    <w:p>
      <w:pPr>
        <w:rPr>
          <w:b/>
          <w:sz w:val="32"/>
          <w:szCs w:val="32"/>
        </w:rPr>
      </w:pPr>
    </w:p>
    <w:p>
      <w:pPr>
        <w:rPr>
          <w:b/>
          <w:sz w:val="32"/>
          <w:szCs w:val="32"/>
        </w:rPr>
      </w:pPr>
    </w:p>
    <w:p>
      <w:pPr>
        <w:rPr>
          <w:b/>
          <w:sz w:val="32"/>
          <w:szCs w:val="32"/>
        </w:rPr>
      </w:pPr>
    </w:p>
    <w:p>
      <w:pPr>
        <w:rPr>
          <w:b/>
          <w:sz w:val="32"/>
          <w:szCs w:val="32"/>
        </w:rPr>
      </w:pPr>
    </w:p>
    <w:p>
      <w:pPr>
        <w:rPr>
          <w:b/>
          <w:sz w:val="32"/>
          <w:szCs w:val="32"/>
        </w:rPr>
      </w:pPr>
    </w:p>
    <w:p>
      <w:pPr>
        <w:rPr>
          <w:b/>
          <w:sz w:val="32"/>
          <w:szCs w:val="32"/>
        </w:rPr>
      </w:pPr>
    </w:p>
    <w:p>
      <w:pPr>
        <w:rPr>
          <w:b/>
          <w:sz w:val="32"/>
          <w:szCs w:val="32"/>
        </w:rPr>
      </w:pPr>
    </w:p>
    <w:p>
      <w:pPr>
        <w:rPr>
          <w:b/>
          <w:sz w:val="32"/>
          <w:szCs w:val="32"/>
        </w:rPr>
      </w:pPr>
    </w:p>
    <w:p>
      <w:pPr>
        <w:pStyle w:val="7"/>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b/>
          <w:bCs/>
          <w:color w:val="000000" w:themeColor="text1"/>
          <w:sz w:val="24"/>
          <w:szCs w:val="24"/>
          <w14:textFill>
            <w14:solidFill>
              <w14:schemeClr w14:val="tx1"/>
            </w14:solidFill>
          </w14:textFill>
        </w:rPr>
        <w:t xml:space="preserve">Appendix </w:t>
      </w:r>
      <w:r>
        <w:rPr>
          <w:rFonts w:hint="default" w:ascii="Times New Roman" w:hAnsi="Times New Roman" w:cs="Times New Roman"/>
          <w:b/>
          <w:bCs/>
          <w:color w:val="000000" w:themeColor="text1"/>
          <w:sz w:val="24"/>
          <w:szCs w:val="24"/>
          <w14:textFill>
            <w14:solidFill>
              <w14:schemeClr w14:val="tx1"/>
            </w14:solidFill>
          </w14:textFill>
        </w:rPr>
        <w:fldChar w:fldCharType="begin"/>
      </w:r>
      <w:r>
        <w:rPr>
          <w:rFonts w:hint="default" w:ascii="Times New Roman" w:hAnsi="Times New Roman" w:cs="Times New Roman"/>
          <w:b/>
          <w:bCs/>
          <w:color w:val="000000" w:themeColor="text1"/>
          <w:sz w:val="24"/>
          <w:szCs w:val="24"/>
          <w14:textFill>
            <w14:solidFill>
              <w14:schemeClr w14:val="tx1"/>
            </w14:solidFill>
          </w14:textFill>
        </w:rPr>
        <w:instrText xml:space="preserve"> SEQ Appendix \* ARABIC </w:instrText>
      </w:r>
      <w:r>
        <w:rPr>
          <w:rFonts w:hint="default" w:ascii="Times New Roman" w:hAnsi="Times New Roman" w:cs="Times New Roman"/>
          <w:b/>
          <w:bCs/>
          <w:color w:val="000000" w:themeColor="text1"/>
          <w:sz w:val="24"/>
          <w:szCs w:val="24"/>
          <w14:textFill>
            <w14:solidFill>
              <w14:schemeClr w14:val="tx1"/>
            </w14:solidFill>
          </w14:textFill>
        </w:rPr>
        <w:fldChar w:fldCharType="separate"/>
      </w:r>
      <w:r>
        <w:rPr>
          <w:rFonts w:hint="default" w:ascii="Times New Roman" w:hAnsi="Times New Roman" w:cs="Times New Roman"/>
          <w:b/>
          <w:bCs/>
          <w:color w:val="000000" w:themeColor="text1"/>
          <w:sz w:val="24"/>
          <w:szCs w:val="24"/>
          <w14:textFill>
            <w14:solidFill>
              <w14:schemeClr w14:val="tx1"/>
            </w14:solidFill>
          </w14:textFill>
        </w:rPr>
        <w:t>3</w:t>
      </w:r>
      <w:r>
        <w:rPr>
          <w:rFonts w:hint="default" w:ascii="Times New Roman" w:hAnsi="Times New Roman" w:cs="Times New Roman"/>
          <w:b/>
          <w:bCs/>
          <w:color w:val="000000" w:themeColor="text1"/>
          <w:sz w:val="24"/>
          <w:szCs w:val="24"/>
          <w14:textFill>
            <w14:solidFill>
              <w14:schemeClr w14:val="tx1"/>
            </w14:solidFill>
          </w14:textFill>
        </w:rPr>
        <w:fldChar w:fldCharType="end"/>
      </w:r>
      <w:r>
        <w:rPr>
          <w:rFonts w:hint="default" w:ascii="Times New Roman" w:hAnsi="Times New Roman" w:cs="Times New Roman"/>
          <w:b/>
          <w:bCs/>
          <w:color w:val="000000" w:themeColor="text1"/>
          <w:sz w:val="24"/>
          <w:szCs w:val="24"/>
          <w14:textFill>
            <w14:solidFill>
              <w14:schemeClr w14:val="tx1"/>
            </w14:solidFill>
          </w14:textFill>
        </w:rPr>
        <w:t xml:space="preserve">.The  Interview Questions </w:t>
      </w:r>
    </w:p>
    <w:p>
      <w:pPr>
        <w:pStyle w:val="30"/>
        <w:numPr>
          <w:ilvl w:val="0"/>
          <w:numId w:val="18"/>
        </w:numPr>
        <w:spacing w:before="0" w:after="0"/>
        <w:jc w:val="left"/>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Can you describe your leadership style and how it manifests in your role within the manufacturing industry?</w:t>
      </w:r>
    </w:p>
    <w:p>
      <w:pPr>
        <w:numPr>
          <w:ilvl w:val="0"/>
          <w:numId w:val="18"/>
        </w:numPr>
        <w:contextualSpacing/>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How various factors such as personal traits, organisational culture, and career experiences, influence the adoption of specific leadership?</w:t>
      </w:r>
    </w:p>
    <w:p>
      <w:pPr>
        <w:pStyle w:val="30"/>
        <w:numPr>
          <w:ilvl w:val="0"/>
          <w:numId w:val="18"/>
        </w:numPr>
        <w:spacing w:before="0" w:after="0"/>
        <w:jc w:val="left"/>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How do you believe leadership styles influence the overall dynamics and productivity within a manufacturing team or organisation?</w:t>
      </w:r>
    </w:p>
    <w:p>
      <w:pPr>
        <w:pStyle w:val="30"/>
        <w:numPr>
          <w:ilvl w:val="0"/>
          <w:numId w:val="18"/>
        </w:numPr>
        <w:spacing w:before="0" w:after="0"/>
        <w:jc w:val="left"/>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Have you personally faced any challenges in your leadership role within manufacturing? If comfortable, could you share an example of how it impacted your leadership style or decision-making?</w:t>
      </w:r>
    </w:p>
    <w:p>
      <w:pPr>
        <w:pStyle w:val="30"/>
        <w:numPr>
          <w:ilvl w:val="0"/>
          <w:numId w:val="18"/>
        </w:numPr>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Do you think there are stereotypes or expectations surrounding leadership styles based on gender within the manufacturing sector? If yes, how these challenges can be addressed?</w:t>
      </w:r>
    </w:p>
    <w:p>
      <w:pPr>
        <w:pStyle w:val="7"/>
        <w:rPr>
          <w:rFonts w:hint="default" w:ascii="Times New Roman" w:hAnsi="Times New Roman" w:cs="Times New Roman"/>
          <w:b/>
          <w:bCs/>
          <w:color w:val="000000" w:themeColor="text1"/>
          <w:sz w:val="24"/>
          <w:szCs w:val="24"/>
          <w14:textFill>
            <w14:solidFill>
              <w14:schemeClr w14:val="tx1"/>
            </w14:solidFill>
          </w14:textFill>
        </w:rPr>
      </w:pPr>
      <w:r>
        <w:rPr>
          <w:rFonts w:hint="default" w:ascii="Times New Roman" w:hAnsi="Times New Roman" w:cs="Times New Roman"/>
          <w:b/>
          <w:bCs/>
          <w:color w:val="000000" w:themeColor="text1"/>
          <w:sz w:val="24"/>
          <w:szCs w:val="24"/>
          <w14:textFill>
            <w14:solidFill>
              <w14:schemeClr w14:val="tx1"/>
            </w14:solidFill>
          </w14:textFill>
        </w:rPr>
        <w:t>The Interview Questions</w:t>
      </w:r>
    </w:p>
    <w:p>
      <w:pPr>
        <w:numPr>
          <w:ilvl w:val="0"/>
          <w:numId w:val="0"/>
        </w:numPr>
        <w:rPr>
          <w:rFonts w:hint="default" w:ascii="Times New Roman" w:hAnsi="Times New Roman" w:cs="Times New Roman"/>
          <w:b/>
          <w:bCs/>
          <w:sz w:val="24"/>
          <w:szCs w:val="24"/>
          <w:lang w:val="en-GB"/>
        </w:rPr>
      </w:pPr>
      <w:r>
        <w:rPr>
          <w:rFonts w:hint="default" w:ascii="Times New Roman" w:hAnsi="Times New Roman" w:cs="Times New Roman"/>
          <w:color w:val="000000" w:themeColor="text1"/>
          <w:sz w:val="24"/>
          <w:szCs w:val="24"/>
          <w14:textFill>
            <w14:solidFill>
              <w14:schemeClr w14:val="tx1"/>
            </w14:solidFill>
          </w14:textFill>
        </w:rPr>
        <w:t xml:space="preserve"> </w:t>
      </w:r>
      <w:r>
        <w:rPr>
          <w:rFonts w:hint="default" w:ascii="Times New Roman" w:hAnsi="Times New Roman" w:cs="Times New Roman"/>
          <w:b/>
          <w:bCs/>
          <w:sz w:val="24"/>
          <w:szCs w:val="24"/>
          <w:lang w:val="en-GB"/>
        </w:rPr>
        <w:t>1 .Can you describe your leadership style and how is manifests in your role within the manufacturing industry?</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Satinder Swain ( position Supervisor) “Leadership style is how to manage people. Always make sure we reach the target .Work as a team. Always give my best to the Company”</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Daren Welfare( position Supervisor)  “ I am someone that likes to lead by example. I feel by doing this my team follows and gives them a boost.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Andrew Reene (position Manager) “I like to listen to feedback from team and then decide on the bestof course ction.  As Healthy and Safety Manger it is important to  listen to the employees like are done the jobs they are often the most familiar with the hazards present”</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Paul Thomas( position General Manager)  “ I consider myself someone with leads by example. I will not ask any employee to do something, I am not willing to do myself. I care about the people that work for me and I will always help them if I can, even is professional or personal. This leads me to do respect by all employees and helps me to achieve my manufacturing targets”</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Scott Brett (position Supervisor) “ My leadership style is closely matched to Laissez -Faire. As I think it alls perfective into my category  as I can rely on my charge hand team for me to look at bigger objectives.”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Graham Lowe (position Manager) “ My leadership style is most like to Laissez-Faire, by which I mean, my personnel are self motivated to carry out their skill independently”.</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Peter Bond ( position Manger) “ I use a democratic leadership style. This is useful in the manufacturing industry , as you can rely on others experience to help you come to the right decision.”</w:t>
      </w:r>
    </w:p>
    <w:p>
      <w:pPr>
        <w:numPr>
          <w:ilvl w:val="0"/>
          <w:numId w:val="19"/>
        </w:numPr>
        <w:rPr>
          <w:rFonts w:hint="default" w:ascii="Times New Roman" w:hAnsi="Times New Roman" w:cs="Times New Roman"/>
          <w:sz w:val="24"/>
          <w:szCs w:val="24"/>
          <w:lang w:val="en-GB"/>
        </w:rPr>
      </w:pPr>
      <w:r>
        <w:rPr>
          <w:rFonts w:hint="default" w:ascii="Times New Roman" w:hAnsi="Times New Roman" w:cs="Times New Roman"/>
          <w:b/>
          <w:bCs/>
          <w:sz w:val="24"/>
          <w:szCs w:val="24"/>
          <w:lang w:val="en-GB"/>
        </w:rPr>
        <w:t>How various factors such as personal traits, organisational culture and career experiences influence the adoption of specific leadership?</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Satinder Swain ( position Supervisor) “I work 26 years in manufacturing industry, I have to team the jobs, give training to people. All these years experience got me Supervisor position.”</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Daren Welfare( position Supervisor) “Again my personal traits are good punctuality. I like to organise the day before so I know what I have to do to the next day. In my 23 years in be in employed the same company, I have always followed these and I have found it’s the best way for me.”</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Andrew Reene (position Manager) “ I have a degree in business management where I learn about different management styles. I am calm and approachable as a person, which I feel has influences my management style”.</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Paul Thomas( position General Manager) “The fact that I have worked in the same place for 30 years and worked my way up from the shop floor, helps me enormously.my employees can aspire to achieve if they want to do it. I always want to develop people as well as plant or machinery to improve the business as a whole. I also empower people to achieve what they want.”</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Scott Brett (position Supervisor) “ I find a democratic style is most useful in my experience in manufacturing in my 10 years employed.”</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Graham Lowe (position Manager) “My leadership style reflects the department I work in . There are multi disciplines with my department. I expect everyone to be responsible for their own work.”</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Peter Bond ( position Manger) “ Organisational culture can play a role in the leadership style as you will be dealing with operators and managers that are used to doing things in certain ways. A manager can adapt their leadership style based on their environment , but I find a democratic style is most useful in manufacturing industry.”</w:t>
      </w:r>
    </w:p>
    <w:p>
      <w:pPr>
        <w:numPr>
          <w:ilvl w:val="0"/>
          <w:numId w:val="0"/>
        </w:numPr>
        <w:rPr>
          <w:rFonts w:hint="default" w:ascii="Times New Roman" w:hAnsi="Times New Roman" w:cs="Times New Roman"/>
          <w:sz w:val="24"/>
          <w:szCs w:val="24"/>
          <w:lang w:val="en-GB"/>
        </w:rPr>
      </w:pPr>
    </w:p>
    <w:p>
      <w:pPr>
        <w:numPr>
          <w:ilvl w:val="0"/>
          <w:numId w:val="19"/>
        </w:numPr>
        <w:ind w:left="0" w:leftChars="0" w:firstLine="0" w:firstLineChars="0"/>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How do you believe leadership styles influence the overall dynamics and productivity within a manufacturing team or organisation?</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Satinder Swain ( position Supervisor)” We all work as a team. Always give ideas, time keeping is very important in leadership.”</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Daren Welfare( position Supervisor)” Leadership style profoundly shapes group dynamics. An Authoritative leader may  stifle creativity. While a democratic are encourages participation.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Andrew Reene (position Manager) “ Some leadership styles can have a negative impact on team dynamics and productivity if the team react poorly .I believe it is best to be adaptable so that you can get the best out of your team management styles are suited to different situations. It all depends on who is in your team.”</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Paul Thomas( position General Manager) “Leadership is key with running a production or manufacturing facility. Different styles can motivate or demotivate depending on the people. I would say that consistency is a must and communication is the biggest asset. The employees must understand the goals of the individual  department and the business overall in order to succeed.”</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Scott Brett (position Supervisor) “ It affects the overall dynamics of productivity , I believe that motivational aspects will help reach your goals.”</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Graham Lowe (position Manager) “ Leadership is important within a manufacturing environment because it is often repetitive mundane work and therefore needs managing more closely than my department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Peter Bond ( position Manger) “I believe that leadership styles very from manager to manager, but there is no right way to get better productivity, but the most important thing is the ability of the manager.”</w:t>
      </w:r>
    </w:p>
    <w:p>
      <w:pPr>
        <w:numPr>
          <w:ilvl w:val="0"/>
          <w:numId w:val="0"/>
        </w:numPr>
        <w:rPr>
          <w:rFonts w:hint="default" w:ascii="Times New Roman" w:hAnsi="Times New Roman" w:cs="Times New Roman"/>
          <w:sz w:val="24"/>
          <w:szCs w:val="24"/>
          <w:lang w:val="en-GB"/>
        </w:rPr>
      </w:pPr>
    </w:p>
    <w:p>
      <w:pPr>
        <w:numPr>
          <w:ilvl w:val="0"/>
          <w:numId w:val="19"/>
        </w:numPr>
        <w:ind w:left="0" w:leftChars="0" w:firstLine="0" w:firstLineChars="0"/>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Have you personally faced any challenges in your leadership role within manufacturing? If comfortable, could you share an example of how it impacted your leadership style or decision making?</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Satinder Swain ( position Supervisor) “ No.”</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Daren Welfare( position Supervisor)” I once had to deal with a person that threatened a fellow employee with a pair of scissors. I had to do an internal investigation with them, lead to a disciplinary. Now as I had worked with this person for many of years it did not impact how I went about my decision making or style of my leadership . As work is something you separate from friendship.”</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Andrew Reene (position Manager) “There have been times where I have not been taken seriously . However I have been working and becoming more assertive.</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Paul Thomas( position General Manager) “ Of course, any leader will face challenges. The biggest challenge for me was become responsible for 240people . It took time for the employees to understand how I wanted to move forward. I needed to implement my own structure and put the correct people into the roles. At first I started slowly then increased as people started to understand the direction we were moving.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Scott Brett (position Supervisor)” I find that once I get stuck in and help fellow charge hands it really improves work. Also listening to other input but not letting change my decision , unless I believe it improve my input.”</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Graham Lowe (position Manager) “ The biggest challenges have been implementing changes within my department. For example, changing the break rota to suit production needs. People generally are not keen.for changes from their normality.</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”Peter Bond ( position Manger) “ Yes, different people work better under different styles. Not everyone like my style, but I try not to let it affect my decision making.”</w:t>
      </w:r>
    </w:p>
    <w:p>
      <w:pPr>
        <w:numPr>
          <w:ilvl w:val="0"/>
          <w:numId w:val="19"/>
        </w:numPr>
        <w:ind w:left="0" w:leftChars="0" w:firstLine="0" w:firstLineChars="0"/>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Do you think there are stereotypes or expectations surrounding leadership styles based on gender within the manufacturing sector? If yes, how these challenges can be addressed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Satinder Swain ( position Supervisor) “ We treat all employees same. We share the ideas between different people. Good times and bad times, we all work work together, we respect other cultures and celebrate festivals as well with hard work.”</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Daren Welfare( position Supervisor)  “ My opinion is that male leaders are more task oriented and females are more oriented.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Andrew Reene (position Manager) “  In my career I have seen all types of management style from all genders. I do not believe that there are gender stereotypes leadership styles.”</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Paul Thomas( position General Manager) “ I personally have not experienced anything as I believe that if the person is right for role it does not matter what gender  they are. There are still leaders who think that women will never be as good as a man but I strongly disagree. No gender should be treated and differently and all should be given an equal opportunity. The challenges are addressed in schools and colleges so the next generation will get it right. Every gender should be represented in management teams running business in my opinion.”</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Scott Brett (position Supervisor) “ Yes, totally people just need educating .”</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Graham Lowe (position Manager) “ I don’t think there are stereotypes or expectations based on gender with the manufacturing sector, I agree in the past this may have been more prominent , but I think gender discrimination is gradually being removed from society.”</w:t>
      </w:r>
    </w:p>
    <w:p>
      <w:pPr>
        <w:numPr>
          <w:ilvl w:val="0"/>
          <w:numId w:val="0"/>
        </w:numPr>
        <w:rPr>
          <w:rFonts w:hint="default" w:ascii="Times New Roman" w:hAnsi="Times New Roman" w:cs="Times New Roman"/>
          <w:sz w:val="24"/>
          <w:szCs w:val="24"/>
          <w:lang w:val="en-GB"/>
        </w:rPr>
      </w:pPr>
      <w:r>
        <w:rPr>
          <w:rFonts w:hint="default" w:ascii="Times New Roman" w:hAnsi="Times New Roman" w:cs="Times New Roman"/>
          <w:sz w:val="24"/>
          <w:szCs w:val="24"/>
          <w:lang w:val="en-GB"/>
        </w:rPr>
        <w:t>Peter Bond ( position Manger) “Yes, I believe that it can only be addressed with education. People need to learn about unconscience bias”</w:t>
      </w:r>
    </w:p>
    <w:p>
      <w:pPr>
        <w:pStyle w:val="7"/>
        <w:rPr>
          <w:rFonts w:hint="default" w:ascii="Times New Roman" w:hAnsi="Times New Roman" w:cs="Times New Roman"/>
          <w:color w:val="000000" w:themeColor="text1"/>
          <w:sz w:val="24"/>
          <w:szCs w:val="24"/>
          <w14:textFill>
            <w14:solidFill>
              <w14:schemeClr w14:val="tx1"/>
            </w14:solidFill>
          </w14:textFill>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sz w:val="24"/>
          <w:szCs w:val="24"/>
        </w:rPr>
      </w:pPr>
    </w:p>
    <w:sectPr>
      <w:footerReference r:id="rId5" w:type="default"/>
      <w:footerReference r:id="rId6" w:type="even"/>
      <w:pgSz w:w="11900" w:h="16840"/>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Times">
    <w:altName w:val="Times New Roman"/>
    <w:panose1 w:val="00000500000000020000"/>
    <w:charset w:val="00"/>
    <w:family w:val="auto"/>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decorative"/>
    <w:pitch w:val="default"/>
    <w:sig w:usb0="00000000" w:usb1="00000000" w:usb2="00000000" w:usb3="00000000" w:csb0="80000000" w:csb1="00000000"/>
  </w:font>
  <w:font w:name="Open Sans">
    <w:altName w:val="Times New Roman"/>
    <w:panose1 w:val="020B0604020202020204"/>
    <w:charset w:val="00"/>
    <w:family w:val="swiss"/>
    <w:pitch w:val="default"/>
    <w:sig w:usb0="00000000" w:usb1="00000000" w:usb2="00000028" w:usb3="00000000" w:csb0="0000019F" w:csb1="00000000"/>
  </w:font>
  <w:font w:name="Segoe UI">
    <w:panose1 w:val="020B0502040204020203"/>
    <w:charset w:val="00"/>
    <w:family w:val="swiss"/>
    <w:pitch w:val="default"/>
    <w:sig w:usb0="E4002EFF" w:usb1="C000E47F" w:usb2="00000009" w:usb3="00000000" w:csb0="200001FF" w:csb1="00000000"/>
  </w:font>
  <w:font w:name="Helvetica Neue">
    <w:altName w:val="Times New Roman"/>
    <w:panose1 w:val="02000503000000020004"/>
    <w:charset w:val="00"/>
    <w:family w:val="auto"/>
    <w:pitch w:val="default"/>
    <w:sig w:usb0="00000000" w:usb1="00000000" w:usb2="00000010" w:usb3="00000000" w:csb0="00000001" w:csb1="00000000"/>
  </w:font>
  <w:font w:name="Edwardian Script ITC">
    <w:panose1 w:val="030303020407070D0804"/>
    <w:charset w:val="4D"/>
    <w:family w:val="script"/>
    <w:pitch w:val="default"/>
    <w:sig w:usb0="00000003" w:usb1="00000000" w:usb2="00000000" w:usb3="00000000" w:csb0="20000001" w:csb1="00000000"/>
  </w:font>
  <w:font w:name="Biome">
    <w:altName w:val="Segoe Print"/>
    <w:panose1 w:val="020B0503030204020804"/>
    <w:charset w:val="00"/>
    <w:family w:val="swiss"/>
    <w:pitch w:val="default"/>
    <w:sig w:usb0="00000000" w:usb1="00000000" w:usb2="00010000" w:usb3="00000000" w:csb0="0000019F"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Constantia">
    <w:panose1 w:val="02030602050306030303"/>
    <w:charset w:val="00"/>
    <w:family w:val="auto"/>
    <w:pitch w:val="default"/>
    <w:sig w:usb0="A00002EF" w:usb1="4000204B" w:usb2="00000000" w:usb3="00000000" w:csb0="2000019F" w:csb1="00000000"/>
  </w:font>
  <w:font w:name="Arial Black">
    <w:panose1 w:val="020B0A04020102020204"/>
    <w:charset w:val="00"/>
    <w:family w:val="auto"/>
    <w:pitch w:val="default"/>
    <w:sig w:usb0="A00002AF" w:usb1="400078FB" w:usb2="00000000" w:usb3="00000000" w:csb0="6000009F" w:csb1="DFD70000"/>
  </w:font>
  <w:font w:name="Arial Narrow">
    <w:panose1 w:val="020B0606020202030204"/>
    <w:charset w:val="00"/>
    <w:family w:val="auto"/>
    <w:pitch w:val="default"/>
    <w:sig w:usb0="00000287" w:usb1="00000800" w:usb2="00000000" w:usb3="00000000" w:csb0="2000009F" w:csb1="DFD70000"/>
  </w:font>
  <w:font w:name="Agency FB">
    <w:panose1 w:val="020B0503020202020204"/>
    <w:charset w:val="00"/>
    <w:family w:val="auto"/>
    <w:pitch w:val="default"/>
    <w:sig w:usb0="00000003" w:usb1="00000000" w:usb2="00000000" w:usb3="00000000" w:csb0="20000001" w:csb1="00000000"/>
  </w:font>
  <w:font w:name="Algerian">
    <w:panose1 w:val="04020705040A02060702"/>
    <w:charset w:val="00"/>
    <w:family w:val="auto"/>
    <w:pitch w:val="default"/>
    <w:sig w:usb0="00000003" w:usb1="00000000" w:usb2="00000000" w:usb3="00000000" w:csb0="20000001" w:csb1="00000000"/>
  </w:font>
  <w:font w:name="MS Gothic">
    <w:panose1 w:val="020B0609070205080204"/>
    <w:charset w:val="80"/>
    <w:family w:val="modern"/>
    <w:pitch w:val="default"/>
    <w:sig w:usb0="E00002FF" w:usb1="6AC7FDFB" w:usb2="08000012" w:usb3="00000000" w:csb0="4002009F" w:csb1="DFD7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1616977799"/>
    </w:sdtPr>
    <w:sdtEndPr>
      <w:rPr>
        <w:rStyle w:val="12"/>
      </w:rPr>
    </w:sdtEndPr>
    <w:sdtContent>
      <w:p>
        <w:pPr>
          <w:pStyle w:val="8"/>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2</w:t>
        </w:r>
        <w:r>
          <w:rPr>
            <w:rStyle w:val="12"/>
          </w:rPr>
          <w:fldChar w:fldCharType="end"/>
        </w:r>
      </w:p>
    </w:sdtContent>
  </w:sdt>
  <w:p>
    <w:pPr>
      <w:pStyle w:val="8"/>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372930456"/>
    </w:sdtPr>
    <w:sdtEndPr>
      <w:rPr>
        <w:rStyle w:val="12"/>
      </w:rPr>
    </w:sdtEndPr>
    <w:sdtContent>
      <w:p>
        <w:pPr>
          <w:pStyle w:val="8"/>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4</w:t>
        </w:r>
        <w:r>
          <w:rPr>
            <w:rStyle w:val="12"/>
          </w:rPr>
          <w:fldChar w:fldCharType="end"/>
        </w:r>
      </w:p>
    </w:sdtContent>
  </w:sdt>
  <w:p>
    <w:pPr>
      <w:pStyle w:val="8"/>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0FC0FBA"/>
    <w:multiLevelType w:val="singleLevel"/>
    <w:tmpl w:val="C0FC0FBA"/>
    <w:lvl w:ilvl="0" w:tentative="0">
      <w:start w:val="2"/>
      <w:numFmt w:val="decimal"/>
      <w:lvlText w:val="%1."/>
      <w:lvlJc w:val="left"/>
      <w:pPr>
        <w:tabs>
          <w:tab w:val="left" w:pos="312"/>
        </w:tabs>
      </w:pPr>
    </w:lvl>
  </w:abstractNum>
  <w:abstractNum w:abstractNumId="1">
    <w:nsid w:val="033E0F77"/>
    <w:multiLevelType w:val="multilevel"/>
    <w:tmpl w:val="033E0F7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05EE9298"/>
    <w:multiLevelType w:val="singleLevel"/>
    <w:tmpl w:val="05EE9298"/>
    <w:lvl w:ilvl="0" w:tentative="0">
      <w:start w:val="1"/>
      <w:numFmt w:val="lowerLetter"/>
      <w:suff w:val="space"/>
      <w:lvlText w:val="%1."/>
      <w:lvlJc w:val="left"/>
    </w:lvl>
  </w:abstractNum>
  <w:abstractNum w:abstractNumId="3">
    <w:nsid w:val="0B4465AD"/>
    <w:multiLevelType w:val="multilevel"/>
    <w:tmpl w:val="0B4465A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4">
    <w:nsid w:val="0CF404A9"/>
    <w:multiLevelType w:val="singleLevel"/>
    <w:tmpl w:val="0CF404A9"/>
    <w:lvl w:ilvl="0" w:tentative="0">
      <w:start w:val="1"/>
      <w:numFmt w:val="decimal"/>
      <w:suff w:val="space"/>
      <w:lvlText w:val="%1."/>
      <w:lvlJc w:val="left"/>
    </w:lvl>
  </w:abstractNum>
  <w:abstractNum w:abstractNumId="5">
    <w:nsid w:val="162A0B0D"/>
    <w:multiLevelType w:val="multilevel"/>
    <w:tmpl w:val="162A0B0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193E05F0"/>
    <w:multiLevelType w:val="multilevel"/>
    <w:tmpl w:val="193E05F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1A795589"/>
    <w:multiLevelType w:val="multilevel"/>
    <w:tmpl w:val="1A79558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269A1A69"/>
    <w:multiLevelType w:val="multilevel"/>
    <w:tmpl w:val="269A1A6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2C4E6499"/>
    <w:multiLevelType w:val="multilevel"/>
    <w:tmpl w:val="2C4E649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2D1412D7"/>
    <w:multiLevelType w:val="multilevel"/>
    <w:tmpl w:val="2D1412D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33877989"/>
    <w:multiLevelType w:val="multilevel"/>
    <w:tmpl w:val="3387798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2">
    <w:nsid w:val="3F9F7D95"/>
    <w:multiLevelType w:val="multilevel"/>
    <w:tmpl w:val="3F9F7D9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3">
    <w:nsid w:val="4D062E80"/>
    <w:multiLevelType w:val="multilevel"/>
    <w:tmpl w:val="4D062E8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4">
    <w:nsid w:val="50727C39"/>
    <w:multiLevelType w:val="multilevel"/>
    <w:tmpl w:val="50727C3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5">
    <w:nsid w:val="51E800E9"/>
    <w:multiLevelType w:val="multilevel"/>
    <w:tmpl w:val="51E800E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6">
    <w:nsid w:val="61704CAC"/>
    <w:multiLevelType w:val="multilevel"/>
    <w:tmpl w:val="61704CA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7">
    <w:nsid w:val="66CC7E10"/>
    <w:multiLevelType w:val="multilevel"/>
    <w:tmpl w:val="66CC7E1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8">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7"/>
  </w:num>
  <w:num w:numId="2">
    <w:abstractNumId w:val="16"/>
  </w:num>
  <w:num w:numId="3">
    <w:abstractNumId w:val="14"/>
  </w:num>
  <w:num w:numId="4">
    <w:abstractNumId w:val="11"/>
  </w:num>
  <w:num w:numId="5">
    <w:abstractNumId w:val="1"/>
  </w:num>
  <w:num w:numId="6">
    <w:abstractNumId w:val="9"/>
  </w:num>
  <w:num w:numId="7">
    <w:abstractNumId w:val="7"/>
  </w:num>
  <w:num w:numId="8">
    <w:abstractNumId w:val="6"/>
  </w:num>
  <w:num w:numId="9">
    <w:abstractNumId w:val="8"/>
  </w:num>
  <w:num w:numId="10">
    <w:abstractNumId w:val="13"/>
  </w:num>
  <w:num w:numId="11">
    <w:abstractNumId w:val="10"/>
  </w:num>
  <w:num w:numId="12">
    <w:abstractNumId w:val="15"/>
  </w:num>
  <w:num w:numId="13">
    <w:abstractNumId w:val="18"/>
  </w:num>
  <w:num w:numId="14">
    <w:abstractNumId w:val="4"/>
  </w:num>
  <w:num w:numId="15">
    <w:abstractNumId w:val="2"/>
  </w:num>
  <w:num w:numId="16">
    <w:abstractNumId w:val="12"/>
  </w:num>
  <w:num w:numId="17">
    <w:abstractNumId w:val="3"/>
  </w:num>
  <w:num w:numId="18">
    <w:abstractNumId w:val="5"/>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6F7"/>
    <w:rsid w:val="000009EB"/>
    <w:rsid w:val="000143D6"/>
    <w:rsid w:val="000156B9"/>
    <w:rsid w:val="0002265E"/>
    <w:rsid w:val="00023EA0"/>
    <w:rsid w:val="00031078"/>
    <w:rsid w:val="000371DA"/>
    <w:rsid w:val="00041EC3"/>
    <w:rsid w:val="000464F5"/>
    <w:rsid w:val="00046F20"/>
    <w:rsid w:val="00056913"/>
    <w:rsid w:val="00061EE5"/>
    <w:rsid w:val="0006224A"/>
    <w:rsid w:val="00067F80"/>
    <w:rsid w:val="000729B4"/>
    <w:rsid w:val="00072DFA"/>
    <w:rsid w:val="000731AA"/>
    <w:rsid w:val="000765F3"/>
    <w:rsid w:val="00077776"/>
    <w:rsid w:val="00092D37"/>
    <w:rsid w:val="000930E5"/>
    <w:rsid w:val="00094388"/>
    <w:rsid w:val="000A1318"/>
    <w:rsid w:val="000A77F2"/>
    <w:rsid w:val="000C346B"/>
    <w:rsid w:val="000C4EC7"/>
    <w:rsid w:val="000D026E"/>
    <w:rsid w:val="000D02FA"/>
    <w:rsid w:val="000D073E"/>
    <w:rsid w:val="000D7520"/>
    <w:rsid w:val="000E3B1D"/>
    <w:rsid w:val="000E52A3"/>
    <w:rsid w:val="000E689A"/>
    <w:rsid w:val="000E711D"/>
    <w:rsid w:val="00104B20"/>
    <w:rsid w:val="00106750"/>
    <w:rsid w:val="00111979"/>
    <w:rsid w:val="00114142"/>
    <w:rsid w:val="00114D3F"/>
    <w:rsid w:val="0011624E"/>
    <w:rsid w:val="00126E1C"/>
    <w:rsid w:val="00131202"/>
    <w:rsid w:val="00134084"/>
    <w:rsid w:val="001346B5"/>
    <w:rsid w:val="00134F19"/>
    <w:rsid w:val="00140C9E"/>
    <w:rsid w:val="00143A42"/>
    <w:rsid w:val="00144DAB"/>
    <w:rsid w:val="00144F31"/>
    <w:rsid w:val="0014718D"/>
    <w:rsid w:val="001510D8"/>
    <w:rsid w:val="00156804"/>
    <w:rsid w:val="00157E74"/>
    <w:rsid w:val="00160305"/>
    <w:rsid w:val="001611A8"/>
    <w:rsid w:val="00167ACD"/>
    <w:rsid w:val="00176AE1"/>
    <w:rsid w:val="00176C3E"/>
    <w:rsid w:val="00181198"/>
    <w:rsid w:val="00181472"/>
    <w:rsid w:val="00184BC1"/>
    <w:rsid w:val="001872EA"/>
    <w:rsid w:val="00191B03"/>
    <w:rsid w:val="001966F7"/>
    <w:rsid w:val="00196749"/>
    <w:rsid w:val="001A061D"/>
    <w:rsid w:val="001A11D8"/>
    <w:rsid w:val="001A2CF1"/>
    <w:rsid w:val="001A709A"/>
    <w:rsid w:val="001B28BC"/>
    <w:rsid w:val="001C1089"/>
    <w:rsid w:val="001C1D00"/>
    <w:rsid w:val="001C31A0"/>
    <w:rsid w:val="001C3828"/>
    <w:rsid w:val="001C5AB8"/>
    <w:rsid w:val="001C7B3F"/>
    <w:rsid w:val="001D7159"/>
    <w:rsid w:val="001E3E59"/>
    <w:rsid w:val="001E57B1"/>
    <w:rsid w:val="001E6EA3"/>
    <w:rsid w:val="00206650"/>
    <w:rsid w:val="00207D1A"/>
    <w:rsid w:val="002138D0"/>
    <w:rsid w:val="00216286"/>
    <w:rsid w:val="00235704"/>
    <w:rsid w:val="00237CC5"/>
    <w:rsid w:val="00254F6A"/>
    <w:rsid w:val="00264786"/>
    <w:rsid w:val="00270EE9"/>
    <w:rsid w:val="00281B4C"/>
    <w:rsid w:val="00282ACC"/>
    <w:rsid w:val="002B31D5"/>
    <w:rsid w:val="002C1C3E"/>
    <w:rsid w:val="002C65F3"/>
    <w:rsid w:val="002D1439"/>
    <w:rsid w:val="002D2242"/>
    <w:rsid w:val="002D344F"/>
    <w:rsid w:val="002D351C"/>
    <w:rsid w:val="002E6120"/>
    <w:rsid w:val="002F2B5F"/>
    <w:rsid w:val="002F6EBA"/>
    <w:rsid w:val="00310398"/>
    <w:rsid w:val="003105E0"/>
    <w:rsid w:val="00316E69"/>
    <w:rsid w:val="00350856"/>
    <w:rsid w:val="003540F8"/>
    <w:rsid w:val="003644E8"/>
    <w:rsid w:val="00366369"/>
    <w:rsid w:val="00366B36"/>
    <w:rsid w:val="003743B4"/>
    <w:rsid w:val="00374F58"/>
    <w:rsid w:val="003800C4"/>
    <w:rsid w:val="00387E2F"/>
    <w:rsid w:val="00390D74"/>
    <w:rsid w:val="00391294"/>
    <w:rsid w:val="0039287C"/>
    <w:rsid w:val="00393F7C"/>
    <w:rsid w:val="00396BED"/>
    <w:rsid w:val="003A02E7"/>
    <w:rsid w:val="003A0B2F"/>
    <w:rsid w:val="003A292B"/>
    <w:rsid w:val="003A434F"/>
    <w:rsid w:val="003A7DAF"/>
    <w:rsid w:val="003B3C77"/>
    <w:rsid w:val="003B490D"/>
    <w:rsid w:val="003B7BA5"/>
    <w:rsid w:val="003C5C2F"/>
    <w:rsid w:val="003D4A88"/>
    <w:rsid w:val="003E2BCF"/>
    <w:rsid w:val="003E386B"/>
    <w:rsid w:val="003E52ED"/>
    <w:rsid w:val="003E5F07"/>
    <w:rsid w:val="00404415"/>
    <w:rsid w:val="004079EC"/>
    <w:rsid w:val="00412FD8"/>
    <w:rsid w:val="00421EEB"/>
    <w:rsid w:val="004304B3"/>
    <w:rsid w:val="00436457"/>
    <w:rsid w:val="00451539"/>
    <w:rsid w:val="00456829"/>
    <w:rsid w:val="004618F6"/>
    <w:rsid w:val="00462A20"/>
    <w:rsid w:val="00470179"/>
    <w:rsid w:val="00473429"/>
    <w:rsid w:val="00473935"/>
    <w:rsid w:val="00473EA0"/>
    <w:rsid w:val="00481E56"/>
    <w:rsid w:val="004851F2"/>
    <w:rsid w:val="00486913"/>
    <w:rsid w:val="004A15C0"/>
    <w:rsid w:val="004A51FF"/>
    <w:rsid w:val="004B14AC"/>
    <w:rsid w:val="004B1CF4"/>
    <w:rsid w:val="004B3E48"/>
    <w:rsid w:val="004B3EA3"/>
    <w:rsid w:val="004B519B"/>
    <w:rsid w:val="004D38DF"/>
    <w:rsid w:val="004E09A4"/>
    <w:rsid w:val="004F7D4C"/>
    <w:rsid w:val="0051005C"/>
    <w:rsid w:val="0052026D"/>
    <w:rsid w:val="00532B89"/>
    <w:rsid w:val="00533200"/>
    <w:rsid w:val="00535CFF"/>
    <w:rsid w:val="00540C80"/>
    <w:rsid w:val="00551EB4"/>
    <w:rsid w:val="00552225"/>
    <w:rsid w:val="00552711"/>
    <w:rsid w:val="00554688"/>
    <w:rsid w:val="00555C36"/>
    <w:rsid w:val="00556F72"/>
    <w:rsid w:val="00580B5A"/>
    <w:rsid w:val="005846D8"/>
    <w:rsid w:val="00585E74"/>
    <w:rsid w:val="00586A71"/>
    <w:rsid w:val="00592ACB"/>
    <w:rsid w:val="0059697D"/>
    <w:rsid w:val="005A2D4D"/>
    <w:rsid w:val="005A77D2"/>
    <w:rsid w:val="005B137B"/>
    <w:rsid w:val="005B1A02"/>
    <w:rsid w:val="005B4DF2"/>
    <w:rsid w:val="005B5B98"/>
    <w:rsid w:val="005C480D"/>
    <w:rsid w:val="00610BFA"/>
    <w:rsid w:val="00612008"/>
    <w:rsid w:val="00616601"/>
    <w:rsid w:val="00622B1E"/>
    <w:rsid w:val="00636ABD"/>
    <w:rsid w:val="00643F77"/>
    <w:rsid w:val="0064506F"/>
    <w:rsid w:val="00645D64"/>
    <w:rsid w:val="00653B32"/>
    <w:rsid w:val="00656030"/>
    <w:rsid w:val="00681F76"/>
    <w:rsid w:val="00696955"/>
    <w:rsid w:val="006972A4"/>
    <w:rsid w:val="00697A52"/>
    <w:rsid w:val="006A74F8"/>
    <w:rsid w:val="006B6A01"/>
    <w:rsid w:val="006C2196"/>
    <w:rsid w:val="006C2627"/>
    <w:rsid w:val="006C65F1"/>
    <w:rsid w:val="006D0FF8"/>
    <w:rsid w:val="006D48A3"/>
    <w:rsid w:val="006D6883"/>
    <w:rsid w:val="006D6AED"/>
    <w:rsid w:val="006F43C2"/>
    <w:rsid w:val="007001C9"/>
    <w:rsid w:val="007004F5"/>
    <w:rsid w:val="00700B95"/>
    <w:rsid w:val="007015AC"/>
    <w:rsid w:val="0070421F"/>
    <w:rsid w:val="00706C79"/>
    <w:rsid w:val="00733046"/>
    <w:rsid w:val="00750C7B"/>
    <w:rsid w:val="007770F1"/>
    <w:rsid w:val="00790EDE"/>
    <w:rsid w:val="007A6262"/>
    <w:rsid w:val="007B65D7"/>
    <w:rsid w:val="007B7C57"/>
    <w:rsid w:val="007C29D1"/>
    <w:rsid w:val="007C7A68"/>
    <w:rsid w:val="007D5FF0"/>
    <w:rsid w:val="007E799F"/>
    <w:rsid w:val="007F2AD5"/>
    <w:rsid w:val="00801553"/>
    <w:rsid w:val="008036B6"/>
    <w:rsid w:val="00807C0F"/>
    <w:rsid w:val="00816F37"/>
    <w:rsid w:val="008216ED"/>
    <w:rsid w:val="008314CE"/>
    <w:rsid w:val="00833472"/>
    <w:rsid w:val="008432F5"/>
    <w:rsid w:val="00851630"/>
    <w:rsid w:val="00862020"/>
    <w:rsid w:val="00863F78"/>
    <w:rsid w:val="00867EF5"/>
    <w:rsid w:val="00870123"/>
    <w:rsid w:val="00871F17"/>
    <w:rsid w:val="00881759"/>
    <w:rsid w:val="008855DF"/>
    <w:rsid w:val="008861A0"/>
    <w:rsid w:val="00887FBB"/>
    <w:rsid w:val="00894B8B"/>
    <w:rsid w:val="008951F1"/>
    <w:rsid w:val="008A0AD8"/>
    <w:rsid w:val="008B6199"/>
    <w:rsid w:val="008C0904"/>
    <w:rsid w:val="008C2606"/>
    <w:rsid w:val="008D1CD9"/>
    <w:rsid w:val="008D5EF4"/>
    <w:rsid w:val="008E6B90"/>
    <w:rsid w:val="008E7C0D"/>
    <w:rsid w:val="008F02C1"/>
    <w:rsid w:val="008F556C"/>
    <w:rsid w:val="008F6D4B"/>
    <w:rsid w:val="009179C2"/>
    <w:rsid w:val="00920C30"/>
    <w:rsid w:val="00935C33"/>
    <w:rsid w:val="0094111D"/>
    <w:rsid w:val="00945B13"/>
    <w:rsid w:val="00947376"/>
    <w:rsid w:val="0094745F"/>
    <w:rsid w:val="00954C52"/>
    <w:rsid w:val="00962A84"/>
    <w:rsid w:val="009703F4"/>
    <w:rsid w:val="00991644"/>
    <w:rsid w:val="009A7869"/>
    <w:rsid w:val="009B1FD3"/>
    <w:rsid w:val="009B21CF"/>
    <w:rsid w:val="009B3B3B"/>
    <w:rsid w:val="009B5491"/>
    <w:rsid w:val="009B5E66"/>
    <w:rsid w:val="009C3E7F"/>
    <w:rsid w:val="009C5A85"/>
    <w:rsid w:val="009D1489"/>
    <w:rsid w:val="009D19F5"/>
    <w:rsid w:val="009D4357"/>
    <w:rsid w:val="009E10B3"/>
    <w:rsid w:val="009E7E18"/>
    <w:rsid w:val="00A110E6"/>
    <w:rsid w:val="00A131FA"/>
    <w:rsid w:val="00A34AB9"/>
    <w:rsid w:val="00A41072"/>
    <w:rsid w:val="00A439ED"/>
    <w:rsid w:val="00A46A53"/>
    <w:rsid w:val="00A510A0"/>
    <w:rsid w:val="00A543DE"/>
    <w:rsid w:val="00A7193D"/>
    <w:rsid w:val="00A963D5"/>
    <w:rsid w:val="00AA06EB"/>
    <w:rsid w:val="00AA2F97"/>
    <w:rsid w:val="00AA6527"/>
    <w:rsid w:val="00AB66DE"/>
    <w:rsid w:val="00AB7D2D"/>
    <w:rsid w:val="00AC1BD3"/>
    <w:rsid w:val="00AC5764"/>
    <w:rsid w:val="00AC5BA5"/>
    <w:rsid w:val="00AC63E5"/>
    <w:rsid w:val="00AC6546"/>
    <w:rsid w:val="00AC78A9"/>
    <w:rsid w:val="00AC7C53"/>
    <w:rsid w:val="00AE11D7"/>
    <w:rsid w:val="00AF58F7"/>
    <w:rsid w:val="00AF6465"/>
    <w:rsid w:val="00B034FF"/>
    <w:rsid w:val="00B074A6"/>
    <w:rsid w:val="00B22D47"/>
    <w:rsid w:val="00B30DB7"/>
    <w:rsid w:val="00B336B8"/>
    <w:rsid w:val="00B35D4E"/>
    <w:rsid w:val="00B40AE8"/>
    <w:rsid w:val="00B52A62"/>
    <w:rsid w:val="00B651DF"/>
    <w:rsid w:val="00B703A1"/>
    <w:rsid w:val="00B80F9C"/>
    <w:rsid w:val="00B85F35"/>
    <w:rsid w:val="00B8650F"/>
    <w:rsid w:val="00B869B5"/>
    <w:rsid w:val="00B903A4"/>
    <w:rsid w:val="00B95825"/>
    <w:rsid w:val="00B9754F"/>
    <w:rsid w:val="00BA2912"/>
    <w:rsid w:val="00BA29A0"/>
    <w:rsid w:val="00BB0638"/>
    <w:rsid w:val="00BB0662"/>
    <w:rsid w:val="00BB62CD"/>
    <w:rsid w:val="00BB7F63"/>
    <w:rsid w:val="00BC138E"/>
    <w:rsid w:val="00BD0CEB"/>
    <w:rsid w:val="00BD5B91"/>
    <w:rsid w:val="00BD5F62"/>
    <w:rsid w:val="00BE171D"/>
    <w:rsid w:val="00BE4B12"/>
    <w:rsid w:val="00BE4E1F"/>
    <w:rsid w:val="00BE71EA"/>
    <w:rsid w:val="00BF16C3"/>
    <w:rsid w:val="00BF3748"/>
    <w:rsid w:val="00BF777B"/>
    <w:rsid w:val="00C0617A"/>
    <w:rsid w:val="00C11E4B"/>
    <w:rsid w:val="00C40927"/>
    <w:rsid w:val="00C43A52"/>
    <w:rsid w:val="00C575CF"/>
    <w:rsid w:val="00C61DA4"/>
    <w:rsid w:val="00C6515A"/>
    <w:rsid w:val="00C721E4"/>
    <w:rsid w:val="00C74D38"/>
    <w:rsid w:val="00C77058"/>
    <w:rsid w:val="00C85719"/>
    <w:rsid w:val="00CA07F2"/>
    <w:rsid w:val="00CA5723"/>
    <w:rsid w:val="00CA5A8F"/>
    <w:rsid w:val="00CE1D2E"/>
    <w:rsid w:val="00CE1DFA"/>
    <w:rsid w:val="00D0239A"/>
    <w:rsid w:val="00D04521"/>
    <w:rsid w:val="00D100CD"/>
    <w:rsid w:val="00D20C0C"/>
    <w:rsid w:val="00D35C62"/>
    <w:rsid w:val="00D42447"/>
    <w:rsid w:val="00D43849"/>
    <w:rsid w:val="00D46376"/>
    <w:rsid w:val="00D51528"/>
    <w:rsid w:val="00D55427"/>
    <w:rsid w:val="00D66973"/>
    <w:rsid w:val="00D7588E"/>
    <w:rsid w:val="00D86989"/>
    <w:rsid w:val="00D93746"/>
    <w:rsid w:val="00D959A2"/>
    <w:rsid w:val="00DA0982"/>
    <w:rsid w:val="00DA0A2E"/>
    <w:rsid w:val="00DB515C"/>
    <w:rsid w:val="00DC00C7"/>
    <w:rsid w:val="00DC0E98"/>
    <w:rsid w:val="00DC198F"/>
    <w:rsid w:val="00DC6A0D"/>
    <w:rsid w:val="00DC73CB"/>
    <w:rsid w:val="00DC7CB1"/>
    <w:rsid w:val="00DE06F3"/>
    <w:rsid w:val="00DE1EC7"/>
    <w:rsid w:val="00DE74CA"/>
    <w:rsid w:val="00DF1B99"/>
    <w:rsid w:val="00E021E1"/>
    <w:rsid w:val="00E029FC"/>
    <w:rsid w:val="00E11500"/>
    <w:rsid w:val="00E12866"/>
    <w:rsid w:val="00E21518"/>
    <w:rsid w:val="00E22EB1"/>
    <w:rsid w:val="00E231AF"/>
    <w:rsid w:val="00E369C1"/>
    <w:rsid w:val="00E43007"/>
    <w:rsid w:val="00E50263"/>
    <w:rsid w:val="00E54AE9"/>
    <w:rsid w:val="00E605B1"/>
    <w:rsid w:val="00E66FF3"/>
    <w:rsid w:val="00E70971"/>
    <w:rsid w:val="00E830D4"/>
    <w:rsid w:val="00EA11A2"/>
    <w:rsid w:val="00EA78F4"/>
    <w:rsid w:val="00EB13D0"/>
    <w:rsid w:val="00EB3FAE"/>
    <w:rsid w:val="00EB6B8F"/>
    <w:rsid w:val="00EB7519"/>
    <w:rsid w:val="00ED38AC"/>
    <w:rsid w:val="00EE4E5E"/>
    <w:rsid w:val="00EF36F2"/>
    <w:rsid w:val="00EF3C71"/>
    <w:rsid w:val="00F019DA"/>
    <w:rsid w:val="00F132A5"/>
    <w:rsid w:val="00F17656"/>
    <w:rsid w:val="00F204B0"/>
    <w:rsid w:val="00F22F39"/>
    <w:rsid w:val="00F2620E"/>
    <w:rsid w:val="00F26555"/>
    <w:rsid w:val="00F276AF"/>
    <w:rsid w:val="00F334C8"/>
    <w:rsid w:val="00F4399A"/>
    <w:rsid w:val="00F529DB"/>
    <w:rsid w:val="00F5447E"/>
    <w:rsid w:val="00F57E44"/>
    <w:rsid w:val="00F742EF"/>
    <w:rsid w:val="00F830D2"/>
    <w:rsid w:val="00F84731"/>
    <w:rsid w:val="00F85BB8"/>
    <w:rsid w:val="00FB1EF8"/>
    <w:rsid w:val="00FB272E"/>
    <w:rsid w:val="00FB7D0B"/>
    <w:rsid w:val="00FC1139"/>
    <w:rsid w:val="00FC3118"/>
    <w:rsid w:val="00FC4298"/>
    <w:rsid w:val="00FC6FCA"/>
    <w:rsid w:val="00FD1863"/>
    <w:rsid w:val="00FD7365"/>
    <w:rsid w:val="00FE4D42"/>
    <w:rsid w:val="00FF1FEF"/>
    <w:rsid w:val="00FF4D52"/>
    <w:rsid w:val="0273635F"/>
    <w:rsid w:val="03E2099C"/>
    <w:rsid w:val="04D323CE"/>
    <w:rsid w:val="05281BE4"/>
    <w:rsid w:val="06A507B2"/>
    <w:rsid w:val="110E1F50"/>
    <w:rsid w:val="123F687E"/>
    <w:rsid w:val="12AC33A4"/>
    <w:rsid w:val="1D22285A"/>
    <w:rsid w:val="27FA0AD9"/>
    <w:rsid w:val="2A2741DA"/>
    <w:rsid w:val="2DFB0A91"/>
    <w:rsid w:val="2E1113A3"/>
    <w:rsid w:val="303B36D9"/>
    <w:rsid w:val="32AD3BDE"/>
    <w:rsid w:val="33B451C9"/>
    <w:rsid w:val="37C700E5"/>
    <w:rsid w:val="3DD909A7"/>
    <w:rsid w:val="40A83DF2"/>
    <w:rsid w:val="42CA46A0"/>
    <w:rsid w:val="43711931"/>
    <w:rsid w:val="4793207A"/>
    <w:rsid w:val="48AA679E"/>
    <w:rsid w:val="4A33564C"/>
    <w:rsid w:val="4E154813"/>
    <w:rsid w:val="4F194455"/>
    <w:rsid w:val="530C3017"/>
    <w:rsid w:val="54D44C3B"/>
    <w:rsid w:val="5AB65229"/>
    <w:rsid w:val="5C156522"/>
    <w:rsid w:val="60C52815"/>
    <w:rsid w:val="66F81DD8"/>
    <w:rsid w:val="69C04218"/>
    <w:rsid w:val="6C20495F"/>
    <w:rsid w:val="6EDA0F9D"/>
    <w:rsid w:val="6F356137"/>
    <w:rsid w:val="7D895A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qFormat="1" w:uiPriority="39" w:name="toc 5"/>
    <w:lsdException w:qFormat="1" w:uiPriority="39" w:name="toc 6"/>
    <w:lsdException w:uiPriority="39" w:name="toc 7"/>
    <w:lsdException w:qFormat="1"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280" w:line="360" w:lineRule="auto"/>
      <w:jc w:val="both"/>
    </w:pPr>
    <w:rPr>
      <w:rFonts w:ascii="Times New Roman" w:hAnsi="Times New Roman" w:cs="Times New Roman" w:eastAsiaTheme="minorHAnsi"/>
      <w:sz w:val="24"/>
      <w:szCs w:val="24"/>
      <w:lang w:val="en-GB" w:eastAsia="en-US" w:bidi="ar-SA"/>
    </w:rPr>
  </w:style>
  <w:style w:type="paragraph" w:styleId="2">
    <w:name w:val="heading 1"/>
    <w:basedOn w:val="1"/>
    <w:next w:val="1"/>
    <w:link w:val="26"/>
    <w:qFormat/>
    <w:uiPriority w:val="9"/>
    <w:pPr>
      <w:keepNext/>
      <w:keepLines/>
      <w:spacing w:before="240" w:after="0"/>
      <w:outlineLvl w:val="0"/>
    </w:pPr>
    <w:rPr>
      <w:rFonts w:ascii="Times" w:hAnsi="Times" w:eastAsiaTheme="majorEastAsia" w:cstheme="majorBidi"/>
      <w:b/>
      <w:color w:val="000000" w:themeColor="text1"/>
      <w:sz w:val="32"/>
      <w:szCs w:val="32"/>
      <w14:textFill>
        <w14:solidFill>
          <w14:schemeClr w14:val="tx1"/>
        </w14:solidFill>
      </w14:textFill>
    </w:rPr>
  </w:style>
  <w:style w:type="paragraph" w:styleId="3">
    <w:name w:val="heading 2"/>
    <w:basedOn w:val="1"/>
    <w:next w:val="1"/>
    <w:link w:val="27"/>
    <w:unhideWhenUsed/>
    <w:qFormat/>
    <w:uiPriority w:val="9"/>
    <w:pPr>
      <w:spacing w:before="40"/>
      <w:outlineLvl w:val="1"/>
    </w:pPr>
    <w:rPr>
      <w:b/>
      <w:sz w:val="28"/>
      <w:szCs w:val="26"/>
    </w:rPr>
  </w:style>
  <w:style w:type="paragraph" w:styleId="4">
    <w:name w:val="heading 3"/>
    <w:basedOn w:val="1"/>
    <w:next w:val="1"/>
    <w:link w:val="37"/>
    <w:unhideWhenUsed/>
    <w:qFormat/>
    <w:uiPriority w:val="9"/>
    <w:pPr>
      <w:keepNext/>
      <w:keepLines/>
      <w:spacing w:before="40" w:after="0"/>
      <w:outlineLvl w:val="2"/>
    </w:pPr>
    <w:rPr>
      <w:rFonts w:asciiTheme="majorHAnsi" w:hAnsiTheme="majorHAnsi" w:eastAsiaTheme="majorEastAsia" w:cstheme="majorBidi"/>
      <w:color w:val="491447" w:themeColor="accent1" w:themeShade="80"/>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before="0" w:after="200" w:line="240" w:lineRule="auto"/>
    </w:pPr>
    <w:rPr>
      <w:i/>
      <w:iCs/>
      <w:color w:val="632E62" w:themeColor="text2"/>
      <w:sz w:val="18"/>
      <w:szCs w:val="18"/>
      <w14:textFill>
        <w14:solidFill>
          <w14:schemeClr w14:val="tx2"/>
        </w14:solidFill>
      </w14:textFill>
    </w:rPr>
  </w:style>
  <w:style w:type="paragraph" w:styleId="8">
    <w:name w:val="footer"/>
    <w:basedOn w:val="1"/>
    <w:link w:val="34"/>
    <w:unhideWhenUsed/>
    <w:qFormat/>
    <w:uiPriority w:val="99"/>
    <w:pPr>
      <w:tabs>
        <w:tab w:val="center" w:pos="4513"/>
        <w:tab w:val="right" w:pos="9026"/>
      </w:tabs>
      <w:spacing w:before="0" w:after="0" w:line="240" w:lineRule="auto"/>
    </w:pPr>
  </w:style>
  <w:style w:type="paragraph" w:styleId="9">
    <w:name w:val="header"/>
    <w:basedOn w:val="1"/>
    <w:link w:val="35"/>
    <w:unhideWhenUsed/>
    <w:qFormat/>
    <w:uiPriority w:val="99"/>
    <w:pPr>
      <w:tabs>
        <w:tab w:val="center" w:pos="4513"/>
        <w:tab w:val="right" w:pos="9026"/>
      </w:tabs>
      <w:spacing w:before="0" w:after="0" w:line="240" w:lineRule="auto"/>
    </w:pPr>
  </w:style>
  <w:style w:type="character" w:styleId="10">
    <w:name w:val="Hyperlink"/>
    <w:basedOn w:val="5"/>
    <w:unhideWhenUsed/>
    <w:uiPriority w:val="99"/>
    <w:rPr>
      <w:color w:val="0066FF"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pPr>
    <w:rPr>
      <w:rFonts w:eastAsia="Times New Roman"/>
      <w:lang w:eastAsia="en-GB"/>
    </w:rPr>
  </w:style>
  <w:style w:type="character" w:styleId="12">
    <w:name w:val="page number"/>
    <w:basedOn w:val="5"/>
    <w:semiHidden/>
    <w:unhideWhenUsed/>
    <w:qFormat/>
    <w:uiPriority w:val="99"/>
  </w:style>
  <w:style w:type="character" w:styleId="13">
    <w:name w:val="Strong"/>
    <w:qFormat/>
    <w:uiPriority w:val="22"/>
    <w:rPr>
      <w:b/>
      <w:bCs/>
    </w:rPr>
  </w:style>
  <w:style w:type="table" w:styleId="14">
    <w:name w:val="Table Grid"/>
    <w:basedOn w:val="6"/>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table of figures"/>
    <w:basedOn w:val="1"/>
    <w:next w:val="1"/>
    <w:unhideWhenUsed/>
    <w:qFormat/>
    <w:uiPriority w:val="99"/>
    <w:pPr>
      <w:spacing w:after="0"/>
    </w:pPr>
  </w:style>
  <w:style w:type="paragraph" w:styleId="16">
    <w:name w:val="toc 1"/>
    <w:basedOn w:val="1"/>
    <w:next w:val="1"/>
    <w:unhideWhenUsed/>
    <w:qFormat/>
    <w:uiPriority w:val="39"/>
    <w:pPr>
      <w:tabs>
        <w:tab w:val="right" w:leader="dot" w:pos="9010"/>
      </w:tabs>
      <w:spacing w:after="0" w:line="276" w:lineRule="auto"/>
      <w:jc w:val="left"/>
    </w:pPr>
    <w:rPr>
      <w:rFonts w:ascii="Times" w:hAnsi="Times" w:cstheme="minorHAnsi"/>
      <w:b/>
      <w:bCs/>
    </w:rPr>
  </w:style>
  <w:style w:type="paragraph" w:styleId="17">
    <w:name w:val="toc 2"/>
    <w:basedOn w:val="1"/>
    <w:next w:val="1"/>
    <w:unhideWhenUsed/>
    <w:uiPriority w:val="39"/>
    <w:pPr>
      <w:spacing w:after="0"/>
      <w:ind w:left="240"/>
      <w:jc w:val="left"/>
    </w:pPr>
    <w:rPr>
      <w:rFonts w:asciiTheme="minorHAnsi" w:hAnsiTheme="minorHAnsi" w:cstheme="minorHAnsi"/>
      <w:b/>
      <w:bCs/>
      <w:sz w:val="22"/>
      <w:szCs w:val="22"/>
    </w:rPr>
  </w:style>
  <w:style w:type="paragraph" w:styleId="18">
    <w:name w:val="toc 3"/>
    <w:basedOn w:val="1"/>
    <w:next w:val="1"/>
    <w:unhideWhenUsed/>
    <w:qFormat/>
    <w:uiPriority w:val="39"/>
    <w:pPr>
      <w:spacing w:before="0" w:after="0"/>
      <w:ind w:left="480"/>
      <w:jc w:val="left"/>
    </w:pPr>
    <w:rPr>
      <w:rFonts w:asciiTheme="minorHAnsi" w:hAnsiTheme="minorHAnsi" w:cstheme="minorHAnsi"/>
      <w:sz w:val="20"/>
      <w:szCs w:val="20"/>
    </w:rPr>
  </w:style>
  <w:style w:type="paragraph" w:styleId="19">
    <w:name w:val="toc 4"/>
    <w:basedOn w:val="1"/>
    <w:next w:val="1"/>
    <w:semiHidden/>
    <w:unhideWhenUsed/>
    <w:uiPriority w:val="39"/>
    <w:pPr>
      <w:spacing w:before="0" w:after="0"/>
      <w:ind w:left="720"/>
      <w:jc w:val="left"/>
    </w:pPr>
    <w:rPr>
      <w:rFonts w:asciiTheme="minorHAnsi" w:hAnsiTheme="minorHAnsi" w:cstheme="minorHAnsi"/>
      <w:sz w:val="20"/>
      <w:szCs w:val="20"/>
    </w:rPr>
  </w:style>
  <w:style w:type="paragraph" w:styleId="20">
    <w:name w:val="toc 5"/>
    <w:basedOn w:val="1"/>
    <w:next w:val="1"/>
    <w:semiHidden/>
    <w:unhideWhenUsed/>
    <w:qFormat/>
    <w:uiPriority w:val="39"/>
    <w:pPr>
      <w:spacing w:before="0" w:after="0"/>
      <w:ind w:left="960"/>
      <w:jc w:val="left"/>
    </w:pPr>
    <w:rPr>
      <w:rFonts w:asciiTheme="minorHAnsi" w:hAnsiTheme="minorHAnsi" w:cstheme="minorHAnsi"/>
      <w:sz w:val="20"/>
      <w:szCs w:val="20"/>
    </w:rPr>
  </w:style>
  <w:style w:type="paragraph" w:styleId="21">
    <w:name w:val="toc 6"/>
    <w:basedOn w:val="1"/>
    <w:next w:val="1"/>
    <w:semiHidden/>
    <w:unhideWhenUsed/>
    <w:qFormat/>
    <w:uiPriority w:val="39"/>
    <w:pPr>
      <w:spacing w:before="0" w:after="0"/>
      <w:ind w:left="1200"/>
      <w:jc w:val="left"/>
    </w:pPr>
    <w:rPr>
      <w:rFonts w:asciiTheme="minorHAnsi" w:hAnsiTheme="minorHAnsi" w:cstheme="minorHAnsi"/>
      <w:sz w:val="20"/>
      <w:szCs w:val="20"/>
    </w:rPr>
  </w:style>
  <w:style w:type="paragraph" w:styleId="22">
    <w:name w:val="toc 7"/>
    <w:basedOn w:val="1"/>
    <w:next w:val="1"/>
    <w:semiHidden/>
    <w:unhideWhenUsed/>
    <w:uiPriority w:val="39"/>
    <w:pPr>
      <w:spacing w:before="0" w:after="0"/>
      <w:ind w:left="1440"/>
      <w:jc w:val="left"/>
    </w:pPr>
    <w:rPr>
      <w:rFonts w:asciiTheme="minorHAnsi" w:hAnsiTheme="minorHAnsi" w:cstheme="minorHAnsi"/>
      <w:sz w:val="20"/>
      <w:szCs w:val="20"/>
    </w:rPr>
  </w:style>
  <w:style w:type="paragraph" w:styleId="23">
    <w:name w:val="toc 8"/>
    <w:basedOn w:val="1"/>
    <w:next w:val="1"/>
    <w:semiHidden/>
    <w:unhideWhenUsed/>
    <w:qFormat/>
    <w:uiPriority w:val="39"/>
    <w:pPr>
      <w:spacing w:before="0" w:after="0"/>
      <w:ind w:left="1680"/>
      <w:jc w:val="left"/>
    </w:pPr>
    <w:rPr>
      <w:rFonts w:asciiTheme="minorHAnsi" w:hAnsiTheme="minorHAnsi" w:cstheme="minorHAnsi"/>
      <w:sz w:val="20"/>
      <w:szCs w:val="20"/>
    </w:rPr>
  </w:style>
  <w:style w:type="paragraph" w:styleId="24">
    <w:name w:val="toc 9"/>
    <w:basedOn w:val="1"/>
    <w:next w:val="1"/>
    <w:semiHidden/>
    <w:unhideWhenUsed/>
    <w:uiPriority w:val="39"/>
    <w:pPr>
      <w:spacing w:before="0" w:after="0"/>
      <w:ind w:left="1920"/>
      <w:jc w:val="left"/>
    </w:pPr>
    <w:rPr>
      <w:rFonts w:asciiTheme="minorHAnsi" w:hAnsiTheme="minorHAnsi" w:cstheme="minorHAnsi"/>
      <w:sz w:val="20"/>
      <w:szCs w:val="20"/>
    </w:rPr>
  </w:style>
  <w:style w:type="paragraph" w:customStyle="1" w:styleId="25">
    <w:name w:val="Disertation"/>
    <w:basedOn w:val="2"/>
    <w:qFormat/>
    <w:uiPriority w:val="0"/>
    <w:rPr>
      <w:b w:val="0"/>
    </w:rPr>
  </w:style>
  <w:style w:type="character" w:customStyle="1" w:styleId="26">
    <w:name w:val="Heading 1 Char"/>
    <w:basedOn w:val="5"/>
    <w:link w:val="2"/>
    <w:qFormat/>
    <w:uiPriority w:val="9"/>
    <w:rPr>
      <w:rFonts w:ascii="Times" w:hAnsi="Times" w:eastAsiaTheme="majorEastAsia" w:cstheme="majorBidi"/>
      <w:b/>
      <w:color w:val="000000" w:themeColor="text1"/>
      <w:sz w:val="32"/>
      <w:szCs w:val="32"/>
      <w14:textFill>
        <w14:solidFill>
          <w14:schemeClr w14:val="tx1"/>
        </w14:solidFill>
      </w14:textFill>
    </w:rPr>
  </w:style>
  <w:style w:type="character" w:customStyle="1" w:styleId="27">
    <w:name w:val="Heading 2 Char"/>
    <w:basedOn w:val="5"/>
    <w:link w:val="3"/>
    <w:qFormat/>
    <w:uiPriority w:val="9"/>
    <w:rPr>
      <w:rFonts w:ascii="Times" w:hAnsi="Times" w:eastAsiaTheme="majorEastAsia" w:cstheme="majorBidi"/>
      <w:b/>
      <w:color w:val="000000" w:themeColor="text1"/>
      <w:sz w:val="28"/>
      <w:szCs w:val="26"/>
      <w14:textFill>
        <w14:solidFill>
          <w14:schemeClr w14:val="tx1"/>
        </w14:solidFill>
      </w14:textFill>
    </w:rPr>
  </w:style>
  <w:style w:type="paragraph" w:styleId="28">
    <w:name w:val="Quote"/>
    <w:basedOn w:val="1"/>
    <w:next w:val="1"/>
    <w:link w:val="29"/>
    <w:qFormat/>
    <w:uiPriority w:val="29"/>
    <w:pPr>
      <w:spacing w:before="200"/>
      <w:ind w:left="864" w:right="864"/>
      <w:jc w:val="center"/>
    </w:pPr>
    <w:rPr>
      <w:i/>
      <w:iCs/>
      <w:color w:val="404040" w:themeColor="text1" w:themeTint="BF"/>
      <w14:textFill>
        <w14:solidFill>
          <w14:schemeClr w14:val="tx1">
            <w14:lumMod w14:val="75000"/>
            <w14:lumOff w14:val="25000"/>
          </w14:schemeClr>
        </w14:solidFill>
      </w14:textFill>
    </w:rPr>
  </w:style>
  <w:style w:type="character" w:customStyle="1" w:styleId="29">
    <w:name w:val="Quote Char"/>
    <w:basedOn w:val="5"/>
    <w:link w:val="28"/>
    <w:qFormat/>
    <w:uiPriority w:val="29"/>
    <w:rPr>
      <w:rFonts w:ascii="Times New Roman" w:hAnsi="Times New Roman" w:cs="Times New Roman"/>
      <w:i/>
      <w:iCs/>
      <w:color w:val="404040" w:themeColor="text1" w:themeTint="BF"/>
      <w14:textFill>
        <w14:solidFill>
          <w14:schemeClr w14:val="tx1">
            <w14:lumMod w14:val="75000"/>
            <w14:lumOff w14:val="25000"/>
          </w14:schemeClr>
        </w14:solidFill>
      </w14:textFill>
    </w:rPr>
  </w:style>
  <w:style w:type="paragraph" w:styleId="30">
    <w:name w:val="List Paragraph"/>
    <w:basedOn w:val="1"/>
    <w:link w:val="36"/>
    <w:qFormat/>
    <w:uiPriority w:val="34"/>
    <w:pPr>
      <w:ind w:left="720"/>
      <w:contextualSpacing/>
    </w:pPr>
  </w:style>
  <w:style w:type="paragraph" w:customStyle="1" w:styleId="31">
    <w:name w:val="TOC Heading1"/>
    <w:basedOn w:val="2"/>
    <w:next w:val="1"/>
    <w:unhideWhenUsed/>
    <w:qFormat/>
    <w:uiPriority w:val="39"/>
    <w:pPr>
      <w:spacing w:before="480" w:line="276" w:lineRule="auto"/>
      <w:outlineLvl w:val="9"/>
    </w:pPr>
    <w:rPr>
      <w:rFonts w:asciiTheme="majorHAnsi" w:hAnsiTheme="majorHAnsi"/>
      <w:bCs/>
      <w:color w:val="6E1D6B" w:themeColor="accent1" w:themeShade="BF"/>
      <w:sz w:val="28"/>
      <w:szCs w:val="28"/>
      <w:lang w:val="en-US"/>
    </w:rPr>
  </w:style>
  <w:style w:type="table" w:customStyle="1" w:styleId="32">
    <w:name w:val="Grid Table 1 Light1"/>
    <w:basedOn w:val="6"/>
    <w:qFormat/>
    <w:uiPriority w:val="46"/>
    <w:rPr>
      <w:sz w:val="22"/>
      <w:szCs w:val="22"/>
      <w:lang w:val="en-US"/>
    </w:r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paragraph" w:customStyle="1" w:styleId="33">
    <w:name w:val="Bibliography1"/>
    <w:basedOn w:val="1"/>
    <w:next w:val="1"/>
    <w:unhideWhenUsed/>
    <w:qFormat/>
    <w:uiPriority w:val="37"/>
  </w:style>
  <w:style w:type="character" w:customStyle="1" w:styleId="34">
    <w:name w:val="Footer Char"/>
    <w:basedOn w:val="5"/>
    <w:link w:val="8"/>
    <w:qFormat/>
    <w:uiPriority w:val="99"/>
    <w:rPr>
      <w:rFonts w:ascii="Times New Roman" w:hAnsi="Times New Roman" w:cs="Times New Roman"/>
    </w:rPr>
  </w:style>
  <w:style w:type="character" w:customStyle="1" w:styleId="35">
    <w:name w:val="Header Char"/>
    <w:basedOn w:val="5"/>
    <w:link w:val="9"/>
    <w:qFormat/>
    <w:uiPriority w:val="99"/>
    <w:rPr>
      <w:rFonts w:ascii="Times New Roman" w:hAnsi="Times New Roman" w:cs="Times New Roman"/>
    </w:rPr>
  </w:style>
  <w:style w:type="character" w:customStyle="1" w:styleId="36">
    <w:name w:val="List Paragraph Char"/>
    <w:link w:val="30"/>
    <w:qFormat/>
    <w:uiPriority w:val="34"/>
    <w:rPr>
      <w:rFonts w:ascii="Times New Roman" w:hAnsi="Times New Roman" w:cs="Times New Roman"/>
    </w:rPr>
  </w:style>
  <w:style w:type="character" w:customStyle="1" w:styleId="37">
    <w:name w:val="Heading 3 Char"/>
    <w:basedOn w:val="5"/>
    <w:link w:val="4"/>
    <w:qFormat/>
    <w:uiPriority w:val="9"/>
    <w:rPr>
      <w:rFonts w:asciiTheme="majorHAnsi" w:hAnsiTheme="majorHAnsi" w:eastAsiaTheme="majorEastAsia" w:cstheme="majorBidi"/>
      <w:color w:val="491447" w:themeColor="accent1" w:themeShade="80"/>
    </w:rPr>
  </w:style>
  <w:style w:type="character" w:customStyle="1" w:styleId="38">
    <w:name w:val="smq-richtextcontent-0-1-352"/>
    <w:basedOn w:val="5"/>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4.jpeg"/><Relationship Id="rId11" Type="http://schemas.openxmlformats.org/officeDocument/2006/relationships/image" Target="media/image3.jpeg"/><Relationship Id="rId10" Type="http://schemas.openxmlformats.org/officeDocument/2006/relationships/chart" Target="charts/chart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GB" sz="1600" b="1" i="0" u="none" strike="noStrike" kern="1200" cap="all" baseline="0">
                <a:solidFill>
                  <a:schemeClr val="tx1">
                    <a:lumMod val="65000"/>
                    <a:lumOff val="35000"/>
                  </a:schemeClr>
                </a:solidFill>
                <a:latin typeface="+mn-lt"/>
                <a:ea typeface="+mn-ea"/>
                <a:cs typeface="+mn-cs"/>
              </a:defRPr>
            </a:pPr>
            <a:r>
              <a:rPr lang="en-US"/>
              <a:t>Percentage of employees in ledaership roles </a:t>
            </a:r>
            <a:endParaRPr lang="en-US"/>
          </a:p>
        </c:rich>
      </c:tx>
      <c:layout/>
      <c:overlay val="0"/>
      <c:spPr>
        <a:noFill/>
        <a:ln>
          <a:noFill/>
        </a:ln>
        <a:effectLst/>
      </c:spPr>
    </c:title>
    <c:autoTitleDeleted val="0"/>
    <c:plotArea>
      <c:layout/>
      <c:pieChart>
        <c:varyColors val="1"/>
        <c:ser>
          <c:idx val="0"/>
          <c:order val="0"/>
          <c:tx>
            <c:strRef>
              <c:f>Sheet1!$B$1</c:f>
              <c:strCache>
                <c:ptCount val="1"/>
                <c:pt idx="0">
                  <c:v>Number of leaders </c:v>
                </c:pt>
              </c:strCache>
            </c:strRef>
          </c:tx>
          <c:spPr/>
          <c:explosion val="0"/>
          <c:dPt>
            <c:idx val="0"/>
            <c:bubble3D val="0"/>
            <c:spPr>
              <a:solidFill>
                <a:schemeClr val="accent1"/>
              </a:solidFill>
              <a:ln>
                <a:noFill/>
              </a:ln>
              <a:effectLst>
                <a:outerShdw blurRad="63500" sx="102000" sy="102000" algn="ctr" rotWithShape="0">
                  <a:prstClr val="black">
                    <a:alpha val="20000"/>
                  </a:prstClr>
                </a:outerShdw>
              </a:effectLst>
            </c:spPr>
          </c:dPt>
          <c:dPt>
            <c:idx val="1"/>
            <c:bubble3D val="0"/>
            <c:spPr>
              <a:solidFill>
                <a:schemeClr val="accent2"/>
              </a:solidFill>
              <a:ln>
                <a:noFill/>
              </a:ln>
              <a:effectLst>
                <a:outerShdw blurRad="63500" sx="102000" sy="102000" algn="ctr" rotWithShape="0">
                  <a:prstClr val="black">
                    <a:alpha val="20000"/>
                  </a:prstClr>
                </a:outerShdw>
              </a:effectLst>
            </c:spPr>
          </c:dPt>
          <c:dPt>
            <c:idx val="2"/>
            <c:bubble3D val="0"/>
            <c:spPr>
              <a:solidFill>
                <a:schemeClr val="accent3"/>
              </a:solidFill>
              <a:ln>
                <a:noFill/>
              </a:ln>
              <a:effectLst>
                <a:outerShdw blurRad="63500" sx="102000" sy="102000" algn="ctr" rotWithShape="0">
                  <a:prstClr val="black">
                    <a:alpha val="20000"/>
                  </a:prstClr>
                </a:outerShdw>
              </a:effectLst>
            </c:spPr>
          </c:dPt>
          <c:dLbls>
            <c:dLbl>
              <c:idx val="0"/>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spc="0" baseline="0">
                      <a:solidFill>
                        <a:schemeClr val="accent1"/>
                      </a:solidFill>
                      <a:latin typeface="+mn-lt"/>
                      <a:ea typeface="+mn-ea"/>
                      <a:cs typeface="+mn-cs"/>
                    </a:defRPr>
                  </a:pPr>
                </a:p>
              </c:txPr>
              <c:dLblPos val="outEnd"/>
              <c:showLegendKey val="0"/>
              <c:showVal val="0"/>
              <c:showCatName val="1"/>
              <c:showSerName val="0"/>
              <c:showPercent val="1"/>
              <c:showBubbleSize val="0"/>
              <c:separator>
</c:separator>
              <c:extLst>
                <c:ext xmlns:c15="http://schemas.microsoft.com/office/drawing/2012/chart" uri="{CE6537A1-D6FC-4f65-9D91-7224C49458BB}"/>
              </c:extLst>
            </c:dLbl>
            <c:dLbl>
              <c:idx val="1"/>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spc="0" baseline="0">
                      <a:solidFill>
                        <a:schemeClr val="accent2"/>
                      </a:solidFill>
                      <a:latin typeface="+mn-lt"/>
                      <a:ea typeface="+mn-ea"/>
                      <a:cs typeface="+mn-cs"/>
                    </a:defRPr>
                  </a:pPr>
                </a:p>
              </c:txPr>
              <c:dLblPos val="outEnd"/>
              <c:showLegendKey val="0"/>
              <c:showVal val="0"/>
              <c:showCatName val="1"/>
              <c:showSerName val="0"/>
              <c:showPercent val="1"/>
              <c:showBubbleSize val="0"/>
              <c:separator>
</c:separator>
              <c:extLst>
                <c:ext xmlns:c15="http://schemas.microsoft.com/office/drawing/2012/chart" uri="{CE6537A1-D6FC-4f65-9D91-7224C49458BB}"/>
              </c:extLst>
            </c:dLbl>
            <c:dLbl>
              <c:idx val="2"/>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spc="0" baseline="0">
                      <a:solidFill>
                        <a:schemeClr val="accent3"/>
                      </a:solidFill>
                      <a:latin typeface="+mn-lt"/>
                      <a:ea typeface="+mn-ea"/>
                      <a:cs typeface="+mn-cs"/>
                    </a:defRPr>
                  </a:pPr>
                </a:p>
              </c:txPr>
              <c:dLblPos val="outEnd"/>
              <c:showLegendKey val="0"/>
              <c:showVal val="0"/>
              <c:showCatName val="1"/>
              <c:showSerName val="0"/>
              <c:showPercent val="1"/>
              <c:showBubbleSize val="0"/>
              <c:separator>
</c:separator>
              <c:extLst>
                <c:ext xmlns:c15="http://schemas.microsoft.com/office/drawing/2012/chart" uri="{CE6537A1-D6FC-4f65-9D91-7224C49458BB}"/>
              </c:extLst>
            </c:dLbl>
            <c:spPr>
              <a:noFill/>
              <a:ln>
                <a:noFill/>
              </a:ln>
              <a:effectLst/>
            </c:spPr>
            <c:txPr>
              <a:bodyPr rot="0" spcFirstLastPara="0" vertOverflow="ellipsis" vert="horz" wrap="square" lIns="38100" tIns="19050" rIns="38100" bIns="19050" anchor="ctr" anchorCtr="1"/>
              <a:lstStyle/>
              <a:p>
                <a:pPr>
                  <a:defRPr lang="en-GB" sz="1000" b="1" i="0" u="none" strike="noStrike" kern="1200" spc="0" baseline="0">
                    <a:solidFill>
                      <a:schemeClr val="accent1"/>
                    </a:solidFill>
                    <a:latin typeface="+mn-lt"/>
                    <a:ea typeface="+mn-ea"/>
                    <a:cs typeface="+mn-cs"/>
                  </a:defRPr>
                </a:pPr>
              </a:p>
            </c:txPr>
            <c:dLblPos val="outEnd"/>
            <c:showLegendKey val="0"/>
            <c:showVal val="0"/>
            <c:showCatName val="1"/>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general manager</c:v>
                </c:pt>
                <c:pt idx="1">
                  <c:v>manager</c:v>
                </c:pt>
                <c:pt idx="2">
                  <c:v>team leader</c:v>
                </c:pt>
              </c:strCache>
            </c:strRef>
          </c:cat>
          <c:val>
            <c:numRef>
              <c:f>Sheet1!$B$2:$B$4</c:f>
              <c:numCache>
                <c:formatCode>General</c:formatCode>
                <c:ptCount val="3"/>
                <c:pt idx="0">
                  <c:v>1</c:v>
                </c:pt>
                <c:pt idx="1">
                  <c:v>4</c:v>
                </c:pt>
                <c:pt idx="2">
                  <c:v>2</c:v>
                </c:pt>
              </c:numCache>
            </c:numRef>
          </c:val>
        </c:ser>
        <c:dLbls>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GB"/>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Dod21</b:Tag>
    <b:SourceType>InternetSite</b:SourceType>
    <b:Guid>{12B038A1-719A-E349-9DE0-D7FFCA2FA79C}</b:Guid>
    <b:Author>
      <b:Author>
        <b:NameList>
          <b:Person>
            <b:Last>Dodd</b:Last>
            <b:First>Kate</b:First>
          </b:Person>
        </b:NameList>
      </b:Author>
    </b:Author>
    <b:Title>Gender pay gap figures in UK manufacturing impacted by pandemic</b:Title>
    <b:Year>2021</b:Year>
    <b:URL>https://www.pinsentmasons.com/out-law/analysis/gender-pay-gap-figures-uk-manufacturing-impacted-pandemic</b:URL>
    <b:YearAccessed>2023</b:YearAccessed>
    <b:MonthAccessed>July</b:MonthAccessed>
    <b:DayAccessed>26</b:DayAccessed>
    <b:RefOrder>9</b:RefOrder>
  </b:Source>
  <b:Source>
    <b:Tag>Bur01</b:Tag>
    <b:SourceType>JournalArticle</b:SourceType>
    <b:Guid>{92DCF9E0-98CD-054B-B2ED-E837E10C6226}</b:Guid>
    <b:Author>
      <b:Author>
        <b:NameList>
          <b:Person>
            <b:Last>Burke</b:Last>
            <b:First>S.</b:First>
            <b:Middle>and Collins, K.M.</b:Middle>
          </b:Person>
        </b:NameList>
      </b:Author>
    </b:Author>
    <b:Title>Gender differences in leadership styles and management skills</b:Title>
    <b:Year>2001</b:Year>
    <b:JournalName>Women in Management Review</b:JournalName>
    <b:Volume>16</b:Volume>
    <b:Issue>5</b:Issue>
    <b:Pages>244-257</b:Pages>
    <b:RefOrder>10</b:RefOrder>
  </b:Source>
  <b:Source>
    <b:Tag>otr23</b:Tag>
    <b:SourceType>JournalArticle</b:SourceType>
    <b:Guid>{73E652F7-3F0A-3A45-B97F-9F5708546D85}</b:Guid>
    <b:Author>
      <b:Author>
        <b:NameList>
          <b:Person>
            <b:Last>Botrić</b:Last>
            <b:First>V.,</b:First>
            <b:Middle>Radas, S. i Škrinjarić, B.</b:Middle>
          </b:Person>
        </b:NameList>
      </b:Author>
    </b:Author>
    <b:Title>Gender differences in management styles during crisis and the effect on firm performance.</b:Title>
    <b:JournalName>The Institute of Economics</b:JournalName>
    <b:Year>2023</b:Year>
    <b:Pages>3-37</b:Pages>
    <b:RefOrder>11</b:RefOrder>
  </b:Source>
  <b:Source>
    <b:Tag>Her79</b:Tag>
    <b:SourceType>JournalArticle</b:SourceType>
    <b:Guid>{0237E7A5-EEA6-B249-985A-6328CAD2D1EC}</b:Guid>
    <b:Author>
      <b:Author>
        <b:NameList>
          <b:Person>
            <b:Last>Hersey</b:Last>
            <b:First>P.,</b:First>
            <b:Middle>Blanchard, K. H., &amp; Natemeyer, W. E.</b:Middle>
          </b:Person>
        </b:NameList>
      </b:Author>
    </b:Author>
    <b:Title>Situational Leadership, Perception, and the Impact of Power.</b:Title>
    <b:JournalName>Group &amp; Organization Studies</b:JournalName>
    <b:Year>1979</b:Year>
    <b:Volume>4</b:Volume>
    <b:Issue>4</b:Issue>
    <b:Pages>https://doi.org/10.1177/105960117900400404</b:Pages>
    <b:RefOrder>12</b:RefOrder>
  </b:Source>
  <b:Source>
    <b:Tag>Bur78</b:Tag>
    <b:SourceType>Book</b:SourceType>
    <b:Guid>{B0829CC5-CF31-D648-878D-B757907612F7}</b:Guid>
    <b:Title>Leadership</b:Title>
    <b:Year>1978</b:Year>
    <b:Author>
      <b:Author>
        <b:NameList>
          <b:Person>
            <b:Last>Burns</b:Last>
            <b:First>J.M,</b:First>
          </b:Person>
        </b:NameList>
      </b:Author>
    </b:Author>
    <b:City>N.Y,</b:City>
    <b:Publisher>Harper and Row</b:Publisher>
    <b:RefOrder>13</b:RefOrder>
  </b:Source>
  <b:Source>
    <b:Tag>Bas85</b:Tag>
    <b:SourceType>Book</b:SourceType>
    <b:Guid>{4E2B4C9F-0A37-9F44-BAC6-9C856282B0FA}</b:Guid>
    <b:Author>
      <b:Author>
        <b:NameList>
          <b:Person>
            <b:Last>Bass</b:Last>
            <b:First>B.</b:First>
            <b:Middle>M,</b:Middle>
          </b:Person>
        </b:NameList>
      </b:Author>
    </b:Author>
    <b:Title>Leadership and Performance</b:Title>
    <b:City>N.Y.</b:City>
    <b:Publisher> Free Press</b:Publisher>
    <b:Year>1985</b:Year>
    <b:RefOrder>14</b:RefOrder>
  </b:Source>
  <b:Source>
    <b:Tag>Gre91</b:Tag>
    <b:SourceType>JournalArticle</b:SourceType>
    <b:Guid>{B3C4A994-DE74-844A-A107-777B0CA31882}</b:Guid>
    <b:Author>
      <b:Author>
        <b:NameList>
          <b:Person>
            <b:Last>Greenleaf</b:Last>
            <b:First>R.K.</b:First>
          </b:Person>
        </b:NameList>
      </b:Author>
    </b:Author>
    <b:Title>The servant as leader. IN: The Robert K. [Originally published in 1970, by Robert K. Greenleaf].</b:Title>
    <b:JournalName>Greenleaf Center. Indianapolis,</b:JournalName>
    <b:Year>1991</b:Year>
    <b:RefOrder>5</b:RefOrder>
  </b:Source>
  <b:Source>
    <b:Tag>Ala111</b:Tag>
    <b:SourceType>Book</b:SourceType>
    <b:Guid>{70C772C7-04C9-0246-B72D-823703A22C94}</b:Guid>
    <b:Title>Business Reserach Methods </b:Title>
    <b:Year>2011</b:Year>
    <b:Author>
      <b:Author>
        <b:NameList>
          <b:Person>
            <b:Last>Alan Bryman</b:Last>
            <b:First>Emma</b:First>
            <b:Middle>Bell</b:Middle>
          </b:Person>
        </b:NameList>
      </b:Author>
    </b:Author>
    <b:City>New York </b:City>
    <b:Publisher>Oxford University Press </b:Publisher>
    <b:Edition>3rd Edition </b:Edition>
    <b:RefOrder>15</b:RefOrder>
  </b:Source>
  <b:Source>
    <b:Tag>Cha23</b:Tag>
    <b:SourceType>InternetSite</b:SourceType>
    <b:Guid>{90558C2A-0F7D-614C-B27A-ECB8150A5D2E}</b:Guid>
    <b:Title>Interpretivism Paradigm &amp; Research Philosophy </b:Title>
    <b:Year>2023</b:Year>
    <b:Author>
      <b:Author>
        <b:NameList>
          <b:Person>
            <b:Last>Nickerson</b:Last>
            <b:First>Charlotte</b:First>
          </b:Person>
        </b:NameList>
      </b:Author>
    </b:Author>
    <b:URL>https://simplysociology.com/interpretivism-paradigm.html</b:URL>
    <b:YearAccessed>2023</b:YearAccessed>
    <b:MonthAccessed>July </b:MonthAccessed>
    <b:DayAccessed>31</b:DayAccessed>
    <b:RefOrder>16</b:RefOrder>
  </b:Source>
  <b:Source>
    <b:Tag>Swe20</b:Tag>
    <b:SourceType>BookSection</b:SourceType>
    <b:Guid>{49008C96-6001-974A-A10E-DADE99185F33}</b:Guid>
    <b:Title>Exploratory Research</b:Title>
    <b:Year>2020</b:Year>
    <b:Author>
      <b:Author>
        <b:NameList>
          <b:Person>
            <b:Last>Swedberg</b:Last>
            <b:First>R.I</b:First>
          </b:Person>
        </b:NameList>
      </b:Author>
      <b:Editor>
        <b:NameList>
          <b:Person>
            <b:Last>C. Elman</b:Last>
            <b:First>J.</b:First>
            <b:Middle>Gerring, &amp; J. Mahoney</b:Middle>
          </b:Person>
        </b:NameList>
      </b:Editor>
    </b:Author>
    <b:Pages>17-41</b:Pages>
    <b:BookTitle>The Production of Knowledge: Enhancing Progress in Social Science </b:BookTitle>
    <b:City>Cambridge </b:City>
    <b:Publisher>Cambridge University Press</b:Publisher>
    <b:RefOrder>17</b:RefOrder>
  </b:Source>
  <b:Source>
    <b:Tag>Jam23</b:Tag>
    <b:SourceType>InternetSite</b:SourceType>
    <b:Guid>{D22B8B25-E369-ED42-AA0A-27E9AD53DE67}</b:Guid>
    <b:Title>Guide To 6 Top Leadership Theories and How To Apply Them </b:Title>
    <b:Year>2023</b:Year>
    <b:Author>
      <b:Author>
        <b:NameList>
          <b:Person>
            <b:Last>Birt</b:Last>
            <b:First>Jamie</b:First>
          </b:Person>
        </b:NameList>
      </b:Author>
    </b:Author>
    <b:URL>https://www.indeed.com/career-advice/career-development/leadership-styles-and-theories</b:URL>
    <b:YearAccessed>2023</b:YearAccessed>
    <b:MonthAccessed>August </b:MonthAccessed>
    <b:DayAccessed>27</b:DayAccessed>
    <b:RefOrder>18</b:RefOrder>
  </b:Source>
  <b:Source>
    <b:Tag>Pau23</b:Tag>
    <b:SourceType>InternetSite</b:SourceType>
    <b:Guid>{DD9903E3-C8DE-7846-81F0-DB89968A6523}</b:Guid>
    <b:Author>
      <b:Author>
        <b:NameList>
          <b:Person>
            <b:Last>Ziegler</b:Last>
            <b:First>Pauline</b:First>
          </b:Person>
        </b:NameList>
      </b:Author>
    </b:Author>
    <b:Title>The Rise Of Feminist Leadership In The 21st Century</b:Title>
    <b:URL>https://bestdiplomats.org/feminist-leadership/</b:URL>
    <b:Year>2023</b:Year>
    <b:YearAccessed>2023</b:YearAccessed>
    <b:MonthAccessed>August </b:MonthAccessed>
    <b:DayAccessed>28</b:DayAccessed>
    <b:RefOrder>19</b:RefOrder>
  </b:Source>
  <b:Source>
    <b:Tag>Ver21</b:Tag>
    <b:SourceType>InternetSite</b:SourceType>
    <b:Guid>{C9282C29-B37C-BF4F-8454-2FA1548C0CA1}</b:Guid>
    <b:Author>
      <b:Author>
        <b:NameList>
          <b:Person>
            <b:Last>Zamboon</b:Last>
            <b:First>Veronica</b:First>
          </b:Person>
        </b:NameList>
      </b:Author>
    </b:Author>
    <b:Title>What does cisgender mean?</b:Title>
    <b:URL>https://www.medicalnewstoday.com/articles/what-does-cisgender-mean</b:URL>
    <b:Year>2021</b:Year>
    <b:YearAccessed>2023</b:YearAccessed>
    <b:MonthAccessed>October</b:MonthAccessed>
    <b:DayAccessed>31</b:DayAccessed>
    <b:RefOrder>20</b:RefOrder>
  </b:Source>
  <b:Source>
    <b:Tag>Car161</b:Tag>
    <b:SourceType>JournalArticle</b:SourceType>
    <b:Guid>{0D941B37-DBBB-8E48-B917-C12F5DA75603}</b:Guid>
    <b:Author>
      <b:Author>
        <b:NameList>
          <b:Person>
            <b:Last>Cara Tannenbaum</b:Last>
            <b:First>Lorraine</b:First>
            <b:Middle>Greaves, Ian D.Graham</b:Middle>
          </b:Person>
        </b:NameList>
      </b:Author>
    </b:Author>
    <b:Title>Why sex and gender matter in implementation research </b:Title>
    <b:Year>2016</b:Year>
    <b:JournalName>PMC PubMed Central</b:JournalName>
    <b:Volume>16</b:Volume>
    <b:Issue>145</b:Issue>
    <b:RefOrder>21</b:RefOrder>
  </b:Source>
  <b:Source>
    <b:Tag>Uni231</b:Tag>
    <b:SourceType>InternetSite</b:SourceType>
    <b:Guid>{B71E3BED-A840-DC4E-A361-603571F74368}</b:Guid>
    <b:Title>Peace, dignity and equality on a helathy planet</b:Title>
    <b:Year>2023</b:Year>
    <b:Author>
      <b:Author>
        <b:Corporate>United Nations </b:Corporate>
      </b:Author>
    </b:Author>
    <b:URL>https://www.un.org/en/global-issues/gender-equality</b:URL>
    <b:YearAccessed>2023</b:YearAccessed>
    <b:MonthAccessed>October</b:MonthAccessed>
    <b:DayAccessed>31</b:DayAccessed>
    <b:RefOrder>22</b:RefOrder>
  </b:Source>
  <b:Source>
    <b:Tag>Dan151</b:Tag>
    <b:SourceType>JournalArticle</b:SourceType>
    <b:Guid>{0E78A27B-570F-5D42-866F-0CF18E095D62}</b:Guid>
    <b:Title>A comparison of core competences of women and men leaders in the manufacturing </b:Title>
    <b:Year>2015</b:Year>
    <b:Author>
      <b:Author>
        <b:NameList>
          <b:Person>
            <b:Last>Daniel R. Tomal</b:Last>
            <b:First>Kevin</b:First>
            <b:Middle>J.Jones Jr.</b:Middle>
          </b:Person>
        </b:NameList>
      </b:Author>
    </b:Author>
    <b:JournalName>The Coastal Business Journal</b:JournalName>
    <b:Volume>14</b:Volume>
    <b:Issue>1</b:Issue>
    <b:RefOrder>23</b:RefOrder>
  </b:Source>
  <b:Source>
    <b:Tag>Rad17</b:Tag>
    <b:SourceType>BookSection</b:SourceType>
    <b:Guid>{D6322E39-B324-BE41-92B0-413356AC780E}</b:Guid>
    <b:Title>Leadership and Gender Differences—Are Men and Women Leading in the Same Way?</b:Title>
    <b:Year>2017</b:Year>
    <b:Author>
      <b:Author>
        <b:NameList>
          <b:Person>
            <b:Last>Radu </b:Last>
            <b:First>Catalina </b:First>
          </b:Person>
          <b:Person>
            <b:Last>Deaconu</b:Last>
            <b:First>Alecsandrina </b:First>
          </b:Person>
          <b:Person>
            <b:Last>Frasineanu </b:Last>
            <b:First>Corina</b:First>
          </b:Person>
        </b:NameList>
      </b:Author>
      <b:Editor>
        <b:NameList>
          <b:Person>
            <b:Last>Alvinius</b:Last>
            <b:First>Aida</b:First>
          </b:Person>
        </b:NameList>
      </b:Editor>
    </b:Author>
    <b:BookTitle>Contemporary Leadership Challenges </b:BookTitle>
    <b:Publisher>IntechOpen</b:Publisher>
    <b:RefOrder>24</b:RefOrder>
  </b:Source>
  <b:Source>
    <b:Tag>Eag90</b:Tag>
    <b:SourceType>JournalArticle</b:SourceType>
    <b:Guid>{25D41184-9362-8846-827A-EB2E00B48D8A}</b:Guid>
    <b:Title>Gender and leadership style: A meta-analysis. </b:Title>
    <b:JournalName>Psychological Bulletin,</b:JournalName>
    <b:Year>1990</b:Year>
    <b:Volume>108</b:Volume>
    <b:Issue>2</b:Issue>
    <b:Pages>233-256</b:Pages>
    <b:Author>
      <b:Author>
        <b:NameList>
          <b:Person>
            <b:Last>Eagly</b:Last>
            <b:Middle>H</b:Middle>
            <b:First>A</b:First>
          </b:Person>
          <b:Person>
            <b:Last>Johnson</b:Last>
            <b:Middle>T</b:Middle>
            <b:First>Blair</b:First>
          </b:Person>
        </b:NameList>
      </b:Author>
    </b:Author>
    <b:RefOrder>25</b:RefOrder>
  </b:Source>
  <b:Source>
    <b:Tag>Tab21</b:Tag>
    <b:SourceType>JournalArticle</b:SourceType>
    <b:Guid>{C0CB9070-5247-014C-BFD3-8926018A4E04}</b:Guid>
    <b:Title>Gender Stereotypes and Their Impact on Women’s Career Progressions from a Managerial Perspective</b:Title>
    <b:JournalName>IIM Kozhikode Society &amp; Management Review</b:JournalName>
    <b:Year>2021</b:Year>
    <b:Volume>10</b:Volume>
    <b:Issue>2</b:Issue>
    <b:Author>
      <b:Author>
        <b:NameList>
          <b:Person>
            <b:Last>Tabassum</b:Last>
            <b:First>Naznin</b:First>
          </b:Person>
          <b:Person>
            <b:Last>Nayak</b:Last>
            <b:Middle>Shankar</b:Middle>
            <b:First>Bhabani</b:First>
          </b:Person>
        </b:NameList>
      </b:Author>
    </b:Author>
    <b:RefOrder>3</b:RefOrder>
  </b:Source>
  <b:Source>
    <b:Tag>Mor221</b:Tag>
    <b:SourceType>InternetSite</b:SourceType>
    <b:Guid>{117147D0-EA88-F949-AF4F-655DEEC80FDB}</b:Guid>
    <b:Author>
      <b:Author>
        <b:NameList>
          <b:Person>
            <b:Last>Morris</b:Last>
            <b:First>Siobahn</b:First>
          </b:Person>
        </b:NameList>
      </b:Author>
    </b:Author>
    <b:Title>Women make up only 30% of UK leadership roles. Why is female representation still so low?</b:Title>
    <b:Year>2022</b:Year>
    <b:URL>https://shehethey.co.uk/women-make-up-only-30-of-uk-leadership-roles/</b:URL>
    <b:YearAccessed>2023</b:YearAccessed>
    <b:MonthAccessed>October</b:MonthAccessed>
    <b:DayAccessed>31</b:DayAccessed>
    <b:RefOrder>6</b:RefOrder>
  </b:Source>
  <b:Source>
    <b:Tag>Hof01</b:Tag>
    <b:SourceType>Book</b:SourceType>
    <b:Guid>{85050DE9-993A-5146-8A1D-45A6CB78E2FF}</b:Guid>
    <b:Title>Cultures’ consequences: International differences in work-related values.</b:Title>
    <b:Year>2001</b:Year>
    <b:Author>
      <b:Author>
        <b:NameList>
          <b:Person>
            <b:Last>Hofstede</b:Last>
            <b:First>G</b:First>
          </b:Person>
        </b:NameList>
      </b:Author>
    </b:Author>
    <b:City>London</b:City>
    <b:Publisher>Sage Publications</b:Publisher>
    <b:Edition>2nd Edition</b:Edition>
    <b:RefOrder>26</b:RefOrder>
  </b:Source>
  <b:Source>
    <b:Tag>Bas93</b:Tag>
    <b:SourceType>BookSection</b:SourceType>
    <b:Guid>{BF76CC40-5C87-1A4A-ADCF-1688163E33ED}</b:Guid>
    <b:Author>
      <b:Author>
        <b:NameList>
          <b:Person>
            <b:Last>Bass</b:Last>
            <b:First>B.</b:First>
            <b:Middle>M., &amp; Avolio, B. J.</b:Middle>
          </b:Person>
        </b:NameList>
      </b:Author>
    </b:Author>
    <b:Title>Transformational leadership: A response to cri-tiques.</b:Title>
    <b:City>Academic Press</b:City>
    <b:Publisher>In M. M. Chemers &amp; R. Ayman (Eds.)</b:Publisher>
    <b:Year>1993</b:Year>
    <b:Pages>49–80</b:Pages>
    <b:BookTitle>Leadership theory and research: Perspectives and directions San Diego</b:BookTitle>
    <b:RefOrder>27</b:RefOrder>
  </b:Source>
  <b:Source>
    <b:Tag>Gal23</b:Tag>
    <b:SourceType>JournalArticle</b:SourceType>
    <b:Guid>{7FBB36E3-B8B6-854C-A95B-7D7BF9580AE8}</b:Guid>
    <b:Title>Challenges Women Experience in Leadership Careers: An Integrative Review</b:Title>
    <b:Year>2023</b:Year>
    <b:Pages>366-389</b:Pages>
    <b:JournalName>Graduate School of Management</b:JournalName>
    <b:Volume>3</b:Volume>
    <b:Issue>2</b:Issue>
    <b:Author>
      <b:Author>
        <b:NameList>
          <b:Person>
            <b:Last>Galsanjigmed</b:Last>
            <b:First>Enkhzul</b:First>
          </b:Person>
          <b:Person>
            <b:Last>Tomaki</b:Last>
            <b:First>Sekiguchi</b:First>
          </b:Person>
        </b:NameList>
      </b:Author>
    </b:Author>
    <b:RefOrder>1</b:RefOrder>
  </b:Source>
  <b:Source>
    <b:Tag>Jun20</b:Tag>
    <b:SourceType>JournalArticle</b:SourceType>
    <b:Guid>{0D96036A-B783-F046-920E-FA27ED15A60E}</b:Guid>
    <b:Author>
      <b:Author>
        <b:NameList>
          <b:Person>
            <b:Last>Jun-Yeob Kim</b:Last>
            <b:First>Ning</b:First>
            <b:Middle>Hsu, Daniel A. Newman, P.D. Harms , Dustin Wood</b:Middle>
          </b:Person>
        </b:NameList>
      </b:Author>
    </b:Author>
    <b:Title>Leadership perceptions, gender, and dominant personality: The role of normality evaluations</b:Title>
    <b:JournalName>Journal of Research in Personality</b:JournalName>
    <b:Year>2020</b:Year>
    <b:Volume>87</b:Volume>
    <b:RefOrder>28</b:RefOrder>
  </b:Source>
  <b:Source>
    <b:Tag>Wom20</b:Tag>
    <b:SourceType>InternetSite</b:SourceType>
    <b:Guid>{27F02C2A-91AA-A349-B4E4-0E392E6228B1}</b:Guid>
    <b:Title>New Study from Thomas and WiM Reveals Challenges and Potential Solutions for Women’s Advancement in the Manufacturing Industry Through Recruitment and Retention of Female Talent</b:Title>
    <b:Year>2020</b:Year>
    <b:Author>
      <b:Author>
        <b:Corporate>Women in Manufacturing</b:Corporate>
      </b:Author>
    </b:Author>
    <b:URL>https://www.womeninmanufacturing.org/news/gender-gap-women-fill-only-33-of-manufacturing-industry-jobs-26-of-industry-leadership-positions#:~:text=The%20Gender%20Gap%3A%20Women%20Fill,26%25%20of%20Industry%20Leadership%20Positions</b:URL>
    <b:YearAccessed>2023</b:YearAccessed>
    <b:MonthAccessed>October</b:MonthAccessed>
    <b:DayAccessed>31</b:DayAccessed>
    <b:RefOrder>7</b:RefOrder>
  </b:Source>
  <b:Source>
    <b:Tag>Nei22</b:Tag>
    <b:SourceType>InternetSite</b:SourceType>
    <b:Guid>{45561332-C399-A64D-BF6F-3982C103F7A6}</b:Guid>
    <b:Author>
      <b:Author>
        <b:NameList>
          <b:Person>
            <b:Last>Franklin</b:Last>
            <b:First>Neil</b:First>
          </b:Person>
        </b:NameList>
      </b:Author>
    </b:Author>
    <b:Title>Caring responsibilities disproportionately impact women’s lives and careers</b:Title>
    <b:URL>https://workplaceinsight.net/caring-responsibilities-disproportionately-impact-womens-lives-and-careers/#:~:text=The%20impact%20of%20caring%20responsibilities,the%20day%20at%20short%20notice.</b:URL>
    <b:Year>2022</b:Year>
    <b:YearAccessed>2023</b:YearAccessed>
    <b:MonthAccessed>November </b:MonthAccessed>
    <b:DayAccessed>2</b:DayAccessed>
    <b:RefOrder>8</b:RefOrder>
  </b:Source>
  <b:Source>
    <b:Tag>Jan151</b:Tag>
    <b:SourceType>JournalArticle</b:SourceType>
    <b:Guid>{45071745-5C86-C541-B290-FBDDB0C84A4C}</b:Guid>
    <b:Author>
      <b:Author>
        <b:NameList>
          <b:Person>
            <b:Last>Jane Sutton</b:Last>
            <b:First>Zubin</b:First>
            <b:Middle>Austin</b:Middle>
          </b:Person>
        </b:NameList>
      </b:Author>
    </b:Author>
    <b:Title>Qualitative Research: Data Collection, Analysis, and Management </b:Title>
    <b:JournalName>National Library of Medicine </b:JournalName>
    <b:Year>2015</b:Year>
    <b:Volume>68</b:Volume>
    <b:Issue>3</b:Issue>
    <b:Pages>226-231</b:Pages>
    <b:RefOrder>29</b:RefOrder>
  </b:Source>
  <b:Source>
    <b:Tag>She15</b:Tag>
    <b:SourceType>Book</b:SourceType>
    <b:Guid>{A9A76114-ECD6-2F46-A309-5329A491F738}</b:Guid>
    <b:Author>
      <b:Author>
        <b:NameList>
          <b:Person>
            <b:Last>Sandberg</b:Last>
            <b:First>Sheryl</b:First>
          </b:Person>
        </b:NameList>
      </b:Author>
    </b:Author>
    <b:Title>Lean in </b:Title>
    <b:City>London </b:City>
    <b:Publisher>Penguin Random House </b:Publisher>
    <b:Year>2015</b:Year>
    <b:RefOrder>2</b:RefOrder>
  </b:Source>
  <b:Source>
    <b:Tag>Lar23</b:Tag>
    <b:SourceType>JournalArticle</b:SourceType>
    <b:Guid>{405344ED-69B7-9A4B-9426-BC3593FA8030}</b:Guid>
    <b:Title>Leadership through the subordinates' eye: perceptions of leader behaviors in relation to age and gender</b:Title>
    <b:Year>2023</b:Year>
    <b:Author>
      <b:Author>
        <b:NameList>
          <b:Person>
            <b:Last>Larsson</b:Last>
            <b:First>G.,</b:First>
            <b:Middle>Molnar, M.M., Tinnerholm Ljungberg, H. and Björklund, C. ,</b:Middle>
          </b:Person>
        </b:NameList>
      </b:Author>
    </b:Author>
    <b:JournalName>Leadership &amp; Organization Development Journal</b:JournalName>
    <b:Volume>44</b:Volume>
    <b:Issue>1</b:Issue>
    <b:Pages>18-3</b:Pages>
    <b:RefOrder>30</b:RefOrder>
  </b:Source>
  <b:Source>
    <b:Tag>Hor18</b:Tag>
    <b:SourceType>DocumentFromInternetSite</b:SourceType>
    <b:Guid>{57D1A1C0-9538-AA40-85A8-1F88D856E17B}</b:Guid>
    <b:Title>Views on leadership traits and competencies and how they intersect with gender</b:Title>
    <b:JournalName>Pew Research Center</b:JournalName>
    <b:Year>2018</b:Year>
    <b:Author>
      <b:Author>
        <b:NameList>
          <b:Person>
            <b:Last>Horowitz</b:Last>
            <b:Middle>Menasce</b:Middle>
            <b:First>Juliana </b:First>
          </b:Person>
          <b:Person>
            <b:Last>Igielnik</b:Last>
            <b:First>Ruth</b:First>
          </b:Person>
          <b:Person>
            <b:Last>Parker</b:Last>
            <b:First>Kim</b:First>
          </b:Person>
        </b:NameList>
      </b:Author>
    </b:Author>
    <b:URL>https://www.pewresearch.org/social-trends/2018/09/20/2-views-on-leadership-traits-and-competencies-and-how-they-intersect-with-gender/</b:URL>
    <b:YearAccessed>2023</b:YearAccessed>
    <b:RefOrder>4</b:RefOrder>
  </b:Source>
  <b:Source>
    <b:Tag>All20</b:Tag>
    <b:SourceType>JournalArticle</b:SourceType>
    <b:Guid>{C0CE406F-EA9D-F447-BFAD-A4E7BEE9C2E3}</b:Guid>
    <b:Author>
      <b:Author>
        <b:NameList>
          <b:Person>
            <b:Last>Allan Lee</b:Last>
            <b:First>Alison</b:First>
            <b:Middle>Legood, David Hughes, Amy Wei Tian, Alexander Newman, Caroline Knight</b:Middle>
          </b:Person>
        </b:NameList>
      </b:Author>
    </b:Author>
    <b:Title>Leadership, creativity and innovation: a meta-analytic review,</b:Title>
    <b:Publisher>European Journal of Work and Organizational Psychology</b:Publisher>
    <b:Year>2020</b:Year>
    <b:JournalName>European Journal of Work and Organizational Psychology</b:JournalName>
    <b:Volume>29</b:Volume>
    <b:Issue>1</b:Issue>
    <b:Pages>1-35</b:Pages>
    <b:RefOrder>31</b:RefOrder>
  </b:Source>
  <b:Source>
    <b:Tag>Win21</b:Tag>
    <b:SourceType>JournalArticle</b:SourceType>
    <b:Guid>{D3111532-F8AE-F14C-83DC-BD9A8148E17D}</b:Guid>
    <b:Author>
      <b:Author>
        <b:NameList>
          <b:Person>
            <b:Last>Joseph</b:Last>
            <b:First>Winny</b:First>
            <b:Middle>Shen and Dana L.</b:Middle>
          </b:Person>
        </b:NameList>
      </b:Author>
    </b:Author>
    <b:Title>Gender and leadership: A criterion-focused review and research agenda</b:Title>
    <b:JournalName>Human Resource Management Review</b:JournalName>
    <b:Year>2021</b:Year>
    <b:Volume>31</b:Volume>
    <b:RefOrder>32</b:RefOrder>
  </b:Source>
  <b:Source>
    <b:Tag>Jac19</b:Tag>
    <b:SourceType>JournalArticle</b:SourceType>
    <b:Guid>{E7ADFFA5-52FD-A44C-908D-0A1938693CEF}</b:Guid>
    <b:Author>
      <b:Author>
        <b:NameList>
          <b:Person>
            <b:Last>Jack Zenger</b:Last>
            <b:First>Joseph</b:First>
            <b:Middle>Folkman</b:Middle>
          </b:Person>
        </b:NameList>
      </b:Author>
    </b:Author>
    <b:Title>Women Score Higher Than Men in Most Leadership Skills</b:Title>
    <b:JournalName>Harvard Business Review</b:JournalName>
    <b:Year>2019</b:Year>
    <b:Volume>92</b:Volume>
    <b:Issue>10</b:Issue>
    <b:RefOrder>33</b:RefOrder>
  </b:Source>
  <b:Source>
    <b:Tag>Sch201</b:Tag>
    <b:SourceType>JournalArticle</b:SourceType>
    <b:Guid>{C0A133DE-4BD2-9E45-A2D4-E9D43884498E}</b:Guid>
    <b:Author>
      <b:Author>
        <b:NameList>
          <b:Person>
            <b:Last>Schwartz</b:Last>
            <b:First>Joshua</b:First>
            <b:Middle>A., and Christopher W. Blair.</b:Middle>
          </b:Person>
        </b:NameList>
      </b:Author>
    </b:Author>
    <b:Title>Do women make more credible threats? Gender stereotypes, audience costs, and crisis bargaining.</b:Title>
    <b:JournalName> International Organization </b:JournalName>
    <b:Year>2020</b:Year>
    <b:Volume>74</b:Volume>
    <b:Issue>4</b:Issue>
    <b:Pages>872-895</b:Pages>
    <b:RefOrder>34</b:RefOrder>
  </b:Source>
  <b:Source>
    <b:Tag>Wal191</b:Tag>
    <b:SourceType>JournalArticle</b:SourceType>
    <b:Guid>{87C1529F-8F87-CC44-9E23-8548998F412B}</b:Guid>
    <b:Author>
      <b:Author>
        <b:NameList>
          <b:Person>
            <b:Last>Walls</b:Last>
            <b:First>Elaine.</b:First>
          </b:Person>
        </b:NameList>
      </b:Author>
    </b:Author>
    <b:Title>The value of situational leadership." </b:Title>
    <b:JournalName> Community Practitioners'&amp; Health Visitors' Association</b:JournalName>
    <b:Year>2019</b:Year>
    <b:Volume>92</b:Volume>
    <b:Issue>2</b:Issue>
    <b:Pages>31-33</b:Pages>
    <b:RefOrder>35</b:RefOrder>
  </b:Source>
  <b:Source>
    <b:Tag>Wur21</b:Tag>
    <b:SourceType>JournalArticle</b:SourceType>
    <b:Guid>{3BBAC0D4-E073-9C48-9B3C-F6EDE921F690}</b:Guid>
    <b:Author>
      <b:Author>
        <b:NameList>
          <b:Person>
            <b:Last>Wuryani</b:Last>
            <b:First>E.,</b:First>
            <b:Middle>Rodlib, A., Sutarsib, S., Dewib, N &amp; Arifb, D.</b:Middle>
          </b:Person>
        </b:NameList>
      </b:Author>
    </b:Author>
    <b:Title>Analysis of decision support system on situational leadership styles on work motivation and employee performance</b:Title>
    <b:JournalName>Management Science Letters</b:JournalName>
    <b:Year>2021</b:Year>
    <b:Volume>11</b:Volume>
    <b:Issue>2</b:Issue>
    <b:Pages>365-372</b:Pages>
    <b:RefOrder>36</b:RefOrder>
  </b:Source>
  <b:Source>
    <b:Tag>Goe22</b:Tag>
    <b:SourceType>JournalArticle</b:SourceType>
    <b:Guid>{3BDB7CC0-28EB-2B46-8CA4-6F2401D45461}</b:Guid>
    <b:Author>
      <b:Author>
        <b:NameList>
          <b:Person>
            <b:Last>Goestjahjanti</b:Last>
            <b:First>F.</b:First>
            <b:Middle>S., Pasaribu, S. B., Sadewo, T. I., Srinita, S., Meirobie, I., &amp; Irawan, A. P.</b:Middle>
          </b:Person>
        </b:NameList>
      </b:Author>
    </b:Author>
    <b:Title>The Effect of Transformational Leadership, Servant Leadership, and Organizational Learning on Manufacturing Industry Performance.</b:Title>
    <b:JournalName>Frontiers in Psychology</b:JournalName>
    <b:Year>2022</b:Year>
    <b:Volume>13</b:Volume>
    <b:RefOrder>37</b:RefOrder>
  </b:Source>
  <b:Source>
    <b:Tag>Ibr22</b:Tag>
    <b:SourceType>JournalArticle</b:SourceType>
    <b:Guid>{23D3D428-DE6E-2C40-A877-6E0500E191C6}</b:Guid>
    <b:Author>
      <b:Author>
        <b:NameList>
          <b:Person>
            <b:Last>Ibrahim</b:Last>
            <b:First>M.,</b:First>
            <b:Middle>Karollah, B., Juned, V. and Yunus, M.,</b:Middle>
          </b:Person>
        </b:NameList>
      </b:Author>
    </b:Author>
    <b:Title>The Effect of Transformational Leadership, Work Motivation and Culture on Millennial Generation Employees Performance of the Manufacturing Industry in the Digital Era. </b:Title>
    <b:JournalName>Frontiers in Psychology, </b:JournalName>
    <b:Year>2022</b:Year>
    <b:Volume>13</b:Volume>
    <b:RefOrder>38</b:RefOrder>
  </b:Source>
  <b:Source>
    <b:Tag>HuJ22</b:Tag>
    <b:SourceType>JournalArticle</b:SourceType>
    <b:Guid>{7715F573-DF67-8D4B-89A4-0D6F2383F9A9}</b:Guid>
    <b:Author>
      <b:Author>
        <b:NameList>
          <b:Person>
            <b:Last>Hu</b:Last>
            <b:First>J.</b:First>
            <b:Middle>and Dutta, T., 2022.</b:Middle>
          </b:Person>
        </b:NameList>
      </b:Author>
    </b:Author>
    <b:Title>What’s charisma got to do with it? Three faces of charismatic leadership and corporate social responsibility engagement. </b:Title>
    <b:JournalName>Frontiers in Psychology</b:JournalName>
    <b:Year>2022</b:Year>
    <b:Volume>13</b:Volume>
    <b:RefOrder>39</b:RefOrder>
  </b:Source>
  <b:Source>
    <b:Tag>Özg23</b:Tag>
    <b:SourceType>JournalArticle</b:SourceType>
    <b:Guid>{36E373BE-F575-C640-A77C-634E10D2A0FE}</b:Guid>
    <b:Author>
      <b:Author>
        <b:NameList>
          <b:Person>
            <b:Last>Özgül</b:Last>
            <b:First>B.,</b:First>
            <b:Middle>Karaca, D. and Zehir, C.,</b:Middle>
          </b:Person>
        </b:NameList>
      </b:Author>
    </b:Author>
    <b:Title>Testing Job Satisfaction as a Mediator Between Managers’ Charismatic Leadership and Followers’ Affective Organizational Commitment.</b:Title>
    <b:JournalName> Ege Academic Review</b:JournalName>
    <b:Year>2023</b:Year>
    <b:Volume>22</b:Volume>
    <b:Issue>1</b:Issue>
    <b:Pages>1-15</b:Pages>
    <b:RefOrder>40</b:RefOrder>
  </b:Source>
  <b:Source>
    <b:Tag>UDH48</b:Tag>
    <b:SourceType>DocumentFromInternetSite</b:SourceType>
    <b:Guid>{B8E74C18-2B14-3844-AD72-3670188DE77D}</b:Guid>
    <b:Author>
      <b:Author>
        <b:Corporate>UDHR</b:Corporate>
      </b:Author>
    </b:Author>
    <b:Title>Univesal Declaration of Human Rights</b:Title>
    <b:Year>1948</b:Year>
    <b:URL>https://www.un.org/sites/un2.un.org/files/2021/03/udhr.pdf</b:URL>
    <b:RefOrder>41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699B30E-CB0F-A348-964A-288A863AD0C4}">
  <ds:schemaRefs/>
</ds:datastoreItem>
</file>

<file path=docProps/app.xml><?xml version="1.0" encoding="utf-8"?>
<Properties xmlns="http://schemas.openxmlformats.org/officeDocument/2006/extended-properties" xmlns:vt="http://schemas.openxmlformats.org/officeDocument/2006/docPropsVTypes">
  <Template>Normal.dotm</Template>
  <Pages>43</Pages>
  <Words>10263</Words>
  <Characters>63019</Characters>
  <Lines>1400</Lines>
  <Paragraphs>572</Paragraphs>
  <TotalTime>3</TotalTime>
  <ScaleCrop>false</ScaleCrop>
  <LinksUpToDate>false</LinksUpToDate>
  <CharactersWithSpaces>72710</CharactersWithSpaces>
  <Application>WPS Office_12.2.0.13359_F1E327BC-269C-435d-A152-05C5408002CA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2023-12-29T19:36:00Z</dcterms:created>
  <dc:creator>Microsoft Office User</dc:creator>
  <cp:lastModifiedBy>Maria Paraschiv</cp:lastModifiedBy>
  <dcterms:modified xsi:type="dcterms:W3CDTF">2024-01-01T14:41:51Z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2057-12.2.0.13359</vt:lpwstr>
  </property>
  <property fmtid="{D5CDD505-2E9C-101B-9397-08002B2CF9AE}" pid="3" name="ICV">
    <vt:lpwstr>05CF4E8090CC4EBD8D288B8EDDA4828E_13</vt:lpwstr>
  </property>
</Properties>
</file>