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562D3" w14:textId="250C9765" w:rsidR="007427D1" w:rsidRDefault="009F707B">
      <w:pPr>
        <w:rPr>
          <w:rFonts w:ascii="Arial" w:hAnsi="Arial" w:cs="Arial"/>
          <w:b/>
          <w:bCs/>
          <w:sz w:val="24"/>
          <w:szCs w:val="24"/>
        </w:rPr>
      </w:pPr>
      <w:r w:rsidRPr="0022113C">
        <w:rPr>
          <w:rFonts w:ascii="Arial" w:hAnsi="Arial" w:cs="Arial"/>
          <w:b/>
          <w:bCs/>
          <w:sz w:val="24"/>
          <w:szCs w:val="24"/>
        </w:rPr>
        <w:t>Unobtrusive research Abstracts</w:t>
      </w:r>
    </w:p>
    <w:p w14:paraId="6F18D49B" w14:textId="26A13320" w:rsidR="00EC441A" w:rsidRDefault="00EC441A">
      <w:pPr>
        <w:rPr>
          <w:rFonts w:ascii="Arial" w:hAnsi="Arial" w:cs="Arial"/>
          <w:b/>
          <w:bCs/>
          <w:sz w:val="24"/>
          <w:szCs w:val="24"/>
        </w:rPr>
      </w:pPr>
    </w:p>
    <w:p w14:paraId="11330CFF" w14:textId="378C2109" w:rsidR="00EC441A" w:rsidRDefault="00EC441A">
      <w:pPr>
        <w:rPr>
          <w:rFonts w:ascii="Arial" w:hAnsi="Arial" w:cs="Arial"/>
          <w:b/>
          <w:bCs/>
          <w:sz w:val="24"/>
          <w:szCs w:val="24"/>
        </w:rPr>
      </w:pPr>
      <w:r>
        <w:rPr>
          <w:rFonts w:ascii="Arial" w:hAnsi="Arial" w:cs="Arial"/>
          <w:b/>
          <w:bCs/>
          <w:sz w:val="24"/>
          <w:szCs w:val="24"/>
        </w:rPr>
        <w:t>21-04-21</w:t>
      </w:r>
    </w:p>
    <w:p w14:paraId="15DC361B" w14:textId="77777777" w:rsidR="00EC441A" w:rsidRPr="0022113C" w:rsidRDefault="00EC441A">
      <w:pPr>
        <w:rPr>
          <w:rFonts w:ascii="Arial" w:hAnsi="Arial" w:cs="Arial"/>
          <w:b/>
          <w:bCs/>
          <w:sz w:val="24"/>
          <w:szCs w:val="24"/>
        </w:rPr>
      </w:pPr>
    </w:p>
    <w:p w14:paraId="269BB27C" w14:textId="0B82700A" w:rsidR="00564037" w:rsidRPr="00827480" w:rsidRDefault="00564037" w:rsidP="00564037">
      <w:pPr>
        <w:spacing w:after="0" w:line="240" w:lineRule="auto"/>
        <w:textAlignment w:val="baseline"/>
        <w:outlineLvl w:val="0"/>
        <w:rPr>
          <w:rFonts w:ascii="Arial" w:eastAsia="Times New Roman" w:hAnsi="Arial" w:cs="Arial"/>
          <w:color w:val="0D0D0D"/>
          <w:kern w:val="36"/>
          <w:sz w:val="24"/>
          <w:szCs w:val="24"/>
          <w:bdr w:val="none" w:sz="0" w:space="0" w:color="auto" w:frame="1"/>
          <w:lang w:eastAsia="en-GB"/>
        </w:rPr>
      </w:pPr>
      <w:bookmarkStart w:id="0" w:name="_Hlk70579747"/>
      <w:r w:rsidRPr="00827480">
        <w:rPr>
          <w:rFonts w:ascii="Arial" w:eastAsia="Times New Roman" w:hAnsi="Arial" w:cs="Arial"/>
          <w:color w:val="0D0D0D"/>
          <w:kern w:val="36"/>
          <w:sz w:val="24"/>
          <w:szCs w:val="24"/>
          <w:bdr w:val="none" w:sz="0" w:space="0" w:color="auto" w:frame="1"/>
          <w:lang w:eastAsia="en-GB"/>
        </w:rPr>
        <w:t>The Economist (20</w:t>
      </w:r>
      <w:r w:rsidR="00827480">
        <w:rPr>
          <w:rFonts w:ascii="Arial" w:eastAsia="Times New Roman" w:hAnsi="Arial" w:cs="Arial"/>
          <w:color w:val="0D0D0D"/>
          <w:kern w:val="36"/>
          <w:sz w:val="24"/>
          <w:szCs w:val="24"/>
          <w:bdr w:val="none" w:sz="0" w:space="0" w:color="auto" w:frame="1"/>
          <w:lang w:eastAsia="en-GB"/>
        </w:rPr>
        <w:t>0</w:t>
      </w:r>
      <w:r w:rsidRPr="00827480">
        <w:rPr>
          <w:rFonts w:ascii="Arial" w:eastAsia="Times New Roman" w:hAnsi="Arial" w:cs="Arial"/>
          <w:color w:val="0D0D0D"/>
          <w:kern w:val="36"/>
          <w:sz w:val="24"/>
          <w:szCs w:val="24"/>
          <w:bdr w:val="none" w:sz="0" w:space="0" w:color="auto" w:frame="1"/>
          <w:lang w:eastAsia="en-GB"/>
        </w:rPr>
        <w:t xml:space="preserve">9) </w:t>
      </w:r>
      <w:r w:rsidRPr="00564037">
        <w:rPr>
          <w:rFonts w:ascii="Arial" w:eastAsia="Times New Roman" w:hAnsi="Arial" w:cs="Arial"/>
          <w:i/>
          <w:iCs/>
          <w:color w:val="0D0D0D"/>
          <w:kern w:val="36"/>
          <w:sz w:val="24"/>
          <w:szCs w:val="24"/>
          <w:bdr w:val="none" w:sz="0" w:space="0" w:color="auto" w:frame="1"/>
          <w:lang w:eastAsia="en-GB"/>
        </w:rPr>
        <w:t>The halo effect</w:t>
      </w:r>
      <w:r w:rsidRPr="00827480">
        <w:rPr>
          <w:rFonts w:ascii="Arial" w:eastAsia="Times New Roman" w:hAnsi="Arial" w:cs="Arial"/>
          <w:i/>
          <w:iCs/>
          <w:color w:val="0D0D0D"/>
          <w:kern w:val="36"/>
          <w:sz w:val="24"/>
          <w:szCs w:val="24"/>
          <w:bdr w:val="none" w:sz="0" w:space="0" w:color="auto" w:frame="1"/>
          <w:lang w:eastAsia="en-GB"/>
        </w:rPr>
        <w:t>,</w:t>
      </w:r>
      <w:r w:rsidR="0065375B">
        <w:rPr>
          <w:rFonts w:ascii="Arial" w:eastAsia="Times New Roman" w:hAnsi="Arial" w:cs="Arial"/>
          <w:color w:val="0D0D0D"/>
          <w:kern w:val="36"/>
          <w:sz w:val="24"/>
          <w:szCs w:val="24"/>
          <w:bdr w:val="none" w:sz="0" w:space="0" w:color="auto" w:frame="1"/>
          <w:lang w:eastAsia="en-GB"/>
        </w:rPr>
        <w:t xml:space="preserve"> </w:t>
      </w:r>
      <w:hyperlink r:id="rId5" w:history="1">
        <w:r w:rsidR="009B3C89" w:rsidRPr="006C092F">
          <w:rPr>
            <w:rStyle w:val="Hyperlink"/>
            <w:rFonts w:ascii="Arial" w:eastAsia="Times New Roman" w:hAnsi="Arial" w:cs="Arial"/>
            <w:kern w:val="36"/>
            <w:sz w:val="24"/>
            <w:szCs w:val="24"/>
            <w:bdr w:val="none" w:sz="0" w:space="0" w:color="auto" w:frame="1"/>
            <w:lang w:eastAsia="en-GB"/>
          </w:rPr>
          <w:t>https://www.economist.com/news/2009/10/14/the-halo-effect</w:t>
        </w:r>
      </w:hyperlink>
      <w:r w:rsidR="00827480">
        <w:rPr>
          <w:rFonts w:ascii="Arial" w:eastAsia="Times New Roman" w:hAnsi="Arial" w:cs="Arial"/>
          <w:color w:val="0D0D0D"/>
          <w:kern w:val="36"/>
          <w:sz w:val="24"/>
          <w:szCs w:val="24"/>
          <w:bdr w:val="none" w:sz="0" w:space="0" w:color="auto" w:frame="1"/>
          <w:lang w:eastAsia="en-GB"/>
        </w:rPr>
        <w:t xml:space="preserve"> (Accessed 21-04-21).</w:t>
      </w:r>
    </w:p>
    <w:p w14:paraId="47F90D94" w14:textId="388AD270" w:rsidR="00827480" w:rsidRPr="00827480" w:rsidRDefault="00827480" w:rsidP="00564037">
      <w:pPr>
        <w:spacing w:after="0" w:line="240" w:lineRule="auto"/>
        <w:textAlignment w:val="baseline"/>
        <w:outlineLvl w:val="0"/>
        <w:rPr>
          <w:rFonts w:ascii="Arial" w:eastAsia="Times New Roman" w:hAnsi="Arial" w:cs="Arial"/>
          <w:color w:val="0D0D0D"/>
          <w:kern w:val="36"/>
          <w:sz w:val="24"/>
          <w:szCs w:val="24"/>
          <w:bdr w:val="none" w:sz="0" w:space="0" w:color="auto" w:frame="1"/>
          <w:lang w:eastAsia="en-GB"/>
        </w:rPr>
      </w:pPr>
    </w:p>
    <w:p w14:paraId="6B13A78C" w14:textId="439B3468" w:rsidR="00827480" w:rsidRPr="00357C6E" w:rsidRDefault="00827480" w:rsidP="00827480">
      <w:pPr>
        <w:spacing w:before="100" w:beforeAutospacing="1" w:after="100" w:afterAutospacing="1" w:line="240" w:lineRule="auto"/>
        <w:textAlignment w:val="baseline"/>
        <w:rPr>
          <w:rFonts w:ascii="Arial" w:eastAsia="Times New Roman" w:hAnsi="Arial" w:cs="Arial"/>
          <w:color w:val="0D0D0D"/>
          <w:sz w:val="24"/>
          <w:szCs w:val="24"/>
          <w:lang w:eastAsia="en-GB"/>
        </w:rPr>
      </w:pPr>
      <w:r w:rsidRPr="00357C6E">
        <w:rPr>
          <w:rFonts w:ascii="Arial" w:eastAsia="Times New Roman" w:hAnsi="Arial" w:cs="Arial"/>
          <w:color w:val="0D0D0D"/>
          <w:sz w:val="24"/>
          <w:szCs w:val="24"/>
          <w:lang w:eastAsia="en-GB"/>
        </w:rPr>
        <w:t xml:space="preserve">Rosenzweig, P., </w:t>
      </w:r>
      <w:r>
        <w:rPr>
          <w:rFonts w:ascii="Arial" w:eastAsia="Times New Roman" w:hAnsi="Arial" w:cs="Arial"/>
          <w:color w:val="0D0D0D"/>
          <w:sz w:val="24"/>
          <w:szCs w:val="24"/>
          <w:lang w:eastAsia="en-GB"/>
        </w:rPr>
        <w:t xml:space="preserve">(2007) </w:t>
      </w:r>
      <w:r w:rsidRPr="00357C6E">
        <w:rPr>
          <w:rFonts w:ascii="Arial" w:eastAsia="Times New Roman" w:hAnsi="Arial" w:cs="Arial"/>
          <w:i/>
          <w:iCs/>
          <w:color w:val="0D0D0D"/>
          <w:sz w:val="24"/>
          <w:szCs w:val="24"/>
          <w:lang w:eastAsia="en-GB"/>
        </w:rPr>
        <w:t>The Halo Effect … and the Eight Other Business Delusions that Deceive Managers</w:t>
      </w:r>
      <w:r w:rsidRPr="00357C6E">
        <w:rPr>
          <w:rFonts w:ascii="Arial" w:eastAsia="Times New Roman" w:hAnsi="Arial" w:cs="Arial"/>
          <w:color w:val="0D0D0D"/>
          <w:sz w:val="24"/>
          <w:szCs w:val="24"/>
          <w:lang w:eastAsia="en-GB"/>
        </w:rPr>
        <w:t xml:space="preserve">, </w:t>
      </w:r>
      <w:r>
        <w:rPr>
          <w:rFonts w:ascii="Arial" w:eastAsia="Times New Roman" w:hAnsi="Arial" w:cs="Arial"/>
          <w:color w:val="0D0D0D"/>
          <w:sz w:val="24"/>
          <w:szCs w:val="24"/>
          <w:lang w:eastAsia="en-GB"/>
        </w:rPr>
        <w:t xml:space="preserve">Boston, </w:t>
      </w:r>
      <w:r w:rsidRPr="00357C6E">
        <w:rPr>
          <w:rFonts w:ascii="Arial" w:eastAsia="Times New Roman" w:hAnsi="Arial" w:cs="Arial"/>
          <w:color w:val="0D0D0D"/>
          <w:sz w:val="24"/>
          <w:szCs w:val="24"/>
          <w:lang w:eastAsia="en-GB"/>
        </w:rPr>
        <w:t>Free Press</w:t>
      </w:r>
      <w:r>
        <w:rPr>
          <w:rFonts w:ascii="Arial" w:eastAsia="Times New Roman" w:hAnsi="Arial" w:cs="Arial"/>
          <w:color w:val="0D0D0D"/>
          <w:sz w:val="24"/>
          <w:szCs w:val="24"/>
          <w:lang w:eastAsia="en-GB"/>
        </w:rPr>
        <w:t>.</w:t>
      </w:r>
    </w:p>
    <w:bookmarkEnd w:id="0"/>
    <w:p w14:paraId="40B7ED33" w14:textId="77777777" w:rsidR="00827480" w:rsidRPr="00564037" w:rsidRDefault="00827480" w:rsidP="00564037">
      <w:pPr>
        <w:spacing w:after="0" w:line="240" w:lineRule="auto"/>
        <w:textAlignment w:val="baseline"/>
        <w:outlineLvl w:val="0"/>
        <w:rPr>
          <w:rFonts w:ascii="Calisto MT" w:eastAsia="Times New Roman" w:hAnsi="Calisto MT" w:cs="Times New Roman"/>
          <w:b/>
          <w:bCs/>
          <w:color w:val="0D0D0D"/>
          <w:kern w:val="36"/>
          <w:sz w:val="48"/>
          <w:szCs w:val="48"/>
          <w:lang w:eastAsia="en-GB"/>
        </w:rPr>
      </w:pPr>
    </w:p>
    <w:p w14:paraId="7EF633C1" w14:textId="462C733E" w:rsidR="00647DA9" w:rsidRDefault="00647DA9">
      <w:pPr>
        <w:rPr>
          <w:rFonts w:ascii="Arial" w:hAnsi="Arial" w:cs="Arial"/>
          <w:b/>
          <w:bCs/>
          <w:sz w:val="24"/>
          <w:szCs w:val="24"/>
        </w:rPr>
      </w:pPr>
    </w:p>
    <w:p w14:paraId="783A2E67" w14:textId="30BA0EED" w:rsidR="00647DA9" w:rsidRPr="00647DA9" w:rsidRDefault="00647DA9" w:rsidP="0022113C">
      <w:pPr>
        <w:spacing w:before="450" w:after="450" w:line="240" w:lineRule="auto"/>
        <w:jc w:val="both"/>
        <w:outlineLvl w:val="0"/>
        <w:rPr>
          <w:rFonts w:ascii="Arial" w:eastAsia="Times New Roman" w:hAnsi="Arial" w:cs="Arial"/>
          <w:color w:val="231F20"/>
          <w:kern w:val="36"/>
          <w:sz w:val="24"/>
          <w:szCs w:val="24"/>
          <w:lang w:eastAsia="en-GB"/>
        </w:rPr>
      </w:pPr>
      <w:bookmarkStart w:id="1" w:name="_Hlk70578592"/>
      <w:r w:rsidRPr="0022113C">
        <w:rPr>
          <w:rFonts w:ascii="Arial" w:eastAsia="Times New Roman" w:hAnsi="Arial" w:cs="Arial"/>
          <w:color w:val="231F20"/>
          <w:kern w:val="36"/>
          <w:sz w:val="24"/>
          <w:szCs w:val="24"/>
          <w:lang w:eastAsia="en-GB"/>
        </w:rPr>
        <w:t>Healthline</w:t>
      </w:r>
      <w:r w:rsidR="0022113C">
        <w:rPr>
          <w:rFonts w:ascii="Arial" w:eastAsia="Times New Roman" w:hAnsi="Arial" w:cs="Arial"/>
          <w:color w:val="231F20"/>
          <w:kern w:val="36"/>
          <w:sz w:val="24"/>
          <w:szCs w:val="24"/>
          <w:lang w:eastAsia="en-GB"/>
        </w:rPr>
        <w:t xml:space="preserve"> </w:t>
      </w:r>
      <w:r w:rsidRPr="0022113C">
        <w:rPr>
          <w:rFonts w:ascii="Arial" w:eastAsia="Times New Roman" w:hAnsi="Arial" w:cs="Arial"/>
          <w:color w:val="231F20"/>
          <w:kern w:val="36"/>
          <w:sz w:val="24"/>
          <w:szCs w:val="24"/>
          <w:lang w:eastAsia="en-GB"/>
        </w:rPr>
        <w:t>(20</w:t>
      </w:r>
      <w:r w:rsidR="0022113C">
        <w:rPr>
          <w:rFonts w:ascii="Arial" w:eastAsia="Times New Roman" w:hAnsi="Arial" w:cs="Arial"/>
          <w:color w:val="231F20"/>
          <w:kern w:val="36"/>
          <w:sz w:val="24"/>
          <w:szCs w:val="24"/>
          <w:lang w:eastAsia="en-GB"/>
        </w:rPr>
        <w:t>19</w:t>
      </w:r>
      <w:r w:rsidRPr="0022113C">
        <w:rPr>
          <w:rFonts w:ascii="Arial" w:eastAsia="Times New Roman" w:hAnsi="Arial" w:cs="Arial"/>
          <w:color w:val="231F20"/>
          <w:kern w:val="36"/>
          <w:sz w:val="24"/>
          <w:szCs w:val="24"/>
          <w:lang w:eastAsia="en-GB"/>
        </w:rPr>
        <w:t xml:space="preserve">) </w:t>
      </w:r>
      <w:r w:rsidRPr="00647DA9">
        <w:rPr>
          <w:rFonts w:ascii="Arial" w:eastAsia="Times New Roman" w:hAnsi="Arial" w:cs="Arial"/>
          <w:i/>
          <w:iCs/>
          <w:color w:val="231F20"/>
          <w:kern w:val="36"/>
          <w:sz w:val="24"/>
          <w:szCs w:val="24"/>
          <w:lang w:eastAsia="en-GB"/>
        </w:rPr>
        <w:t xml:space="preserve">What Is the Halo </w:t>
      </w:r>
      <w:proofErr w:type="gramStart"/>
      <w:r w:rsidRPr="00647DA9">
        <w:rPr>
          <w:rFonts w:ascii="Arial" w:eastAsia="Times New Roman" w:hAnsi="Arial" w:cs="Arial"/>
          <w:i/>
          <w:iCs/>
          <w:color w:val="231F20"/>
          <w:kern w:val="36"/>
          <w:sz w:val="24"/>
          <w:szCs w:val="24"/>
          <w:lang w:eastAsia="en-GB"/>
        </w:rPr>
        <w:t>Effect?</w:t>
      </w:r>
      <w:r w:rsidR="0022113C" w:rsidRPr="0022113C">
        <w:rPr>
          <w:rFonts w:ascii="Arial" w:eastAsia="Times New Roman" w:hAnsi="Arial" w:cs="Arial"/>
          <w:i/>
          <w:iCs/>
          <w:color w:val="231F20"/>
          <w:kern w:val="36"/>
          <w:sz w:val="24"/>
          <w:szCs w:val="24"/>
          <w:lang w:eastAsia="en-GB"/>
        </w:rPr>
        <w:t>,</w:t>
      </w:r>
      <w:proofErr w:type="gramEnd"/>
      <w:r w:rsidR="0022113C" w:rsidRPr="0022113C">
        <w:rPr>
          <w:rFonts w:ascii="Arial" w:eastAsia="Times New Roman" w:hAnsi="Arial" w:cs="Arial"/>
          <w:color w:val="231F20"/>
          <w:kern w:val="36"/>
          <w:sz w:val="24"/>
          <w:szCs w:val="24"/>
          <w:lang w:eastAsia="en-GB"/>
        </w:rPr>
        <w:t xml:space="preserve"> </w:t>
      </w:r>
      <w:hyperlink r:id="rId6" w:history="1">
        <w:r w:rsidR="0022113C" w:rsidRPr="006C092F">
          <w:rPr>
            <w:rStyle w:val="Hyperlink"/>
            <w:rFonts w:ascii="Arial" w:eastAsia="Times New Roman" w:hAnsi="Arial" w:cs="Arial"/>
            <w:kern w:val="36"/>
            <w:sz w:val="24"/>
            <w:szCs w:val="24"/>
            <w:lang w:eastAsia="en-GB"/>
          </w:rPr>
          <w:t>https://www.healthline.com/health/halo-effect</w:t>
        </w:r>
      </w:hyperlink>
      <w:r w:rsidR="0022113C" w:rsidRPr="0022113C">
        <w:rPr>
          <w:rFonts w:ascii="Arial" w:eastAsia="Times New Roman" w:hAnsi="Arial" w:cs="Arial"/>
          <w:color w:val="231F20"/>
          <w:kern w:val="36"/>
          <w:sz w:val="24"/>
          <w:szCs w:val="24"/>
          <w:lang w:eastAsia="en-GB"/>
        </w:rPr>
        <w:t>, (Accessed 21-04-21).</w:t>
      </w:r>
    </w:p>
    <w:p w14:paraId="60E1C003" w14:textId="3D9ABDC6" w:rsidR="0022113C" w:rsidRPr="0022113C" w:rsidRDefault="0022113C" w:rsidP="0022113C">
      <w:pPr>
        <w:shd w:val="clear" w:color="auto" w:fill="FFFFFF"/>
        <w:spacing w:before="330" w:after="165" w:line="264" w:lineRule="atLeast"/>
        <w:jc w:val="both"/>
        <w:outlineLvl w:val="0"/>
        <w:rPr>
          <w:rFonts w:ascii="Arial" w:eastAsia="Times New Roman" w:hAnsi="Arial" w:cs="Arial"/>
          <w:color w:val="000000"/>
          <w:kern w:val="36"/>
          <w:sz w:val="24"/>
          <w:szCs w:val="24"/>
          <w:lang w:eastAsia="en-GB"/>
        </w:rPr>
      </w:pPr>
      <w:r w:rsidRPr="0022113C">
        <w:rPr>
          <w:rFonts w:ascii="Arial" w:eastAsia="Times New Roman" w:hAnsi="Arial" w:cs="Arial"/>
          <w:color w:val="000000"/>
          <w:kern w:val="36"/>
          <w:sz w:val="24"/>
          <w:szCs w:val="24"/>
          <w:lang w:eastAsia="en-GB"/>
        </w:rPr>
        <w:t xml:space="preserve">Perera, A. (2021) Why the Halo Effect Affects How We Perceive Others, </w:t>
      </w:r>
      <w:hyperlink r:id="rId7" w:history="1">
        <w:r w:rsidRPr="0022113C">
          <w:rPr>
            <w:rStyle w:val="Hyperlink"/>
            <w:rFonts w:ascii="Arial" w:eastAsia="Times New Roman" w:hAnsi="Arial" w:cs="Arial"/>
            <w:kern w:val="36"/>
            <w:sz w:val="24"/>
            <w:szCs w:val="24"/>
            <w:lang w:eastAsia="en-GB"/>
          </w:rPr>
          <w:t>https://www.simplypsychology.org/halo-effect.html</w:t>
        </w:r>
      </w:hyperlink>
      <w:r w:rsidRPr="0022113C">
        <w:rPr>
          <w:rFonts w:ascii="Arial" w:eastAsia="Times New Roman" w:hAnsi="Arial" w:cs="Arial"/>
          <w:color w:val="000000"/>
          <w:kern w:val="36"/>
          <w:sz w:val="24"/>
          <w:szCs w:val="24"/>
          <w:lang w:eastAsia="en-GB"/>
        </w:rPr>
        <w:t>, (</w:t>
      </w:r>
      <w:r w:rsidRPr="0022113C">
        <w:rPr>
          <w:rFonts w:ascii="Arial" w:eastAsia="Times New Roman" w:hAnsi="Arial" w:cs="Arial"/>
          <w:color w:val="231F20"/>
          <w:kern w:val="36"/>
          <w:sz w:val="24"/>
          <w:szCs w:val="24"/>
          <w:lang w:eastAsia="en-GB"/>
        </w:rPr>
        <w:t>Accessed 21-04-21).</w:t>
      </w:r>
    </w:p>
    <w:bookmarkEnd w:id="1"/>
    <w:p w14:paraId="324DDC61" w14:textId="77777777" w:rsidR="00647DA9" w:rsidRDefault="00647DA9">
      <w:pPr>
        <w:rPr>
          <w:rFonts w:ascii="Arial" w:hAnsi="Arial" w:cs="Arial"/>
          <w:b/>
          <w:bCs/>
          <w:sz w:val="24"/>
          <w:szCs w:val="24"/>
        </w:rPr>
      </w:pPr>
    </w:p>
    <w:p w14:paraId="7F8BA651" w14:textId="1BD598A4" w:rsidR="00AB428C" w:rsidRDefault="003B49B7">
      <w:pPr>
        <w:rPr>
          <w:rFonts w:ascii="Source Sans Pro" w:hAnsi="Source Sans Pro"/>
          <w:color w:val="333333"/>
          <w:spacing w:val="4"/>
          <w:sz w:val="21"/>
          <w:szCs w:val="21"/>
          <w:shd w:val="clear" w:color="auto" w:fill="FCFCFC"/>
        </w:rPr>
      </w:pPr>
      <w:r>
        <w:rPr>
          <w:rFonts w:ascii="Source Sans Pro" w:hAnsi="Source Sans Pro"/>
          <w:color w:val="333333"/>
          <w:spacing w:val="4"/>
          <w:sz w:val="21"/>
          <w:szCs w:val="21"/>
          <w:shd w:val="clear" w:color="auto" w:fill="FCFCFC"/>
        </w:rPr>
        <w:t xml:space="preserve">Mellenbergh G.J. (2019) Unobtrusive Measurements. In: Counteracting Methodological Errors in Behavioral Research. Springer, Cham. </w:t>
      </w:r>
      <w:hyperlink r:id="rId8" w:history="1">
        <w:r w:rsidRPr="006C092F">
          <w:rPr>
            <w:rStyle w:val="Hyperlink"/>
            <w:rFonts w:ascii="Source Sans Pro" w:hAnsi="Source Sans Pro"/>
            <w:spacing w:val="4"/>
            <w:sz w:val="21"/>
            <w:szCs w:val="21"/>
            <w:shd w:val="clear" w:color="auto" w:fill="FCFCFC"/>
          </w:rPr>
          <w:t>https://doi.org/10.1007/978-3-030-12272-0_9</w:t>
        </w:r>
      </w:hyperlink>
    </w:p>
    <w:p w14:paraId="2ADAF90E" w14:textId="77777777" w:rsidR="003B49B7" w:rsidRDefault="003B49B7">
      <w:pPr>
        <w:rPr>
          <w:rFonts w:ascii="Arial" w:hAnsi="Arial" w:cs="Arial"/>
          <w:b/>
          <w:bCs/>
          <w:sz w:val="24"/>
          <w:szCs w:val="24"/>
        </w:rPr>
      </w:pPr>
    </w:p>
    <w:p w14:paraId="43EE9ECA" w14:textId="71DA44FC" w:rsidR="00AB428C" w:rsidRDefault="003B49B7">
      <w:pPr>
        <w:rPr>
          <w:rFonts w:ascii="Georgia" w:hAnsi="Georgia"/>
          <w:color w:val="333333"/>
          <w:spacing w:val="2"/>
          <w:sz w:val="26"/>
          <w:szCs w:val="26"/>
          <w:shd w:val="clear" w:color="auto" w:fill="FCFCFC"/>
        </w:rPr>
      </w:pPr>
      <w:r>
        <w:rPr>
          <w:rFonts w:ascii="Georgia" w:hAnsi="Georgia"/>
          <w:color w:val="333333"/>
          <w:spacing w:val="2"/>
          <w:sz w:val="26"/>
          <w:szCs w:val="26"/>
          <w:shd w:val="clear" w:color="auto" w:fill="FCFCFC"/>
        </w:rPr>
        <w:t xml:space="preserve">Usually, participants know that they are measured, which implies that they can react to the measurement situation, for example, by satisficing. Unobtrusive measurements are measurements where participants cannot react to the situation. Four measurement modes are distinguished, and for each of these modes examples of unobtrusive measurement procedures are given. First, the self-report mode where participants answer questions themselves (e.g., tests). An unobtrusive self-report disguises the construct that is measured. For example, a writing test to measure aggression instead of writing skill by counting the number of aggressive words in a student’s essay. Second, the other-report mode where </w:t>
      </w:r>
      <w:proofErr w:type="spellStart"/>
      <w:proofErr w:type="gramStart"/>
      <w:r>
        <w:rPr>
          <w:rFonts w:ascii="Georgia" w:hAnsi="Georgia"/>
          <w:color w:val="333333"/>
          <w:spacing w:val="2"/>
          <w:sz w:val="26"/>
          <w:szCs w:val="26"/>
          <w:shd w:val="clear" w:color="auto" w:fill="FCFCFC"/>
        </w:rPr>
        <w:t>an other</w:t>
      </w:r>
      <w:proofErr w:type="spellEnd"/>
      <w:proofErr w:type="gramEnd"/>
      <w:r>
        <w:rPr>
          <w:rFonts w:ascii="Georgia" w:hAnsi="Georgia"/>
          <w:color w:val="333333"/>
          <w:spacing w:val="2"/>
          <w:sz w:val="26"/>
          <w:szCs w:val="26"/>
          <w:shd w:val="clear" w:color="auto" w:fill="FCFCFC"/>
        </w:rPr>
        <w:t xml:space="preserve"> person answers questions on a participant. For example, a teacher who answers questions on a student’s aggressive </w:t>
      </w:r>
      <w:proofErr w:type="spellStart"/>
      <w:r>
        <w:rPr>
          <w:rFonts w:ascii="Georgia" w:hAnsi="Georgia"/>
          <w:color w:val="333333"/>
          <w:spacing w:val="2"/>
          <w:sz w:val="26"/>
          <w:szCs w:val="26"/>
          <w:shd w:val="clear" w:color="auto" w:fill="FCFCFC"/>
        </w:rPr>
        <w:t>behavior</w:t>
      </w:r>
      <w:proofErr w:type="spellEnd"/>
      <w:r>
        <w:rPr>
          <w:rFonts w:ascii="Georgia" w:hAnsi="Georgia"/>
          <w:color w:val="333333"/>
          <w:spacing w:val="2"/>
          <w:sz w:val="26"/>
          <w:szCs w:val="26"/>
          <w:shd w:val="clear" w:color="auto" w:fill="FCFCFC"/>
        </w:rPr>
        <w:t xml:space="preserve">. Third, the somatic indicators mode where a participant’s somatic reactions are observed. For example, the observation of a participant’s blushing. Fourth, the physical traces mode where physical traces of a participant are used. For example, traffic offences to assess a participant’s attitude on traffic safety. Random errors decrease the precision of unobtrusive measurements, and systematic errors bias these </w:t>
      </w:r>
      <w:r>
        <w:rPr>
          <w:rFonts w:ascii="Georgia" w:hAnsi="Georgia"/>
          <w:color w:val="333333"/>
          <w:spacing w:val="2"/>
          <w:sz w:val="26"/>
          <w:szCs w:val="26"/>
          <w:shd w:val="clear" w:color="auto" w:fill="FCFCFC"/>
        </w:rPr>
        <w:lastRenderedPageBreak/>
        <w:t xml:space="preserve">measurements. The main systematic error is that the unobtrusive measure does not measure the construct that the researcher wants to measure. </w:t>
      </w:r>
      <w:r w:rsidRPr="00EC40C7">
        <w:rPr>
          <w:rFonts w:ascii="Georgia" w:hAnsi="Georgia"/>
          <w:color w:val="333333"/>
          <w:spacing w:val="2"/>
          <w:sz w:val="24"/>
          <w:szCs w:val="24"/>
          <w:shd w:val="clear" w:color="auto" w:fill="FCFCFC"/>
        </w:rPr>
        <w:t>Unobtrusive measures that involve human judgment (e.g., ratings) are prone</w:t>
      </w:r>
      <w:r>
        <w:rPr>
          <w:rFonts w:ascii="Georgia" w:hAnsi="Georgia"/>
          <w:color w:val="333333"/>
          <w:spacing w:val="2"/>
          <w:sz w:val="26"/>
          <w:szCs w:val="26"/>
          <w:shd w:val="clear" w:color="auto" w:fill="FCFCFC"/>
        </w:rPr>
        <w:t xml:space="preserve"> to systematic errors, such as, the halo-effect. Unobtrusive measures should not replace reactive measures, but they can complement these measures.</w:t>
      </w:r>
    </w:p>
    <w:p w14:paraId="076E0D01" w14:textId="0F14B154" w:rsidR="00EC40C7" w:rsidRPr="00EC40C7" w:rsidRDefault="00EC40C7" w:rsidP="00EC40C7">
      <w:pPr>
        <w:pStyle w:val="Heading2"/>
        <w:spacing w:before="0"/>
        <w:rPr>
          <w:rFonts w:ascii="Arial" w:eastAsia="Times New Roman" w:hAnsi="Arial" w:cs="Arial"/>
          <w:color w:val="auto"/>
          <w:sz w:val="24"/>
          <w:szCs w:val="24"/>
          <w:lang w:eastAsia="en-GB"/>
        </w:rPr>
      </w:pPr>
      <w:bookmarkStart w:id="2" w:name="_Hlk70580996"/>
      <w:r w:rsidRPr="00EC40C7">
        <w:rPr>
          <w:rFonts w:ascii="Arial" w:eastAsia="Times New Roman" w:hAnsi="Arial" w:cs="Arial"/>
          <w:color w:val="auto"/>
          <w:kern w:val="36"/>
          <w:sz w:val="24"/>
          <w:szCs w:val="24"/>
          <w:lang w:eastAsia="en-GB"/>
        </w:rPr>
        <w:t>Belk, R.W. (1995) Collecting as luxury consumption: Effects on individuals and households,</w:t>
      </w:r>
      <w:r w:rsidRPr="00EC40C7">
        <w:rPr>
          <w:rFonts w:ascii="Arial" w:eastAsia="Times New Roman" w:hAnsi="Arial" w:cs="Arial"/>
          <w:color w:val="auto"/>
          <w:sz w:val="24"/>
          <w:szCs w:val="24"/>
          <w:lang w:eastAsia="en-GB"/>
        </w:rPr>
        <w:t xml:space="preserve"> </w:t>
      </w:r>
      <w:hyperlink r:id="rId9" w:tooltip="Go to Journal of Economic Psychology on ScienceDirect" w:history="1">
        <w:r w:rsidRPr="00EC40C7">
          <w:rPr>
            <w:rFonts w:ascii="Arial" w:eastAsia="Times New Roman" w:hAnsi="Arial" w:cs="Arial"/>
            <w:i/>
            <w:iCs/>
            <w:color w:val="auto"/>
            <w:sz w:val="24"/>
            <w:szCs w:val="24"/>
            <w:lang w:eastAsia="en-GB"/>
          </w:rPr>
          <w:t>Journal of Economic Psychology</w:t>
        </w:r>
      </w:hyperlink>
      <w:r w:rsidRPr="00EC40C7">
        <w:rPr>
          <w:rFonts w:ascii="Arial" w:eastAsia="Times New Roman" w:hAnsi="Arial" w:cs="Arial"/>
          <w:i/>
          <w:iCs/>
          <w:color w:val="auto"/>
          <w:sz w:val="24"/>
          <w:szCs w:val="24"/>
          <w:lang w:eastAsia="en-GB"/>
        </w:rPr>
        <w:t xml:space="preserve">, </w:t>
      </w:r>
      <w:hyperlink r:id="rId10" w:tooltip="Go to table of contents for this volume/issue" w:history="1">
        <w:r w:rsidRPr="00EC40C7">
          <w:rPr>
            <w:rFonts w:ascii="Arial" w:eastAsia="Times New Roman" w:hAnsi="Arial" w:cs="Arial"/>
            <w:color w:val="auto"/>
            <w:sz w:val="24"/>
            <w:szCs w:val="24"/>
            <w:lang w:eastAsia="en-GB"/>
          </w:rPr>
          <w:t>Volume 16, Issue 3</w:t>
        </w:r>
      </w:hyperlink>
      <w:r w:rsidRPr="00EC40C7">
        <w:rPr>
          <w:rFonts w:ascii="Arial" w:eastAsia="Times New Roman" w:hAnsi="Arial" w:cs="Arial"/>
          <w:color w:val="auto"/>
          <w:sz w:val="24"/>
          <w:szCs w:val="24"/>
          <w:lang w:eastAsia="en-GB"/>
        </w:rPr>
        <w:t>, September, pp. 477-490.</w:t>
      </w:r>
    </w:p>
    <w:bookmarkEnd w:id="2"/>
    <w:p w14:paraId="55D903FD" w14:textId="40EA6AB7" w:rsidR="00EC40C7" w:rsidRDefault="00EC40C7">
      <w:pPr>
        <w:rPr>
          <w:rFonts w:ascii="Arial" w:hAnsi="Arial" w:cs="Arial"/>
          <w:b/>
          <w:bCs/>
          <w:sz w:val="24"/>
          <w:szCs w:val="24"/>
        </w:rPr>
      </w:pPr>
      <w:r>
        <w:rPr>
          <w:rFonts w:ascii="Georgia" w:hAnsi="Georgia"/>
          <w:color w:val="2E2E2E"/>
          <w:sz w:val="27"/>
          <w:szCs w:val="27"/>
        </w:rPr>
        <w:t xml:space="preserve">Collecting is a common acquisitive and possessive </w:t>
      </w:r>
      <w:proofErr w:type="spellStart"/>
      <w:r>
        <w:rPr>
          <w:rFonts w:ascii="Georgia" w:hAnsi="Georgia"/>
          <w:color w:val="2E2E2E"/>
          <w:sz w:val="27"/>
          <w:szCs w:val="27"/>
        </w:rPr>
        <w:t>behavior</w:t>
      </w:r>
      <w:proofErr w:type="spellEnd"/>
      <w:r>
        <w:rPr>
          <w:rFonts w:ascii="Georgia" w:hAnsi="Georgia"/>
          <w:color w:val="2E2E2E"/>
          <w:sz w:val="27"/>
          <w:szCs w:val="27"/>
        </w:rPr>
        <w:t xml:space="preserve"> that is generally regarded by society as more valued and less selfish than other forms of luxury consumption. Based on depth interviews with 200 collectors, an assessment of collecting is offered considering its problems and benefits for the individual collector, the collector's household, and society. While extreme cases are found in which collecting is addictive and dysfunctional for the individual and his or her family, it is more commonly found to be a beneficial activity, at least for the collector. But interpersonally, collections are found to be perceived as non-human rivals for the affection of collectors in the household and to leave a cultural legacy of material artifacts that over-represent powerful social classes.</w:t>
      </w:r>
    </w:p>
    <w:p w14:paraId="4FFDFD2C" w14:textId="6B237BC7" w:rsidR="00AB428C" w:rsidRDefault="00AB428C">
      <w:pPr>
        <w:rPr>
          <w:rFonts w:ascii="Arial" w:hAnsi="Arial" w:cs="Arial"/>
          <w:b/>
          <w:bCs/>
          <w:sz w:val="24"/>
          <w:szCs w:val="24"/>
        </w:rPr>
      </w:pPr>
      <w:r>
        <w:rPr>
          <w:rFonts w:ascii="Segoe UI" w:hAnsi="Segoe UI" w:cs="Segoe UI"/>
          <w:color w:val="333333"/>
          <w:shd w:val="clear" w:color="auto" w:fill="FFFFFF"/>
        </w:rPr>
        <w:t>Edmondson, A.J., Brennan, C. &amp; House, A.O. Using photo-elicitation to understand reasons for repeated self-harm: a qualitative study. </w:t>
      </w:r>
      <w:r>
        <w:rPr>
          <w:rFonts w:ascii="Segoe UI" w:hAnsi="Segoe UI" w:cs="Segoe UI"/>
          <w:i/>
          <w:iCs/>
          <w:color w:val="333333"/>
          <w:shd w:val="clear" w:color="auto" w:fill="FFFFFF"/>
        </w:rPr>
        <w:t>BMC Psychiatry</w:t>
      </w:r>
      <w:r>
        <w:rPr>
          <w:rFonts w:ascii="Segoe UI" w:hAnsi="Segoe UI" w:cs="Segoe UI"/>
          <w:color w:val="333333"/>
          <w:shd w:val="clear" w:color="auto" w:fill="FFFFFF"/>
        </w:rPr>
        <w:t> </w:t>
      </w:r>
      <w:r>
        <w:rPr>
          <w:rFonts w:ascii="Segoe UI" w:hAnsi="Segoe UI" w:cs="Segoe UI"/>
          <w:b/>
          <w:bCs/>
          <w:color w:val="333333"/>
          <w:shd w:val="clear" w:color="auto" w:fill="FFFFFF"/>
        </w:rPr>
        <w:t>18, </w:t>
      </w:r>
      <w:r>
        <w:rPr>
          <w:rFonts w:ascii="Segoe UI" w:hAnsi="Segoe UI" w:cs="Segoe UI"/>
          <w:color w:val="333333"/>
          <w:shd w:val="clear" w:color="auto" w:fill="FFFFFF"/>
        </w:rPr>
        <w:t>98 (2018). https://doi.org/10.1186/s12888-018-1681-3</w:t>
      </w:r>
    </w:p>
    <w:p w14:paraId="5589D627" w14:textId="77777777" w:rsidR="00AB428C" w:rsidRPr="00AB428C" w:rsidRDefault="00AB428C" w:rsidP="00AB428C">
      <w:pPr>
        <w:spacing w:after="120" w:line="240" w:lineRule="auto"/>
        <w:outlineLvl w:val="2"/>
        <w:rPr>
          <w:rFonts w:ascii="Segoe UI" w:eastAsia="Times New Roman" w:hAnsi="Segoe UI" w:cs="Segoe UI"/>
          <w:color w:val="222222"/>
          <w:sz w:val="27"/>
          <w:szCs w:val="27"/>
          <w:lang w:eastAsia="en-GB"/>
        </w:rPr>
      </w:pPr>
      <w:r w:rsidRPr="00AB428C">
        <w:rPr>
          <w:rFonts w:ascii="Segoe UI" w:eastAsia="Times New Roman" w:hAnsi="Segoe UI" w:cs="Segoe UI"/>
          <w:color w:val="222222"/>
          <w:sz w:val="27"/>
          <w:szCs w:val="27"/>
          <w:lang w:eastAsia="en-GB"/>
        </w:rPr>
        <w:t>Background</w:t>
      </w:r>
    </w:p>
    <w:p w14:paraId="23E977BA" w14:textId="77777777" w:rsidR="00AB428C" w:rsidRPr="00AB428C" w:rsidRDefault="00AB428C" w:rsidP="00AB428C">
      <w:pPr>
        <w:spacing w:after="360" w:line="240" w:lineRule="auto"/>
        <w:rPr>
          <w:rFonts w:ascii="Times New Roman" w:eastAsia="Times New Roman" w:hAnsi="Times New Roman" w:cs="Times New Roman"/>
          <w:sz w:val="24"/>
          <w:szCs w:val="24"/>
          <w:lang w:eastAsia="en-GB"/>
        </w:rPr>
      </w:pPr>
      <w:r w:rsidRPr="00AB428C">
        <w:rPr>
          <w:rFonts w:ascii="Times New Roman" w:eastAsia="Times New Roman" w:hAnsi="Times New Roman" w:cs="Times New Roman"/>
          <w:sz w:val="24"/>
          <w:szCs w:val="24"/>
          <w:lang w:eastAsia="en-GB"/>
        </w:rPr>
        <w:t>Reasons for self-harm are not well understood. One of the reasons for this is that first-hand accounts are usually elicited using traditional interview and questionnaire methods. This study aims to explore the acceptability of using an approach (photo-elicitation) that does not rely on solely verbal or written techniques, and to make a preliminary assessment of whether people can usefully employ images to support a discussion about the reasons why they self-harm.</w:t>
      </w:r>
    </w:p>
    <w:p w14:paraId="4EA2E114" w14:textId="77777777" w:rsidR="00AB428C" w:rsidRPr="00AB428C" w:rsidRDefault="00AB428C" w:rsidP="00AB428C">
      <w:pPr>
        <w:spacing w:after="120" w:line="240" w:lineRule="auto"/>
        <w:outlineLvl w:val="2"/>
        <w:rPr>
          <w:rFonts w:ascii="Segoe UI" w:eastAsia="Times New Roman" w:hAnsi="Segoe UI" w:cs="Segoe UI"/>
          <w:color w:val="222222"/>
          <w:sz w:val="27"/>
          <w:szCs w:val="27"/>
          <w:lang w:eastAsia="en-GB"/>
        </w:rPr>
      </w:pPr>
      <w:r w:rsidRPr="00AB428C">
        <w:rPr>
          <w:rFonts w:ascii="Segoe UI" w:eastAsia="Times New Roman" w:hAnsi="Segoe UI" w:cs="Segoe UI"/>
          <w:color w:val="222222"/>
          <w:sz w:val="27"/>
          <w:szCs w:val="27"/>
          <w:lang w:eastAsia="en-GB"/>
        </w:rPr>
        <w:t>Method</w:t>
      </w:r>
    </w:p>
    <w:p w14:paraId="59A1932E" w14:textId="77777777" w:rsidR="00AB428C" w:rsidRPr="00AB428C" w:rsidRDefault="00AB428C" w:rsidP="00AB428C">
      <w:pPr>
        <w:spacing w:after="360" w:line="240" w:lineRule="auto"/>
        <w:rPr>
          <w:rFonts w:ascii="Times New Roman" w:eastAsia="Times New Roman" w:hAnsi="Times New Roman" w:cs="Times New Roman"/>
          <w:sz w:val="24"/>
          <w:szCs w:val="24"/>
          <w:lang w:eastAsia="en-GB"/>
        </w:rPr>
      </w:pPr>
      <w:r w:rsidRPr="00AB428C">
        <w:rPr>
          <w:rFonts w:ascii="Times New Roman" w:eastAsia="Times New Roman" w:hAnsi="Times New Roman" w:cs="Times New Roman"/>
          <w:sz w:val="24"/>
          <w:szCs w:val="24"/>
          <w:lang w:eastAsia="en-GB"/>
        </w:rPr>
        <w:t>Interviews with eight participants using photo elicitation, a method in which photographs produced by the participant are used as a stimulus and guide within the interview.</w:t>
      </w:r>
    </w:p>
    <w:p w14:paraId="26984087" w14:textId="77777777" w:rsidR="00AB428C" w:rsidRPr="00AB428C" w:rsidRDefault="00AB428C" w:rsidP="00AB428C">
      <w:pPr>
        <w:spacing w:after="120" w:line="240" w:lineRule="auto"/>
        <w:outlineLvl w:val="2"/>
        <w:rPr>
          <w:rFonts w:ascii="Segoe UI" w:eastAsia="Times New Roman" w:hAnsi="Segoe UI" w:cs="Segoe UI"/>
          <w:color w:val="222222"/>
          <w:sz w:val="27"/>
          <w:szCs w:val="27"/>
          <w:lang w:eastAsia="en-GB"/>
        </w:rPr>
      </w:pPr>
      <w:r w:rsidRPr="00AB428C">
        <w:rPr>
          <w:rFonts w:ascii="Segoe UI" w:eastAsia="Times New Roman" w:hAnsi="Segoe UI" w:cs="Segoe UI"/>
          <w:color w:val="222222"/>
          <w:sz w:val="27"/>
          <w:szCs w:val="27"/>
          <w:lang w:eastAsia="en-GB"/>
        </w:rPr>
        <w:t>Results</w:t>
      </w:r>
    </w:p>
    <w:p w14:paraId="39F03556" w14:textId="77777777" w:rsidR="00AB428C" w:rsidRPr="00AB428C" w:rsidRDefault="00AB428C" w:rsidP="00AB428C">
      <w:pPr>
        <w:spacing w:after="360" w:line="240" w:lineRule="auto"/>
        <w:rPr>
          <w:rFonts w:ascii="Times New Roman" w:eastAsia="Times New Roman" w:hAnsi="Times New Roman" w:cs="Times New Roman"/>
          <w:sz w:val="24"/>
          <w:szCs w:val="24"/>
          <w:lang w:eastAsia="en-GB"/>
        </w:rPr>
      </w:pPr>
      <w:r w:rsidRPr="00AB428C">
        <w:rPr>
          <w:rFonts w:ascii="Times New Roman" w:eastAsia="Times New Roman" w:hAnsi="Times New Roman" w:cs="Times New Roman"/>
          <w:sz w:val="24"/>
          <w:szCs w:val="24"/>
          <w:lang w:eastAsia="en-GB"/>
        </w:rPr>
        <w:t>Participants responded positively to using images to support a discussion about their self-harm and readily incorporated images in the interview. Four main themes were identified representing negative and positive or adaptive purposes of self-harm: self-harm as a response to distress, self-harm to achieve mastery, self-harm as protective and self-harm as a language or form of communication.</w:t>
      </w:r>
    </w:p>
    <w:p w14:paraId="4F3B0A38" w14:textId="77777777" w:rsidR="00AB428C" w:rsidRPr="00AB428C" w:rsidRDefault="00AB428C" w:rsidP="00AB428C">
      <w:pPr>
        <w:spacing w:after="120" w:line="240" w:lineRule="auto"/>
        <w:outlineLvl w:val="2"/>
        <w:rPr>
          <w:rFonts w:ascii="Segoe UI" w:eastAsia="Times New Roman" w:hAnsi="Segoe UI" w:cs="Segoe UI"/>
          <w:color w:val="222222"/>
          <w:sz w:val="27"/>
          <w:szCs w:val="27"/>
          <w:lang w:eastAsia="en-GB"/>
        </w:rPr>
      </w:pPr>
      <w:r w:rsidRPr="00AB428C">
        <w:rPr>
          <w:rFonts w:ascii="Segoe UI" w:eastAsia="Times New Roman" w:hAnsi="Segoe UI" w:cs="Segoe UI"/>
          <w:color w:val="222222"/>
          <w:sz w:val="27"/>
          <w:szCs w:val="27"/>
          <w:lang w:eastAsia="en-GB"/>
        </w:rPr>
        <w:t>Conclusions</w:t>
      </w:r>
    </w:p>
    <w:p w14:paraId="2703E85A" w14:textId="77777777" w:rsidR="00AB428C" w:rsidRPr="00AB428C" w:rsidRDefault="00AB428C" w:rsidP="00AB428C">
      <w:pPr>
        <w:spacing w:line="240" w:lineRule="auto"/>
        <w:rPr>
          <w:rFonts w:ascii="Times New Roman" w:eastAsia="Times New Roman" w:hAnsi="Times New Roman" w:cs="Times New Roman"/>
          <w:sz w:val="24"/>
          <w:szCs w:val="24"/>
          <w:lang w:eastAsia="en-GB"/>
        </w:rPr>
      </w:pPr>
      <w:r w:rsidRPr="00AB428C">
        <w:rPr>
          <w:rFonts w:ascii="Times New Roman" w:eastAsia="Times New Roman" w:hAnsi="Times New Roman" w:cs="Times New Roman"/>
          <w:sz w:val="24"/>
          <w:szCs w:val="24"/>
          <w:lang w:eastAsia="en-GB"/>
        </w:rPr>
        <w:t>Employing this novel approach was useful in broadening our understanding of self-harm.</w:t>
      </w:r>
    </w:p>
    <w:p w14:paraId="6AFD4DE3" w14:textId="77777777" w:rsidR="00AB428C" w:rsidRPr="009F707B" w:rsidRDefault="00AB428C">
      <w:pPr>
        <w:rPr>
          <w:rFonts w:ascii="Arial" w:hAnsi="Arial" w:cs="Arial"/>
          <w:b/>
          <w:bCs/>
          <w:sz w:val="24"/>
          <w:szCs w:val="24"/>
        </w:rPr>
      </w:pPr>
    </w:p>
    <w:p w14:paraId="7FC28680" w14:textId="77777777" w:rsidR="00F12E41" w:rsidRPr="00F12E41" w:rsidRDefault="00EC441A" w:rsidP="00F12E41">
      <w:pPr>
        <w:shd w:val="clear" w:color="auto" w:fill="FFFFFF"/>
        <w:spacing w:after="0" w:line="240" w:lineRule="auto"/>
        <w:outlineLvl w:val="0"/>
        <w:rPr>
          <w:rFonts w:ascii="inherit" w:eastAsia="Times New Roman" w:hAnsi="inherit" w:cs="Open Sans"/>
          <w:b/>
          <w:bCs/>
          <w:color w:val="333333"/>
          <w:kern w:val="36"/>
          <w:sz w:val="48"/>
          <w:szCs w:val="48"/>
          <w:lang w:eastAsia="en-GB"/>
        </w:rPr>
      </w:pPr>
      <w:hyperlink r:id="rId11" w:tgtFrame="_blank" w:history="1">
        <w:r w:rsidR="00F12E41" w:rsidRPr="00F12E41">
          <w:rPr>
            <w:rFonts w:ascii="inherit" w:eastAsia="Times New Roman" w:hAnsi="inherit" w:cs="Open Sans"/>
            <w:b/>
            <w:bCs/>
            <w:color w:val="074BA9"/>
            <w:kern w:val="36"/>
            <w:sz w:val="36"/>
            <w:szCs w:val="36"/>
            <w:u w:val="single"/>
            <w:lang w:eastAsia="en-GB"/>
          </w:rPr>
          <w:t>Revisiting the Belmont Report’s ethical principles in internet-mediated research: perspectives from disciplinary associations in the social sciences</w:t>
        </w:r>
      </w:hyperlink>
    </w:p>
    <w:p w14:paraId="64AEE1DF" w14:textId="77777777" w:rsidR="00F12E41" w:rsidRPr="00F12E41" w:rsidRDefault="00EC441A" w:rsidP="00F12E41">
      <w:pPr>
        <w:shd w:val="clear" w:color="auto" w:fill="FFFFFF"/>
        <w:spacing w:after="75" w:line="240" w:lineRule="auto"/>
        <w:rPr>
          <w:rFonts w:ascii="Open Sans" w:eastAsia="Times New Roman" w:hAnsi="Open Sans" w:cs="Open Sans"/>
          <w:color w:val="333333"/>
          <w:sz w:val="24"/>
          <w:szCs w:val="24"/>
          <w:lang w:eastAsia="en-GB"/>
        </w:rPr>
      </w:pPr>
      <w:hyperlink r:id="rId12" w:tooltip="View other works by Icy Fresno Anabo" w:history="1">
        <w:r w:rsidR="00F12E41" w:rsidRPr="00F12E41">
          <w:rPr>
            <w:rFonts w:ascii="Open Sans" w:eastAsia="Times New Roman" w:hAnsi="Open Sans" w:cs="Open Sans"/>
            <w:color w:val="109D49"/>
            <w:sz w:val="27"/>
            <w:szCs w:val="27"/>
            <w:lang w:eastAsia="en-GB"/>
          </w:rPr>
          <w:t>Icy Fresno Anabo</w:t>
        </w:r>
      </w:hyperlink>
      <w:r w:rsidR="00F12E41" w:rsidRPr="00F12E41">
        <w:rPr>
          <w:rFonts w:ascii="Open Sans" w:eastAsia="Times New Roman" w:hAnsi="Open Sans" w:cs="Open Sans"/>
          <w:color w:val="333333"/>
          <w:sz w:val="24"/>
          <w:szCs w:val="24"/>
          <w:lang w:eastAsia="en-GB"/>
        </w:rPr>
        <w:t>, </w:t>
      </w:r>
      <w:hyperlink r:id="rId13" w:tooltip="View other works by Iciar Elexpuru-Albizuri" w:history="1">
        <w:r w:rsidR="00F12E41" w:rsidRPr="00F12E41">
          <w:rPr>
            <w:rFonts w:ascii="Open Sans" w:eastAsia="Times New Roman" w:hAnsi="Open Sans" w:cs="Open Sans"/>
            <w:color w:val="109D49"/>
            <w:sz w:val="27"/>
            <w:szCs w:val="27"/>
            <w:u w:val="single"/>
            <w:lang w:eastAsia="en-GB"/>
          </w:rPr>
          <w:t>Iciar Elexpuru-Albizuri</w:t>
        </w:r>
      </w:hyperlink>
      <w:r w:rsidR="00F12E41" w:rsidRPr="00F12E41">
        <w:rPr>
          <w:rFonts w:ascii="Open Sans" w:eastAsia="Times New Roman" w:hAnsi="Open Sans" w:cs="Open Sans"/>
          <w:color w:val="333333"/>
          <w:sz w:val="24"/>
          <w:szCs w:val="24"/>
          <w:lang w:eastAsia="en-GB"/>
        </w:rPr>
        <w:t> &amp; </w:t>
      </w:r>
      <w:hyperlink r:id="rId14" w:tooltip="View other works by Lourdes Villardón-Gallego" w:history="1">
        <w:r w:rsidR="00F12E41" w:rsidRPr="00F12E41">
          <w:rPr>
            <w:rFonts w:ascii="Open Sans" w:eastAsia="Times New Roman" w:hAnsi="Open Sans" w:cs="Open Sans"/>
            <w:color w:val="109D49"/>
            <w:sz w:val="27"/>
            <w:szCs w:val="27"/>
            <w:lang w:eastAsia="en-GB"/>
          </w:rPr>
          <w:t>Lourdes Villardón-Gallego</w:t>
        </w:r>
      </w:hyperlink>
    </w:p>
    <w:p w14:paraId="241C0E24" w14:textId="77777777" w:rsidR="00F12E41" w:rsidRPr="00F12E41" w:rsidRDefault="00EC441A" w:rsidP="00F12E41">
      <w:pPr>
        <w:shd w:val="clear" w:color="auto" w:fill="FFFFFF"/>
        <w:spacing w:after="0" w:line="240" w:lineRule="auto"/>
        <w:rPr>
          <w:rFonts w:ascii="Open Sans" w:eastAsia="Times New Roman" w:hAnsi="Open Sans" w:cs="Open Sans"/>
          <w:color w:val="333333"/>
          <w:sz w:val="24"/>
          <w:szCs w:val="24"/>
          <w:lang w:eastAsia="en-GB"/>
        </w:rPr>
      </w:pPr>
      <w:hyperlink r:id="rId15" w:history="1">
        <w:r w:rsidR="00F12E41" w:rsidRPr="00F12E41">
          <w:rPr>
            <w:rFonts w:ascii="Open Sans" w:eastAsia="Times New Roman" w:hAnsi="Open Sans" w:cs="Open Sans"/>
            <w:i/>
            <w:iCs/>
            <w:color w:val="074BA9"/>
            <w:sz w:val="24"/>
            <w:szCs w:val="24"/>
            <w:u w:val="single"/>
            <w:lang w:eastAsia="en-GB"/>
          </w:rPr>
          <w:t>Ethics and Information Technology</w:t>
        </w:r>
      </w:hyperlink>
      <w:r w:rsidR="00F12E41" w:rsidRPr="00F12E41">
        <w:rPr>
          <w:rFonts w:ascii="Open Sans" w:eastAsia="Times New Roman" w:hAnsi="Open Sans" w:cs="Open Sans"/>
          <w:color w:val="333333"/>
          <w:sz w:val="24"/>
          <w:szCs w:val="24"/>
          <w:lang w:eastAsia="en-GB"/>
        </w:rPr>
        <w:t> 21 (2):137-149 (2019)</w:t>
      </w:r>
    </w:p>
    <w:p w14:paraId="4D54E4F8" w14:textId="77777777" w:rsidR="00F12E41" w:rsidRDefault="00F12E41" w:rsidP="009F707B">
      <w:pPr>
        <w:shd w:val="clear" w:color="auto" w:fill="FFFFFF"/>
        <w:spacing w:after="0" w:line="240" w:lineRule="auto"/>
        <w:outlineLvl w:val="2"/>
        <w:rPr>
          <w:rFonts w:ascii="Arial" w:eastAsia="Times New Roman" w:hAnsi="Arial" w:cs="Arial"/>
          <w:color w:val="555555"/>
          <w:sz w:val="24"/>
          <w:szCs w:val="24"/>
          <w:shd w:val="clear" w:color="auto" w:fill="FFFFFF"/>
          <w:lang w:eastAsia="en-GB"/>
        </w:rPr>
      </w:pPr>
    </w:p>
    <w:p w14:paraId="689D9F6F" w14:textId="61D961AD" w:rsidR="00F12E41" w:rsidRDefault="00F12E41" w:rsidP="009F707B">
      <w:pPr>
        <w:shd w:val="clear" w:color="auto" w:fill="FFFFFF"/>
        <w:spacing w:after="0" w:line="240" w:lineRule="auto"/>
        <w:outlineLvl w:val="2"/>
        <w:rPr>
          <w:rFonts w:ascii="Open Sans" w:hAnsi="Open Sans" w:cs="Open Sans"/>
          <w:color w:val="333333"/>
          <w:sz w:val="21"/>
          <w:szCs w:val="21"/>
          <w:shd w:val="clear" w:color="auto" w:fill="FFFFFF"/>
        </w:rPr>
      </w:pPr>
      <w:r>
        <w:rPr>
          <w:rFonts w:ascii="Open Sans" w:hAnsi="Open Sans" w:cs="Open Sans"/>
          <w:color w:val="333333"/>
          <w:sz w:val="21"/>
          <w:szCs w:val="21"/>
          <w:shd w:val="clear" w:color="auto" w:fill="FFFFFF"/>
        </w:rPr>
        <w:t>The purpose of this article is to illuminate the conceptualisations and applications of the Belmont Report’s key ethical principles of respect for persons, beneficence, and justice based on a document analysis of five of the most relevant disciplinary guidelines on internet research in the social sciences. These seminal documents are meant to provide discipline-specific guidance for research design and implementation and are regarded as key references when conducting research online. Our analysis revealed that the principles of respect and beneficence were explicitly conveyed in the documents analysed, offering nuanced interpretations on issues of informed consent, privacy, and benefits and risks as well as providing recommendations for modifying traditional practices to fit the online setting. However, the invocations of the principle of justice were rather implicit and reflect an important shift from the Belmont Report’s protectionist ethical position towards more situational and dialogic approaches. With the rapidly evolving nature of internet technologies, this analysis is projected to contribute to the ongoing developments in research ethics in the social sciences by outlining the tensions and implications of the use of the internet as a methodological tool. We also seek to provide recommendations on how disciplinary associations can proceed to facilitate ethically sensitive internet research.</w:t>
      </w:r>
    </w:p>
    <w:p w14:paraId="6B85155E" w14:textId="77777777" w:rsidR="00F12E41" w:rsidRDefault="00F12E41" w:rsidP="009F707B">
      <w:pPr>
        <w:shd w:val="clear" w:color="auto" w:fill="FFFFFF"/>
        <w:spacing w:after="0" w:line="240" w:lineRule="auto"/>
        <w:outlineLvl w:val="2"/>
        <w:rPr>
          <w:rFonts w:ascii="Arial" w:eastAsia="Times New Roman" w:hAnsi="Arial" w:cs="Arial"/>
          <w:color w:val="555555"/>
          <w:sz w:val="24"/>
          <w:szCs w:val="24"/>
          <w:shd w:val="clear" w:color="auto" w:fill="FFFFFF"/>
          <w:lang w:eastAsia="en-GB"/>
        </w:rPr>
      </w:pPr>
    </w:p>
    <w:p w14:paraId="7AB84248" w14:textId="4CE0D6CF" w:rsidR="009F707B" w:rsidRPr="00404F92" w:rsidRDefault="009F707B" w:rsidP="009F707B">
      <w:pPr>
        <w:shd w:val="clear" w:color="auto" w:fill="FFFFFF"/>
        <w:spacing w:after="0" w:line="240" w:lineRule="auto"/>
        <w:outlineLvl w:val="2"/>
        <w:rPr>
          <w:rFonts w:ascii="Arial" w:eastAsia="Times New Roman" w:hAnsi="Arial" w:cs="Arial"/>
          <w:color w:val="1B3C72"/>
          <w:sz w:val="24"/>
          <w:szCs w:val="24"/>
          <w:u w:val="single"/>
          <w:lang w:eastAsia="en-GB"/>
        </w:rPr>
      </w:pPr>
      <w:r w:rsidRPr="009F707B">
        <w:rPr>
          <w:rFonts w:ascii="Arial" w:eastAsia="Times New Roman" w:hAnsi="Arial" w:cs="Arial"/>
          <w:color w:val="555555"/>
          <w:sz w:val="24"/>
          <w:szCs w:val="24"/>
          <w:shd w:val="clear" w:color="auto" w:fill="FFFFFF"/>
          <w:lang w:eastAsia="en-GB"/>
        </w:rPr>
        <w:t>Hill, Aaron D; Kern, David A; White, Margaret A.</w:t>
      </w:r>
      <w:r>
        <w:rPr>
          <w:rFonts w:ascii="Arial" w:eastAsia="Times New Roman" w:hAnsi="Arial" w:cs="Arial"/>
          <w:color w:val="555555"/>
          <w:sz w:val="24"/>
          <w:szCs w:val="24"/>
          <w:shd w:val="clear" w:color="auto" w:fill="FFFFFF"/>
          <w:lang w:eastAsia="en-GB"/>
        </w:rPr>
        <w:t xml:space="preserve"> (2014) </w:t>
      </w:r>
      <w:r w:rsidRPr="00404F92">
        <w:rPr>
          <w:rFonts w:ascii="Arial" w:eastAsia="Times New Roman" w:hAnsi="Arial" w:cs="Arial"/>
          <w:color w:val="4C4C4C"/>
          <w:sz w:val="24"/>
          <w:szCs w:val="24"/>
          <w:lang w:eastAsia="en-GB"/>
        </w:rPr>
        <w:fldChar w:fldCharType="begin"/>
      </w:r>
      <w:r w:rsidRPr="00404F92">
        <w:rPr>
          <w:rFonts w:ascii="Arial" w:eastAsia="Times New Roman" w:hAnsi="Arial" w:cs="Arial"/>
          <w:color w:val="4C4C4C"/>
          <w:sz w:val="24"/>
          <w:szCs w:val="24"/>
          <w:lang w:eastAsia="en-GB"/>
        </w:rPr>
        <w:instrText xml:space="preserve"> HYPERLINK "https://search-proquest-com.ezproxy.uwtsd.ac.uk/abicomplete/docview/1525957169/B704C0B555814517PQ/5?accountid=130472" \o "Are we overconfident in executive overconfidence research? An examination of the convergent and content validity of extant unobtrusive measures" </w:instrText>
      </w:r>
      <w:r w:rsidRPr="00404F92">
        <w:rPr>
          <w:rFonts w:ascii="Arial" w:eastAsia="Times New Roman" w:hAnsi="Arial" w:cs="Arial"/>
          <w:color w:val="4C4C4C"/>
          <w:sz w:val="24"/>
          <w:szCs w:val="24"/>
          <w:lang w:eastAsia="en-GB"/>
        </w:rPr>
        <w:fldChar w:fldCharType="separate"/>
      </w:r>
    </w:p>
    <w:p w14:paraId="1667F2D9" w14:textId="1F79A254" w:rsidR="009F707B" w:rsidRDefault="009F707B" w:rsidP="009F707B">
      <w:pPr>
        <w:shd w:val="clear" w:color="auto" w:fill="FFFFFF"/>
        <w:spacing w:after="0" w:line="360" w:lineRule="atLeast"/>
        <w:outlineLvl w:val="2"/>
        <w:rPr>
          <w:rFonts w:ascii="Arial" w:eastAsia="Times New Roman" w:hAnsi="Arial" w:cs="Arial"/>
          <w:color w:val="555555"/>
          <w:sz w:val="24"/>
          <w:szCs w:val="24"/>
          <w:shd w:val="clear" w:color="auto" w:fill="FFFFFF"/>
          <w:lang w:eastAsia="en-GB"/>
        </w:rPr>
      </w:pPr>
      <w:r w:rsidRPr="00404F92">
        <w:rPr>
          <w:rFonts w:ascii="Arial" w:eastAsia="Times New Roman" w:hAnsi="Arial" w:cs="Arial"/>
          <w:color w:val="1B3C72"/>
          <w:sz w:val="24"/>
          <w:szCs w:val="24"/>
          <w:lang w:eastAsia="en-GB"/>
        </w:rPr>
        <w:t>Are we overconfident in executive overconfidence </w:t>
      </w:r>
      <w:r w:rsidRPr="00404F92">
        <w:rPr>
          <w:rFonts w:ascii="Arial" w:eastAsia="Times New Roman" w:hAnsi="Arial" w:cs="Arial"/>
          <w:color w:val="000000"/>
          <w:sz w:val="24"/>
          <w:szCs w:val="24"/>
          <w:shd w:val="clear" w:color="auto" w:fill="F4E99D"/>
          <w:lang w:eastAsia="en-GB"/>
        </w:rPr>
        <w:t>research</w:t>
      </w:r>
      <w:r w:rsidRPr="00404F92">
        <w:rPr>
          <w:rFonts w:ascii="Arial" w:eastAsia="Times New Roman" w:hAnsi="Arial" w:cs="Arial"/>
          <w:color w:val="1B3C72"/>
          <w:sz w:val="24"/>
          <w:szCs w:val="24"/>
          <w:lang w:eastAsia="en-GB"/>
        </w:rPr>
        <w:t>? An examination of the convergent and content validity of extant </w:t>
      </w:r>
      <w:r w:rsidRPr="00404F92">
        <w:rPr>
          <w:rFonts w:ascii="Arial" w:eastAsia="Times New Roman" w:hAnsi="Arial" w:cs="Arial"/>
          <w:color w:val="000000"/>
          <w:sz w:val="24"/>
          <w:szCs w:val="24"/>
          <w:shd w:val="clear" w:color="auto" w:fill="F4E99D"/>
          <w:lang w:eastAsia="en-GB"/>
        </w:rPr>
        <w:t>unobtrusive</w:t>
      </w:r>
      <w:r w:rsidRPr="00404F92">
        <w:rPr>
          <w:rFonts w:ascii="Arial" w:eastAsia="Times New Roman" w:hAnsi="Arial" w:cs="Arial"/>
          <w:color w:val="1B3C72"/>
          <w:sz w:val="24"/>
          <w:szCs w:val="24"/>
          <w:lang w:eastAsia="en-GB"/>
        </w:rPr>
        <w:t> measures</w:t>
      </w:r>
      <w:r>
        <w:rPr>
          <w:rFonts w:ascii="Arial" w:eastAsia="Times New Roman" w:hAnsi="Arial" w:cs="Arial"/>
          <w:color w:val="1B3C72"/>
          <w:sz w:val="24"/>
          <w:szCs w:val="24"/>
          <w:lang w:eastAsia="en-GB"/>
        </w:rPr>
        <w:t xml:space="preserve">, </w:t>
      </w:r>
      <w:r w:rsidRPr="00404F92">
        <w:rPr>
          <w:rFonts w:ascii="Arial" w:eastAsia="Times New Roman" w:hAnsi="Arial" w:cs="Arial"/>
          <w:color w:val="4C4C4C"/>
          <w:sz w:val="24"/>
          <w:szCs w:val="24"/>
          <w:lang w:eastAsia="en-GB"/>
        </w:rPr>
        <w:fldChar w:fldCharType="end"/>
      </w:r>
      <w:r w:rsidRPr="009F707B">
        <w:rPr>
          <w:rFonts w:ascii="Arial" w:eastAsia="Times New Roman" w:hAnsi="Arial" w:cs="Arial"/>
          <w:b/>
          <w:bCs/>
          <w:color w:val="555555"/>
          <w:sz w:val="24"/>
          <w:szCs w:val="24"/>
          <w:shd w:val="clear" w:color="auto" w:fill="FFFFFF"/>
          <w:lang w:eastAsia="en-GB"/>
        </w:rPr>
        <w:t>Journal of Business </w:t>
      </w:r>
      <w:r w:rsidRPr="009F707B">
        <w:rPr>
          <w:rFonts w:ascii="Arial" w:eastAsia="Times New Roman" w:hAnsi="Arial" w:cs="Arial"/>
          <w:b/>
          <w:bCs/>
          <w:color w:val="000000"/>
          <w:sz w:val="24"/>
          <w:szCs w:val="24"/>
          <w:shd w:val="clear" w:color="auto" w:fill="F4E99D"/>
          <w:lang w:eastAsia="en-GB"/>
        </w:rPr>
        <w:t>Research</w:t>
      </w:r>
      <w:r w:rsidRPr="009F707B">
        <w:rPr>
          <w:rFonts w:ascii="Arial" w:eastAsia="Times New Roman" w:hAnsi="Arial" w:cs="Arial"/>
          <w:b/>
          <w:bCs/>
          <w:color w:val="555555"/>
          <w:sz w:val="24"/>
          <w:szCs w:val="24"/>
          <w:shd w:val="clear" w:color="auto" w:fill="FFFFFF"/>
          <w:lang w:eastAsia="en-GB"/>
        </w:rPr>
        <w:t>; New York</w:t>
      </w:r>
      <w:r w:rsidRPr="009F707B">
        <w:rPr>
          <w:rFonts w:ascii="Arial" w:eastAsia="Times New Roman" w:hAnsi="Arial" w:cs="Arial"/>
          <w:color w:val="555555"/>
          <w:sz w:val="24"/>
          <w:szCs w:val="24"/>
          <w:shd w:val="clear" w:color="auto" w:fill="FFFFFF"/>
          <w:lang w:eastAsia="en-GB"/>
        </w:rPr>
        <w:t> Vol. 67, Iss. 7: 1414.</w:t>
      </w:r>
    </w:p>
    <w:p w14:paraId="185542DD" w14:textId="77777777" w:rsidR="009F707B" w:rsidRPr="009F707B" w:rsidRDefault="009F707B" w:rsidP="009F707B">
      <w:pPr>
        <w:shd w:val="clear" w:color="auto" w:fill="FFFFFF"/>
        <w:spacing w:after="0" w:line="360" w:lineRule="atLeast"/>
        <w:outlineLvl w:val="2"/>
        <w:rPr>
          <w:rFonts w:ascii="Arial" w:eastAsia="Times New Roman" w:hAnsi="Arial" w:cs="Arial"/>
          <w:color w:val="4C4C4C"/>
          <w:sz w:val="24"/>
          <w:szCs w:val="24"/>
          <w:lang w:eastAsia="en-GB"/>
        </w:rPr>
      </w:pPr>
    </w:p>
    <w:p w14:paraId="168146D4" w14:textId="67CB03A9" w:rsidR="009F707B" w:rsidRDefault="009F707B">
      <w:pPr>
        <w:rPr>
          <w:rFonts w:ascii="Roboto" w:hAnsi="Roboto"/>
          <w:color w:val="555555"/>
          <w:sz w:val="21"/>
          <w:szCs w:val="21"/>
          <w:shd w:val="clear" w:color="auto" w:fill="FFFFFF"/>
        </w:rPr>
      </w:pPr>
      <w:r w:rsidRPr="009F707B">
        <w:rPr>
          <w:rFonts w:ascii="Arial" w:hAnsi="Arial" w:cs="Arial"/>
          <w:color w:val="555555"/>
          <w:sz w:val="24"/>
          <w:szCs w:val="24"/>
          <w:shd w:val="clear" w:color="auto" w:fill="FFFFFF"/>
        </w:rPr>
        <w:t>Building understanding of overconfident executives is central to a growing literature that spans a number of disciplines. Much of this </w:t>
      </w:r>
      <w:r w:rsidRPr="009F707B">
        <w:rPr>
          <w:rStyle w:val="hit"/>
          <w:rFonts w:ascii="Arial" w:hAnsi="Arial" w:cs="Arial"/>
          <w:color w:val="000000"/>
          <w:sz w:val="24"/>
          <w:szCs w:val="24"/>
          <w:shd w:val="clear" w:color="auto" w:fill="F4E99D"/>
        </w:rPr>
        <w:t>research</w:t>
      </w:r>
      <w:r w:rsidRPr="009F707B">
        <w:rPr>
          <w:rFonts w:ascii="Arial" w:hAnsi="Arial" w:cs="Arial"/>
          <w:color w:val="555555"/>
          <w:sz w:val="24"/>
          <w:szCs w:val="24"/>
          <w:shd w:val="clear" w:color="auto" w:fill="FFFFFF"/>
        </w:rPr>
        <w:t> has utilized </w:t>
      </w:r>
      <w:r w:rsidRPr="009F707B">
        <w:rPr>
          <w:rStyle w:val="hit"/>
          <w:rFonts w:ascii="Arial" w:hAnsi="Arial" w:cs="Arial"/>
          <w:color w:val="000000"/>
          <w:sz w:val="24"/>
          <w:szCs w:val="24"/>
          <w:shd w:val="clear" w:color="auto" w:fill="F4E99D"/>
        </w:rPr>
        <w:t>unobtrusive</w:t>
      </w:r>
      <w:r w:rsidRPr="009F707B">
        <w:rPr>
          <w:rFonts w:ascii="Arial" w:hAnsi="Arial" w:cs="Arial"/>
          <w:color w:val="555555"/>
          <w:sz w:val="24"/>
          <w:szCs w:val="24"/>
          <w:shd w:val="clear" w:color="auto" w:fill="FFFFFF"/>
        </w:rPr>
        <w:t>, or indirect, measures to assess executive overconfidence from secondary data sources. We analyze the convergent and content validity of seven extant </w:t>
      </w:r>
      <w:r w:rsidRPr="009F707B">
        <w:rPr>
          <w:rStyle w:val="hit"/>
          <w:rFonts w:ascii="Arial" w:hAnsi="Arial" w:cs="Arial"/>
          <w:color w:val="000000"/>
          <w:sz w:val="24"/>
          <w:szCs w:val="24"/>
          <w:shd w:val="clear" w:color="auto" w:fill="F4E99D"/>
        </w:rPr>
        <w:t>unobtrusive</w:t>
      </w:r>
      <w:r w:rsidRPr="009F707B">
        <w:rPr>
          <w:rFonts w:ascii="Arial" w:hAnsi="Arial" w:cs="Arial"/>
          <w:color w:val="555555"/>
          <w:sz w:val="24"/>
          <w:szCs w:val="24"/>
          <w:shd w:val="clear" w:color="auto" w:fill="FFFFFF"/>
        </w:rPr>
        <w:t xml:space="preserve"> measures of executive overconfidence. The results of our analyses indicate that these measures do not exhibit adequate convergence, suggesting that existing measures are not measuring the same construct. Further, we administer a </w:t>
      </w:r>
      <w:proofErr w:type="gramStart"/>
      <w:r w:rsidRPr="009F707B">
        <w:rPr>
          <w:rFonts w:ascii="Arial" w:hAnsi="Arial" w:cs="Arial"/>
          <w:color w:val="555555"/>
          <w:sz w:val="24"/>
          <w:szCs w:val="24"/>
          <w:shd w:val="clear" w:color="auto" w:fill="FFFFFF"/>
        </w:rPr>
        <w:t>sort</w:t>
      </w:r>
      <w:proofErr w:type="gramEnd"/>
      <w:r w:rsidRPr="009F707B">
        <w:rPr>
          <w:rFonts w:ascii="Arial" w:hAnsi="Arial" w:cs="Arial"/>
          <w:color w:val="555555"/>
          <w:sz w:val="24"/>
          <w:szCs w:val="24"/>
          <w:shd w:val="clear" w:color="auto" w:fill="FFFFFF"/>
        </w:rPr>
        <w:t xml:space="preserve"> task to academic colleagues to assess whether scholars believe that the seven measures are adequately assessing the intended construct. The results of our </w:t>
      </w:r>
      <w:proofErr w:type="gramStart"/>
      <w:r w:rsidRPr="009F707B">
        <w:rPr>
          <w:rFonts w:ascii="Arial" w:hAnsi="Arial" w:cs="Arial"/>
          <w:color w:val="555555"/>
          <w:sz w:val="24"/>
          <w:szCs w:val="24"/>
          <w:shd w:val="clear" w:color="auto" w:fill="FFFFFF"/>
        </w:rPr>
        <w:t>sort</w:t>
      </w:r>
      <w:proofErr w:type="gramEnd"/>
      <w:r w:rsidRPr="009F707B">
        <w:rPr>
          <w:rFonts w:ascii="Arial" w:hAnsi="Arial" w:cs="Arial"/>
          <w:color w:val="555555"/>
          <w:sz w:val="24"/>
          <w:szCs w:val="24"/>
          <w:shd w:val="clear" w:color="auto" w:fill="FFFFFF"/>
        </w:rPr>
        <w:t xml:space="preserve"> task indicate that scholars did not categorize any of the seven measures as sufficient for measuring overconfidence. We conclude with suggestions for future </w:t>
      </w:r>
      <w:r w:rsidRPr="009F707B">
        <w:rPr>
          <w:rStyle w:val="hit"/>
          <w:rFonts w:ascii="Arial" w:hAnsi="Arial" w:cs="Arial"/>
          <w:color w:val="000000"/>
          <w:sz w:val="24"/>
          <w:szCs w:val="24"/>
          <w:shd w:val="clear" w:color="auto" w:fill="F4E99D"/>
        </w:rPr>
        <w:t>research</w:t>
      </w:r>
      <w:r w:rsidRPr="009F707B">
        <w:rPr>
          <w:rFonts w:ascii="Arial" w:hAnsi="Arial" w:cs="Arial"/>
          <w:color w:val="555555"/>
          <w:sz w:val="24"/>
          <w:szCs w:val="24"/>
          <w:shd w:val="clear" w:color="auto" w:fill="FFFFFF"/>
        </w:rPr>
        <w:t> to address the inadequate convergent and content</w:t>
      </w:r>
      <w:r>
        <w:rPr>
          <w:rFonts w:ascii="Roboto" w:hAnsi="Roboto"/>
          <w:color w:val="555555"/>
          <w:sz w:val="21"/>
          <w:szCs w:val="21"/>
          <w:shd w:val="clear" w:color="auto" w:fill="FFFFFF"/>
        </w:rPr>
        <w:t xml:space="preserve"> validity found in our assessment of extant measures of executive overconfidence.</w:t>
      </w:r>
    </w:p>
    <w:p w14:paraId="0D8C5F13" w14:textId="33C49E9B" w:rsidR="009F707B" w:rsidRDefault="009F707B" w:rsidP="009F707B">
      <w:pPr>
        <w:rPr>
          <w:rFonts w:ascii="Roboto" w:hAnsi="Roboto"/>
          <w:color w:val="555555"/>
          <w:sz w:val="21"/>
          <w:szCs w:val="21"/>
          <w:shd w:val="clear" w:color="auto" w:fill="FFFFFF"/>
        </w:rPr>
      </w:pPr>
      <w:r w:rsidRPr="009F707B">
        <w:rPr>
          <w:rFonts w:ascii="Roboto" w:hAnsi="Roboto"/>
          <w:color w:val="555555"/>
          <w:sz w:val="21"/>
          <w:szCs w:val="21"/>
          <w:shd w:val="clear" w:color="auto" w:fill="FFFFFF"/>
        </w:rPr>
        <w:t>Unobtrusive observational measures as a qualitative extension of visitor surveys at festivals and events: Mass observation revisited</w:t>
      </w:r>
      <w:r>
        <w:rPr>
          <w:rFonts w:ascii="Roboto" w:hAnsi="Roboto"/>
          <w:color w:val="555555"/>
          <w:sz w:val="21"/>
          <w:szCs w:val="21"/>
          <w:shd w:val="clear" w:color="auto" w:fill="FFFFFF"/>
        </w:rPr>
        <w:t>.</w:t>
      </w:r>
    </w:p>
    <w:p w14:paraId="19057342" w14:textId="01236161" w:rsidR="009F707B" w:rsidRDefault="009F707B" w:rsidP="009F707B">
      <w:pPr>
        <w:rPr>
          <w:rFonts w:ascii="Roboto" w:hAnsi="Roboto"/>
          <w:color w:val="555555"/>
          <w:sz w:val="21"/>
          <w:szCs w:val="21"/>
          <w:shd w:val="clear" w:color="auto" w:fill="FFFFFF"/>
        </w:rPr>
      </w:pPr>
    </w:p>
    <w:p w14:paraId="455B74C5" w14:textId="226E83CD" w:rsidR="009F707B" w:rsidRDefault="00ED7AF8" w:rsidP="009F707B">
      <w:pPr>
        <w:rPr>
          <w:rFonts w:ascii="Verdana" w:hAnsi="Verdana"/>
          <w:color w:val="555555"/>
          <w:sz w:val="18"/>
          <w:szCs w:val="18"/>
          <w:shd w:val="clear" w:color="auto" w:fill="FFFFFF"/>
        </w:rPr>
      </w:pPr>
      <w:r>
        <w:rPr>
          <w:rFonts w:ascii="Verdana" w:hAnsi="Verdana"/>
          <w:color w:val="555555"/>
          <w:sz w:val="18"/>
          <w:szCs w:val="18"/>
          <w:shd w:val="clear" w:color="auto" w:fill="FFFFFF"/>
        </w:rPr>
        <w:t>SEATON, A.V., 2002. Observing conducted tours: The ethnographic context in tourist research. </w:t>
      </w:r>
      <w:r>
        <w:rPr>
          <w:rFonts w:ascii="Verdana" w:hAnsi="Verdana"/>
          <w:i/>
          <w:iCs/>
          <w:color w:val="555555"/>
          <w:sz w:val="18"/>
          <w:szCs w:val="18"/>
          <w:shd w:val="clear" w:color="auto" w:fill="FFFFFF"/>
        </w:rPr>
        <w:t>Journal of Vacation Marketing, </w:t>
      </w:r>
      <w:r>
        <w:rPr>
          <w:rFonts w:ascii="Verdana" w:hAnsi="Verdana"/>
          <w:b/>
          <w:bCs/>
          <w:color w:val="555555"/>
          <w:sz w:val="18"/>
          <w:szCs w:val="18"/>
          <w:shd w:val="clear" w:color="auto" w:fill="FFFFFF"/>
        </w:rPr>
        <w:t>8</w:t>
      </w:r>
      <w:r>
        <w:rPr>
          <w:rFonts w:ascii="Verdana" w:hAnsi="Verdana"/>
          <w:color w:val="555555"/>
          <w:sz w:val="18"/>
          <w:szCs w:val="18"/>
          <w:shd w:val="clear" w:color="auto" w:fill="FFFFFF"/>
        </w:rPr>
        <w:t>(4), pp. 309-319.</w:t>
      </w:r>
    </w:p>
    <w:p w14:paraId="04C30846" w14:textId="272DB93E" w:rsidR="00ED7AF8" w:rsidRDefault="00ED7AF8" w:rsidP="009F707B">
      <w:pPr>
        <w:rPr>
          <w:rFonts w:ascii="Roboto" w:hAnsi="Roboto"/>
          <w:color w:val="555555"/>
          <w:sz w:val="21"/>
          <w:szCs w:val="21"/>
          <w:shd w:val="clear" w:color="auto" w:fill="FFFFFF"/>
        </w:rPr>
      </w:pPr>
      <w:r>
        <w:rPr>
          <w:rFonts w:ascii="Roboto" w:hAnsi="Roboto"/>
          <w:color w:val="555555"/>
          <w:sz w:val="21"/>
          <w:szCs w:val="21"/>
          <w:shd w:val="clear" w:color="auto" w:fill="FFFFFF"/>
        </w:rPr>
        <w:t>This paper explores observational contexts in ethnographic methodologies, deploying participant and </w:t>
      </w:r>
      <w:r>
        <w:rPr>
          <w:rStyle w:val="hit"/>
          <w:rFonts w:ascii="Roboto" w:hAnsi="Roboto"/>
          <w:color w:val="000000"/>
          <w:sz w:val="21"/>
          <w:szCs w:val="21"/>
          <w:shd w:val="clear" w:color="auto" w:fill="F4E99D"/>
        </w:rPr>
        <w:t>unobtrusive</w:t>
      </w:r>
      <w:r>
        <w:rPr>
          <w:rFonts w:ascii="Roboto" w:hAnsi="Roboto"/>
          <w:color w:val="555555"/>
          <w:sz w:val="21"/>
          <w:szCs w:val="21"/>
          <w:shd w:val="clear" w:color="auto" w:fill="FFFFFF"/>
        </w:rPr>
        <w:t> observation in </w:t>
      </w:r>
      <w:r>
        <w:rPr>
          <w:rStyle w:val="hit"/>
          <w:rFonts w:ascii="Roboto" w:hAnsi="Roboto"/>
          <w:color w:val="000000"/>
          <w:sz w:val="21"/>
          <w:szCs w:val="21"/>
          <w:shd w:val="clear" w:color="auto" w:fill="F4E99D"/>
        </w:rPr>
        <w:t>research</w:t>
      </w:r>
      <w:r>
        <w:rPr>
          <w:rFonts w:ascii="Roboto" w:hAnsi="Roboto"/>
          <w:color w:val="555555"/>
          <w:sz w:val="21"/>
          <w:szCs w:val="21"/>
          <w:shd w:val="clear" w:color="auto" w:fill="FFFFFF"/>
        </w:rPr>
        <w:t> designed to monitor the existential world of the tourist, including perceptions and satisfactions, during the course of the tourism event. The paper differentiates between two contrasting contexts of ethnographic observation - the open field and the closed field - and it sets out to inventory some of the distinctive problems and opportunities associated with each. Attention is drawn to the importance of the conducted touring party as a social grouping that may be envisaged, both historically and in contemporary terms, as the primary unit of tourism, and reaffirms the potential of </w:t>
      </w:r>
      <w:r>
        <w:rPr>
          <w:rStyle w:val="hit"/>
          <w:rFonts w:ascii="Roboto" w:hAnsi="Roboto"/>
          <w:color w:val="000000"/>
          <w:sz w:val="21"/>
          <w:szCs w:val="21"/>
          <w:shd w:val="clear" w:color="auto" w:fill="F4E99D"/>
        </w:rPr>
        <w:t>unobtrusive</w:t>
      </w:r>
      <w:r>
        <w:rPr>
          <w:rFonts w:ascii="Roboto" w:hAnsi="Roboto"/>
          <w:color w:val="555555"/>
          <w:sz w:val="21"/>
          <w:szCs w:val="21"/>
          <w:shd w:val="clear" w:color="auto" w:fill="FFFFFF"/>
        </w:rPr>
        <w:t> and participant observational methods for studying it. The analysis and discussion have practical relevance for both theoretical and applied tourism researchers.</w:t>
      </w:r>
    </w:p>
    <w:p w14:paraId="20283D57" w14:textId="5B6CA22E" w:rsidR="0087236A" w:rsidRDefault="0087236A" w:rsidP="009F707B">
      <w:pPr>
        <w:rPr>
          <w:rFonts w:ascii="Verdana" w:hAnsi="Verdana"/>
          <w:color w:val="555555"/>
          <w:sz w:val="18"/>
          <w:szCs w:val="18"/>
          <w:shd w:val="clear" w:color="auto" w:fill="FFFFFF"/>
        </w:rPr>
      </w:pPr>
      <w:r>
        <w:rPr>
          <w:rFonts w:ascii="Verdana" w:hAnsi="Verdana"/>
          <w:color w:val="555555"/>
          <w:sz w:val="18"/>
          <w:szCs w:val="18"/>
          <w:shd w:val="clear" w:color="auto" w:fill="FFFFFF"/>
        </w:rPr>
        <w:t>STERLING, J., JOST, J.T. and BONNEAU, R., 2020. Political psycholinguistics: A comprehensive analysis of the language habits of liberal and conservative social media users. </w:t>
      </w:r>
      <w:r>
        <w:rPr>
          <w:rFonts w:ascii="Verdana" w:hAnsi="Verdana"/>
          <w:i/>
          <w:iCs/>
          <w:color w:val="555555"/>
          <w:sz w:val="18"/>
          <w:szCs w:val="18"/>
          <w:shd w:val="clear" w:color="auto" w:fill="FFFFFF"/>
        </w:rPr>
        <w:t>Journal of personality and social psychology, </w:t>
      </w:r>
      <w:r>
        <w:rPr>
          <w:rFonts w:ascii="Verdana" w:hAnsi="Verdana"/>
          <w:b/>
          <w:bCs/>
          <w:color w:val="555555"/>
          <w:sz w:val="18"/>
          <w:szCs w:val="18"/>
          <w:shd w:val="clear" w:color="auto" w:fill="FFFFFF"/>
        </w:rPr>
        <w:t>118</w:t>
      </w:r>
      <w:r>
        <w:rPr>
          <w:rFonts w:ascii="Verdana" w:hAnsi="Verdana"/>
          <w:color w:val="555555"/>
          <w:sz w:val="18"/>
          <w:szCs w:val="18"/>
          <w:shd w:val="clear" w:color="auto" w:fill="FFFFFF"/>
        </w:rPr>
        <w:t>(4), pp. 805.</w:t>
      </w:r>
    </w:p>
    <w:p w14:paraId="13F3A2E8" w14:textId="546E5131" w:rsidR="00ED7AF8" w:rsidRDefault="0087236A" w:rsidP="009F707B">
      <w:pPr>
        <w:rPr>
          <w:rFonts w:ascii="Roboto" w:hAnsi="Roboto"/>
          <w:color w:val="555555"/>
          <w:sz w:val="21"/>
          <w:szCs w:val="21"/>
          <w:shd w:val="clear" w:color="auto" w:fill="FFFFFF"/>
        </w:rPr>
      </w:pPr>
      <w:r>
        <w:rPr>
          <w:rFonts w:ascii="Roboto" w:hAnsi="Roboto"/>
          <w:color w:val="555555"/>
          <w:sz w:val="21"/>
          <w:szCs w:val="21"/>
          <w:shd w:val="clear" w:color="auto" w:fill="FFFFFF"/>
        </w:rPr>
        <w:t xml:space="preserve">For nearly a </w:t>
      </w:r>
      <w:proofErr w:type="gramStart"/>
      <w:r>
        <w:rPr>
          <w:rFonts w:ascii="Roboto" w:hAnsi="Roboto"/>
          <w:color w:val="555555"/>
          <w:sz w:val="21"/>
          <w:szCs w:val="21"/>
          <w:shd w:val="clear" w:color="auto" w:fill="FFFFFF"/>
        </w:rPr>
        <w:t>century social scientists</w:t>
      </w:r>
      <w:proofErr w:type="gramEnd"/>
      <w:r>
        <w:rPr>
          <w:rFonts w:ascii="Roboto" w:hAnsi="Roboto"/>
          <w:color w:val="555555"/>
          <w:sz w:val="21"/>
          <w:szCs w:val="21"/>
          <w:shd w:val="clear" w:color="auto" w:fill="FFFFFF"/>
        </w:rPr>
        <w:t xml:space="preserve"> have sought to understand left–right ideological differences in values, motives, and thinking styles. Much progress has been made, but-as in other areas of research-this work has been criticized for relying on small and statistically unrepresentative samples and the use of reactive, self-report measures that lack ecological validity. In an effort to overcome these limitations, we employed automated text analytic methods to investigate the spontaneous, naturally occurring use of language in nearly 25,000 Twitter users. We derived 27 hypotheses from the literature on political psychology and tested them using 32 individual dictionaries. In 23 cases, we observed significant differences in the linguistic styles of liberals and conservatives. For instance, liberals used more language that conveyed benevolence, whereas conservatives used more language pertaining to threat, power, tradition, resistance to change, certainty, security, anger, anxiety, and negative emotion in general. In 17 cases, there were also significant effects of ideological extremity. For instance, moderates used more benevolent language, whereas extremists used more language pertaining to inhibition, tentativeness, affiliation, resistance to change, certainty, security, anger, anxiety, negative affect, swear words, and death-related language. These research methods, which are easily adaptable, open up new and unprecedented opportunities for conducting </w:t>
      </w:r>
      <w:r>
        <w:rPr>
          <w:rStyle w:val="hit"/>
          <w:rFonts w:ascii="Roboto" w:hAnsi="Roboto"/>
          <w:color w:val="000000"/>
          <w:sz w:val="21"/>
          <w:szCs w:val="21"/>
          <w:shd w:val="clear" w:color="auto" w:fill="F4E99D"/>
        </w:rPr>
        <w:t>unobtrusive</w:t>
      </w:r>
      <w:r>
        <w:rPr>
          <w:rFonts w:ascii="Roboto" w:hAnsi="Roboto"/>
          <w:color w:val="555555"/>
          <w:sz w:val="21"/>
          <w:szCs w:val="21"/>
          <w:shd w:val="clear" w:color="auto" w:fill="FFFFFF"/>
        </w:rPr>
        <w:t> </w:t>
      </w:r>
      <w:r>
        <w:rPr>
          <w:rStyle w:val="hit"/>
          <w:rFonts w:ascii="Roboto" w:hAnsi="Roboto"/>
          <w:color w:val="000000"/>
          <w:sz w:val="21"/>
          <w:szCs w:val="21"/>
          <w:shd w:val="clear" w:color="auto" w:fill="F4E99D"/>
        </w:rPr>
        <w:t>research</w:t>
      </w:r>
      <w:r>
        <w:rPr>
          <w:rFonts w:ascii="Roboto" w:hAnsi="Roboto"/>
          <w:color w:val="555555"/>
          <w:sz w:val="21"/>
          <w:szCs w:val="21"/>
          <w:shd w:val="clear" w:color="auto" w:fill="FFFFFF"/>
        </w:rPr>
        <w:t> in psycholinguistics and political psychology with large and diverse samples.</w:t>
      </w:r>
    </w:p>
    <w:p w14:paraId="05123619" w14:textId="7B9F9283" w:rsidR="009F707B" w:rsidRDefault="009F707B" w:rsidP="009F707B">
      <w:pPr>
        <w:rPr>
          <w:rFonts w:ascii="Roboto" w:hAnsi="Roboto"/>
          <w:color w:val="555555"/>
          <w:sz w:val="21"/>
          <w:szCs w:val="21"/>
          <w:shd w:val="clear" w:color="auto" w:fill="FFFFFF"/>
        </w:rPr>
      </w:pPr>
      <w:r>
        <w:rPr>
          <w:rFonts w:ascii="Verdana" w:hAnsi="Verdana"/>
          <w:color w:val="555555"/>
          <w:sz w:val="18"/>
          <w:szCs w:val="18"/>
          <w:shd w:val="clear" w:color="auto" w:fill="FFFFFF"/>
        </w:rPr>
        <w:t xml:space="preserve">VAN SCOTTER JAMES, </w:t>
      </w:r>
      <w:proofErr w:type="gramStart"/>
      <w:r>
        <w:rPr>
          <w:rFonts w:ascii="Verdana" w:hAnsi="Verdana"/>
          <w:color w:val="555555"/>
          <w:sz w:val="18"/>
          <w:szCs w:val="18"/>
          <w:shd w:val="clear" w:color="auto" w:fill="FFFFFF"/>
        </w:rPr>
        <w:t>R.,II</w:t>
      </w:r>
      <w:proofErr w:type="gramEnd"/>
      <w:r>
        <w:rPr>
          <w:rFonts w:ascii="Verdana" w:hAnsi="Verdana"/>
          <w:color w:val="555555"/>
          <w:sz w:val="18"/>
          <w:szCs w:val="18"/>
          <w:shd w:val="clear" w:color="auto" w:fill="FFFFFF"/>
        </w:rPr>
        <w:t>, 2020. Narcissism in CEO research: a review and replication of the archival approach. </w:t>
      </w:r>
      <w:r>
        <w:rPr>
          <w:rFonts w:ascii="Verdana" w:hAnsi="Verdana"/>
          <w:i/>
          <w:iCs/>
          <w:color w:val="555555"/>
          <w:sz w:val="18"/>
          <w:szCs w:val="18"/>
          <w:shd w:val="clear" w:color="auto" w:fill="FFFFFF"/>
        </w:rPr>
        <w:t>Management Review Quarterly, </w:t>
      </w:r>
      <w:r>
        <w:rPr>
          <w:rFonts w:ascii="Verdana" w:hAnsi="Verdana"/>
          <w:b/>
          <w:bCs/>
          <w:color w:val="555555"/>
          <w:sz w:val="18"/>
          <w:szCs w:val="18"/>
          <w:shd w:val="clear" w:color="auto" w:fill="FFFFFF"/>
        </w:rPr>
        <w:t>70</w:t>
      </w:r>
      <w:r>
        <w:rPr>
          <w:rFonts w:ascii="Verdana" w:hAnsi="Verdana"/>
          <w:color w:val="555555"/>
          <w:sz w:val="18"/>
          <w:szCs w:val="18"/>
          <w:shd w:val="clear" w:color="auto" w:fill="FFFFFF"/>
        </w:rPr>
        <w:t>(4), pp. 629-674.</w:t>
      </w:r>
    </w:p>
    <w:p w14:paraId="18D02883" w14:textId="50AC353D" w:rsidR="009F707B" w:rsidRPr="009F707B" w:rsidRDefault="009F707B" w:rsidP="009F707B">
      <w:pPr>
        <w:rPr>
          <w:rFonts w:ascii="Roboto" w:hAnsi="Roboto"/>
          <w:color w:val="555555"/>
          <w:sz w:val="21"/>
          <w:szCs w:val="21"/>
          <w:shd w:val="clear" w:color="auto" w:fill="FFFFFF"/>
        </w:rPr>
      </w:pPr>
      <w:r>
        <w:rPr>
          <w:rFonts w:ascii="Roboto" w:hAnsi="Roboto"/>
          <w:color w:val="555555"/>
          <w:sz w:val="21"/>
          <w:szCs w:val="21"/>
          <w:shd w:val="clear" w:color="auto" w:fill="FFFFFF"/>
        </w:rPr>
        <w:t>Using an </w:t>
      </w:r>
      <w:r>
        <w:rPr>
          <w:rStyle w:val="hit"/>
          <w:rFonts w:ascii="Roboto" w:hAnsi="Roboto"/>
          <w:color w:val="000000"/>
          <w:sz w:val="21"/>
          <w:szCs w:val="21"/>
          <w:shd w:val="clear" w:color="auto" w:fill="F4E99D"/>
        </w:rPr>
        <w:t>unobtrusive</w:t>
      </w:r>
      <w:r>
        <w:rPr>
          <w:rFonts w:ascii="Roboto" w:hAnsi="Roboto"/>
          <w:color w:val="555555"/>
          <w:sz w:val="21"/>
          <w:szCs w:val="21"/>
          <w:shd w:val="clear" w:color="auto" w:fill="FFFFFF"/>
        </w:rPr>
        <w:t> archival narcissism measure (Chatterjee and Hambrick in Adm Sci Q 52:351–386, 2007; Adm Sci Q 56:202–237, 2011), CEO narcissism has been linked to important strategic issues: overpayment for acquisitions, risk taking, fraud, etc., but measurement unreliability raises important questions about this </w:t>
      </w:r>
      <w:r>
        <w:rPr>
          <w:rStyle w:val="hit"/>
          <w:rFonts w:ascii="Roboto" w:hAnsi="Roboto"/>
          <w:color w:val="000000"/>
          <w:sz w:val="21"/>
          <w:szCs w:val="21"/>
          <w:shd w:val="clear" w:color="auto" w:fill="F4E99D"/>
        </w:rPr>
        <w:t>research</w:t>
      </w:r>
      <w:r>
        <w:rPr>
          <w:rFonts w:ascii="Roboto" w:hAnsi="Roboto"/>
          <w:color w:val="555555"/>
          <w:sz w:val="21"/>
          <w:szCs w:val="21"/>
          <w:shd w:val="clear" w:color="auto" w:fill="FFFFFF"/>
        </w:rPr>
        <w:t>. Six studies (N</w:t>
      </w:r>
      <w:r>
        <w:rPr>
          <w:rFonts w:ascii="Times New Roman" w:hAnsi="Times New Roman" w:cs="Times New Roman"/>
          <w:color w:val="555555"/>
          <w:sz w:val="21"/>
          <w:szCs w:val="21"/>
          <w:shd w:val="clear" w:color="auto" w:fill="FFFFFF"/>
        </w:rPr>
        <w:t> </w:t>
      </w:r>
      <w:r>
        <w:rPr>
          <w:rFonts w:ascii="Roboto" w:hAnsi="Roboto"/>
          <w:color w:val="555555"/>
          <w:sz w:val="21"/>
          <w:szCs w:val="21"/>
          <w:shd w:val="clear" w:color="auto" w:fill="FFFFFF"/>
        </w:rPr>
        <w:t>=</w:t>
      </w:r>
      <w:r>
        <w:rPr>
          <w:rFonts w:ascii="Times New Roman" w:hAnsi="Times New Roman" w:cs="Times New Roman"/>
          <w:color w:val="555555"/>
          <w:sz w:val="21"/>
          <w:szCs w:val="21"/>
          <w:shd w:val="clear" w:color="auto" w:fill="FFFFFF"/>
        </w:rPr>
        <w:t> </w:t>
      </w:r>
      <w:r>
        <w:rPr>
          <w:rFonts w:ascii="Roboto" w:hAnsi="Roboto"/>
          <w:color w:val="555555"/>
          <w:sz w:val="21"/>
          <w:szCs w:val="21"/>
          <w:shd w:val="clear" w:color="auto" w:fill="FFFFFF"/>
        </w:rPr>
        <w:t>791, comprising 5.3% of CEOs in this review) reported Cronbach</w:t>
      </w:r>
      <w:r>
        <w:rPr>
          <w:rFonts w:ascii="Roboto" w:hAnsi="Roboto" w:cs="Roboto"/>
          <w:color w:val="555555"/>
          <w:sz w:val="21"/>
          <w:szCs w:val="21"/>
          <w:shd w:val="clear" w:color="auto" w:fill="FFFFFF"/>
        </w:rPr>
        <w:t>’</w:t>
      </w:r>
      <w:r>
        <w:rPr>
          <w:rFonts w:ascii="Roboto" w:hAnsi="Roboto"/>
          <w:color w:val="555555"/>
          <w:sz w:val="21"/>
          <w:szCs w:val="21"/>
          <w:shd w:val="clear" w:color="auto" w:fill="FFFFFF"/>
        </w:rPr>
        <w:t>s alphas that met minimum standards (.71</w:t>
      </w:r>
      <w:r>
        <w:rPr>
          <w:rFonts w:ascii="Times New Roman" w:hAnsi="Times New Roman" w:cs="Times New Roman"/>
          <w:color w:val="555555"/>
          <w:sz w:val="21"/>
          <w:szCs w:val="21"/>
          <w:shd w:val="clear" w:color="auto" w:fill="FFFFFF"/>
        </w:rPr>
        <w:t> ≤ α ≤ </w:t>
      </w:r>
      <w:r>
        <w:rPr>
          <w:rFonts w:ascii="Roboto" w:hAnsi="Roboto"/>
          <w:color w:val="555555"/>
          <w:sz w:val="21"/>
          <w:szCs w:val="21"/>
          <w:shd w:val="clear" w:color="auto" w:fill="FFFFFF"/>
        </w:rPr>
        <w:t>.75) along with other reliability results that were often mixed (e.g. poor test–retest reliability and factor analysis results). However, 37 studies (N</w:t>
      </w:r>
      <w:r>
        <w:rPr>
          <w:rFonts w:ascii="Times New Roman" w:hAnsi="Times New Roman" w:cs="Times New Roman"/>
          <w:color w:val="555555"/>
          <w:sz w:val="21"/>
          <w:szCs w:val="21"/>
          <w:shd w:val="clear" w:color="auto" w:fill="FFFFFF"/>
        </w:rPr>
        <w:t> </w:t>
      </w:r>
      <w:r>
        <w:rPr>
          <w:rFonts w:ascii="Roboto" w:hAnsi="Roboto"/>
          <w:color w:val="555555"/>
          <w:sz w:val="21"/>
          <w:szCs w:val="21"/>
          <w:shd w:val="clear" w:color="auto" w:fill="FFFFFF"/>
        </w:rPr>
        <w:t>=</w:t>
      </w:r>
      <w:r>
        <w:rPr>
          <w:rFonts w:ascii="Times New Roman" w:hAnsi="Times New Roman" w:cs="Times New Roman"/>
          <w:color w:val="555555"/>
          <w:sz w:val="21"/>
          <w:szCs w:val="21"/>
          <w:shd w:val="clear" w:color="auto" w:fill="FFFFFF"/>
        </w:rPr>
        <w:t> </w:t>
      </w:r>
      <w:r>
        <w:rPr>
          <w:rFonts w:ascii="Roboto" w:hAnsi="Roboto"/>
          <w:color w:val="555555"/>
          <w:sz w:val="21"/>
          <w:szCs w:val="21"/>
          <w:shd w:val="clear" w:color="auto" w:fill="FFFFFF"/>
        </w:rPr>
        <w:t>14,165, 94.7% of CEOs) had unacceptable reliability or failed to report any evidence of reliability at all. Out of 43 studies (total N</w:t>
      </w:r>
      <w:r>
        <w:rPr>
          <w:rFonts w:ascii="Times New Roman" w:hAnsi="Times New Roman" w:cs="Times New Roman"/>
          <w:color w:val="555555"/>
          <w:sz w:val="21"/>
          <w:szCs w:val="21"/>
          <w:shd w:val="clear" w:color="auto" w:fill="FFFFFF"/>
        </w:rPr>
        <w:t> </w:t>
      </w:r>
      <w:r>
        <w:rPr>
          <w:rFonts w:ascii="Roboto" w:hAnsi="Roboto"/>
          <w:color w:val="555555"/>
          <w:sz w:val="21"/>
          <w:szCs w:val="21"/>
          <w:shd w:val="clear" w:color="auto" w:fill="FFFFFF"/>
        </w:rPr>
        <w:t>=</w:t>
      </w:r>
      <w:r>
        <w:rPr>
          <w:rFonts w:ascii="Times New Roman" w:hAnsi="Times New Roman" w:cs="Times New Roman"/>
          <w:color w:val="555555"/>
          <w:sz w:val="21"/>
          <w:szCs w:val="21"/>
          <w:shd w:val="clear" w:color="auto" w:fill="FFFFFF"/>
        </w:rPr>
        <w:t> </w:t>
      </w:r>
      <w:r>
        <w:rPr>
          <w:rFonts w:ascii="Roboto" w:hAnsi="Roboto"/>
          <w:color w:val="555555"/>
          <w:sz w:val="21"/>
          <w:szCs w:val="21"/>
          <w:shd w:val="clear" w:color="auto" w:fill="FFFFFF"/>
        </w:rPr>
        <w:t>14,956 CEOs), 10 studies (N</w:t>
      </w:r>
      <w:r>
        <w:rPr>
          <w:rFonts w:ascii="Times New Roman" w:hAnsi="Times New Roman" w:cs="Times New Roman"/>
          <w:color w:val="555555"/>
          <w:sz w:val="21"/>
          <w:szCs w:val="21"/>
          <w:shd w:val="clear" w:color="auto" w:fill="FFFFFF"/>
        </w:rPr>
        <w:t> </w:t>
      </w:r>
      <w:r>
        <w:rPr>
          <w:rFonts w:ascii="Roboto" w:hAnsi="Roboto"/>
          <w:color w:val="555555"/>
          <w:sz w:val="21"/>
          <w:szCs w:val="21"/>
          <w:shd w:val="clear" w:color="auto" w:fill="FFFFFF"/>
        </w:rPr>
        <w:t>=</w:t>
      </w:r>
      <w:r>
        <w:rPr>
          <w:rFonts w:ascii="Times New Roman" w:hAnsi="Times New Roman" w:cs="Times New Roman"/>
          <w:color w:val="555555"/>
          <w:sz w:val="21"/>
          <w:szCs w:val="21"/>
          <w:shd w:val="clear" w:color="auto" w:fill="FFFFFF"/>
        </w:rPr>
        <w:t> </w:t>
      </w:r>
      <w:r>
        <w:rPr>
          <w:rFonts w:ascii="Roboto" w:hAnsi="Roboto"/>
          <w:color w:val="555555"/>
          <w:sz w:val="21"/>
          <w:szCs w:val="21"/>
          <w:shd w:val="clear" w:color="auto" w:fill="FFFFFF"/>
        </w:rPr>
        <w:t>3582) obtained </w:t>
      </w:r>
      <w:r>
        <w:rPr>
          <w:rFonts w:ascii="Roboto" w:hAnsi="Roboto"/>
          <w:i/>
          <w:iCs/>
          <w:color w:val="555555"/>
          <w:sz w:val="21"/>
          <w:szCs w:val="21"/>
          <w:shd w:val="clear" w:color="auto" w:fill="FFFFFF"/>
        </w:rPr>
        <w:t>unreported</w:t>
      </w:r>
      <w:r>
        <w:rPr>
          <w:rFonts w:ascii="Roboto" w:hAnsi="Roboto"/>
          <w:color w:val="555555"/>
          <w:sz w:val="21"/>
          <w:szCs w:val="21"/>
          <w:shd w:val="clear" w:color="auto" w:fill="FFFFFF"/>
        </w:rPr>
        <w:t xml:space="preserve"> (calculated) Cronbach’s </w:t>
      </w:r>
      <w:r>
        <w:rPr>
          <w:rFonts w:ascii="Cambria" w:hAnsi="Cambria" w:cs="Cambria"/>
          <w:color w:val="555555"/>
          <w:sz w:val="21"/>
          <w:szCs w:val="21"/>
          <w:shd w:val="clear" w:color="auto" w:fill="FFFFFF"/>
        </w:rPr>
        <w:t>α ≤ </w:t>
      </w:r>
      <w:r>
        <w:rPr>
          <w:rFonts w:ascii="Roboto" w:hAnsi="Roboto"/>
          <w:color w:val="555555"/>
          <w:sz w:val="21"/>
          <w:szCs w:val="21"/>
          <w:shd w:val="clear" w:color="auto" w:fill="FFFFFF"/>
        </w:rPr>
        <w:t>.58, 10 studies reported no evidence of reliability or indicator correlations, despite using multiple indicators, and 10 studies justified a measure of narcissism by citing Chatterjee and Hambrick’s (2007) work, but actually relied on only a single archival indicator. Recent studies using the </w:t>
      </w:r>
      <w:r>
        <w:rPr>
          <w:rStyle w:val="hit"/>
          <w:rFonts w:ascii="Roboto" w:hAnsi="Roboto"/>
          <w:color w:val="000000"/>
          <w:sz w:val="21"/>
          <w:szCs w:val="21"/>
          <w:shd w:val="clear" w:color="auto" w:fill="F4E99D"/>
        </w:rPr>
        <w:t>unobtrusive</w:t>
      </w:r>
      <w:r>
        <w:rPr>
          <w:rFonts w:ascii="Roboto" w:hAnsi="Roboto"/>
          <w:color w:val="555555"/>
          <w:sz w:val="21"/>
          <w:szCs w:val="21"/>
          <w:shd w:val="clear" w:color="auto" w:fill="FFFFFF"/>
        </w:rPr>
        <w:t> archival approach for CEO narcissism have failed to find acceptable reliability, failed to report low reliability, and have engaged in questionable data transformations. In an operational replication study, data collection procedures were carefully followed, but acceptable results were not obtained in three CEO samples. This article concludes by considering implications for CEO narcissism </w:t>
      </w:r>
      <w:r>
        <w:rPr>
          <w:rStyle w:val="hit"/>
          <w:rFonts w:ascii="Roboto" w:hAnsi="Roboto"/>
          <w:color w:val="000000"/>
          <w:sz w:val="21"/>
          <w:szCs w:val="21"/>
          <w:shd w:val="clear" w:color="auto" w:fill="F4E99D"/>
        </w:rPr>
        <w:t>research</w:t>
      </w:r>
      <w:r>
        <w:rPr>
          <w:rFonts w:ascii="Roboto" w:hAnsi="Roboto"/>
          <w:color w:val="555555"/>
          <w:sz w:val="21"/>
          <w:szCs w:val="21"/>
          <w:shd w:val="clear" w:color="auto" w:fill="FFFFFF"/>
        </w:rPr>
        <w:t> and recommendations for future </w:t>
      </w:r>
      <w:r>
        <w:rPr>
          <w:rStyle w:val="hit"/>
          <w:rFonts w:ascii="Roboto" w:hAnsi="Roboto"/>
          <w:color w:val="000000"/>
          <w:sz w:val="21"/>
          <w:szCs w:val="21"/>
          <w:shd w:val="clear" w:color="auto" w:fill="F4E99D"/>
        </w:rPr>
        <w:t>research</w:t>
      </w:r>
      <w:r>
        <w:rPr>
          <w:rFonts w:ascii="Roboto" w:hAnsi="Roboto"/>
          <w:color w:val="555555"/>
          <w:sz w:val="21"/>
          <w:szCs w:val="21"/>
          <w:shd w:val="clear" w:color="auto" w:fill="FFFFFF"/>
        </w:rPr>
        <w:t> involving </w:t>
      </w:r>
      <w:r>
        <w:rPr>
          <w:rStyle w:val="hit"/>
          <w:rFonts w:ascii="Roboto" w:hAnsi="Roboto"/>
          <w:color w:val="000000"/>
          <w:sz w:val="21"/>
          <w:szCs w:val="21"/>
          <w:shd w:val="clear" w:color="auto" w:fill="F4E99D"/>
        </w:rPr>
        <w:t>unobtrusive</w:t>
      </w:r>
      <w:r>
        <w:rPr>
          <w:rFonts w:ascii="Roboto" w:hAnsi="Roboto"/>
          <w:color w:val="555555"/>
          <w:sz w:val="21"/>
          <w:szCs w:val="21"/>
          <w:shd w:val="clear" w:color="auto" w:fill="FFFFFF"/>
        </w:rPr>
        <w:t> measures.</w:t>
      </w:r>
    </w:p>
    <w:p w14:paraId="5D281346" w14:textId="77777777" w:rsidR="009F707B" w:rsidRPr="009F707B" w:rsidRDefault="00EC441A" w:rsidP="009F707B">
      <w:pPr>
        <w:rPr>
          <w:rFonts w:ascii="Roboto" w:hAnsi="Roboto"/>
          <w:color w:val="555555"/>
          <w:sz w:val="21"/>
          <w:szCs w:val="21"/>
          <w:shd w:val="clear" w:color="auto" w:fill="FFFFFF"/>
        </w:rPr>
      </w:pPr>
      <w:hyperlink r:id="rId16" w:tooltip="Click to search for more items by this author" w:history="1">
        <w:r w:rsidR="009F707B" w:rsidRPr="009F707B">
          <w:rPr>
            <w:rStyle w:val="Hyperlink"/>
            <w:rFonts w:ascii="Roboto" w:hAnsi="Roboto"/>
            <w:sz w:val="21"/>
            <w:szCs w:val="21"/>
            <w:shd w:val="clear" w:color="auto" w:fill="FFFFFF"/>
          </w:rPr>
          <w:t xml:space="preserve">Seaton, A </w:t>
        </w:r>
        <w:proofErr w:type="spellStart"/>
        <w:r w:rsidR="009F707B" w:rsidRPr="009F707B">
          <w:rPr>
            <w:rStyle w:val="Hyperlink"/>
            <w:rFonts w:ascii="Roboto" w:hAnsi="Roboto"/>
            <w:sz w:val="21"/>
            <w:szCs w:val="21"/>
            <w:shd w:val="clear" w:color="auto" w:fill="FFFFFF"/>
          </w:rPr>
          <w:t>V</w:t>
        </w:r>
      </w:hyperlink>
      <w:r w:rsidR="009F707B" w:rsidRPr="009F707B">
        <w:rPr>
          <w:rFonts w:ascii="Roboto" w:hAnsi="Roboto"/>
          <w:color w:val="555555"/>
          <w:sz w:val="21"/>
          <w:szCs w:val="21"/>
          <w:shd w:val="clear" w:color="auto" w:fill="FFFFFF"/>
        </w:rPr>
        <w:t>.</w:t>
      </w:r>
      <w:hyperlink r:id="rId17" w:tooltip="Click to search for more items from this journal" w:history="1">
        <w:r w:rsidR="009F707B" w:rsidRPr="009F707B">
          <w:rPr>
            <w:rStyle w:val="Hyperlink"/>
            <w:rFonts w:ascii="Roboto" w:hAnsi="Roboto"/>
            <w:b/>
            <w:bCs/>
            <w:sz w:val="21"/>
            <w:szCs w:val="21"/>
            <w:shd w:val="clear" w:color="auto" w:fill="FFFFFF"/>
          </w:rPr>
          <w:t>Journal</w:t>
        </w:r>
        <w:proofErr w:type="spellEnd"/>
        <w:r w:rsidR="009F707B" w:rsidRPr="009F707B">
          <w:rPr>
            <w:rStyle w:val="Hyperlink"/>
            <w:rFonts w:ascii="Roboto" w:hAnsi="Roboto"/>
            <w:b/>
            <w:bCs/>
            <w:sz w:val="21"/>
            <w:szCs w:val="21"/>
            <w:shd w:val="clear" w:color="auto" w:fill="FFFFFF"/>
          </w:rPr>
          <w:t xml:space="preserve"> of Travel Research</w:t>
        </w:r>
      </w:hyperlink>
      <w:r w:rsidR="009F707B" w:rsidRPr="009F707B">
        <w:rPr>
          <w:rFonts w:ascii="Roboto" w:hAnsi="Roboto"/>
          <w:b/>
          <w:bCs/>
          <w:color w:val="555555"/>
          <w:sz w:val="21"/>
          <w:szCs w:val="21"/>
          <w:shd w:val="clear" w:color="auto" w:fill="FFFFFF"/>
        </w:rPr>
        <w:t>; Boulder</w:t>
      </w:r>
      <w:hyperlink r:id="rId18" w:tooltip="Click to search for more items from this issue" w:history="1">
        <w:r w:rsidR="009F707B" w:rsidRPr="009F707B">
          <w:rPr>
            <w:rStyle w:val="Hyperlink"/>
            <w:rFonts w:ascii="Roboto" w:hAnsi="Roboto"/>
            <w:sz w:val="21"/>
            <w:szCs w:val="21"/>
            <w:shd w:val="clear" w:color="auto" w:fill="FFFFFF"/>
          </w:rPr>
          <w:t> Vol. 35, Iss. 4, </w:t>
        </w:r>
      </w:hyperlink>
      <w:r w:rsidR="009F707B" w:rsidRPr="009F707B">
        <w:rPr>
          <w:rFonts w:ascii="Roboto" w:hAnsi="Roboto"/>
          <w:color w:val="555555"/>
          <w:sz w:val="21"/>
          <w:szCs w:val="21"/>
          <w:shd w:val="clear" w:color="auto" w:fill="FFFFFF"/>
        </w:rPr>
        <w:t> (Spring 1997): 25-30.</w:t>
      </w:r>
    </w:p>
    <w:p w14:paraId="72586739" w14:textId="447CE713" w:rsidR="009F707B" w:rsidRDefault="009F707B">
      <w:pPr>
        <w:rPr>
          <w:rFonts w:ascii="Roboto" w:hAnsi="Roboto"/>
          <w:color w:val="555555"/>
          <w:sz w:val="21"/>
          <w:szCs w:val="21"/>
          <w:shd w:val="clear" w:color="auto" w:fill="FFFFFF"/>
        </w:rPr>
      </w:pPr>
    </w:p>
    <w:p w14:paraId="06B99700" w14:textId="7ACC970C" w:rsidR="009F707B" w:rsidRDefault="009F707B">
      <w:pPr>
        <w:rPr>
          <w:rFonts w:ascii="Roboto" w:hAnsi="Roboto"/>
          <w:color w:val="555555"/>
          <w:sz w:val="21"/>
          <w:szCs w:val="21"/>
          <w:shd w:val="clear" w:color="auto" w:fill="FFFFFF"/>
        </w:rPr>
      </w:pPr>
      <w:r>
        <w:rPr>
          <w:rFonts w:ascii="Roboto" w:hAnsi="Roboto"/>
          <w:color w:val="555555"/>
          <w:sz w:val="21"/>
          <w:szCs w:val="21"/>
          <w:shd w:val="clear" w:color="auto" w:fill="FFFFFF"/>
        </w:rPr>
        <w:t>Methodological issues in monitoring one-time, short-run, festival performances and events with fast exit rates (e.g., concerts and theatrical performances) are explored. Through critical case analysis, the limitations of questionnaire surveys and the value of augmenting them with </w:t>
      </w:r>
      <w:r>
        <w:rPr>
          <w:rStyle w:val="hit"/>
          <w:rFonts w:ascii="Roboto" w:hAnsi="Roboto"/>
          <w:color w:val="000000"/>
          <w:sz w:val="21"/>
          <w:szCs w:val="21"/>
          <w:shd w:val="clear" w:color="auto" w:fill="F4E99D"/>
        </w:rPr>
        <w:t>unobtrusive</w:t>
      </w:r>
      <w:r>
        <w:rPr>
          <w:rFonts w:ascii="Roboto" w:hAnsi="Roboto"/>
          <w:color w:val="555555"/>
          <w:sz w:val="21"/>
          <w:szCs w:val="21"/>
          <w:shd w:val="clear" w:color="auto" w:fill="FFFFFF"/>
        </w:rPr>
        <w:t>, direct observational measures derived from those first used in UK leisure-tourism </w:t>
      </w:r>
      <w:r>
        <w:rPr>
          <w:rStyle w:val="hit"/>
          <w:rFonts w:ascii="Roboto" w:hAnsi="Roboto"/>
          <w:color w:val="000000"/>
          <w:sz w:val="21"/>
          <w:szCs w:val="21"/>
          <w:shd w:val="clear" w:color="auto" w:fill="F4E99D"/>
        </w:rPr>
        <w:t>research</w:t>
      </w:r>
      <w:r>
        <w:rPr>
          <w:rFonts w:ascii="Roboto" w:hAnsi="Roboto"/>
          <w:color w:val="555555"/>
          <w:sz w:val="21"/>
          <w:szCs w:val="21"/>
          <w:shd w:val="clear" w:color="auto" w:fill="FFFFFF"/>
        </w:rPr>
        <w:t> by Mass Observation in the 1930s and 1940s and since commended to, but rarely adopted by, tourism researchers are suggested.</w:t>
      </w:r>
    </w:p>
    <w:p w14:paraId="15CB9223" w14:textId="3DB1F60C" w:rsidR="009F707B" w:rsidRDefault="009F707B">
      <w:pPr>
        <w:rPr>
          <w:rFonts w:ascii="Roboto" w:hAnsi="Roboto"/>
          <w:color w:val="555555"/>
          <w:sz w:val="21"/>
          <w:szCs w:val="21"/>
          <w:shd w:val="clear" w:color="auto" w:fill="FFFFFF"/>
        </w:rPr>
      </w:pPr>
    </w:p>
    <w:p w14:paraId="2B8B49E0" w14:textId="77777777" w:rsidR="0087236A" w:rsidRDefault="0087236A" w:rsidP="0087236A">
      <w:pPr>
        <w:shd w:val="clear" w:color="auto" w:fill="FFFFFF"/>
        <w:spacing w:before="100" w:beforeAutospacing="1" w:after="24" w:line="240" w:lineRule="auto"/>
        <w:rPr>
          <w:rFonts w:ascii="Arial" w:eastAsia="Times New Roman" w:hAnsi="Arial" w:cs="Arial"/>
          <w:sz w:val="24"/>
          <w:szCs w:val="24"/>
          <w:lang w:eastAsia="en-GB"/>
        </w:rPr>
      </w:pPr>
    </w:p>
    <w:p w14:paraId="199DEEB8" w14:textId="77777777" w:rsidR="0087236A" w:rsidRDefault="0087236A" w:rsidP="0087236A">
      <w:r>
        <w:rPr>
          <w:rFonts w:ascii="Verdana" w:hAnsi="Verdana"/>
          <w:color w:val="555555"/>
          <w:sz w:val="18"/>
          <w:szCs w:val="18"/>
          <w:shd w:val="clear" w:color="auto" w:fill="FFFFFF"/>
        </w:rPr>
        <w:t>JOSIEN, L., SEELEY, E., CSIPAK, J. and RAMPAL, R., 2014. CHEATING: STUDENTS AND FACULTY'S PERCEPTION ON POTENTIAL CHEATING ACTIVITY. </w:t>
      </w:r>
      <w:r>
        <w:rPr>
          <w:i/>
          <w:iCs/>
        </w:rPr>
        <w:t>Allied Academies International Conference.Academy of Educational Leadership.Proceedings, </w:t>
      </w:r>
      <w:r>
        <w:rPr>
          <w:b/>
          <w:bCs/>
        </w:rPr>
        <w:t>19</w:t>
      </w:r>
      <w:r>
        <w:t>(2), pp. 30-34.</w:t>
      </w:r>
    </w:p>
    <w:p w14:paraId="5ADBC23D" w14:textId="77777777" w:rsidR="0087236A" w:rsidRDefault="0087236A" w:rsidP="0087236A">
      <w:pPr>
        <w:rPr>
          <w:rFonts w:ascii="Arial" w:hAnsi="Arial" w:cs="Arial"/>
          <w:sz w:val="24"/>
          <w:szCs w:val="24"/>
        </w:rPr>
      </w:pPr>
      <w:r>
        <w:rPr>
          <w:rFonts w:ascii="Roboto" w:hAnsi="Roboto"/>
          <w:color w:val="555555"/>
          <w:sz w:val="21"/>
          <w:szCs w:val="21"/>
          <w:shd w:val="clear" w:color="auto" w:fill="FFFFFF"/>
        </w:rPr>
        <w:t>Cheating has permeated many facets of our daily life. Reports on cheating are found in business (Enron, Tyco ...), in sports (baseball, athletics...), and in the classroom, which make this topic relevant for scrutiny. The paper examines academic dishonesty among college students to ascertain whether faculty has a different perception on what constitutes cheating than students. A survey presenting 16 different scenarios was submitted to students and faculty alike asking them whether the action of the imaginary students in the scenario constituted cheating or not. The analysis of the results showed that there were some significant differences between faculty and students in their perception on whether or not their actions established cheating.</w:t>
      </w:r>
    </w:p>
    <w:p w14:paraId="6F390013" w14:textId="0074C39E" w:rsidR="009F707B" w:rsidRDefault="00AD5006">
      <w:r>
        <w:rPr>
          <w:rFonts w:ascii="Verdana" w:hAnsi="Verdana"/>
          <w:color w:val="555555"/>
          <w:sz w:val="18"/>
          <w:szCs w:val="18"/>
          <w:shd w:val="clear" w:color="auto" w:fill="FFFFFF"/>
        </w:rPr>
        <w:t>LUGOSI, P., JANTA, H. and WATSON, P., 2012. Investigative management and consumer research on the internet. </w:t>
      </w:r>
      <w:r>
        <w:rPr>
          <w:rFonts w:ascii="Verdana" w:hAnsi="Verdana"/>
          <w:i/>
          <w:iCs/>
          <w:color w:val="555555"/>
          <w:sz w:val="18"/>
          <w:szCs w:val="18"/>
          <w:shd w:val="clear" w:color="auto" w:fill="FFFFFF"/>
        </w:rPr>
        <w:t>International Journal of Contemporary Hospitality Management, </w:t>
      </w:r>
      <w:r>
        <w:rPr>
          <w:rFonts w:ascii="Verdana" w:hAnsi="Verdana"/>
          <w:b/>
          <w:bCs/>
          <w:color w:val="555555"/>
          <w:sz w:val="18"/>
          <w:szCs w:val="18"/>
          <w:shd w:val="clear" w:color="auto" w:fill="FFFFFF"/>
        </w:rPr>
        <w:t>24</w:t>
      </w:r>
      <w:r>
        <w:rPr>
          <w:rFonts w:ascii="Verdana" w:hAnsi="Verdana"/>
          <w:color w:val="555555"/>
          <w:sz w:val="18"/>
          <w:szCs w:val="18"/>
          <w:shd w:val="clear" w:color="auto" w:fill="FFFFFF"/>
        </w:rPr>
        <w:t>(6), pp. 838-854.</w:t>
      </w:r>
    </w:p>
    <w:p w14:paraId="1A2CB764" w14:textId="4270914E" w:rsidR="00AD5006" w:rsidRDefault="00AD5006">
      <w:pPr>
        <w:rPr>
          <w:rFonts w:ascii="Roboto" w:hAnsi="Roboto"/>
          <w:color w:val="555555"/>
          <w:sz w:val="21"/>
          <w:szCs w:val="21"/>
          <w:shd w:val="clear" w:color="auto" w:fill="FFFFFF"/>
        </w:rPr>
      </w:pPr>
      <w:r>
        <w:rPr>
          <w:rFonts w:ascii="Roboto" w:hAnsi="Roboto"/>
          <w:color w:val="555555"/>
          <w:sz w:val="21"/>
          <w:szCs w:val="21"/>
          <w:shd w:val="clear" w:color="auto" w:fill="FFFFFF"/>
        </w:rPr>
        <w:t>Purpose - This paper aims to introduce the notion of investigative research on the internet (IRI) and conceptualise its processes through the principle of streaming. It seeks to discuss the similarities and differences between IRI and netnography and considers various aspects of the IRI process, including site selection, sampling, data collection and analysis. Design/methodology/approach - Investigative internet-based research uses the techniques of ethnography and netnography, including variations of participant observation and analysis of visual and textual material. Three international empirical cases are used to illustrate the application of IRI and streaming in research on international workers, consumer cultures and on emerging business phenomena. Findings - IRI has a number of potential applications for hospitality management academics and practitioners. Streaming can help to understand the processes involved in conducting netnographic research, and streaming is a more appropriate way to conceptualise some internet-based studies that do not conform to netnographic or ethnographic ideals. Research limitations/implications - The three empirical cases highlight the processes of streaming in practice, which can be applied elsewhere. Principal limitations are the ethical dimensions of conducting undisclosed research and the sampling bias resulting from adopting an unobtrusive role and focusing on active internet users. Practical implications - The paper highlights several issues, identified through streaming, that can be used to design human resource, marketing and operational strategies. Originality/value - The paper demonstrates the application of streaming. Streaming can help researchers conduct netnographic studies; it is also a more appropriate way to describe broader types of investigative internet research. Moreover, it demonstrates the applicability of streaming in research on hospitality management and public policy issues</w:t>
      </w:r>
      <w:r w:rsidR="002377F0">
        <w:rPr>
          <w:rFonts w:ascii="Roboto" w:hAnsi="Roboto"/>
          <w:color w:val="555555"/>
          <w:sz w:val="21"/>
          <w:szCs w:val="21"/>
          <w:shd w:val="clear" w:color="auto" w:fill="FFFFFF"/>
        </w:rPr>
        <w:t>.</w:t>
      </w:r>
    </w:p>
    <w:p w14:paraId="73834077" w14:textId="1ECB48CE" w:rsidR="002377F0" w:rsidRDefault="00EC441A">
      <w:pPr>
        <w:rPr>
          <w:rFonts w:ascii="Roboto" w:hAnsi="Roboto"/>
          <w:color w:val="555555"/>
          <w:sz w:val="21"/>
          <w:szCs w:val="21"/>
          <w:shd w:val="clear" w:color="auto" w:fill="FFFFFF"/>
        </w:rPr>
      </w:pPr>
      <w:hyperlink r:id="rId19" w:tooltip="Click to search for more items by this author" w:history="1">
        <w:r w:rsidR="002377F0" w:rsidRPr="002377F0">
          <w:rPr>
            <w:rFonts w:ascii="Roboto" w:hAnsi="Roboto"/>
            <w:color w:val="2A5DB0"/>
            <w:sz w:val="21"/>
            <w:szCs w:val="21"/>
            <w:u w:val="single"/>
          </w:rPr>
          <w:t>Velez-Calle, Andres</w:t>
        </w:r>
      </w:hyperlink>
      <w:r w:rsidR="002377F0" w:rsidRPr="002377F0">
        <w:rPr>
          <w:rFonts w:ascii="Roboto" w:hAnsi="Roboto"/>
          <w:color w:val="555555"/>
          <w:sz w:val="21"/>
          <w:szCs w:val="21"/>
          <w:shd w:val="clear" w:color="auto" w:fill="FFFFFF"/>
        </w:rPr>
        <w:t>; </w:t>
      </w:r>
      <w:hyperlink r:id="rId20" w:tooltip="Click to search for more items by this author" w:history="1">
        <w:r w:rsidR="002377F0" w:rsidRPr="002377F0">
          <w:rPr>
            <w:rFonts w:ascii="Roboto" w:hAnsi="Roboto"/>
            <w:color w:val="1B3C72"/>
            <w:sz w:val="21"/>
            <w:szCs w:val="21"/>
            <w:u w:val="single"/>
          </w:rPr>
          <w:t>Mariam, Misha</w:t>
        </w:r>
      </w:hyperlink>
      <w:r w:rsidR="002377F0" w:rsidRPr="002377F0">
        <w:rPr>
          <w:rFonts w:ascii="Roboto" w:hAnsi="Roboto"/>
          <w:color w:val="555555"/>
          <w:sz w:val="21"/>
          <w:szCs w:val="21"/>
          <w:shd w:val="clear" w:color="auto" w:fill="FFFFFF"/>
        </w:rPr>
        <w:t>; </w:t>
      </w:r>
      <w:hyperlink r:id="rId21" w:tooltip="Click to search for more items by this author" w:history="1">
        <w:r w:rsidR="002377F0" w:rsidRPr="002377F0">
          <w:rPr>
            <w:rFonts w:ascii="Roboto" w:hAnsi="Roboto"/>
            <w:color w:val="2A5DB0"/>
            <w:sz w:val="21"/>
            <w:szCs w:val="21"/>
            <w:u w:val="single"/>
          </w:rPr>
          <w:t>Gonzalez-Perez, Maria Alejandra</w:t>
        </w:r>
      </w:hyperlink>
      <w:r w:rsidR="002377F0" w:rsidRPr="002377F0">
        <w:rPr>
          <w:rFonts w:ascii="Roboto" w:hAnsi="Roboto"/>
          <w:color w:val="555555"/>
          <w:sz w:val="21"/>
          <w:szCs w:val="21"/>
          <w:shd w:val="clear" w:color="auto" w:fill="FFFFFF"/>
        </w:rPr>
        <w:t>; </w:t>
      </w:r>
      <w:hyperlink r:id="rId22" w:tooltip="Click to search for more items by this author" w:history="1">
        <w:r w:rsidR="002377F0" w:rsidRPr="002377F0">
          <w:rPr>
            <w:rFonts w:ascii="Roboto" w:hAnsi="Roboto"/>
            <w:color w:val="2A5DB0"/>
            <w:sz w:val="21"/>
            <w:szCs w:val="21"/>
            <w:u w:val="single"/>
          </w:rPr>
          <w:t>Jimenez, Alfredo</w:t>
        </w:r>
      </w:hyperlink>
      <w:r w:rsidR="002377F0" w:rsidRPr="002377F0">
        <w:rPr>
          <w:rFonts w:ascii="Roboto" w:hAnsi="Roboto"/>
          <w:color w:val="555555"/>
          <w:sz w:val="21"/>
          <w:szCs w:val="21"/>
          <w:shd w:val="clear" w:color="auto" w:fill="FFFFFF"/>
        </w:rPr>
        <w:t>; </w:t>
      </w:r>
      <w:hyperlink r:id="rId23" w:tooltip="Click to search for more items by this author" w:history="1">
        <w:r w:rsidR="002377F0" w:rsidRPr="002377F0">
          <w:rPr>
            <w:rFonts w:ascii="Roboto" w:hAnsi="Roboto"/>
            <w:color w:val="2A5DB0"/>
            <w:sz w:val="21"/>
            <w:szCs w:val="21"/>
            <w:u w:val="single"/>
          </w:rPr>
          <w:t>Eisenberg, Julia</w:t>
        </w:r>
      </w:hyperlink>
      <w:r w:rsidR="002377F0" w:rsidRPr="002377F0">
        <w:rPr>
          <w:rFonts w:ascii="Roboto" w:hAnsi="Roboto"/>
          <w:color w:val="555555"/>
          <w:sz w:val="21"/>
          <w:szCs w:val="21"/>
          <w:shd w:val="clear" w:color="auto" w:fill="FFFFFF"/>
        </w:rPr>
        <w:t xml:space="preserve">; et </w:t>
      </w:r>
      <w:proofErr w:type="spellStart"/>
      <w:r w:rsidR="002377F0" w:rsidRPr="002377F0">
        <w:rPr>
          <w:rFonts w:ascii="Roboto" w:hAnsi="Roboto"/>
          <w:color w:val="555555"/>
          <w:sz w:val="21"/>
          <w:szCs w:val="21"/>
          <w:shd w:val="clear" w:color="auto" w:fill="FFFFFF"/>
        </w:rPr>
        <w:t>al.</w:t>
      </w:r>
      <w:hyperlink r:id="rId24" w:tooltip="Click to search for more items from this journal" w:history="1">
        <w:r w:rsidR="002377F0" w:rsidRPr="002377F0">
          <w:rPr>
            <w:rFonts w:ascii="Roboto" w:hAnsi="Roboto"/>
            <w:b/>
            <w:bCs/>
            <w:color w:val="2A5DB0"/>
            <w:sz w:val="21"/>
            <w:szCs w:val="21"/>
          </w:rPr>
          <w:t>Critical</w:t>
        </w:r>
        <w:proofErr w:type="spellEnd"/>
        <w:r w:rsidR="002377F0" w:rsidRPr="002377F0">
          <w:rPr>
            <w:rFonts w:ascii="Roboto" w:hAnsi="Roboto"/>
            <w:b/>
            <w:bCs/>
            <w:color w:val="2A5DB0"/>
            <w:sz w:val="21"/>
            <w:szCs w:val="21"/>
          </w:rPr>
          <w:t xml:space="preserve"> Perspectives on International Business</w:t>
        </w:r>
      </w:hyperlink>
      <w:r w:rsidR="002377F0" w:rsidRPr="002377F0">
        <w:rPr>
          <w:rFonts w:ascii="Roboto" w:hAnsi="Roboto"/>
          <w:b/>
          <w:bCs/>
          <w:color w:val="555555"/>
          <w:sz w:val="21"/>
          <w:szCs w:val="21"/>
          <w:shd w:val="clear" w:color="auto" w:fill="FFFFFF"/>
        </w:rPr>
        <w:t>; Bradford</w:t>
      </w:r>
      <w:hyperlink r:id="rId25" w:tooltip="Click to search for more items from this issue" w:history="1">
        <w:r w:rsidR="002377F0" w:rsidRPr="002377F0">
          <w:rPr>
            <w:rFonts w:ascii="Roboto" w:hAnsi="Roboto"/>
            <w:color w:val="2A5DB0"/>
            <w:sz w:val="21"/>
            <w:szCs w:val="21"/>
            <w:u w:val="single"/>
          </w:rPr>
          <w:t> Vol. 16, Iss. 3, </w:t>
        </w:r>
      </w:hyperlink>
      <w:r w:rsidR="002377F0" w:rsidRPr="002377F0">
        <w:rPr>
          <w:rFonts w:ascii="Roboto" w:hAnsi="Roboto"/>
          <w:color w:val="555555"/>
          <w:sz w:val="21"/>
          <w:szCs w:val="21"/>
          <w:shd w:val="clear" w:color="auto" w:fill="FFFFFF"/>
        </w:rPr>
        <w:t> (2020): 279-303.</w:t>
      </w:r>
    </w:p>
    <w:p w14:paraId="77B4BE6E" w14:textId="77777777" w:rsidR="002377F0" w:rsidRDefault="002377F0">
      <w:pPr>
        <w:rPr>
          <w:rFonts w:ascii="Roboto" w:hAnsi="Roboto"/>
          <w:color w:val="555555"/>
          <w:sz w:val="21"/>
          <w:szCs w:val="21"/>
          <w:shd w:val="clear" w:color="auto" w:fill="FFFFFF"/>
        </w:rPr>
      </w:pPr>
    </w:p>
    <w:p w14:paraId="232B5B48" w14:textId="77777777" w:rsidR="002377F0" w:rsidRPr="002377F0" w:rsidRDefault="002377F0" w:rsidP="002377F0">
      <w:pPr>
        <w:shd w:val="clear" w:color="auto" w:fill="FFFFFF"/>
        <w:spacing w:after="360" w:line="240" w:lineRule="auto"/>
        <w:rPr>
          <w:rFonts w:ascii="Roboto" w:eastAsia="Times New Roman" w:hAnsi="Roboto" w:cs="Times New Roman"/>
          <w:color w:val="555555"/>
          <w:sz w:val="21"/>
          <w:szCs w:val="21"/>
          <w:lang w:eastAsia="en-GB"/>
        </w:rPr>
      </w:pPr>
      <w:r w:rsidRPr="002377F0">
        <w:rPr>
          <w:rFonts w:ascii="Roboto" w:eastAsia="Times New Roman" w:hAnsi="Roboto" w:cs="Times New Roman"/>
          <w:color w:val="555555"/>
          <w:sz w:val="21"/>
          <w:szCs w:val="21"/>
          <w:lang w:eastAsia="en-GB"/>
        </w:rPr>
        <w:t>There is a generalized belief that cultural differences can have more negative consequences than benefits within the international business (IB) literature. This study argues that cultural differences are not perceived as constrains in millennial global virtual teams (GVTs). Additionally, using the theory of cooperation and competition and the motivated information processing perspective, the purpose of this paper is to uncover the process by which millennials working in GVTs address various challenges to ensure effective functioning and accomplishment of desired team outcomes.</w:t>
      </w:r>
    </w:p>
    <w:p w14:paraId="51598ECE" w14:textId="77777777" w:rsidR="002377F0" w:rsidRPr="002377F0" w:rsidRDefault="002377F0" w:rsidP="002377F0">
      <w:pPr>
        <w:spacing w:after="0" w:line="240" w:lineRule="auto"/>
        <w:rPr>
          <w:rFonts w:ascii="Times New Roman" w:eastAsia="Times New Roman" w:hAnsi="Times New Roman" w:cs="Times New Roman"/>
          <w:sz w:val="24"/>
          <w:szCs w:val="24"/>
          <w:lang w:eastAsia="en-GB"/>
        </w:rPr>
      </w:pPr>
      <w:r w:rsidRPr="002377F0">
        <w:rPr>
          <w:rFonts w:ascii="Roboto" w:eastAsia="Times New Roman" w:hAnsi="Roboto" w:cs="Times New Roman"/>
          <w:b/>
          <w:bCs/>
          <w:color w:val="555555"/>
          <w:sz w:val="21"/>
          <w:szCs w:val="21"/>
          <w:shd w:val="clear" w:color="auto" w:fill="FFFFFF"/>
          <w:lang w:eastAsia="en-GB"/>
        </w:rPr>
        <w:t>Design/methodology/approach</w:t>
      </w:r>
    </w:p>
    <w:p w14:paraId="73C850C5" w14:textId="77777777" w:rsidR="002377F0" w:rsidRPr="002377F0" w:rsidRDefault="002377F0" w:rsidP="002377F0">
      <w:pPr>
        <w:shd w:val="clear" w:color="auto" w:fill="FFFFFF"/>
        <w:spacing w:after="360" w:line="240" w:lineRule="auto"/>
        <w:rPr>
          <w:rFonts w:ascii="Roboto" w:eastAsia="Times New Roman" w:hAnsi="Roboto" w:cs="Times New Roman"/>
          <w:color w:val="555555"/>
          <w:sz w:val="21"/>
          <w:szCs w:val="21"/>
          <w:lang w:eastAsia="en-GB"/>
        </w:rPr>
      </w:pPr>
      <w:r w:rsidRPr="002377F0">
        <w:rPr>
          <w:rFonts w:ascii="Roboto" w:eastAsia="Times New Roman" w:hAnsi="Roboto" w:cs="Times New Roman"/>
          <w:color w:val="555555"/>
          <w:sz w:val="21"/>
          <w:szCs w:val="21"/>
          <w:lang w:eastAsia="en-GB"/>
        </w:rPr>
        <w:t xml:space="preserve">This paper </w:t>
      </w:r>
      <w:proofErr w:type="spellStart"/>
      <w:r w:rsidRPr="002377F0">
        <w:rPr>
          <w:rFonts w:ascii="Roboto" w:eastAsia="Times New Roman" w:hAnsi="Roboto" w:cs="Times New Roman"/>
          <w:color w:val="555555"/>
          <w:sz w:val="21"/>
          <w:szCs w:val="21"/>
          <w:lang w:eastAsia="en-GB"/>
        </w:rPr>
        <w:t>analyzes</w:t>
      </w:r>
      <w:proofErr w:type="spellEnd"/>
      <w:r w:rsidRPr="002377F0">
        <w:rPr>
          <w:rFonts w:ascii="Roboto" w:eastAsia="Times New Roman" w:hAnsi="Roboto" w:cs="Times New Roman"/>
          <w:color w:val="555555"/>
          <w:sz w:val="21"/>
          <w:szCs w:val="21"/>
          <w:lang w:eastAsia="en-GB"/>
        </w:rPr>
        <w:t xml:space="preserve"> a data set of 503 project journals from the global enterprise experience, a virtual team competition. It uses qualitative content analysis tools and secondary data sources.</w:t>
      </w:r>
    </w:p>
    <w:p w14:paraId="66CF90E5" w14:textId="77777777" w:rsidR="002377F0" w:rsidRPr="002377F0" w:rsidRDefault="002377F0" w:rsidP="002377F0">
      <w:pPr>
        <w:spacing w:after="0" w:line="240" w:lineRule="auto"/>
        <w:rPr>
          <w:rFonts w:ascii="Times New Roman" w:eastAsia="Times New Roman" w:hAnsi="Times New Roman" w:cs="Times New Roman"/>
          <w:sz w:val="24"/>
          <w:szCs w:val="24"/>
          <w:lang w:eastAsia="en-GB"/>
        </w:rPr>
      </w:pPr>
      <w:r w:rsidRPr="002377F0">
        <w:rPr>
          <w:rFonts w:ascii="Roboto" w:eastAsia="Times New Roman" w:hAnsi="Roboto" w:cs="Times New Roman"/>
          <w:b/>
          <w:bCs/>
          <w:color w:val="555555"/>
          <w:sz w:val="21"/>
          <w:szCs w:val="21"/>
          <w:shd w:val="clear" w:color="auto" w:fill="FFFFFF"/>
          <w:lang w:eastAsia="en-GB"/>
        </w:rPr>
        <w:t>Findings</w:t>
      </w:r>
    </w:p>
    <w:p w14:paraId="43F6A0CB" w14:textId="77777777" w:rsidR="002377F0" w:rsidRPr="002377F0" w:rsidRDefault="002377F0" w:rsidP="002377F0">
      <w:pPr>
        <w:shd w:val="clear" w:color="auto" w:fill="FFFFFF"/>
        <w:spacing w:after="360" w:line="240" w:lineRule="auto"/>
        <w:rPr>
          <w:rFonts w:ascii="Roboto" w:eastAsia="Times New Roman" w:hAnsi="Roboto" w:cs="Times New Roman"/>
          <w:color w:val="555555"/>
          <w:sz w:val="21"/>
          <w:szCs w:val="21"/>
          <w:lang w:eastAsia="en-GB"/>
        </w:rPr>
      </w:pPr>
      <w:r w:rsidRPr="002377F0">
        <w:rPr>
          <w:rFonts w:ascii="Roboto" w:eastAsia="Times New Roman" w:hAnsi="Roboto" w:cs="Times New Roman"/>
          <w:color w:val="555555"/>
          <w:sz w:val="21"/>
          <w:szCs w:val="21"/>
          <w:lang w:eastAsia="en-GB"/>
        </w:rPr>
        <w:t>The authors find that for millennials, cross-cultural issues are not the predominant challenge when working in GVTs, unlike the prevailing understanding in the IB literature. This is because contrary to expectations, cross-cultural problems are often not experienced, while other team phenomena become more relevant, such as interpersonal and task-based issues. In addition, the paper describes how members of GVTs apply distinct challenge reconstruction and solution generation cognitive schemes to deal with both, expected and unexpected challenges.</w:t>
      </w:r>
    </w:p>
    <w:p w14:paraId="67837265" w14:textId="77777777" w:rsidR="002377F0" w:rsidRPr="002377F0" w:rsidRDefault="002377F0" w:rsidP="002377F0">
      <w:pPr>
        <w:spacing w:after="0" w:line="240" w:lineRule="auto"/>
        <w:rPr>
          <w:rFonts w:ascii="Times New Roman" w:eastAsia="Times New Roman" w:hAnsi="Times New Roman" w:cs="Times New Roman"/>
          <w:sz w:val="24"/>
          <w:szCs w:val="24"/>
          <w:lang w:eastAsia="en-GB"/>
        </w:rPr>
      </w:pPr>
      <w:r w:rsidRPr="002377F0">
        <w:rPr>
          <w:rFonts w:ascii="Roboto" w:eastAsia="Times New Roman" w:hAnsi="Roboto" w:cs="Times New Roman"/>
          <w:b/>
          <w:bCs/>
          <w:color w:val="555555"/>
          <w:sz w:val="21"/>
          <w:szCs w:val="21"/>
          <w:shd w:val="clear" w:color="auto" w:fill="FFFFFF"/>
          <w:lang w:eastAsia="en-GB"/>
        </w:rPr>
        <w:t>Originality/value</w:t>
      </w:r>
    </w:p>
    <w:p w14:paraId="73CAE71F" w14:textId="5D1111FD" w:rsidR="005B2498" w:rsidRPr="005B2498" w:rsidRDefault="002377F0" w:rsidP="002377F0">
      <w:pPr>
        <w:shd w:val="clear" w:color="auto" w:fill="FFFFFF"/>
        <w:spacing w:after="360" w:line="240" w:lineRule="auto"/>
        <w:rPr>
          <w:rFonts w:ascii="Roboto" w:eastAsia="Times New Roman" w:hAnsi="Roboto" w:cs="Times New Roman"/>
          <w:color w:val="555555"/>
          <w:sz w:val="21"/>
          <w:szCs w:val="21"/>
          <w:lang w:eastAsia="en-GB"/>
        </w:rPr>
      </w:pPr>
      <w:r w:rsidRPr="002377F0">
        <w:rPr>
          <w:rFonts w:ascii="Roboto" w:eastAsia="Times New Roman" w:hAnsi="Roboto" w:cs="Times New Roman"/>
          <w:color w:val="555555"/>
          <w:sz w:val="21"/>
          <w:szCs w:val="21"/>
          <w:lang w:eastAsia="en-GB"/>
        </w:rPr>
        <w:t>This study contributes to the literature on virtual teams by identifying how millennials and post-millennials deal with the challenges embedded in the GVT interaction context by simplifying the unfamiliarity associated with the broader context rather than addressing each issue in isolation. Finally, the paper elaborates on factors that highlight the positive outcomes of multicultural teams while making cultural differences less salient in contemporary GVT contexts.</w:t>
      </w:r>
    </w:p>
    <w:p w14:paraId="1E7B66F8" w14:textId="50B579DE" w:rsidR="005B2498" w:rsidRDefault="005B2498" w:rsidP="002377F0">
      <w:pPr>
        <w:shd w:val="clear" w:color="auto" w:fill="FFFFFF"/>
        <w:spacing w:after="360" w:line="240" w:lineRule="auto"/>
        <w:rPr>
          <w:rFonts w:ascii="Helvetica" w:hAnsi="Helvetica"/>
          <w:color w:val="595959"/>
          <w:sz w:val="20"/>
          <w:szCs w:val="20"/>
        </w:rPr>
      </w:pPr>
      <w:r>
        <w:rPr>
          <w:rFonts w:ascii="Helvetica" w:hAnsi="Helvetica"/>
          <w:color w:val="595959"/>
          <w:sz w:val="20"/>
          <w:szCs w:val="20"/>
          <w:shd w:val="clear" w:color="auto" w:fill="F5F5F5"/>
        </w:rPr>
        <w:t>Page, S. (2000) ‘Community Research: The Lost Art of Unobtrusive Methods’, </w:t>
      </w:r>
      <w:r>
        <w:rPr>
          <w:rFonts w:ascii="Helvetica" w:hAnsi="Helvetica"/>
          <w:i/>
          <w:iCs/>
          <w:color w:val="595959"/>
          <w:sz w:val="20"/>
          <w:szCs w:val="20"/>
          <w:bdr w:val="none" w:sz="0" w:space="0" w:color="auto" w:frame="1"/>
          <w:shd w:val="clear" w:color="auto" w:fill="F5F5F5"/>
        </w:rPr>
        <w:t>Journal of Applied Social Psychology</w:t>
      </w:r>
      <w:r>
        <w:rPr>
          <w:rFonts w:ascii="Helvetica" w:hAnsi="Helvetica"/>
          <w:color w:val="595959"/>
          <w:sz w:val="20"/>
          <w:szCs w:val="20"/>
          <w:shd w:val="clear" w:color="auto" w:fill="F5F5F5"/>
        </w:rPr>
        <w:t>, 30(10), pp. 2126–2136</w:t>
      </w:r>
    </w:p>
    <w:p w14:paraId="61435036" w14:textId="72EBF6AA" w:rsidR="002377F0" w:rsidRDefault="005B2498" w:rsidP="002377F0">
      <w:pPr>
        <w:shd w:val="clear" w:color="auto" w:fill="FFFFFF"/>
        <w:spacing w:after="360" w:line="240" w:lineRule="auto"/>
        <w:rPr>
          <w:rFonts w:ascii="Roboto" w:eastAsia="Times New Roman" w:hAnsi="Roboto" w:cs="Times New Roman"/>
          <w:color w:val="555555"/>
          <w:sz w:val="21"/>
          <w:szCs w:val="21"/>
          <w:lang w:eastAsia="en-GB"/>
        </w:rPr>
      </w:pPr>
      <w:r>
        <w:rPr>
          <w:rFonts w:ascii="Helvetica" w:hAnsi="Helvetica"/>
          <w:color w:val="595959"/>
          <w:sz w:val="20"/>
          <w:szCs w:val="20"/>
        </w:rPr>
        <w:t>The use of </w:t>
      </w:r>
      <w:r>
        <w:rPr>
          <w:rStyle w:val="Strong"/>
          <w:rFonts w:ascii="Helvetica" w:hAnsi="Helvetica"/>
          <w:color w:val="595959"/>
          <w:sz w:val="20"/>
          <w:szCs w:val="20"/>
          <w:bdr w:val="none" w:sz="0" w:space="0" w:color="auto" w:frame="1"/>
        </w:rPr>
        <w:t>unobtrusive</w:t>
      </w:r>
      <w:r>
        <w:rPr>
          <w:rFonts w:ascii="Helvetica" w:hAnsi="Helvetica"/>
          <w:color w:val="595959"/>
          <w:sz w:val="20"/>
          <w:szCs w:val="20"/>
        </w:rPr>
        <w:t> methods, with special reference to community-oriented </w:t>
      </w:r>
      <w:r>
        <w:rPr>
          <w:rStyle w:val="Strong"/>
          <w:rFonts w:ascii="Helvetica" w:hAnsi="Helvetica"/>
          <w:color w:val="595959"/>
          <w:sz w:val="20"/>
          <w:szCs w:val="20"/>
          <w:bdr w:val="none" w:sz="0" w:space="0" w:color="auto" w:frame="1"/>
        </w:rPr>
        <w:t>research</w:t>
      </w:r>
      <w:r>
        <w:rPr>
          <w:rFonts w:ascii="Helvetica" w:hAnsi="Helvetica"/>
          <w:color w:val="595959"/>
          <w:sz w:val="20"/>
          <w:szCs w:val="20"/>
        </w:rPr>
        <w:t>, is a lost art, despite their strong recommendation by Webb, Campbell, Schwartz, &amp; Sechrest (1966) as means of supplementing reactive measures. The decline of </w:t>
      </w:r>
      <w:r>
        <w:rPr>
          <w:rStyle w:val="Strong"/>
          <w:rFonts w:ascii="Helvetica" w:hAnsi="Helvetica"/>
          <w:color w:val="595959"/>
          <w:sz w:val="20"/>
          <w:szCs w:val="20"/>
          <w:bdr w:val="none" w:sz="0" w:space="0" w:color="auto" w:frame="1"/>
        </w:rPr>
        <w:t>unobtrusive</w:t>
      </w:r>
      <w:r>
        <w:rPr>
          <w:rFonts w:ascii="Helvetica" w:hAnsi="Helvetica"/>
          <w:color w:val="595959"/>
          <w:sz w:val="20"/>
          <w:szCs w:val="20"/>
        </w:rPr>
        <w:t> measures seems to be related to the increased popularity and adherence to the doctrine of informed consent, the decrease in use of deception as a method, and the effort to conceptualize </w:t>
      </w:r>
      <w:r>
        <w:rPr>
          <w:rStyle w:val="Strong"/>
          <w:rFonts w:ascii="Helvetica" w:hAnsi="Helvetica"/>
          <w:color w:val="595959"/>
          <w:sz w:val="20"/>
          <w:szCs w:val="20"/>
          <w:bdr w:val="none" w:sz="0" w:space="0" w:color="auto" w:frame="1"/>
        </w:rPr>
        <w:t>research</w:t>
      </w:r>
      <w:r>
        <w:rPr>
          <w:rFonts w:ascii="Helvetica" w:hAnsi="Helvetica"/>
          <w:color w:val="595959"/>
          <w:sz w:val="20"/>
          <w:szCs w:val="20"/>
        </w:rPr>
        <w:t> subjects as cooperative participants. While the distaste for </w:t>
      </w:r>
      <w:r>
        <w:rPr>
          <w:rStyle w:val="Strong"/>
          <w:rFonts w:ascii="Helvetica" w:hAnsi="Helvetica"/>
          <w:color w:val="595959"/>
          <w:sz w:val="20"/>
          <w:szCs w:val="20"/>
          <w:bdr w:val="none" w:sz="0" w:space="0" w:color="auto" w:frame="1"/>
        </w:rPr>
        <w:t>unobtrusive</w:t>
      </w:r>
      <w:r>
        <w:rPr>
          <w:rFonts w:ascii="Helvetica" w:hAnsi="Helvetica"/>
          <w:color w:val="595959"/>
          <w:sz w:val="20"/>
          <w:szCs w:val="20"/>
        </w:rPr>
        <w:t> methods seems to reflect increased sensitivity toward ethics in </w:t>
      </w:r>
      <w:r>
        <w:rPr>
          <w:rStyle w:val="Strong"/>
          <w:rFonts w:ascii="Helvetica" w:hAnsi="Helvetica"/>
          <w:color w:val="595959"/>
          <w:sz w:val="20"/>
          <w:szCs w:val="20"/>
          <w:bdr w:val="none" w:sz="0" w:space="0" w:color="auto" w:frame="1"/>
        </w:rPr>
        <w:t>research</w:t>
      </w:r>
      <w:r>
        <w:rPr>
          <w:rFonts w:ascii="Helvetica" w:hAnsi="Helvetica"/>
          <w:color w:val="595959"/>
          <w:sz w:val="20"/>
          <w:szCs w:val="20"/>
        </w:rPr>
        <w:t>, the collection of partially reliable and partially valid knowledge continues, with considerable reliance on reactive measures.</w:t>
      </w:r>
    </w:p>
    <w:p w14:paraId="1F771DAE" w14:textId="77777777" w:rsidR="002377F0" w:rsidRPr="002377F0" w:rsidRDefault="002377F0" w:rsidP="002377F0">
      <w:pPr>
        <w:shd w:val="clear" w:color="auto" w:fill="FFFFFF"/>
        <w:spacing w:after="158" w:line="264" w:lineRule="atLeast"/>
        <w:outlineLvl w:val="0"/>
        <w:rPr>
          <w:rFonts w:ascii="Times New Roman" w:eastAsia="Times New Roman" w:hAnsi="Times New Roman" w:cs="Times New Roman"/>
          <w:color w:val="777777"/>
          <w:kern w:val="36"/>
          <w:sz w:val="42"/>
          <w:szCs w:val="42"/>
          <w:lang w:eastAsia="en-GB"/>
        </w:rPr>
      </w:pPr>
      <w:r w:rsidRPr="002377F0">
        <w:rPr>
          <w:rFonts w:ascii="Times New Roman" w:eastAsia="Times New Roman" w:hAnsi="Times New Roman" w:cs="Times New Roman"/>
          <w:color w:val="777777"/>
          <w:kern w:val="36"/>
          <w:sz w:val="42"/>
          <w:szCs w:val="42"/>
          <w:lang w:eastAsia="en-GB"/>
        </w:rPr>
        <w:t>Examining social capital and online social support links: a study in online health communities facing treatment uncertainty</w:t>
      </w:r>
    </w:p>
    <w:p w14:paraId="37BA5A8D" w14:textId="77777777" w:rsidR="002377F0" w:rsidRPr="002377F0" w:rsidRDefault="00EC441A" w:rsidP="002377F0">
      <w:pPr>
        <w:shd w:val="clear" w:color="auto" w:fill="FFFFFF"/>
        <w:spacing w:after="0" w:line="240" w:lineRule="auto"/>
        <w:rPr>
          <w:rFonts w:ascii="Roboto" w:eastAsia="Times New Roman" w:hAnsi="Roboto" w:cs="Times New Roman"/>
          <w:color w:val="555555"/>
          <w:sz w:val="21"/>
          <w:szCs w:val="21"/>
          <w:lang w:eastAsia="en-GB"/>
        </w:rPr>
      </w:pPr>
      <w:hyperlink r:id="rId26" w:tooltip="Click to search for more items by this author" w:history="1">
        <w:r w:rsidR="002377F0" w:rsidRPr="002377F0">
          <w:rPr>
            <w:rFonts w:ascii="Roboto" w:eastAsia="Times New Roman" w:hAnsi="Roboto" w:cs="Times New Roman"/>
            <w:color w:val="2A5DB0"/>
            <w:sz w:val="21"/>
            <w:szCs w:val="21"/>
            <w:u w:val="single"/>
            <w:lang w:eastAsia="en-GB"/>
          </w:rPr>
          <w:t>Baptista, N</w:t>
        </w:r>
      </w:hyperlink>
      <w:r w:rsidR="002377F0" w:rsidRPr="002377F0">
        <w:rPr>
          <w:rFonts w:ascii="Roboto" w:eastAsia="Times New Roman" w:hAnsi="Roboto" w:cs="Times New Roman"/>
          <w:color w:val="555555"/>
          <w:sz w:val="21"/>
          <w:szCs w:val="21"/>
          <w:lang w:eastAsia="en-GB"/>
        </w:rPr>
        <w:t>; </w:t>
      </w:r>
      <w:hyperlink r:id="rId27" w:tooltip="Click to search for more items by this author" w:history="1">
        <w:r w:rsidR="002377F0" w:rsidRPr="002377F0">
          <w:rPr>
            <w:rFonts w:ascii="Roboto" w:eastAsia="Times New Roman" w:hAnsi="Roboto" w:cs="Times New Roman"/>
            <w:color w:val="2A5DB0"/>
            <w:sz w:val="21"/>
            <w:szCs w:val="21"/>
            <w:u w:val="single"/>
            <w:lang w:eastAsia="en-GB"/>
          </w:rPr>
          <w:t>Pinho, José Carlos</w:t>
        </w:r>
      </w:hyperlink>
      <w:r w:rsidR="002377F0" w:rsidRPr="002377F0">
        <w:rPr>
          <w:rFonts w:ascii="Roboto" w:eastAsia="Times New Roman" w:hAnsi="Roboto" w:cs="Times New Roman"/>
          <w:color w:val="555555"/>
          <w:sz w:val="21"/>
          <w:szCs w:val="21"/>
          <w:lang w:eastAsia="en-GB"/>
        </w:rPr>
        <w:t>; </w:t>
      </w:r>
      <w:hyperlink r:id="rId28" w:tooltip="Click to search for more items by this author" w:history="1">
        <w:r w:rsidR="002377F0" w:rsidRPr="002377F0">
          <w:rPr>
            <w:rFonts w:ascii="Roboto" w:eastAsia="Times New Roman" w:hAnsi="Roboto" w:cs="Times New Roman"/>
            <w:color w:val="2A5DB0"/>
            <w:sz w:val="21"/>
            <w:szCs w:val="21"/>
            <w:u w:val="single"/>
            <w:lang w:eastAsia="en-GB"/>
          </w:rPr>
          <w:t xml:space="preserve">Alves, </w:t>
        </w:r>
        <w:proofErr w:type="spellStart"/>
        <w:r w:rsidR="002377F0" w:rsidRPr="002377F0">
          <w:rPr>
            <w:rFonts w:ascii="Roboto" w:eastAsia="Times New Roman" w:hAnsi="Roboto" w:cs="Times New Roman"/>
            <w:color w:val="2A5DB0"/>
            <w:sz w:val="21"/>
            <w:szCs w:val="21"/>
            <w:u w:val="single"/>
            <w:lang w:eastAsia="en-GB"/>
          </w:rPr>
          <w:t>Helena</w:t>
        </w:r>
      </w:hyperlink>
      <w:r w:rsidR="002377F0" w:rsidRPr="002377F0">
        <w:rPr>
          <w:rFonts w:ascii="Roboto" w:eastAsia="Times New Roman" w:hAnsi="Roboto" w:cs="Times New Roman"/>
          <w:color w:val="555555"/>
          <w:sz w:val="21"/>
          <w:szCs w:val="21"/>
          <w:lang w:eastAsia="en-GB"/>
        </w:rPr>
        <w:t>.</w:t>
      </w:r>
      <w:hyperlink r:id="rId29" w:tooltip="Click to search for more items from this journal" w:history="1">
        <w:r w:rsidR="002377F0" w:rsidRPr="002377F0">
          <w:rPr>
            <w:rFonts w:ascii="Roboto" w:eastAsia="Times New Roman" w:hAnsi="Roboto" w:cs="Times New Roman"/>
            <w:b/>
            <w:bCs/>
            <w:color w:val="2A5DB0"/>
            <w:sz w:val="21"/>
            <w:szCs w:val="21"/>
            <w:lang w:eastAsia="en-GB"/>
          </w:rPr>
          <w:t>International</w:t>
        </w:r>
        <w:proofErr w:type="spellEnd"/>
        <w:r w:rsidR="002377F0" w:rsidRPr="002377F0">
          <w:rPr>
            <w:rFonts w:ascii="Roboto" w:eastAsia="Times New Roman" w:hAnsi="Roboto" w:cs="Times New Roman"/>
            <w:b/>
            <w:bCs/>
            <w:color w:val="2A5DB0"/>
            <w:sz w:val="21"/>
            <w:szCs w:val="21"/>
            <w:lang w:eastAsia="en-GB"/>
          </w:rPr>
          <w:t xml:space="preserve"> Review on Public and Non - Profit Marketing</w:t>
        </w:r>
      </w:hyperlink>
      <w:r w:rsidR="002377F0" w:rsidRPr="002377F0">
        <w:rPr>
          <w:rFonts w:ascii="Roboto" w:eastAsia="Times New Roman" w:hAnsi="Roboto" w:cs="Times New Roman"/>
          <w:b/>
          <w:bCs/>
          <w:color w:val="555555"/>
          <w:sz w:val="21"/>
          <w:szCs w:val="21"/>
          <w:lang w:eastAsia="en-GB"/>
        </w:rPr>
        <w:t>; Heidelberg</w:t>
      </w:r>
      <w:hyperlink r:id="rId30" w:tooltip="Click to search for more items from this issue" w:history="1">
        <w:r w:rsidR="002377F0" w:rsidRPr="002377F0">
          <w:rPr>
            <w:rFonts w:ascii="Roboto" w:eastAsia="Times New Roman" w:hAnsi="Roboto" w:cs="Times New Roman"/>
            <w:color w:val="2A5DB0"/>
            <w:sz w:val="21"/>
            <w:szCs w:val="21"/>
            <w:u w:val="single"/>
            <w:lang w:eastAsia="en-GB"/>
          </w:rPr>
          <w:t> Vol. 18, Iss. 1, </w:t>
        </w:r>
      </w:hyperlink>
      <w:r w:rsidR="002377F0" w:rsidRPr="002377F0">
        <w:rPr>
          <w:rFonts w:ascii="Roboto" w:eastAsia="Times New Roman" w:hAnsi="Roboto" w:cs="Times New Roman"/>
          <w:color w:val="555555"/>
          <w:sz w:val="21"/>
          <w:szCs w:val="21"/>
          <w:lang w:eastAsia="en-GB"/>
        </w:rPr>
        <w:t> (Mar 2021): 57-94.</w:t>
      </w:r>
    </w:p>
    <w:p w14:paraId="52B0BA64" w14:textId="77777777" w:rsidR="002377F0" w:rsidRPr="002377F0" w:rsidRDefault="002377F0" w:rsidP="002377F0">
      <w:pPr>
        <w:shd w:val="clear" w:color="auto" w:fill="FFFFFF"/>
        <w:spacing w:after="360" w:line="240" w:lineRule="auto"/>
        <w:rPr>
          <w:rFonts w:ascii="Roboto" w:eastAsia="Times New Roman" w:hAnsi="Roboto" w:cs="Times New Roman"/>
          <w:color w:val="555555"/>
          <w:sz w:val="21"/>
          <w:szCs w:val="21"/>
          <w:lang w:eastAsia="en-GB"/>
        </w:rPr>
      </w:pPr>
    </w:p>
    <w:p w14:paraId="5D4562CC" w14:textId="6B91AA16" w:rsidR="002377F0" w:rsidRDefault="002377F0">
      <w:pPr>
        <w:rPr>
          <w:rFonts w:ascii="Roboto" w:hAnsi="Roboto"/>
          <w:color w:val="555555"/>
          <w:sz w:val="21"/>
          <w:szCs w:val="21"/>
          <w:shd w:val="clear" w:color="auto" w:fill="FFFFFF"/>
        </w:rPr>
      </w:pPr>
      <w:r>
        <w:rPr>
          <w:rFonts w:ascii="Roboto" w:hAnsi="Roboto"/>
          <w:color w:val="555555"/>
          <w:sz w:val="21"/>
          <w:szCs w:val="21"/>
          <w:shd w:val="clear" w:color="auto" w:fill="FFFFFF"/>
        </w:rPr>
        <w:t>For several medical treatments there is considerable scientific and medical uncertainty about the relative benefits and risks they imply. The literature indicates social support as an important factor in health uncertainty management and the concept has gained considerable interest in the areas of behavioral medicine and health psychology research. Despite the growing importance of online health communities (OHCs), there is still a dearth of research evaluating the interactive and reciprocal nature of social support exchange that may occur in the online environment and, to the best of the authors’ knowledge, no single study has specifically focused on online support interactions in contexts characterized by treatment uncertainty. This study aims to generate knowledge on how OHCs can serve as platforms of social support for groups of individuals that are subject to treatment uncertainty. To attain this objective, we build on social capital theory and adopt a netnographic and a dual case-study approach to analyze peer-to-peer social support interactions in OHCs where users face treatment uncertainty. Findings suggest that OHCs can be a place for extending the social support networks of people facing treatment uncertainty as multiple typologies of peer-to-peer social support are remotely exchanged in the virtual communities. However, we also found that the information available in these forums can be subject to imprudent processes of selection by forum participants who try to conform online discussion to suit the forums’ shared and accepted narratives highlighting the benefits of these uncertain treatments, while minimizing the respective risks. From a theoretical perspective, this study has implications for health uncertainty management literature, by highlighting collective processes of uncertainty management not captured in well-established theories of uncertainty management, which are mostly focused on individual and interpersonal processes of uncertainty management in dyad relationships, and not group dynamics. From a managerial practice perspective, the study provides insights for public health, private and not-for-profit health promotion institutions and managers of the OHCs, that can be used to program community-based social marketing interventions intended to enhance the quality and increase the volume of social support available in OHCs where users may face treatment uncertainty.</w:t>
      </w:r>
    </w:p>
    <w:bookmarkStart w:id="3" w:name="_Hlk70456681"/>
    <w:p w14:paraId="2A81F024" w14:textId="0181B169" w:rsidR="00F12E41" w:rsidRPr="00F12E41" w:rsidRDefault="00F12E41" w:rsidP="00F12E41">
      <w:pPr>
        <w:shd w:val="clear" w:color="auto" w:fill="FFFFFF"/>
        <w:spacing w:beforeAutospacing="1" w:after="0" w:line="240" w:lineRule="auto"/>
        <w:rPr>
          <w:rFonts w:ascii="Roboto" w:eastAsia="Times New Roman" w:hAnsi="Roboto" w:cs="Times New Roman"/>
          <w:color w:val="111111"/>
          <w:sz w:val="24"/>
          <w:szCs w:val="24"/>
          <w:lang w:eastAsia="en-GB"/>
        </w:rPr>
      </w:pPr>
      <w:r w:rsidRPr="00F12E41">
        <w:rPr>
          <w:rFonts w:ascii="Roboto" w:eastAsia="Times New Roman" w:hAnsi="Roboto" w:cs="Times New Roman"/>
          <w:color w:val="111111"/>
          <w:sz w:val="24"/>
          <w:szCs w:val="24"/>
          <w:lang w:eastAsia="en-GB"/>
        </w:rPr>
        <w:fldChar w:fldCharType="begin"/>
      </w:r>
      <w:r w:rsidRPr="00F12E41">
        <w:rPr>
          <w:rFonts w:ascii="Roboto" w:eastAsia="Times New Roman" w:hAnsi="Roboto" w:cs="Times New Roman"/>
          <w:color w:val="111111"/>
          <w:sz w:val="24"/>
          <w:szCs w:val="24"/>
          <w:lang w:eastAsia="en-GB"/>
        </w:rPr>
        <w:instrText xml:space="preserve"> HYPERLINK "https://www.researchgate.net/profile/Christine-Petr-2?_sg%5B0%5D=LboM717A4eVNa21OQ_-a1q5nPz87NkB4KjH5aAO4bRMWtkD7fv7un94bzeb7-DtEjIGs9Tw.FOfKeC9kW0J_ft5V2h7t8tny9fvbwOpw6_AEyhF55568c2WDoyY47c6eJ6_CAgCokYXZ7hDJbJX-hvqn7vd3LA&amp;_sg%5B1%5D=HgW2kcAGLm8HpW8UxPelRM9MCIDO10aTiD1Q6d2x4eFed-oAcV4hbtjdTvAbyDRgtusZaXQ.2AuK3wqwkgGCdyDZjrD5dlHKPCZxSoT3eQigTJYhOHXeJ_TVZ5T0reME3NQKBUfAUHenOsPoLxyEm6eKumxikQ" </w:instrText>
      </w:r>
      <w:r w:rsidRPr="00F12E41">
        <w:rPr>
          <w:rFonts w:ascii="Roboto" w:eastAsia="Times New Roman" w:hAnsi="Roboto" w:cs="Times New Roman"/>
          <w:color w:val="111111"/>
          <w:sz w:val="24"/>
          <w:szCs w:val="24"/>
          <w:lang w:eastAsia="en-GB"/>
        </w:rPr>
        <w:fldChar w:fldCharType="separate"/>
      </w:r>
      <w:r w:rsidRPr="00F12E41">
        <w:rPr>
          <w:rFonts w:ascii="inherit" w:eastAsia="Times New Roman" w:hAnsi="inherit" w:cs="Times New Roman"/>
          <w:color w:val="0000FF"/>
          <w:sz w:val="24"/>
          <w:szCs w:val="24"/>
          <w:u w:val="single"/>
          <w:bdr w:val="none" w:sz="0" w:space="0" w:color="auto" w:frame="1"/>
          <w:lang w:eastAsia="en-GB"/>
        </w:rPr>
        <w:t>Christine Petr</w:t>
      </w:r>
      <w:r w:rsidRPr="00F12E41">
        <w:rPr>
          <w:rFonts w:ascii="Roboto" w:eastAsia="Times New Roman" w:hAnsi="Roboto" w:cs="Times New Roman"/>
          <w:color w:val="111111"/>
          <w:sz w:val="24"/>
          <w:szCs w:val="24"/>
          <w:lang w:eastAsia="en-GB"/>
        </w:rPr>
        <w:fldChar w:fldCharType="end"/>
      </w:r>
      <w:r>
        <w:rPr>
          <w:rFonts w:ascii="Roboto" w:eastAsia="Times New Roman" w:hAnsi="Roboto" w:cs="Times New Roman"/>
          <w:color w:val="111111"/>
          <w:sz w:val="24"/>
          <w:szCs w:val="24"/>
          <w:lang w:eastAsia="en-GB"/>
        </w:rPr>
        <w:t xml:space="preserve">, </w:t>
      </w:r>
      <w:hyperlink r:id="rId31" w:history="1">
        <w:r w:rsidRPr="00F12E41">
          <w:rPr>
            <w:rFonts w:ascii="inherit" w:eastAsia="Times New Roman" w:hAnsi="inherit" w:cs="Times New Roman"/>
            <w:color w:val="0000FF"/>
            <w:sz w:val="24"/>
            <w:szCs w:val="24"/>
            <w:u w:val="single"/>
            <w:bdr w:val="none" w:sz="0" w:space="0" w:color="auto" w:frame="1"/>
            <w:lang w:eastAsia="en-GB"/>
          </w:rPr>
          <w:t>Russell Belk</w:t>
        </w:r>
      </w:hyperlink>
      <w:r>
        <w:rPr>
          <w:rFonts w:ascii="Roboto" w:eastAsia="Times New Roman" w:hAnsi="Roboto" w:cs="Times New Roman"/>
          <w:color w:val="111111"/>
          <w:sz w:val="24"/>
          <w:szCs w:val="24"/>
          <w:lang w:eastAsia="en-GB"/>
        </w:rPr>
        <w:t xml:space="preserve"> and </w:t>
      </w:r>
      <w:hyperlink r:id="rId32" w:history="1">
        <w:r w:rsidRPr="00F12E41">
          <w:rPr>
            <w:rFonts w:ascii="inherit" w:eastAsia="Times New Roman" w:hAnsi="inherit" w:cs="Times New Roman"/>
            <w:color w:val="0000FF"/>
            <w:sz w:val="24"/>
            <w:szCs w:val="24"/>
            <w:u w:val="single"/>
            <w:bdr w:val="none" w:sz="0" w:space="0" w:color="auto" w:frame="1"/>
            <w:lang w:eastAsia="en-GB"/>
          </w:rPr>
          <w:t>Alain Decrop</w:t>
        </w:r>
      </w:hyperlink>
      <w:r>
        <w:rPr>
          <w:rFonts w:ascii="Roboto" w:eastAsia="Times New Roman" w:hAnsi="Roboto" w:cs="Times New Roman"/>
          <w:color w:val="111111"/>
          <w:sz w:val="24"/>
          <w:szCs w:val="24"/>
          <w:lang w:eastAsia="en-GB"/>
        </w:rPr>
        <w:t xml:space="preserve"> (2015) </w:t>
      </w:r>
      <w:r w:rsidRPr="00F12E41">
        <w:rPr>
          <w:rFonts w:ascii="Roboto" w:eastAsia="Times New Roman" w:hAnsi="Roboto" w:cs="Times New Roman"/>
          <w:color w:val="111111"/>
          <w:sz w:val="24"/>
          <w:szCs w:val="24"/>
          <w:lang w:eastAsia="en-GB"/>
        </w:rPr>
        <w:t>Videography in marketing research: mixing art and science</w:t>
      </w:r>
      <w:r>
        <w:rPr>
          <w:rFonts w:ascii="Roboto" w:eastAsia="Times New Roman" w:hAnsi="Roboto" w:cs="Times New Roman"/>
          <w:color w:val="111111"/>
          <w:sz w:val="24"/>
          <w:szCs w:val="24"/>
          <w:lang w:eastAsia="en-GB"/>
        </w:rPr>
        <w:t xml:space="preserve">, </w:t>
      </w:r>
      <w:r w:rsidRPr="00F12E41">
        <w:rPr>
          <w:rFonts w:ascii="Roboto" w:eastAsia="Times New Roman" w:hAnsi="Roboto" w:cs="Times New Roman"/>
          <w:color w:val="777777"/>
          <w:sz w:val="18"/>
          <w:szCs w:val="18"/>
          <w:lang w:eastAsia="en-GB"/>
        </w:rPr>
        <w:t>Arts and the Market 5(1):73-102</w:t>
      </w:r>
    </w:p>
    <w:p w14:paraId="19C362E5" w14:textId="77777777" w:rsidR="00F12E41" w:rsidRDefault="00F12E41">
      <w:pPr>
        <w:rPr>
          <w:rFonts w:ascii="Roboto" w:hAnsi="Roboto"/>
          <w:color w:val="111111"/>
          <w:sz w:val="21"/>
          <w:szCs w:val="21"/>
          <w:shd w:val="clear" w:color="auto" w:fill="FFFFFF"/>
        </w:rPr>
      </w:pPr>
    </w:p>
    <w:p w14:paraId="4E370068" w14:textId="0EF667E4" w:rsidR="00F12E41" w:rsidRDefault="00F12E41">
      <w:r>
        <w:rPr>
          <w:rFonts w:ascii="Roboto" w:hAnsi="Roboto"/>
          <w:color w:val="111111"/>
          <w:sz w:val="21"/>
          <w:szCs w:val="21"/>
          <w:shd w:val="clear" w:color="auto" w:fill="FFFFFF"/>
        </w:rPr>
        <w:t xml:space="preserve">Purpose – The purpose of this paper is to present videography as a rising method available for academics. Visuals are increasingly omnipresent in the modern society. As they become easy to create and use, videos are no longer only for ethnographers and specialist researchers. Design/methodology/approach – In the society of “user-content generation,” visual data are incredibly important, original, and powerful sources providing researchers with opportunities to inventively make their results more resonant and more broadly accessible. Findings – Moreover, videography offers the opportunity for researchers to become a kind of artist since they become visual producers. Practical implications – This paper offers concrete </w:t>
      </w:r>
      <w:proofErr w:type="gramStart"/>
      <w:r>
        <w:rPr>
          <w:rFonts w:ascii="Roboto" w:hAnsi="Roboto"/>
          <w:color w:val="111111"/>
          <w:sz w:val="21"/>
          <w:szCs w:val="21"/>
          <w:shd w:val="clear" w:color="auto" w:fill="FFFFFF"/>
        </w:rPr>
        <w:t>advices</w:t>
      </w:r>
      <w:proofErr w:type="gramEnd"/>
      <w:r>
        <w:rPr>
          <w:rFonts w:ascii="Roboto" w:hAnsi="Roboto"/>
          <w:color w:val="111111"/>
          <w:sz w:val="21"/>
          <w:szCs w:val="21"/>
          <w:shd w:val="clear" w:color="auto" w:fill="FFFFFF"/>
        </w:rPr>
        <w:t xml:space="preserve"> for researchers who want to </w:t>
      </w:r>
      <w:proofErr w:type="spellStart"/>
      <w:r>
        <w:rPr>
          <w:rFonts w:ascii="Roboto" w:hAnsi="Roboto"/>
          <w:color w:val="111111"/>
          <w:sz w:val="21"/>
          <w:szCs w:val="21"/>
          <w:shd w:val="clear" w:color="auto" w:fill="FFFFFF"/>
        </w:rPr>
        <w:t>to</w:t>
      </w:r>
      <w:proofErr w:type="spellEnd"/>
      <w:r>
        <w:rPr>
          <w:rFonts w:ascii="Roboto" w:hAnsi="Roboto"/>
          <w:color w:val="111111"/>
          <w:sz w:val="21"/>
          <w:szCs w:val="21"/>
          <w:shd w:val="clear" w:color="auto" w:fill="FFFFFF"/>
        </w:rPr>
        <w:t xml:space="preserve"> become visual producers. Social implications – Researchers have to make their results more resonant and more broadly accessible. Originality/value – Videography is a new way (an artistic one) to present results of research.</w:t>
      </w:r>
      <w:bookmarkEnd w:id="3"/>
    </w:p>
    <w:sectPr w:rsidR="00F12E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sto MT">
    <w:altName w:val="Calisto MT"/>
    <w:charset w:val="00"/>
    <w:family w:val="roman"/>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D1432"/>
    <w:multiLevelType w:val="multilevel"/>
    <w:tmpl w:val="C9508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16621D"/>
    <w:multiLevelType w:val="multilevel"/>
    <w:tmpl w:val="9DB81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3B77D4"/>
    <w:multiLevelType w:val="multilevel"/>
    <w:tmpl w:val="B052B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603028"/>
    <w:multiLevelType w:val="multilevel"/>
    <w:tmpl w:val="40FE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B63885"/>
    <w:multiLevelType w:val="multilevel"/>
    <w:tmpl w:val="25ACA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07B"/>
    <w:rsid w:val="0022113C"/>
    <w:rsid w:val="002377F0"/>
    <w:rsid w:val="002C1F85"/>
    <w:rsid w:val="003B49B7"/>
    <w:rsid w:val="003D278E"/>
    <w:rsid w:val="00550356"/>
    <w:rsid w:val="00564037"/>
    <w:rsid w:val="005B2498"/>
    <w:rsid w:val="00647DA9"/>
    <w:rsid w:val="0065375B"/>
    <w:rsid w:val="007427D1"/>
    <w:rsid w:val="007D6C76"/>
    <w:rsid w:val="00827480"/>
    <w:rsid w:val="0087236A"/>
    <w:rsid w:val="009B3C89"/>
    <w:rsid w:val="009F707B"/>
    <w:rsid w:val="00AB428C"/>
    <w:rsid w:val="00AD5006"/>
    <w:rsid w:val="00AD52B9"/>
    <w:rsid w:val="00EC40C7"/>
    <w:rsid w:val="00EC441A"/>
    <w:rsid w:val="00ED7AF8"/>
    <w:rsid w:val="00F12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D43D8"/>
  <w15:chartTrackingRefBased/>
  <w15:docId w15:val="{3310C458-4E9B-4904-BB17-C5A82A81C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C40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t">
    <w:name w:val="hit"/>
    <w:basedOn w:val="DefaultParagraphFont"/>
    <w:rsid w:val="009F707B"/>
  </w:style>
  <w:style w:type="character" w:styleId="Hyperlink">
    <w:name w:val="Hyperlink"/>
    <w:basedOn w:val="DefaultParagraphFont"/>
    <w:uiPriority w:val="99"/>
    <w:unhideWhenUsed/>
    <w:rsid w:val="009F707B"/>
    <w:rPr>
      <w:color w:val="0563C1" w:themeColor="hyperlink"/>
      <w:u w:val="single"/>
    </w:rPr>
  </w:style>
  <w:style w:type="character" w:styleId="UnresolvedMention">
    <w:name w:val="Unresolved Mention"/>
    <w:basedOn w:val="DefaultParagraphFont"/>
    <w:uiPriority w:val="99"/>
    <w:semiHidden/>
    <w:unhideWhenUsed/>
    <w:rsid w:val="009F707B"/>
    <w:rPr>
      <w:color w:val="605E5C"/>
      <w:shd w:val="clear" w:color="auto" w:fill="E1DFDD"/>
    </w:rPr>
  </w:style>
  <w:style w:type="character" w:styleId="Strong">
    <w:name w:val="Strong"/>
    <w:basedOn w:val="DefaultParagraphFont"/>
    <w:uiPriority w:val="22"/>
    <w:qFormat/>
    <w:rsid w:val="005B2498"/>
    <w:rPr>
      <w:b/>
      <w:bCs/>
    </w:rPr>
  </w:style>
  <w:style w:type="character" w:customStyle="1" w:styleId="Heading2Char">
    <w:name w:val="Heading 2 Char"/>
    <w:basedOn w:val="DefaultParagraphFont"/>
    <w:link w:val="Heading2"/>
    <w:uiPriority w:val="9"/>
    <w:rsid w:val="00EC40C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867814">
      <w:bodyDiv w:val="1"/>
      <w:marLeft w:val="0"/>
      <w:marRight w:val="0"/>
      <w:marTop w:val="0"/>
      <w:marBottom w:val="0"/>
      <w:divBdr>
        <w:top w:val="none" w:sz="0" w:space="0" w:color="auto"/>
        <w:left w:val="none" w:sz="0" w:space="0" w:color="auto"/>
        <w:bottom w:val="none" w:sz="0" w:space="0" w:color="auto"/>
        <w:right w:val="none" w:sz="0" w:space="0" w:color="auto"/>
      </w:divBdr>
    </w:div>
    <w:div w:id="453914382">
      <w:bodyDiv w:val="1"/>
      <w:marLeft w:val="0"/>
      <w:marRight w:val="0"/>
      <w:marTop w:val="0"/>
      <w:marBottom w:val="0"/>
      <w:divBdr>
        <w:top w:val="none" w:sz="0" w:space="0" w:color="auto"/>
        <w:left w:val="none" w:sz="0" w:space="0" w:color="auto"/>
        <w:bottom w:val="none" w:sz="0" w:space="0" w:color="auto"/>
        <w:right w:val="none" w:sz="0" w:space="0" w:color="auto"/>
      </w:divBdr>
    </w:div>
    <w:div w:id="484055130">
      <w:bodyDiv w:val="1"/>
      <w:marLeft w:val="0"/>
      <w:marRight w:val="0"/>
      <w:marTop w:val="0"/>
      <w:marBottom w:val="0"/>
      <w:divBdr>
        <w:top w:val="none" w:sz="0" w:space="0" w:color="auto"/>
        <w:left w:val="none" w:sz="0" w:space="0" w:color="auto"/>
        <w:bottom w:val="none" w:sz="0" w:space="0" w:color="auto"/>
        <w:right w:val="none" w:sz="0" w:space="0" w:color="auto"/>
      </w:divBdr>
    </w:div>
    <w:div w:id="551158239">
      <w:bodyDiv w:val="1"/>
      <w:marLeft w:val="0"/>
      <w:marRight w:val="0"/>
      <w:marTop w:val="0"/>
      <w:marBottom w:val="0"/>
      <w:divBdr>
        <w:top w:val="none" w:sz="0" w:space="0" w:color="auto"/>
        <w:left w:val="none" w:sz="0" w:space="0" w:color="auto"/>
        <w:bottom w:val="none" w:sz="0" w:space="0" w:color="auto"/>
        <w:right w:val="none" w:sz="0" w:space="0" w:color="auto"/>
      </w:divBdr>
    </w:div>
    <w:div w:id="625695018">
      <w:bodyDiv w:val="1"/>
      <w:marLeft w:val="0"/>
      <w:marRight w:val="0"/>
      <w:marTop w:val="0"/>
      <w:marBottom w:val="0"/>
      <w:divBdr>
        <w:top w:val="none" w:sz="0" w:space="0" w:color="auto"/>
        <w:left w:val="none" w:sz="0" w:space="0" w:color="auto"/>
        <w:bottom w:val="none" w:sz="0" w:space="0" w:color="auto"/>
        <w:right w:val="none" w:sz="0" w:space="0" w:color="auto"/>
      </w:divBdr>
    </w:div>
    <w:div w:id="670916366">
      <w:bodyDiv w:val="1"/>
      <w:marLeft w:val="0"/>
      <w:marRight w:val="0"/>
      <w:marTop w:val="0"/>
      <w:marBottom w:val="0"/>
      <w:divBdr>
        <w:top w:val="none" w:sz="0" w:space="0" w:color="auto"/>
        <w:left w:val="none" w:sz="0" w:space="0" w:color="auto"/>
        <w:bottom w:val="none" w:sz="0" w:space="0" w:color="auto"/>
        <w:right w:val="none" w:sz="0" w:space="0" w:color="auto"/>
      </w:divBdr>
      <w:divsChild>
        <w:div w:id="798450814">
          <w:marLeft w:val="0"/>
          <w:marRight w:val="0"/>
          <w:marTop w:val="0"/>
          <w:marBottom w:val="0"/>
          <w:divBdr>
            <w:top w:val="none" w:sz="0" w:space="0" w:color="auto"/>
            <w:left w:val="none" w:sz="0" w:space="0" w:color="auto"/>
            <w:bottom w:val="none" w:sz="0" w:space="0" w:color="auto"/>
            <w:right w:val="none" w:sz="0" w:space="0" w:color="auto"/>
          </w:divBdr>
        </w:div>
        <w:div w:id="1472208969">
          <w:marLeft w:val="0"/>
          <w:marRight w:val="0"/>
          <w:marTop w:val="0"/>
          <w:marBottom w:val="0"/>
          <w:divBdr>
            <w:top w:val="none" w:sz="0" w:space="0" w:color="auto"/>
            <w:left w:val="none" w:sz="0" w:space="0" w:color="auto"/>
            <w:bottom w:val="none" w:sz="0" w:space="0" w:color="auto"/>
            <w:right w:val="none" w:sz="0" w:space="0" w:color="auto"/>
          </w:divBdr>
        </w:div>
      </w:divsChild>
    </w:div>
    <w:div w:id="801194156">
      <w:bodyDiv w:val="1"/>
      <w:marLeft w:val="0"/>
      <w:marRight w:val="0"/>
      <w:marTop w:val="0"/>
      <w:marBottom w:val="0"/>
      <w:divBdr>
        <w:top w:val="none" w:sz="0" w:space="0" w:color="auto"/>
        <w:left w:val="none" w:sz="0" w:space="0" w:color="auto"/>
        <w:bottom w:val="none" w:sz="0" w:space="0" w:color="auto"/>
        <w:right w:val="none" w:sz="0" w:space="0" w:color="auto"/>
      </w:divBdr>
      <w:divsChild>
        <w:div w:id="1421368715">
          <w:marLeft w:val="0"/>
          <w:marRight w:val="0"/>
          <w:marTop w:val="75"/>
          <w:marBottom w:val="75"/>
          <w:divBdr>
            <w:top w:val="none" w:sz="0" w:space="0" w:color="auto"/>
            <w:left w:val="none" w:sz="0" w:space="0" w:color="auto"/>
            <w:bottom w:val="none" w:sz="0" w:space="0" w:color="auto"/>
            <w:right w:val="none" w:sz="0" w:space="0" w:color="auto"/>
          </w:divBdr>
        </w:div>
        <w:div w:id="186255685">
          <w:marLeft w:val="0"/>
          <w:marRight w:val="0"/>
          <w:marTop w:val="0"/>
          <w:marBottom w:val="0"/>
          <w:divBdr>
            <w:top w:val="none" w:sz="0" w:space="0" w:color="auto"/>
            <w:left w:val="none" w:sz="0" w:space="0" w:color="auto"/>
            <w:bottom w:val="none" w:sz="0" w:space="0" w:color="auto"/>
            <w:right w:val="none" w:sz="0" w:space="0" w:color="auto"/>
          </w:divBdr>
          <w:divsChild>
            <w:div w:id="130246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437416">
      <w:bodyDiv w:val="1"/>
      <w:marLeft w:val="0"/>
      <w:marRight w:val="0"/>
      <w:marTop w:val="0"/>
      <w:marBottom w:val="0"/>
      <w:divBdr>
        <w:top w:val="none" w:sz="0" w:space="0" w:color="auto"/>
        <w:left w:val="none" w:sz="0" w:space="0" w:color="auto"/>
        <w:bottom w:val="none" w:sz="0" w:space="0" w:color="auto"/>
        <w:right w:val="none" w:sz="0" w:space="0" w:color="auto"/>
      </w:divBdr>
    </w:div>
    <w:div w:id="1364745935">
      <w:bodyDiv w:val="1"/>
      <w:marLeft w:val="0"/>
      <w:marRight w:val="0"/>
      <w:marTop w:val="0"/>
      <w:marBottom w:val="0"/>
      <w:divBdr>
        <w:top w:val="none" w:sz="0" w:space="0" w:color="auto"/>
        <w:left w:val="none" w:sz="0" w:space="0" w:color="auto"/>
        <w:bottom w:val="none" w:sz="0" w:space="0" w:color="auto"/>
        <w:right w:val="none" w:sz="0" w:space="0" w:color="auto"/>
      </w:divBdr>
      <w:divsChild>
        <w:div w:id="1897084934">
          <w:marLeft w:val="0"/>
          <w:marRight w:val="0"/>
          <w:marTop w:val="0"/>
          <w:marBottom w:val="120"/>
          <w:divBdr>
            <w:top w:val="none" w:sz="0" w:space="0" w:color="auto"/>
            <w:left w:val="none" w:sz="0" w:space="0" w:color="auto"/>
            <w:bottom w:val="none" w:sz="0" w:space="0" w:color="auto"/>
            <w:right w:val="none" w:sz="0" w:space="0" w:color="auto"/>
          </w:divBdr>
          <w:divsChild>
            <w:div w:id="1805275425">
              <w:marLeft w:val="0"/>
              <w:marRight w:val="0"/>
              <w:marTop w:val="0"/>
              <w:marBottom w:val="0"/>
              <w:divBdr>
                <w:top w:val="none" w:sz="0" w:space="0" w:color="auto"/>
                <w:left w:val="none" w:sz="0" w:space="0" w:color="auto"/>
                <w:bottom w:val="none" w:sz="0" w:space="0" w:color="auto"/>
                <w:right w:val="none" w:sz="0" w:space="0" w:color="auto"/>
              </w:divBdr>
              <w:divsChild>
                <w:div w:id="656303938">
                  <w:marLeft w:val="0"/>
                  <w:marRight w:val="0"/>
                  <w:marTop w:val="0"/>
                  <w:marBottom w:val="0"/>
                  <w:divBdr>
                    <w:top w:val="none" w:sz="0" w:space="0" w:color="auto"/>
                    <w:left w:val="none" w:sz="0" w:space="0" w:color="auto"/>
                    <w:bottom w:val="none" w:sz="0" w:space="0" w:color="auto"/>
                    <w:right w:val="none" w:sz="0" w:space="0" w:color="auto"/>
                  </w:divBdr>
                  <w:divsChild>
                    <w:div w:id="180892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226876">
      <w:bodyDiv w:val="1"/>
      <w:marLeft w:val="0"/>
      <w:marRight w:val="0"/>
      <w:marTop w:val="0"/>
      <w:marBottom w:val="0"/>
      <w:divBdr>
        <w:top w:val="none" w:sz="0" w:space="0" w:color="auto"/>
        <w:left w:val="none" w:sz="0" w:space="0" w:color="auto"/>
        <w:bottom w:val="none" w:sz="0" w:space="0" w:color="auto"/>
        <w:right w:val="none" w:sz="0" w:space="0" w:color="auto"/>
      </w:divBdr>
      <w:divsChild>
        <w:div w:id="661930838">
          <w:marLeft w:val="0"/>
          <w:marRight w:val="0"/>
          <w:marTop w:val="0"/>
          <w:marBottom w:val="600"/>
          <w:divBdr>
            <w:top w:val="none" w:sz="0" w:space="0" w:color="auto"/>
            <w:left w:val="none" w:sz="0" w:space="0" w:color="auto"/>
            <w:bottom w:val="none" w:sz="0" w:space="0" w:color="auto"/>
            <w:right w:val="none" w:sz="0" w:space="0" w:color="auto"/>
          </w:divBdr>
          <w:divsChild>
            <w:div w:id="318846250">
              <w:marLeft w:val="0"/>
              <w:marRight w:val="0"/>
              <w:marTop w:val="0"/>
              <w:marBottom w:val="240"/>
              <w:divBdr>
                <w:top w:val="none" w:sz="0" w:space="0" w:color="auto"/>
                <w:left w:val="none" w:sz="0" w:space="0" w:color="auto"/>
                <w:bottom w:val="none" w:sz="0" w:space="0" w:color="auto"/>
                <w:right w:val="none" w:sz="0" w:space="0" w:color="auto"/>
              </w:divBdr>
            </w:div>
          </w:divsChild>
        </w:div>
        <w:div w:id="484854481">
          <w:marLeft w:val="0"/>
          <w:marRight w:val="0"/>
          <w:marTop w:val="0"/>
          <w:marBottom w:val="0"/>
          <w:divBdr>
            <w:top w:val="none" w:sz="0" w:space="0" w:color="auto"/>
            <w:left w:val="none" w:sz="0" w:space="0" w:color="auto"/>
            <w:bottom w:val="none" w:sz="0" w:space="0" w:color="auto"/>
            <w:right w:val="none" w:sz="0" w:space="0" w:color="auto"/>
          </w:divBdr>
          <w:divsChild>
            <w:div w:id="1369647234">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1512795757">
      <w:bodyDiv w:val="1"/>
      <w:marLeft w:val="0"/>
      <w:marRight w:val="0"/>
      <w:marTop w:val="0"/>
      <w:marBottom w:val="0"/>
      <w:divBdr>
        <w:top w:val="none" w:sz="0" w:space="0" w:color="auto"/>
        <w:left w:val="none" w:sz="0" w:space="0" w:color="auto"/>
        <w:bottom w:val="none" w:sz="0" w:space="0" w:color="auto"/>
        <w:right w:val="none" w:sz="0" w:space="0" w:color="auto"/>
      </w:divBdr>
    </w:div>
    <w:div w:id="1586068113">
      <w:bodyDiv w:val="1"/>
      <w:marLeft w:val="0"/>
      <w:marRight w:val="0"/>
      <w:marTop w:val="0"/>
      <w:marBottom w:val="0"/>
      <w:divBdr>
        <w:top w:val="none" w:sz="0" w:space="0" w:color="auto"/>
        <w:left w:val="none" w:sz="0" w:space="0" w:color="auto"/>
        <w:bottom w:val="none" w:sz="0" w:space="0" w:color="auto"/>
        <w:right w:val="none" w:sz="0" w:space="0" w:color="auto"/>
      </w:divBdr>
      <w:divsChild>
        <w:div w:id="269438953">
          <w:marLeft w:val="0"/>
          <w:marRight w:val="0"/>
          <w:marTop w:val="0"/>
          <w:marBottom w:val="0"/>
          <w:divBdr>
            <w:top w:val="none" w:sz="0" w:space="0" w:color="auto"/>
            <w:left w:val="none" w:sz="0" w:space="0" w:color="auto"/>
            <w:bottom w:val="none" w:sz="0" w:space="0" w:color="auto"/>
            <w:right w:val="none" w:sz="0" w:space="0" w:color="auto"/>
          </w:divBdr>
        </w:div>
        <w:div w:id="992220744">
          <w:marLeft w:val="0"/>
          <w:marRight w:val="0"/>
          <w:marTop w:val="0"/>
          <w:marBottom w:val="0"/>
          <w:divBdr>
            <w:top w:val="none" w:sz="0" w:space="0" w:color="auto"/>
            <w:left w:val="none" w:sz="0" w:space="0" w:color="auto"/>
            <w:bottom w:val="none" w:sz="0" w:space="0" w:color="auto"/>
            <w:right w:val="none" w:sz="0" w:space="0" w:color="auto"/>
          </w:divBdr>
        </w:div>
      </w:divsChild>
    </w:div>
    <w:div w:id="1844733784">
      <w:bodyDiv w:val="1"/>
      <w:marLeft w:val="0"/>
      <w:marRight w:val="0"/>
      <w:marTop w:val="0"/>
      <w:marBottom w:val="0"/>
      <w:divBdr>
        <w:top w:val="none" w:sz="0" w:space="0" w:color="auto"/>
        <w:left w:val="none" w:sz="0" w:space="0" w:color="auto"/>
        <w:bottom w:val="none" w:sz="0" w:space="0" w:color="auto"/>
        <w:right w:val="none" w:sz="0" w:space="0" w:color="auto"/>
      </w:divBdr>
      <w:divsChild>
        <w:div w:id="2063167726">
          <w:marLeft w:val="0"/>
          <w:marRight w:val="0"/>
          <w:marTop w:val="0"/>
          <w:marBottom w:val="150"/>
          <w:divBdr>
            <w:top w:val="none" w:sz="0" w:space="0" w:color="auto"/>
            <w:left w:val="none" w:sz="0" w:space="0" w:color="auto"/>
            <w:bottom w:val="none" w:sz="0" w:space="0" w:color="auto"/>
            <w:right w:val="none" w:sz="0" w:space="0" w:color="auto"/>
          </w:divBdr>
        </w:div>
        <w:div w:id="985355473">
          <w:marLeft w:val="0"/>
          <w:marRight w:val="0"/>
          <w:marTop w:val="0"/>
          <w:marBottom w:val="225"/>
          <w:divBdr>
            <w:top w:val="none" w:sz="0" w:space="0" w:color="auto"/>
            <w:left w:val="none" w:sz="0" w:space="0" w:color="auto"/>
            <w:bottom w:val="none" w:sz="0" w:space="0" w:color="auto"/>
            <w:right w:val="none" w:sz="0" w:space="0" w:color="auto"/>
          </w:divBdr>
          <w:divsChild>
            <w:div w:id="505677115">
              <w:marLeft w:val="0"/>
              <w:marRight w:val="0"/>
              <w:marTop w:val="0"/>
              <w:marBottom w:val="0"/>
              <w:divBdr>
                <w:top w:val="none" w:sz="0" w:space="0" w:color="auto"/>
                <w:left w:val="none" w:sz="0" w:space="0" w:color="auto"/>
                <w:bottom w:val="none" w:sz="0" w:space="0" w:color="auto"/>
                <w:right w:val="none" w:sz="0" w:space="0" w:color="auto"/>
              </w:divBdr>
              <w:divsChild>
                <w:div w:id="1220631798">
                  <w:marLeft w:val="0"/>
                  <w:marRight w:val="0"/>
                  <w:marTop w:val="0"/>
                  <w:marBottom w:val="75"/>
                  <w:divBdr>
                    <w:top w:val="none" w:sz="0" w:space="0" w:color="auto"/>
                    <w:left w:val="none" w:sz="0" w:space="0" w:color="auto"/>
                    <w:bottom w:val="none" w:sz="0" w:space="0" w:color="auto"/>
                    <w:right w:val="none" w:sz="0" w:space="0" w:color="auto"/>
                  </w:divBdr>
                </w:div>
                <w:div w:id="12375468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0-12272-0_9" TargetMode="External"/><Relationship Id="rId13" Type="http://schemas.openxmlformats.org/officeDocument/2006/relationships/hyperlink" Target="https://philpapers.org/s/Iciar%20Elexpuru-Albizuri" TargetMode="External"/><Relationship Id="rId18" Type="http://schemas.openxmlformats.org/officeDocument/2006/relationships/hyperlink" Target="https://search-proquest-com.ezproxy.uwtsd.ac.uk/abicomplete/indexingvolumeissuelinkhandler/37246/Journal+of+Travel+Research/01997Y04Y01$23Spring+1997$3b++Vol.+35+$284$29/35/4?accountid=130472" TargetMode="External"/><Relationship Id="rId26" Type="http://schemas.openxmlformats.org/officeDocument/2006/relationships/hyperlink" Target="https://search-proquest-com.ezproxy.uwtsd.ac.uk/abicomplete/indexinglinkhandler/sng/au/Baptista,+N/$N?accountid=130472" TargetMode="External"/><Relationship Id="rId3" Type="http://schemas.openxmlformats.org/officeDocument/2006/relationships/settings" Target="settings.xml"/><Relationship Id="rId21" Type="http://schemas.openxmlformats.org/officeDocument/2006/relationships/hyperlink" Target="https://search-proquest-com.ezproxy.uwtsd.ac.uk/abicomplete/indexinglinkhandler/sng/au/Gonzalez-Perez,+Maria+Alejandra/$N?accountid=130472" TargetMode="External"/><Relationship Id="rId34" Type="http://schemas.openxmlformats.org/officeDocument/2006/relationships/theme" Target="theme/theme1.xml"/><Relationship Id="rId7" Type="http://schemas.openxmlformats.org/officeDocument/2006/relationships/hyperlink" Target="https://www.simplypsychology.org/halo-effect.html" TargetMode="External"/><Relationship Id="rId12" Type="http://schemas.openxmlformats.org/officeDocument/2006/relationships/hyperlink" Target="https://philpapers.org/s/Icy%20Fresno%20Anabo" TargetMode="External"/><Relationship Id="rId17" Type="http://schemas.openxmlformats.org/officeDocument/2006/relationships/hyperlink" Target="https://search-proquest-com.ezproxy.uwtsd.ac.uk/abicomplete/pubidlinkhandler/sng/pubtitle/Journal+of+Travel+Research/$N/37246/DocView/217442672/abstract/B704C0B555814517PQ/8?accountid=130472" TargetMode="External"/><Relationship Id="rId25" Type="http://schemas.openxmlformats.org/officeDocument/2006/relationships/hyperlink" Target="https://search-proquest-com.ezproxy.uwtsd.ac.uk/abicomplete/indexingvolumeissuelinkhandler/39793/Critical+Perspectives+on+International+Business/02020Y07Y01$232020$3b++Vol.+16+$283$29/16/3?accountid=130472"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earch-proquest-com.ezproxy.uwtsd.ac.uk/abicomplete/indexinglinkhandler/sng/au/Seaton,+A+V/$N?accountid=130472" TargetMode="External"/><Relationship Id="rId20" Type="http://schemas.openxmlformats.org/officeDocument/2006/relationships/hyperlink" Target="https://search-proquest-com.ezproxy.uwtsd.ac.uk/abicomplete/indexinglinkhandler/sng/au/Mariam,+Misha/$N?accountid=130472" TargetMode="External"/><Relationship Id="rId29" Type="http://schemas.openxmlformats.org/officeDocument/2006/relationships/hyperlink" Target="https://search-proquest-com.ezproxy.uwtsd.ac.uk/abicomplete/pubidlinkhandler/sng/pubtitle/International+Review+on+Public+and+Non+-+Profit+Marketing/$N/326304/DocView/2480894866/abstract/309CBC8063934750PQ/40?accountid=130472" TargetMode="External"/><Relationship Id="rId1" Type="http://schemas.openxmlformats.org/officeDocument/2006/relationships/numbering" Target="numbering.xml"/><Relationship Id="rId6" Type="http://schemas.openxmlformats.org/officeDocument/2006/relationships/hyperlink" Target="https://www.healthline.com/health/halo-effect" TargetMode="External"/><Relationship Id="rId11" Type="http://schemas.openxmlformats.org/officeDocument/2006/relationships/hyperlink" Target="https://philpapers.org/go.pl?id=ANARTB&amp;proxyId=&amp;u=http%3A%2F%2Fdx.doi.org%2F10.1007%2Fs10676-018-9495-z" TargetMode="External"/><Relationship Id="rId24" Type="http://schemas.openxmlformats.org/officeDocument/2006/relationships/hyperlink" Target="https://search-proquest-com.ezproxy.uwtsd.ac.uk/abicomplete/pubidlinkhandler/sng/pubtitle/Critical+Perspectives+on+International+Business/$N/39793/DocView/2498984823/abstract/309CBC8063934750PQ/30?accountid=130472" TargetMode="External"/><Relationship Id="rId32" Type="http://schemas.openxmlformats.org/officeDocument/2006/relationships/hyperlink" Target="https://www.researchgate.net/profile/Alain-Decrop-2?_sg%5B0%5D=LboM717A4eVNa21OQ_-a1q5nPz87NkB4KjH5aAO4bRMWtkD7fv7un94bzeb7-DtEjIGs9Tw.FOfKeC9kW0J_ft5V2h7t8tny9fvbwOpw6_AEyhF55568c2WDoyY47c6eJ6_CAgCokYXZ7hDJbJX-hvqn7vd3LA&amp;_sg%5B1%5D=HgW2kcAGLm8HpW8UxPelRM9MCIDO10aTiD1Q6d2x4eFed-oAcV4hbtjdTvAbyDRgtusZaXQ.2AuK3wqwkgGCdyDZjrD5dlHKPCZxSoT3eQigTJYhOHXeJ_TVZ5T0reME3NQKBUfAUHenOsPoLxyEm6eKumxikQ" TargetMode="External"/><Relationship Id="rId5" Type="http://schemas.openxmlformats.org/officeDocument/2006/relationships/hyperlink" Target="https://www.economist.com/news/2009/10/14/the-halo-effect" TargetMode="External"/><Relationship Id="rId15" Type="http://schemas.openxmlformats.org/officeDocument/2006/relationships/hyperlink" Target="https://philpapers.org/asearch.pl?pub=327" TargetMode="External"/><Relationship Id="rId23" Type="http://schemas.openxmlformats.org/officeDocument/2006/relationships/hyperlink" Target="https://search-proquest-com.ezproxy.uwtsd.ac.uk/abicomplete/indexinglinkhandler/sng/au/Eisenberg,+Julia/$N?accountid=130472" TargetMode="External"/><Relationship Id="rId28" Type="http://schemas.openxmlformats.org/officeDocument/2006/relationships/hyperlink" Target="https://search-proquest-com.ezproxy.uwtsd.ac.uk/abicomplete/indexinglinkhandler/sng/au/Alves,+Helena/$N?accountid=130472" TargetMode="External"/><Relationship Id="rId10" Type="http://schemas.openxmlformats.org/officeDocument/2006/relationships/hyperlink" Target="https://www.sciencedirect.com/science/journal/01674870/16/3" TargetMode="External"/><Relationship Id="rId19" Type="http://schemas.openxmlformats.org/officeDocument/2006/relationships/hyperlink" Target="https://search-proquest-com.ezproxy.uwtsd.ac.uk/abicomplete/indexinglinkhandler/sng/au/Velez-Calle,+Andres/$N?accountid=130472" TargetMode="External"/><Relationship Id="rId31" Type="http://schemas.openxmlformats.org/officeDocument/2006/relationships/hyperlink" Target="https://www.researchgate.net/scientific-contributions/Russell-Belk-2009200220?_sg%5B0%5D=LboM717A4eVNa21OQ_-a1q5nPz87NkB4KjH5aAO4bRMWtkD7fv7un94bzeb7-DtEjIGs9Tw.FOfKeC9kW0J_ft5V2h7t8tny9fvbwOpw6_AEyhF55568c2WDoyY47c6eJ6_CAgCokYXZ7hDJbJX-hvqn7vd3LA&amp;_sg%5B1%5D=HgW2kcAGLm8HpW8UxPelRM9MCIDO10aTiD1Q6d2x4eFed-oAcV4hbtjdTvAbyDRgtusZaXQ.2AuK3wqwkgGCdyDZjrD5dlHKPCZxSoT3eQigTJYhOHXeJ_TVZ5T0reME3NQKBUfAUHenOsPoLxyEm6eKumxikQ" TargetMode="External"/><Relationship Id="rId4" Type="http://schemas.openxmlformats.org/officeDocument/2006/relationships/webSettings" Target="webSettings.xml"/><Relationship Id="rId9" Type="http://schemas.openxmlformats.org/officeDocument/2006/relationships/hyperlink" Target="https://www.sciencedirect.com/science/journal/01674870" TargetMode="External"/><Relationship Id="rId14" Type="http://schemas.openxmlformats.org/officeDocument/2006/relationships/hyperlink" Target="https://philpapers.org/s/Lourdes%20Villard%C3%B3n-Gallego" TargetMode="External"/><Relationship Id="rId22" Type="http://schemas.openxmlformats.org/officeDocument/2006/relationships/hyperlink" Target="https://search-proquest-com.ezproxy.uwtsd.ac.uk/abicomplete/indexinglinkhandler/sng/au/Jimenez,+Alfredo/$N?accountid=130472" TargetMode="External"/><Relationship Id="rId27" Type="http://schemas.openxmlformats.org/officeDocument/2006/relationships/hyperlink" Target="https://search-proquest-com.ezproxy.uwtsd.ac.uk/abicomplete/indexinglinkhandler/sng/au/Pinho,+Jos$e9+Carlos/$N?accountid=130472" TargetMode="External"/><Relationship Id="rId30" Type="http://schemas.openxmlformats.org/officeDocument/2006/relationships/hyperlink" Target="https://search-proquest-com.ezproxy.uwtsd.ac.uk/abicomplete/indexingvolumeissuelinkhandler/326304/International+Review+on+Public+and+Non+-+Profit+Marketing/02021Y03Y01$23Mar+2021$3b++Vol.+18+$281$29/18/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677</TotalTime>
  <Pages>8</Pages>
  <Words>4311</Words>
  <Characters>24577</Characters>
  <Application>Microsoft Office Word</Application>
  <DocSecurity>0</DocSecurity>
  <Lines>204</Lines>
  <Paragraphs>57</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The Economist (2009) The halo effect, https://www.economist.com/news/2009/10/14/</vt:lpstr>
      <vt:lpstr/>
      <vt:lpstr/>
      <vt:lpstr>Healthline (2019) What Is the Halo Effect?, https://www.healthline.com/health/ha</vt:lpstr>
      <vt:lpstr>Perera, A. (2021) Why the Halo Effect Affects How We Perceive Others, https://ww</vt:lpstr>
      <vt:lpstr>        Background</vt:lpstr>
      <vt:lpstr>        Method</vt:lpstr>
      <vt:lpstr>        Results</vt:lpstr>
      <vt:lpstr>        Conclusions</vt:lpstr>
      <vt:lpstr>Revisiting the Belmont Report’s ethical principles in internet-mediated research</vt:lpstr>
      <vt:lpstr>        </vt:lpstr>
      <vt:lpstr>        The purpose of this article is to illuminate the conceptualisations and applicat</vt:lpstr>
      <vt:lpstr>        </vt:lpstr>
      <vt:lpstr>        Hill, Aaron D; Kern, David A; White, Margaret A. (2014) </vt:lpstr>
      <vt:lpstr>        Are we overconfident in executive overconfidence research? An examination of the</vt:lpstr>
      <vt:lpstr>        </vt:lpstr>
      <vt:lpstr>Examining social capital and online social support links: a study in online heal</vt:lpstr>
    </vt:vector>
  </TitlesOfParts>
  <Company/>
  <LinksUpToDate>false</LinksUpToDate>
  <CharactersWithSpaces>28831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13</cp:revision>
  <dcterms:created xsi:type="dcterms:W3CDTF">2021-04-27T07:39:00Z</dcterms:created>
  <dcterms:modified xsi:type="dcterms:W3CDTF">2021-05-09T15:02:00Z</dcterms:modified>
</cp:coreProperties>
</file>