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0487649"/>
        <w:docPartObj>
          <w:docPartGallery w:val="Cover Pages"/>
          <w:docPartUnique/>
        </w:docPartObj>
      </w:sdtPr>
      <w:sdtContent>
        <w:p w14:paraId="293D5BC1" w14:textId="343C2788" w:rsidR="006B67D8" w:rsidRDefault="00155A7F" w:rsidP="00F953B0">
          <w:pPr>
            <w:tabs>
              <w:tab w:val="left" w:pos="1276"/>
            </w:tabs>
            <w:spacing w:line="276" w:lineRule="auto"/>
            <w:jc w:val="both"/>
          </w:pPr>
          <w:r w:rsidRPr="00280E6C">
            <w:rPr>
              <w:noProof/>
            </w:rPr>
            <mc:AlternateContent>
              <mc:Choice Requires="wps">
                <w:drawing>
                  <wp:anchor distT="0" distB="0" distL="114300" distR="114300" simplePos="0" relativeHeight="251660288" behindDoc="1" locked="0" layoutInCell="1" allowOverlap="1" wp14:anchorId="70B335DC" wp14:editId="38B6D4EB">
                    <wp:simplePos x="0" y="0"/>
                    <wp:positionH relativeFrom="page">
                      <wp:posOffset>774700</wp:posOffset>
                    </wp:positionH>
                    <wp:positionV relativeFrom="page">
                      <wp:posOffset>782320</wp:posOffset>
                    </wp:positionV>
                    <wp:extent cx="0" cy="9095740"/>
                    <wp:effectExtent l="12700" t="0" r="12700" b="22860"/>
                    <wp:wrapNone/>
                    <wp:docPr id="37" name="Straight Connector 137"/>
                    <wp:cNvGraphicFramePr/>
                    <a:graphic xmlns:a="http://schemas.openxmlformats.org/drawingml/2006/main">
                      <a:graphicData uri="http://schemas.microsoft.com/office/word/2010/wordprocessingShape">
                        <wps:wsp>
                          <wps:cNvCnPr/>
                          <wps:spPr>
                            <a:xfrm>
                              <a:off x="0" y="0"/>
                              <a:ext cx="0" cy="909574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C6F9683" id="Straight Connector 137"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from="61pt,61.6pt" to="61pt,77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" strokecolor="#272727 [2749]" strokeweight="2.25pt">
                    <v:stroke joinstyle="miter"/>
                    <w10:wrap anchorx="page" anchory="page"/>
                  </v:line>
                </w:pict>
              </mc:Fallback>
            </mc:AlternateContent>
          </w:r>
          <w:r>
            <w:t xml:space="preserve">                   </w:t>
          </w:r>
          <w:r>
            <w:rPr>
              <w:noProof/>
            </w:rPr>
            <w:drawing>
              <wp:inline distT="0" distB="0" distL="0" distR="0" wp14:anchorId="11162CCC" wp14:editId="11645654">
                <wp:extent cx="2303337" cy="920115"/>
                <wp:effectExtent l="0" t="0" r="0" b="0"/>
                <wp:docPr id="1083302504" name="Picture 1083302504"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083302504" name="Picture 1083302504" descr="A close-up of black text&#10;&#10;AI-generated content may be incorrect."/>
                        <pic:cNvPicPr/>
                      </pic:nvPicPr>
                      <pic:blipFill>
                        <a:blip r:embed="rId8"/>
                        <a:stretch>
                          <a:fillRect/>
                        </a:stretch>
                      </pic:blipFill>
                      <pic:spPr>
                        <a:xfrm>
                          <a:off x="0" y="0"/>
                          <a:ext cx="2303337" cy="920115"/>
                        </a:xfrm>
                        <a:prstGeom prst="rect">
                          <a:avLst/>
                        </a:prstGeom>
                      </pic:spPr>
                    </pic:pic>
                  </a:graphicData>
                </a:graphic>
              </wp:inline>
            </w:drawing>
          </w:r>
        </w:p>
        <w:p w14:paraId="111ED834" w14:textId="61BAF1A5" w:rsidR="006B67D8" w:rsidRPr="006B67D8" w:rsidRDefault="006B67D8" w:rsidP="00F953B0">
          <w:pPr>
            <w:tabs>
              <w:tab w:val="left" w:pos="1276"/>
            </w:tabs>
            <w:spacing w:line="276" w:lineRule="auto"/>
            <w:jc w:val="both"/>
            <w:rPr>
              <w:sz w:val="28"/>
              <w:szCs w:val="28"/>
            </w:rPr>
          </w:pPr>
        </w:p>
        <w:p w14:paraId="00C37223" w14:textId="77777777" w:rsidR="007A7019" w:rsidRPr="007A7019" w:rsidRDefault="006B67D8" w:rsidP="00F953B0">
          <w:pPr>
            <w:tabs>
              <w:tab w:val="left" w:pos="1276"/>
            </w:tabs>
            <w:spacing w:line="276" w:lineRule="auto"/>
            <w:jc w:val="both"/>
          </w:pPr>
          <w:r w:rsidRPr="007A7019">
            <w:tab/>
          </w:r>
        </w:p>
        <w:p w14:paraId="077EBEC9" w14:textId="77777777" w:rsidR="00F76AEC" w:rsidRDefault="007A7019" w:rsidP="00D067C0">
          <w:pPr>
            <w:tabs>
              <w:tab w:val="left" w:pos="1276"/>
            </w:tabs>
            <w:spacing w:line="276" w:lineRule="auto"/>
            <w:rPr>
              <w:sz w:val="36"/>
              <w:szCs w:val="36"/>
            </w:rPr>
          </w:pPr>
          <w:r>
            <w:rPr>
              <w:sz w:val="36"/>
              <w:szCs w:val="36"/>
            </w:rPr>
            <w:tab/>
          </w:r>
          <w:r w:rsidR="006B67D8" w:rsidRPr="006B67D8">
            <w:rPr>
              <w:sz w:val="36"/>
              <w:szCs w:val="36"/>
            </w:rPr>
            <w:t xml:space="preserve">L5 - DATA SECURITY AND COMPLIANCE </w:t>
          </w:r>
        </w:p>
        <w:p w14:paraId="680F7936" w14:textId="2469D4C0" w:rsidR="006B67D8" w:rsidRDefault="00F76AEC" w:rsidP="00D067C0">
          <w:pPr>
            <w:tabs>
              <w:tab w:val="left" w:pos="1276"/>
            </w:tabs>
            <w:spacing w:line="276" w:lineRule="auto"/>
            <w:rPr>
              <w:sz w:val="36"/>
              <w:szCs w:val="36"/>
            </w:rPr>
          </w:pPr>
          <w:r>
            <w:rPr>
              <w:sz w:val="36"/>
              <w:szCs w:val="36"/>
            </w:rPr>
            <w:tab/>
          </w:r>
          <w:r w:rsidR="006B67D8" w:rsidRPr="006B67D8">
            <w:rPr>
              <w:sz w:val="36"/>
              <w:szCs w:val="36"/>
            </w:rPr>
            <w:t>(ACCA5034)</w:t>
          </w:r>
        </w:p>
        <w:p w14:paraId="427696BC" w14:textId="77777777" w:rsidR="007A7019" w:rsidRDefault="007A7019" w:rsidP="00D067C0">
          <w:pPr>
            <w:tabs>
              <w:tab w:val="left" w:pos="1276"/>
            </w:tabs>
            <w:spacing w:line="276" w:lineRule="auto"/>
            <w:rPr>
              <w:sz w:val="36"/>
              <w:szCs w:val="36"/>
            </w:rPr>
          </w:pPr>
        </w:p>
        <w:p w14:paraId="163E8CB6" w14:textId="77777777" w:rsidR="007A7019" w:rsidRDefault="007A7019" w:rsidP="00D067C0">
          <w:pPr>
            <w:tabs>
              <w:tab w:val="left" w:pos="1276"/>
            </w:tabs>
            <w:spacing w:line="276" w:lineRule="auto"/>
            <w:rPr>
              <w:sz w:val="36"/>
              <w:szCs w:val="36"/>
            </w:rPr>
          </w:pPr>
        </w:p>
        <w:sdt>
          <w:sdtPr>
            <w:alias w:val="Title"/>
            <w:tag w:val=""/>
            <w:id w:val="-221752155"/>
            <w:dataBinding w:prefixMappings="xmlns:ns0='http://purl.org/dc/elements/1.1/' xmlns:ns1='http://schemas.openxmlformats.org/package/2006/metadata/core-properties' " w:xpath="/ns1:coreProperties[1]/ns0:title[1]" w:storeItemID="{6C3C8BC8-F283-45AE-878A-BAB7291924A1}"/>
            <w15:appearance w15:val="hidden"/>
            <w:text/>
          </w:sdtPr>
          <w:sdtContent>
            <w:p w14:paraId="4F90C6DE" w14:textId="4721D19F" w:rsidR="006B67D8" w:rsidRPr="006B67D8" w:rsidRDefault="003516F7" w:rsidP="00D067C0">
              <w:pPr>
                <w:pStyle w:val="NoSpacing"/>
                <w:rPr>
                  <w:i/>
                  <w:caps/>
                  <w:color w:val="262626" w:themeColor="text1" w:themeTint="D9"/>
                </w:rPr>
              </w:pPr>
              <w:r>
                <w:t xml:space="preserve">                  Research and case scenario in Data Security and Compliance</w:t>
              </w:r>
            </w:p>
          </w:sdtContent>
        </w:sdt>
        <w:p w14:paraId="5D3C93F3" w14:textId="77777777" w:rsidR="007A7019" w:rsidRDefault="007A7019" w:rsidP="00D067C0">
          <w:pPr>
            <w:pStyle w:val="NoSpacing"/>
            <w:rPr>
              <w:rFonts w:eastAsia="Times New Roman"/>
            </w:rPr>
          </w:pPr>
        </w:p>
        <w:p w14:paraId="671404D6" w14:textId="77777777" w:rsidR="007A7019" w:rsidRPr="007A7019" w:rsidRDefault="007A7019" w:rsidP="00D067C0">
          <w:pPr>
            <w:tabs>
              <w:tab w:val="left" w:pos="1276"/>
            </w:tabs>
            <w:spacing w:line="276" w:lineRule="auto"/>
            <w:rPr>
              <w:lang w:val="en-US"/>
            </w:rPr>
          </w:pPr>
        </w:p>
        <w:p w14:paraId="576EE3E3" w14:textId="77777777" w:rsidR="007A7019" w:rsidRPr="007A7019" w:rsidRDefault="007A7019" w:rsidP="00D067C0">
          <w:pPr>
            <w:spacing w:line="276" w:lineRule="auto"/>
            <w:rPr>
              <w:lang w:val="en-US"/>
            </w:rPr>
          </w:pPr>
        </w:p>
        <w:p w14:paraId="50306937" w14:textId="77777777" w:rsidR="007A7019" w:rsidRPr="007A7019" w:rsidRDefault="007A7019" w:rsidP="00D067C0">
          <w:pPr>
            <w:spacing w:line="276" w:lineRule="auto"/>
            <w:rPr>
              <w:lang w:val="en-US"/>
            </w:rPr>
          </w:pPr>
        </w:p>
        <w:p w14:paraId="1A96F4F2" w14:textId="77777777" w:rsidR="007A7019" w:rsidRPr="007A7019" w:rsidRDefault="007A7019" w:rsidP="00D067C0">
          <w:pPr>
            <w:spacing w:line="276" w:lineRule="auto"/>
            <w:rPr>
              <w:lang w:val="en-US"/>
            </w:rPr>
          </w:pPr>
        </w:p>
        <w:p w14:paraId="1FE9F0DD" w14:textId="77777777" w:rsidR="007A7019" w:rsidRDefault="007A7019" w:rsidP="00D067C0">
          <w:pPr>
            <w:spacing w:line="276" w:lineRule="auto"/>
            <w:rPr>
              <w:lang w:val="en-US"/>
            </w:rPr>
          </w:pPr>
        </w:p>
        <w:p w14:paraId="747BCF7D" w14:textId="77777777" w:rsidR="007A7019" w:rsidRPr="007A7019" w:rsidRDefault="007A7019" w:rsidP="00D067C0">
          <w:pPr>
            <w:spacing w:line="276" w:lineRule="auto"/>
            <w:rPr>
              <w:lang w:val="en-US"/>
            </w:rPr>
          </w:pPr>
        </w:p>
        <w:p w14:paraId="20ABF9BC" w14:textId="77777777" w:rsidR="007A7019" w:rsidRPr="007A7019" w:rsidRDefault="007A7019" w:rsidP="00D067C0">
          <w:pPr>
            <w:spacing w:line="276" w:lineRule="auto"/>
            <w:rPr>
              <w:lang w:val="en-US"/>
            </w:rPr>
          </w:pPr>
        </w:p>
        <w:p w14:paraId="6EBF842F" w14:textId="77777777" w:rsidR="007A7019" w:rsidRPr="007A7019" w:rsidRDefault="007A7019" w:rsidP="00D067C0">
          <w:pPr>
            <w:spacing w:line="276" w:lineRule="auto"/>
            <w:rPr>
              <w:lang w:val="en-US"/>
            </w:rPr>
          </w:pPr>
        </w:p>
        <w:p w14:paraId="3887000A" w14:textId="77777777" w:rsidR="007A7019" w:rsidRDefault="007A7019" w:rsidP="00D067C0">
          <w:pPr>
            <w:spacing w:line="276" w:lineRule="auto"/>
            <w:ind w:left="720" w:firstLine="720"/>
            <w:rPr>
              <w:sz w:val="36"/>
              <w:szCs w:val="36"/>
              <w:lang w:val="en-US"/>
            </w:rPr>
          </w:pPr>
        </w:p>
        <w:p w14:paraId="1C1D390E" w14:textId="77777777" w:rsidR="007A7019" w:rsidRDefault="007A7019" w:rsidP="00D067C0">
          <w:pPr>
            <w:spacing w:line="276" w:lineRule="auto"/>
            <w:ind w:left="720" w:firstLine="720"/>
            <w:rPr>
              <w:sz w:val="36"/>
              <w:szCs w:val="36"/>
              <w:lang w:val="en-US"/>
            </w:rPr>
          </w:pPr>
        </w:p>
        <w:p w14:paraId="5271B936" w14:textId="77777777" w:rsidR="007A7019" w:rsidRDefault="007A7019" w:rsidP="00D067C0">
          <w:pPr>
            <w:spacing w:line="276" w:lineRule="auto"/>
            <w:ind w:left="720" w:firstLine="720"/>
            <w:rPr>
              <w:sz w:val="36"/>
              <w:szCs w:val="36"/>
              <w:lang w:val="en-US"/>
            </w:rPr>
          </w:pPr>
        </w:p>
        <w:p w14:paraId="470B74E8" w14:textId="77777777" w:rsidR="007A7019" w:rsidRDefault="007A7019" w:rsidP="00D067C0">
          <w:pPr>
            <w:spacing w:line="276" w:lineRule="auto"/>
            <w:ind w:left="720" w:firstLine="720"/>
            <w:rPr>
              <w:sz w:val="36"/>
              <w:szCs w:val="36"/>
              <w:lang w:val="en-US"/>
            </w:rPr>
          </w:pPr>
        </w:p>
        <w:p w14:paraId="555CF1F8" w14:textId="77777777" w:rsidR="007A7019" w:rsidRDefault="007A7019" w:rsidP="00D067C0">
          <w:pPr>
            <w:spacing w:line="276" w:lineRule="auto"/>
            <w:ind w:left="720" w:firstLine="720"/>
            <w:rPr>
              <w:sz w:val="36"/>
              <w:szCs w:val="36"/>
              <w:lang w:val="en-US"/>
            </w:rPr>
          </w:pPr>
        </w:p>
        <w:p w14:paraId="17CE5875" w14:textId="77777777" w:rsidR="007A7019" w:rsidRDefault="007A7019" w:rsidP="00D067C0">
          <w:pPr>
            <w:tabs>
              <w:tab w:val="left" w:pos="1276"/>
            </w:tabs>
            <w:spacing w:line="276" w:lineRule="auto"/>
            <w:rPr>
              <w:sz w:val="36"/>
              <w:szCs w:val="36"/>
              <w:lang w:val="en-US"/>
            </w:rPr>
          </w:pPr>
        </w:p>
        <w:p w14:paraId="037BCBA6" w14:textId="77777777" w:rsidR="009729A8" w:rsidRDefault="009729A8" w:rsidP="00D067C0">
          <w:pPr>
            <w:tabs>
              <w:tab w:val="left" w:pos="1276"/>
            </w:tabs>
            <w:spacing w:line="276" w:lineRule="auto"/>
            <w:rPr>
              <w:sz w:val="36"/>
              <w:szCs w:val="36"/>
              <w:lang w:val="en-US"/>
            </w:rPr>
          </w:pPr>
        </w:p>
        <w:p w14:paraId="39A9A855" w14:textId="67606FF7" w:rsidR="007A7019" w:rsidRPr="00F953B0" w:rsidRDefault="007A7019" w:rsidP="00D067C0">
          <w:pPr>
            <w:tabs>
              <w:tab w:val="left" w:pos="1134"/>
            </w:tabs>
            <w:spacing w:line="276" w:lineRule="auto"/>
            <w:rPr>
              <w:sz w:val="28"/>
              <w:szCs w:val="28"/>
              <w:lang w:val="en-US"/>
            </w:rPr>
          </w:pPr>
          <w:r>
            <w:rPr>
              <w:sz w:val="28"/>
              <w:szCs w:val="28"/>
              <w:lang w:val="en-US"/>
            </w:rPr>
            <w:tab/>
          </w:r>
          <w:r w:rsidRPr="00F953B0">
            <w:rPr>
              <w:sz w:val="28"/>
              <w:szCs w:val="28"/>
              <w:lang w:val="en-US"/>
            </w:rPr>
            <w:t xml:space="preserve">  Applied Computing</w:t>
          </w:r>
        </w:p>
        <w:p w14:paraId="05544F59" w14:textId="63D4F22F" w:rsidR="007A7019" w:rsidRPr="00F953B0" w:rsidRDefault="007A7019" w:rsidP="00D067C0">
          <w:pPr>
            <w:tabs>
              <w:tab w:val="left" w:pos="1276"/>
              <w:tab w:val="left" w:pos="1418"/>
            </w:tabs>
            <w:spacing w:line="276" w:lineRule="auto"/>
          </w:pPr>
          <w:r w:rsidRPr="00F953B0">
            <w:rPr>
              <w:lang w:val="en-US"/>
            </w:rPr>
            <w:tab/>
          </w:r>
          <w:sdt>
            <w:sdt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r w:rsidRPr="00F953B0">
                <w:t>Kawam de Oliveira (2412430)</w:t>
              </w:r>
            </w:sdtContent>
          </w:sdt>
        </w:p>
        <w:p w14:paraId="704B1AF5" w14:textId="7C6CA035" w:rsidR="007A7019" w:rsidRPr="00F953B0" w:rsidRDefault="007A7019" w:rsidP="00D067C0">
          <w:pPr>
            <w:tabs>
              <w:tab w:val="left" w:pos="1276"/>
              <w:tab w:val="left" w:pos="1418"/>
            </w:tabs>
            <w:spacing w:line="276" w:lineRule="auto"/>
          </w:pPr>
          <w:r w:rsidRPr="00F953B0">
            <w:tab/>
            <w:t>2412430@student.uwtsd.ac.uk</w:t>
          </w:r>
        </w:p>
        <w:p w14:paraId="5AB68B5F" w14:textId="77777777" w:rsidR="007A7019" w:rsidRPr="00F953B0" w:rsidRDefault="007A7019" w:rsidP="00D067C0">
          <w:pPr>
            <w:tabs>
              <w:tab w:val="left" w:pos="1276"/>
              <w:tab w:val="left" w:pos="1418"/>
            </w:tabs>
            <w:spacing w:line="276" w:lineRule="auto"/>
          </w:pPr>
        </w:p>
        <w:sdt>
          <w:sdtPr>
            <w:rPr>
              <w:rFonts w:ascii="Times New Roman" w:hAnsi="Times New Roman" w:cs="Times New Roman"/>
              <w:b w:val="0"/>
              <w:bCs w:val="0"/>
              <w:color w:val="auto"/>
              <w:sz w:val="24"/>
              <w:szCs w:val="24"/>
              <w:lang w:val="en-GB"/>
            </w:rPr>
            <w:id w:val="-737857349"/>
            <w:docPartObj>
              <w:docPartGallery w:val="Table of Contents"/>
              <w:docPartUnique/>
            </w:docPartObj>
          </w:sdtPr>
          <w:sdtEndPr>
            <w:rPr>
              <w:noProof/>
            </w:rPr>
          </w:sdtEndPr>
          <w:sdtContent>
            <w:p w14:paraId="0DC637E6" w14:textId="18ED7DE3" w:rsidR="008623E0" w:rsidRDefault="008623E0">
              <w:pPr>
                <w:pStyle w:val="TOCHeading"/>
                <w:rPr>
                  <w:rFonts w:ascii="Times New Roman" w:hAnsi="Times New Roman" w:cs="Times New Roman"/>
                  <w:color w:val="000000" w:themeColor="text1"/>
                </w:rPr>
              </w:pPr>
              <w:r w:rsidRPr="008623E0">
                <w:rPr>
                  <w:rFonts w:ascii="Times New Roman" w:hAnsi="Times New Roman" w:cs="Times New Roman"/>
                  <w:color w:val="000000" w:themeColor="text1"/>
                </w:rPr>
                <w:t>Table of Contents</w:t>
              </w:r>
            </w:p>
            <w:p w14:paraId="72B63013" w14:textId="77777777" w:rsidR="00603EA3" w:rsidRPr="00603EA3" w:rsidRDefault="00603EA3" w:rsidP="00603EA3">
              <w:pPr>
                <w:rPr>
                  <w:lang w:val="en-US"/>
                </w:rPr>
              </w:pPr>
            </w:p>
            <w:p w14:paraId="33B46CF9" w14:textId="76604444" w:rsidR="008623E0" w:rsidRPr="008623E0" w:rsidRDefault="008623E0" w:rsidP="00603EA3">
              <w:pPr>
                <w:pStyle w:val="TOC1"/>
                <w:tabs>
                  <w:tab w:val="right" w:leader="dot" w:pos="9736"/>
                </w:tabs>
                <w:spacing w:line="276" w:lineRule="auto"/>
                <w:rPr>
                  <w:rFonts w:ascii="Times New Roman" w:eastAsiaTheme="minorEastAsia" w:hAnsi="Times New Roman"/>
                  <w:b w:val="0"/>
                  <w:bCs w:val="0"/>
                  <w:i w:val="0"/>
                  <w:iCs w:val="0"/>
                  <w:noProof/>
                  <w:kern w:val="2"/>
                  <w14:ligatures w14:val="standardContextual"/>
                </w:rPr>
              </w:pPr>
              <w:r w:rsidRPr="008623E0">
                <w:rPr>
                  <w:rFonts w:ascii="Times New Roman" w:hAnsi="Times New Roman"/>
                  <w:b w:val="0"/>
                  <w:bCs w:val="0"/>
                </w:rPr>
                <w:fldChar w:fldCharType="begin"/>
              </w:r>
              <w:r w:rsidRPr="008623E0">
                <w:rPr>
                  <w:rFonts w:ascii="Times New Roman" w:hAnsi="Times New Roman"/>
                </w:rPr>
                <w:instrText xml:space="preserve"> TOC \o "1-3" \h \z \u </w:instrText>
              </w:r>
              <w:r w:rsidRPr="008623E0">
                <w:rPr>
                  <w:rFonts w:ascii="Times New Roman" w:hAnsi="Times New Roman"/>
                  <w:b w:val="0"/>
                  <w:bCs w:val="0"/>
                </w:rPr>
                <w:fldChar w:fldCharType="separate"/>
              </w:r>
              <w:hyperlink w:anchor="_Toc218601932" w:history="1">
                <w:r w:rsidRPr="008623E0">
                  <w:rPr>
                    <w:rStyle w:val="Hyperlink"/>
                    <w:rFonts w:ascii="Times New Roman" w:eastAsiaTheme="majorEastAsia" w:hAnsi="Times New Roman"/>
                    <w:noProof/>
                  </w:rPr>
                  <w:t>Task 1</w:t>
                </w:r>
                <w:r w:rsidRPr="008623E0">
                  <w:rPr>
                    <w:rFonts w:ascii="Times New Roman" w:hAnsi="Times New Roman"/>
                    <w:noProof/>
                    <w:webHidden/>
                  </w:rPr>
                  <w:tab/>
                </w:r>
                <w:r w:rsidRPr="008623E0">
                  <w:rPr>
                    <w:rFonts w:ascii="Times New Roman" w:hAnsi="Times New Roman"/>
                    <w:noProof/>
                    <w:webHidden/>
                  </w:rPr>
                  <w:fldChar w:fldCharType="begin"/>
                </w:r>
                <w:r w:rsidRPr="008623E0">
                  <w:rPr>
                    <w:rFonts w:ascii="Times New Roman" w:hAnsi="Times New Roman"/>
                    <w:noProof/>
                    <w:webHidden/>
                  </w:rPr>
                  <w:instrText xml:space="preserve"> PAGEREF _Toc218601932 \h </w:instrText>
                </w:r>
                <w:r w:rsidRPr="008623E0">
                  <w:rPr>
                    <w:rFonts w:ascii="Times New Roman" w:hAnsi="Times New Roman"/>
                    <w:noProof/>
                    <w:webHidden/>
                  </w:rPr>
                </w:r>
                <w:r w:rsidRPr="008623E0">
                  <w:rPr>
                    <w:rFonts w:ascii="Times New Roman" w:hAnsi="Times New Roman"/>
                    <w:noProof/>
                    <w:webHidden/>
                  </w:rPr>
                  <w:fldChar w:fldCharType="separate"/>
                </w:r>
                <w:r w:rsidRPr="008623E0">
                  <w:rPr>
                    <w:rFonts w:ascii="Times New Roman" w:hAnsi="Times New Roman"/>
                    <w:noProof/>
                    <w:webHidden/>
                  </w:rPr>
                  <w:t>2</w:t>
                </w:r>
                <w:r w:rsidRPr="008623E0">
                  <w:rPr>
                    <w:rFonts w:ascii="Times New Roman" w:hAnsi="Times New Roman"/>
                    <w:noProof/>
                    <w:webHidden/>
                  </w:rPr>
                  <w:fldChar w:fldCharType="end"/>
                </w:r>
              </w:hyperlink>
            </w:p>
            <w:p w14:paraId="2BC55FEE" w14:textId="22603739"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33" w:history="1">
                <w:r w:rsidRPr="008623E0">
                  <w:rPr>
                    <w:rStyle w:val="Hyperlink"/>
                    <w:rFonts w:ascii="Times New Roman" w:eastAsiaTheme="majorEastAsia" w:hAnsi="Times New Roman"/>
                    <w:noProof/>
                    <w:sz w:val="24"/>
                    <w:szCs w:val="24"/>
                  </w:rPr>
                  <w:t>1. Introduction</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_Toc218601933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2</w:t>
                </w:r>
                <w:r w:rsidRPr="008623E0">
                  <w:rPr>
                    <w:rFonts w:ascii="Times New Roman" w:hAnsi="Times New Roman"/>
                    <w:noProof/>
                    <w:webHidden/>
                    <w:sz w:val="24"/>
                    <w:szCs w:val="24"/>
                  </w:rPr>
                  <w:fldChar w:fldCharType="end"/>
                </w:r>
              </w:hyperlink>
            </w:p>
            <w:p w14:paraId="4DFDEE46" w14:textId="28E06957"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34" w:history="1">
                <w:r w:rsidRPr="008623E0">
                  <w:rPr>
                    <w:rStyle w:val="Hyperlink"/>
                    <w:rFonts w:ascii="Times New Roman" w:eastAsiaTheme="majorEastAsia" w:hAnsi="Times New Roman"/>
                    <w:noProof/>
                    <w:sz w:val="24"/>
                    <w:szCs w:val="24"/>
                  </w:rPr>
                  <w:t>2. Risk Based Security as a Foundational Approach</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_Toc218601934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3</w:t>
                </w:r>
                <w:r w:rsidRPr="008623E0">
                  <w:rPr>
                    <w:rFonts w:ascii="Times New Roman" w:hAnsi="Times New Roman"/>
                    <w:noProof/>
                    <w:webHidden/>
                    <w:sz w:val="24"/>
                    <w:szCs w:val="24"/>
                  </w:rPr>
                  <w:fldChar w:fldCharType="end"/>
                </w:r>
              </w:hyperlink>
            </w:p>
            <w:p w14:paraId="21AAD1D7" w14:textId="67F76EB2"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35" w:history="1">
                <w:r w:rsidRPr="008623E0">
                  <w:rPr>
                    <w:rStyle w:val="Hyperlink"/>
                    <w:rFonts w:ascii="Times New Roman" w:eastAsiaTheme="majorEastAsia" w:hAnsi="Times New Roman"/>
                    <w:noProof/>
                    <w:sz w:val="24"/>
                    <w:szCs w:val="24"/>
                  </w:rPr>
                  <w:t>2.1. Risk Identification and Assessment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_Toc218601935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3</w:t>
                </w:r>
                <w:r w:rsidRPr="008623E0">
                  <w:rPr>
                    <w:rFonts w:ascii="Times New Roman" w:hAnsi="Times New Roman"/>
                    <w:noProof/>
                    <w:webHidden/>
                    <w:sz w:val="24"/>
                    <w:szCs w:val="24"/>
                  </w:rPr>
                  <w:fldChar w:fldCharType="end"/>
                </w:r>
              </w:hyperlink>
            </w:p>
            <w:p w14:paraId="3140F9DA" w14:textId="39AF6670"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36" w:history="1">
                <w:r w:rsidRPr="008623E0">
                  <w:rPr>
                    <w:rStyle w:val="Hyperlink"/>
                    <w:rFonts w:ascii="Times New Roman" w:eastAsiaTheme="majorEastAsia" w:hAnsi="Times New Roman"/>
                    <w:noProof/>
                    <w:sz w:val="24"/>
                    <w:szCs w:val="24"/>
                  </w:rPr>
                  <w:t>2.2. Risk Appetite and Residual Risk</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_Toc218601936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4</w:t>
                </w:r>
                <w:r w:rsidRPr="008623E0">
                  <w:rPr>
                    <w:rFonts w:ascii="Times New Roman" w:hAnsi="Times New Roman"/>
                    <w:noProof/>
                    <w:webHidden/>
                    <w:sz w:val="24"/>
                    <w:szCs w:val="24"/>
                  </w:rPr>
                  <w:fldChar w:fldCharType="end"/>
                </w:r>
              </w:hyperlink>
            </w:p>
            <w:p w14:paraId="24BDE462" w14:textId="3A444744"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37" w:history="1">
                <w:r w:rsidRPr="008623E0">
                  <w:rPr>
                    <w:rStyle w:val="Hyperlink"/>
                    <w:rFonts w:ascii="Times New Roman" w:eastAsiaTheme="majorEastAsia" w:hAnsi="Times New Roman"/>
                    <w:noProof/>
                    <w:sz w:val="24"/>
                    <w:szCs w:val="24"/>
                  </w:rPr>
                  <w:t>3. Risk Treatment Through Zero Trust Architecture</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_Toc218601937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4</w:t>
                </w:r>
                <w:r w:rsidRPr="008623E0">
                  <w:rPr>
                    <w:rFonts w:ascii="Times New Roman" w:hAnsi="Times New Roman"/>
                    <w:noProof/>
                    <w:webHidden/>
                    <w:sz w:val="24"/>
                    <w:szCs w:val="24"/>
                  </w:rPr>
                  <w:fldChar w:fldCharType="end"/>
                </w:r>
              </w:hyperlink>
            </w:p>
            <w:p w14:paraId="23EF4252" w14:textId="7B291386"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38" w:history="1">
                <w:r w:rsidRPr="008623E0">
                  <w:rPr>
                    <w:rStyle w:val="Hyperlink"/>
                    <w:rFonts w:ascii="Times New Roman" w:eastAsiaTheme="majorEastAsia" w:hAnsi="Times New Roman"/>
                    <w:noProof/>
                    <w:sz w:val="24"/>
                    <w:szCs w:val="24"/>
                  </w:rPr>
                  <w:t>3.1. Principles of Zero Trust Architecture</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_Toc218601938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4</w:t>
                </w:r>
                <w:r w:rsidRPr="008623E0">
                  <w:rPr>
                    <w:rFonts w:ascii="Times New Roman" w:hAnsi="Times New Roman"/>
                    <w:noProof/>
                    <w:webHidden/>
                    <w:sz w:val="24"/>
                    <w:szCs w:val="24"/>
                  </w:rPr>
                  <w:fldChar w:fldCharType="end"/>
                </w:r>
              </w:hyperlink>
            </w:p>
            <w:p w14:paraId="2CCFF88A" w14:textId="117D89C5"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39" w:history="1">
                <w:r w:rsidRPr="008623E0">
                  <w:rPr>
                    <w:rStyle w:val="Hyperlink"/>
                    <w:rFonts w:ascii="Times New Roman" w:eastAsiaTheme="majorEastAsia" w:hAnsi="Times New Roman"/>
                    <w:noProof/>
                    <w:sz w:val="24"/>
                    <w:szCs w:val="24"/>
                  </w:rPr>
                  <w:t>3.2. Applying Zero Trust to SaaS and Web Applications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_Toc218601939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5</w:t>
                </w:r>
                <w:r w:rsidRPr="008623E0">
                  <w:rPr>
                    <w:rFonts w:ascii="Times New Roman" w:hAnsi="Times New Roman"/>
                    <w:noProof/>
                    <w:webHidden/>
                    <w:sz w:val="24"/>
                    <w:szCs w:val="24"/>
                  </w:rPr>
                  <w:fldChar w:fldCharType="end"/>
                </w:r>
              </w:hyperlink>
            </w:p>
            <w:p w14:paraId="417E9B2D" w14:textId="5F42F5A6"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40" w:history="1">
                <w:r w:rsidRPr="008623E0">
                  <w:rPr>
                    <w:rStyle w:val="Hyperlink"/>
                    <w:rFonts w:ascii="Times New Roman" w:eastAsiaTheme="majorEastAsia" w:hAnsi="Times New Roman"/>
                    <w:noProof/>
                    <w:sz w:val="24"/>
                    <w:szCs w:val="24"/>
                  </w:rPr>
                  <w:t>4. Continuous Monitoring and Threat Detection</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_Toc218601940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5</w:t>
                </w:r>
                <w:r w:rsidRPr="008623E0">
                  <w:rPr>
                    <w:rFonts w:ascii="Times New Roman" w:hAnsi="Times New Roman"/>
                    <w:noProof/>
                    <w:webHidden/>
                    <w:sz w:val="24"/>
                    <w:szCs w:val="24"/>
                  </w:rPr>
                  <w:fldChar w:fldCharType="end"/>
                </w:r>
              </w:hyperlink>
            </w:p>
            <w:p w14:paraId="3113ED68" w14:textId="18B93664"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41" w:history="1">
                <w:r w:rsidRPr="008623E0">
                  <w:rPr>
                    <w:rStyle w:val="Hyperlink"/>
                    <w:rFonts w:ascii="Times New Roman" w:hAnsi="Times New Roman"/>
                    <w:noProof/>
                    <w:sz w:val="24"/>
                    <w:szCs w:val="24"/>
                  </w:rPr>
                  <w:t>4.1. Role of Continuous Monitoring</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_Toc218601941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5</w:t>
                </w:r>
                <w:r w:rsidRPr="008623E0">
                  <w:rPr>
                    <w:rFonts w:ascii="Times New Roman" w:hAnsi="Times New Roman"/>
                    <w:noProof/>
                    <w:webHidden/>
                    <w:sz w:val="24"/>
                    <w:szCs w:val="24"/>
                  </w:rPr>
                  <w:fldChar w:fldCharType="end"/>
                </w:r>
              </w:hyperlink>
            </w:p>
            <w:p w14:paraId="64878360" w14:textId="00276D64"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42" w:history="1">
                <w:r w:rsidRPr="008623E0">
                  <w:rPr>
                    <w:rStyle w:val="Hyperlink"/>
                    <w:rFonts w:ascii="Times New Roman" w:eastAsiaTheme="majorEastAsia" w:hAnsi="Times New Roman"/>
                    <w:noProof/>
                    <w:sz w:val="24"/>
                    <w:szCs w:val="24"/>
                  </w:rPr>
                  <w:t>4.2. Limitations and Challenges of Detection Mechanisms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_Toc218601942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6</w:t>
                </w:r>
                <w:r w:rsidRPr="008623E0">
                  <w:rPr>
                    <w:rFonts w:ascii="Times New Roman" w:hAnsi="Times New Roman"/>
                    <w:noProof/>
                    <w:webHidden/>
                    <w:sz w:val="24"/>
                    <w:szCs w:val="24"/>
                  </w:rPr>
                  <w:fldChar w:fldCharType="end"/>
                </w:r>
              </w:hyperlink>
            </w:p>
            <w:p w14:paraId="3DC7D67D" w14:textId="1ED84A8B"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43" w:history="1">
                <w:r w:rsidRPr="008623E0">
                  <w:rPr>
                    <w:rStyle w:val="Hyperlink"/>
                    <w:rFonts w:ascii="Times New Roman" w:eastAsiaTheme="majorEastAsia" w:hAnsi="Times New Roman"/>
                    <w:noProof/>
                    <w:sz w:val="24"/>
                    <w:szCs w:val="24"/>
                  </w:rPr>
                  <w:t>5. Automated Response and Incident Handling</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_Toc218601943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6</w:t>
                </w:r>
                <w:r w:rsidRPr="008623E0">
                  <w:rPr>
                    <w:rFonts w:ascii="Times New Roman" w:hAnsi="Times New Roman"/>
                    <w:noProof/>
                    <w:webHidden/>
                    <w:sz w:val="24"/>
                    <w:szCs w:val="24"/>
                  </w:rPr>
                  <w:fldChar w:fldCharType="end"/>
                </w:r>
              </w:hyperlink>
            </w:p>
            <w:p w14:paraId="367C405E" w14:textId="113ECAB7"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44" w:history="1">
                <w:r w:rsidRPr="008623E0">
                  <w:rPr>
                    <w:rStyle w:val="Hyperlink"/>
                    <w:rFonts w:ascii="Times New Roman" w:eastAsiaTheme="majorEastAsia" w:hAnsi="Times New Roman"/>
                    <w:noProof/>
                    <w:sz w:val="24"/>
                    <w:szCs w:val="24"/>
                  </w:rPr>
                  <w:t>5.1. Automated Response as a Risk Mitigation Strategy</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_Toc218601944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6</w:t>
                </w:r>
                <w:r w:rsidRPr="008623E0">
                  <w:rPr>
                    <w:rFonts w:ascii="Times New Roman" w:hAnsi="Times New Roman"/>
                    <w:noProof/>
                    <w:webHidden/>
                    <w:sz w:val="24"/>
                    <w:szCs w:val="24"/>
                  </w:rPr>
                  <w:fldChar w:fldCharType="end"/>
                </w:r>
              </w:hyperlink>
            </w:p>
            <w:p w14:paraId="57BE3083" w14:textId="0965BED3"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45" w:history="1">
                <w:r w:rsidRPr="008623E0">
                  <w:rPr>
                    <w:rStyle w:val="Hyperlink"/>
                    <w:rFonts w:ascii="Times New Roman" w:eastAsiaTheme="majorEastAsia" w:hAnsi="Times New Roman"/>
                    <w:noProof/>
                    <w:sz w:val="24"/>
                    <w:szCs w:val="24"/>
                  </w:rPr>
                  <w:t>5.2. Integration with Incident Response Processes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_Toc218601945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7</w:t>
                </w:r>
                <w:r w:rsidRPr="008623E0">
                  <w:rPr>
                    <w:rFonts w:ascii="Times New Roman" w:hAnsi="Times New Roman"/>
                    <w:noProof/>
                    <w:webHidden/>
                    <w:sz w:val="24"/>
                    <w:szCs w:val="24"/>
                  </w:rPr>
                  <w:fldChar w:fldCharType="end"/>
                </w:r>
              </w:hyperlink>
            </w:p>
            <w:p w14:paraId="3657EDAD" w14:textId="5031C822"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46" w:history="1">
                <w:r w:rsidRPr="008623E0">
                  <w:rPr>
                    <w:rStyle w:val="Hyperlink"/>
                    <w:rFonts w:ascii="Times New Roman" w:eastAsiaTheme="majorEastAsia" w:hAnsi="Times New Roman"/>
                    <w:noProof/>
                    <w:sz w:val="24"/>
                    <w:szCs w:val="24"/>
                  </w:rPr>
                  <w:t>6. Discussion: Benefits, Limitations, and Trade-offs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_Toc218601946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7</w:t>
                </w:r>
                <w:r w:rsidRPr="008623E0">
                  <w:rPr>
                    <w:rFonts w:ascii="Times New Roman" w:hAnsi="Times New Roman"/>
                    <w:noProof/>
                    <w:webHidden/>
                    <w:sz w:val="24"/>
                    <w:szCs w:val="24"/>
                  </w:rPr>
                  <w:fldChar w:fldCharType="end"/>
                </w:r>
              </w:hyperlink>
            </w:p>
            <w:p w14:paraId="6645E8C0" w14:textId="08ED0ADE"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47" w:history="1">
                <w:r w:rsidRPr="008623E0">
                  <w:rPr>
                    <w:rStyle w:val="Hyperlink"/>
                    <w:rFonts w:ascii="Times New Roman" w:eastAsiaTheme="majorEastAsia" w:hAnsi="Times New Roman"/>
                    <w:noProof/>
                    <w:sz w:val="24"/>
                    <w:szCs w:val="24"/>
                  </w:rPr>
                  <w:t>7. Conclusion</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_Toc218601947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8</w:t>
                </w:r>
                <w:r w:rsidRPr="008623E0">
                  <w:rPr>
                    <w:rFonts w:ascii="Times New Roman" w:hAnsi="Times New Roman"/>
                    <w:noProof/>
                    <w:webHidden/>
                    <w:sz w:val="24"/>
                    <w:szCs w:val="24"/>
                  </w:rPr>
                  <w:fldChar w:fldCharType="end"/>
                </w:r>
              </w:hyperlink>
            </w:p>
            <w:p w14:paraId="22FF04F7" w14:textId="44C33E6E" w:rsidR="008623E0" w:rsidRDefault="008623E0" w:rsidP="00603EA3">
              <w:pPr>
                <w:pStyle w:val="TOC2"/>
                <w:tabs>
                  <w:tab w:val="right" w:leader="dot" w:pos="9736"/>
                </w:tabs>
                <w:spacing w:line="276" w:lineRule="auto"/>
                <w:rPr>
                  <w:rStyle w:val="Hyperlink"/>
                  <w:rFonts w:ascii="Times New Roman" w:eastAsiaTheme="majorEastAsia" w:hAnsi="Times New Roman"/>
                  <w:noProof/>
                  <w:sz w:val="24"/>
                  <w:szCs w:val="24"/>
                </w:rPr>
              </w:pPr>
              <w:hyperlink w:anchor="_Toc218601948" w:history="1">
                <w:r w:rsidRPr="008623E0">
                  <w:rPr>
                    <w:rStyle w:val="Hyperlink"/>
                    <w:rFonts w:ascii="Times New Roman" w:eastAsiaTheme="majorEastAsia" w:hAnsi="Times New Roman"/>
                    <w:noProof/>
                    <w:sz w:val="24"/>
                    <w:szCs w:val="24"/>
                  </w:rPr>
                  <w:t>Reference List: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_Toc218601948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8</w:t>
                </w:r>
                <w:r w:rsidRPr="008623E0">
                  <w:rPr>
                    <w:rFonts w:ascii="Times New Roman" w:hAnsi="Times New Roman"/>
                    <w:noProof/>
                    <w:webHidden/>
                    <w:sz w:val="24"/>
                    <w:szCs w:val="24"/>
                  </w:rPr>
                  <w:fldChar w:fldCharType="end"/>
                </w:r>
              </w:hyperlink>
            </w:p>
            <w:p w14:paraId="6CA9FA7B" w14:textId="77777777" w:rsidR="00603EA3" w:rsidRPr="00603EA3" w:rsidRDefault="00603EA3" w:rsidP="00603EA3"/>
            <w:p w14:paraId="2C6E2AD5" w14:textId="30F69681" w:rsidR="008623E0" w:rsidRPr="008623E0" w:rsidRDefault="008623E0" w:rsidP="00603EA3">
              <w:pPr>
                <w:pStyle w:val="TOC1"/>
                <w:tabs>
                  <w:tab w:val="right" w:leader="dot" w:pos="9736"/>
                </w:tabs>
                <w:spacing w:line="276" w:lineRule="auto"/>
                <w:rPr>
                  <w:rFonts w:ascii="Times New Roman" w:eastAsiaTheme="minorEastAsia" w:hAnsi="Times New Roman"/>
                  <w:b w:val="0"/>
                  <w:bCs w:val="0"/>
                  <w:i w:val="0"/>
                  <w:iCs w:val="0"/>
                  <w:noProof/>
                  <w:kern w:val="2"/>
                  <w14:ligatures w14:val="standardContextual"/>
                </w:rPr>
              </w:pPr>
              <w:hyperlink w:anchor="_Toc218601949" w:history="1">
                <w:r w:rsidRPr="008623E0">
                  <w:rPr>
                    <w:rStyle w:val="Hyperlink"/>
                    <w:rFonts w:ascii="Times New Roman" w:eastAsiaTheme="majorEastAsia" w:hAnsi="Times New Roman"/>
                    <w:noProof/>
                  </w:rPr>
                  <w:t>Task 2</w:t>
                </w:r>
                <w:r w:rsidRPr="008623E0">
                  <w:rPr>
                    <w:rFonts w:ascii="Times New Roman" w:hAnsi="Times New Roman"/>
                    <w:noProof/>
                    <w:webHidden/>
                  </w:rPr>
                  <w:tab/>
                </w:r>
                <w:r w:rsidRPr="008623E0">
                  <w:rPr>
                    <w:rFonts w:ascii="Times New Roman" w:hAnsi="Times New Roman"/>
                    <w:noProof/>
                    <w:webHidden/>
                  </w:rPr>
                  <w:fldChar w:fldCharType="begin"/>
                </w:r>
                <w:r w:rsidRPr="008623E0">
                  <w:rPr>
                    <w:rFonts w:ascii="Times New Roman" w:hAnsi="Times New Roman"/>
                    <w:noProof/>
                    <w:webHidden/>
                  </w:rPr>
                  <w:instrText xml:space="preserve"> PAGEREF _Toc218601949 \h </w:instrText>
                </w:r>
                <w:r w:rsidRPr="008623E0">
                  <w:rPr>
                    <w:rFonts w:ascii="Times New Roman" w:hAnsi="Times New Roman"/>
                    <w:noProof/>
                    <w:webHidden/>
                  </w:rPr>
                </w:r>
                <w:r w:rsidRPr="008623E0">
                  <w:rPr>
                    <w:rFonts w:ascii="Times New Roman" w:hAnsi="Times New Roman"/>
                    <w:noProof/>
                    <w:webHidden/>
                  </w:rPr>
                  <w:fldChar w:fldCharType="separate"/>
                </w:r>
                <w:r w:rsidRPr="008623E0">
                  <w:rPr>
                    <w:rFonts w:ascii="Times New Roman" w:hAnsi="Times New Roman"/>
                    <w:noProof/>
                    <w:webHidden/>
                  </w:rPr>
                  <w:t>10</w:t>
                </w:r>
                <w:r w:rsidRPr="008623E0">
                  <w:rPr>
                    <w:rFonts w:ascii="Times New Roman" w:hAnsi="Times New Roman"/>
                    <w:noProof/>
                    <w:webHidden/>
                  </w:rPr>
                  <w:fldChar w:fldCharType="end"/>
                </w:r>
              </w:hyperlink>
            </w:p>
            <w:p w14:paraId="196E0293" w14:textId="216B9094"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50" w:history="1">
                <w:r w:rsidRPr="008623E0">
                  <w:rPr>
                    <w:rStyle w:val="Hyperlink"/>
                    <w:rFonts w:ascii="Times New Roman" w:eastAsiaTheme="majorEastAsia" w:hAnsi="Times New Roman"/>
                    <w:noProof/>
                    <w:sz w:val="24"/>
                    <w:szCs w:val="24"/>
                  </w:rPr>
                  <w:t>Introduction</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_Toc218601950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10</w:t>
                </w:r>
                <w:r w:rsidRPr="008623E0">
                  <w:rPr>
                    <w:rFonts w:ascii="Times New Roman" w:hAnsi="Times New Roman"/>
                    <w:noProof/>
                    <w:webHidden/>
                    <w:sz w:val="24"/>
                    <w:szCs w:val="24"/>
                  </w:rPr>
                  <w:fldChar w:fldCharType="end"/>
                </w:r>
              </w:hyperlink>
            </w:p>
            <w:p w14:paraId="2C658909" w14:textId="3DA389E6"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51" w:history="1">
                <w:r w:rsidRPr="008623E0">
                  <w:rPr>
                    <w:rStyle w:val="Hyperlink"/>
                    <w:rFonts w:ascii="Times New Roman" w:eastAsiaTheme="majorEastAsia" w:hAnsi="Times New Roman"/>
                    <w:noProof/>
                    <w:sz w:val="24"/>
                    <w:szCs w:val="24"/>
                  </w:rPr>
                  <w:t>1. Security Strategy and Governance Model</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_Toc218601951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11</w:t>
                </w:r>
                <w:r w:rsidRPr="008623E0">
                  <w:rPr>
                    <w:rFonts w:ascii="Times New Roman" w:hAnsi="Times New Roman"/>
                    <w:noProof/>
                    <w:webHidden/>
                    <w:sz w:val="24"/>
                    <w:szCs w:val="24"/>
                  </w:rPr>
                  <w:fldChar w:fldCharType="end"/>
                </w:r>
              </w:hyperlink>
            </w:p>
            <w:p w14:paraId="4E46EA9F" w14:textId="59D272E1"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52" w:history="1">
                <w:r w:rsidRPr="008623E0">
                  <w:rPr>
                    <w:rStyle w:val="Hyperlink"/>
                    <w:rFonts w:ascii="Times New Roman" w:eastAsiaTheme="majorEastAsia" w:hAnsi="Times New Roman"/>
                    <w:noProof/>
                    <w:sz w:val="24"/>
                    <w:szCs w:val="24"/>
                  </w:rPr>
                  <w:t>2. Organisational Structure and Security Roles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_Toc218601952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11</w:t>
                </w:r>
                <w:r w:rsidRPr="008623E0">
                  <w:rPr>
                    <w:rFonts w:ascii="Times New Roman" w:hAnsi="Times New Roman"/>
                    <w:noProof/>
                    <w:webHidden/>
                    <w:sz w:val="24"/>
                    <w:szCs w:val="24"/>
                  </w:rPr>
                  <w:fldChar w:fldCharType="end"/>
                </w:r>
              </w:hyperlink>
            </w:p>
            <w:p w14:paraId="11A3B320" w14:textId="596052C3"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53" w:history="1">
                <w:r w:rsidRPr="008623E0">
                  <w:rPr>
                    <w:rStyle w:val="Hyperlink"/>
                    <w:rFonts w:ascii="Times New Roman" w:eastAsiaTheme="majorEastAsia" w:hAnsi="Times New Roman"/>
                    <w:noProof/>
                    <w:sz w:val="24"/>
                    <w:szCs w:val="24"/>
                  </w:rPr>
                  <w:t>3. Policies and Procedures for a Hybrid, AI Driven Environment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_Toc218601953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12</w:t>
                </w:r>
                <w:r w:rsidRPr="008623E0">
                  <w:rPr>
                    <w:rFonts w:ascii="Times New Roman" w:hAnsi="Times New Roman"/>
                    <w:noProof/>
                    <w:webHidden/>
                    <w:sz w:val="24"/>
                    <w:szCs w:val="24"/>
                  </w:rPr>
                  <w:fldChar w:fldCharType="end"/>
                </w:r>
              </w:hyperlink>
            </w:p>
            <w:p w14:paraId="501B928A" w14:textId="2F45D0E2"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54" w:history="1">
                <w:r w:rsidRPr="008623E0">
                  <w:rPr>
                    <w:rStyle w:val="Hyperlink"/>
                    <w:rFonts w:ascii="Times New Roman" w:eastAsiaTheme="majorEastAsia" w:hAnsi="Times New Roman"/>
                    <w:noProof/>
                    <w:sz w:val="24"/>
                    <w:szCs w:val="24"/>
                  </w:rPr>
                  <w:t>3.1 AI Usage Policy</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_Toc218601954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12</w:t>
                </w:r>
                <w:r w:rsidRPr="008623E0">
                  <w:rPr>
                    <w:rFonts w:ascii="Times New Roman" w:hAnsi="Times New Roman"/>
                    <w:noProof/>
                    <w:webHidden/>
                    <w:sz w:val="24"/>
                    <w:szCs w:val="24"/>
                  </w:rPr>
                  <w:fldChar w:fldCharType="end"/>
                </w:r>
              </w:hyperlink>
            </w:p>
            <w:p w14:paraId="4CD18FA6" w14:textId="42A27B00"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55" w:history="1">
                <w:r w:rsidRPr="008623E0">
                  <w:rPr>
                    <w:rStyle w:val="Hyperlink"/>
                    <w:rFonts w:ascii="Times New Roman" w:eastAsiaTheme="majorEastAsia" w:hAnsi="Times New Roman"/>
                    <w:noProof/>
                    <w:sz w:val="24"/>
                    <w:szCs w:val="24"/>
                  </w:rPr>
                  <w:t>3.2 Secure SaaS Configuration Standard</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_Toc218601955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12</w:t>
                </w:r>
                <w:r w:rsidRPr="008623E0">
                  <w:rPr>
                    <w:rFonts w:ascii="Times New Roman" w:hAnsi="Times New Roman"/>
                    <w:noProof/>
                    <w:webHidden/>
                    <w:sz w:val="24"/>
                    <w:szCs w:val="24"/>
                  </w:rPr>
                  <w:fldChar w:fldCharType="end"/>
                </w:r>
              </w:hyperlink>
            </w:p>
            <w:p w14:paraId="1E80B324" w14:textId="60530A17"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56" w:history="1">
                <w:r w:rsidRPr="008623E0">
                  <w:rPr>
                    <w:rStyle w:val="Hyperlink"/>
                    <w:rFonts w:ascii="Times New Roman" w:eastAsiaTheme="majorEastAsia" w:hAnsi="Times New Roman"/>
                    <w:noProof/>
                    <w:sz w:val="24"/>
                    <w:szCs w:val="24"/>
                  </w:rPr>
                  <w:t>3.3 Bring Your Own Device (BYOD) Policy for a Hybrid Workforce</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_Toc218601956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13</w:t>
                </w:r>
                <w:r w:rsidRPr="008623E0">
                  <w:rPr>
                    <w:rFonts w:ascii="Times New Roman" w:hAnsi="Times New Roman"/>
                    <w:noProof/>
                    <w:webHidden/>
                    <w:sz w:val="24"/>
                    <w:szCs w:val="24"/>
                  </w:rPr>
                  <w:fldChar w:fldCharType="end"/>
                </w:r>
              </w:hyperlink>
            </w:p>
            <w:p w14:paraId="4A652BC4" w14:textId="41EAF9AE"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57" w:history="1">
                <w:r w:rsidRPr="008623E0">
                  <w:rPr>
                    <w:rStyle w:val="Hyperlink"/>
                    <w:rFonts w:ascii="Times New Roman" w:eastAsiaTheme="majorEastAsia" w:hAnsi="Times New Roman"/>
                    <w:noProof/>
                    <w:sz w:val="24"/>
                    <w:szCs w:val="24"/>
                  </w:rPr>
                  <w:t>3.4 Roles and Responsibilities (RACI Overview)</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_Toc218601957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13</w:t>
                </w:r>
                <w:r w:rsidRPr="008623E0">
                  <w:rPr>
                    <w:rFonts w:ascii="Times New Roman" w:hAnsi="Times New Roman"/>
                    <w:noProof/>
                    <w:webHidden/>
                    <w:sz w:val="24"/>
                    <w:szCs w:val="24"/>
                  </w:rPr>
                  <w:fldChar w:fldCharType="end"/>
                </w:r>
              </w:hyperlink>
            </w:p>
            <w:p w14:paraId="264CE72E" w14:textId="411265A3"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58" w:history="1">
                <w:r w:rsidRPr="008623E0">
                  <w:rPr>
                    <w:rStyle w:val="Hyperlink"/>
                    <w:rFonts w:ascii="Times New Roman" w:eastAsiaTheme="majorEastAsia" w:hAnsi="Times New Roman"/>
                    <w:noProof/>
                    <w:sz w:val="24"/>
                    <w:szCs w:val="24"/>
                  </w:rPr>
                  <w:t>4. Risk Management and Threat Landscape</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_Toc218601958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13</w:t>
                </w:r>
                <w:r w:rsidRPr="008623E0">
                  <w:rPr>
                    <w:rFonts w:ascii="Times New Roman" w:hAnsi="Times New Roman"/>
                    <w:noProof/>
                    <w:webHidden/>
                    <w:sz w:val="24"/>
                    <w:szCs w:val="24"/>
                  </w:rPr>
                  <w:fldChar w:fldCharType="end"/>
                </w:r>
              </w:hyperlink>
            </w:p>
            <w:p w14:paraId="6F4D958B" w14:textId="072BC281"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59" w:history="1">
                <w:r w:rsidRPr="008623E0">
                  <w:rPr>
                    <w:rStyle w:val="Hyperlink"/>
                    <w:rFonts w:ascii="Times New Roman" w:eastAsiaTheme="majorEastAsia" w:hAnsi="Times New Roman"/>
                    <w:noProof/>
                    <w:sz w:val="24"/>
                    <w:szCs w:val="24"/>
                  </w:rPr>
                  <w:t>4.1 Software Supply Chain Risks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_Toc218601959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13</w:t>
                </w:r>
                <w:r w:rsidRPr="008623E0">
                  <w:rPr>
                    <w:rFonts w:ascii="Times New Roman" w:hAnsi="Times New Roman"/>
                    <w:noProof/>
                    <w:webHidden/>
                    <w:sz w:val="24"/>
                    <w:szCs w:val="24"/>
                  </w:rPr>
                  <w:fldChar w:fldCharType="end"/>
                </w:r>
              </w:hyperlink>
            </w:p>
            <w:p w14:paraId="0E6EDA6E" w14:textId="6334A447"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0" w:history="1">
                <w:r w:rsidRPr="008623E0">
                  <w:rPr>
                    <w:rStyle w:val="Hyperlink"/>
                    <w:rFonts w:ascii="Times New Roman" w:eastAsiaTheme="majorEastAsia" w:hAnsi="Times New Roman"/>
                    <w:noProof/>
                    <w:sz w:val="24"/>
                    <w:szCs w:val="24"/>
                  </w:rPr>
                  <w:t>4.2 Cloud Misconfiguration Risks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_Toc218601960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13</w:t>
                </w:r>
                <w:r w:rsidRPr="008623E0">
                  <w:rPr>
                    <w:rFonts w:ascii="Times New Roman" w:hAnsi="Times New Roman"/>
                    <w:noProof/>
                    <w:webHidden/>
                    <w:sz w:val="24"/>
                    <w:szCs w:val="24"/>
                  </w:rPr>
                  <w:fldChar w:fldCharType="end"/>
                </w:r>
              </w:hyperlink>
            </w:p>
            <w:p w14:paraId="4DBE54D9" w14:textId="0F3967C8"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1" w:history="1">
                <w:r w:rsidRPr="008623E0">
                  <w:rPr>
                    <w:rStyle w:val="Hyperlink"/>
                    <w:rFonts w:ascii="Times New Roman" w:eastAsiaTheme="majorEastAsia" w:hAnsi="Times New Roman"/>
                    <w:noProof/>
                    <w:sz w:val="24"/>
                    <w:szCs w:val="24"/>
                  </w:rPr>
                  <w:t>4.3 High-Level Risk Assessment and Zero Trust Alignment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_Toc218601961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14</w:t>
                </w:r>
                <w:r w:rsidRPr="008623E0">
                  <w:rPr>
                    <w:rFonts w:ascii="Times New Roman" w:hAnsi="Times New Roman"/>
                    <w:noProof/>
                    <w:webHidden/>
                    <w:sz w:val="24"/>
                    <w:szCs w:val="24"/>
                  </w:rPr>
                  <w:fldChar w:fldCharType="end"/>
                </w:r>
              </w:hyperlink>
            </w:p>
            <w:p w14:paraId="19C9ED17" w14:textId="7ED53266"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2" w:history="1">
                <w:r w:rsidRPr="008623E0">
                  <w:rPr>
                    <w:rStyle w:val="Hyperlink"/>
                    <w:rFonts w:ascii="Times New Roman" w:eastAsiaTheme="majorEastAsia" w:hAnsi="Times New Roman"/>
                    <w:noProof/>
                    <w:sz w:val="24"/>
                    <w:szCs w:val="24"/>
                  </w:rPr>
                  <w:t>4.4 Regulatory Alignment and Governance Implications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_Toc218601962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14</w:t>
                </w:r>
                <w:r w:rsidRPr="008623E0">
                  <w:rPr>
                    <w:rFonts w:ascii="Times New Roman" w:hAnsi="Times New Roman"/>
                    <w:noProof/>
                    <w:webHidden/>
                    <w:sz w:val="24"/>
                    <w:szCs w:val="24"/>
                  </w:rPr>
                  <w:fldChar w:fldCharType="end"/>
                </w:r>
              </w:hyperlink>
            </w:p>
            <w:p w14:paraId="7299402D" w14:textId="6DBE5C89"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63" w:history="1">
                <w:r w:rsidRPr="008623E0">
                  <w:rPr>
                    <w:rStyle w:val="Hyperlink"/>
                    <w:rFonts w:ascii="Times New Roman" w:eastAsiaTheme="majorEastAsia" w:hAnsi="Times New Roman"/>
                    <w:noProof/>
                    <w:sz w:val="24"/>
                    <w:szCs w:val="24"/>
                  </w:rPr>
                  <w:t>5. Protection and Detection Mechanisms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_Toc218601963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15</w:t>
                </w:r>
                <w:r w:rsidRPr="008623E0">
                  <w:rPr>
                    <w:rFonts w:ascii="Times New Roman" w:hAnsi="Times New Roman"/>
                    <w:noProof/>
                    <w:webHidden/>
                    <w:sz w:val="24"/>
                    <w:szCs w:val="24"/>
                  </w:rPr>
                  <w:fldChar w:fldCharType="end"/>
                </w:r>
              </w:hyperlink>
            </w:p>
            <w:p w14:paraId="7C4000B8" w14:textId="467963E6"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4" w:history="1">
                <w:r w:rsidRPr="008623E0">
                  <w:rPr>
                    <w:rStyle w:val="Hyperlink"/>
                    <w:rFonts w:ascii="Times New Roman" w:eastAsiaTheme="majorEastAsia" w:hAnsi="Times New Roman"/>
                    <w:noProof/>
                    <w:sz w:val="24"/>
                    <w:szCs w:val="24"/>
                  </w:rPr>
                  <w:t>5.1 Zero Trust Aligned Protection Strategy</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_Toc218601964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15</w:t>
                </w:r>
                <w:r w:rsidRPr="008623E0">
                  <w:rPr>
                    <w:rFonts w:ascii="Times New Roman" w:hAnsi="Times New Roman"/>
                    <w:noProof/>
                    <w:webHidden/>
                    <w:sz w:val="24"/>
                    <w:szCs w:val="24"/>
                  </w:rPr>
                  <w:fldChar w:fldCharType="end"/>
                </w:r>
              </w:hyperlink>
            </w:p>
            <w:p w14:paraId="3E689525" w14:textId="5302AD7D"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5" w:history="1">
                <w:r w:rsidRPr="008623E0">
                  <w:rPr>
                    <w:rStyle w:val="Hyperlink"/>
                    <w:rFonts w:ascii="Times New Roman" w:eastAsiaTheme="majorEastAsia" w:hAnsi="Times New Roman"/>
                    <w:noProof/>
                    <w:sz w:val="24"/>
                    <w:szCs w:val="24"/>
                  </w:rPr>
                  <w:t>5.2 Identity and Access Protection Controls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_Toc218601965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15</w:t>
                </w:r>
                <w:r w:rsidRPr="008623E0">
                  <w:rPr>
                    <w:rFonts w:ascii="Times New Roman" w:hAnsi="Times New Roman"/>
                    <w:noProof/>
                    <w:webHidden/>
                    <w:sz w:val="24"/>
                    <w:szCs w:val="24"/>
                  </w:rPr>
                  <w:fldChar w:fldCharType="end"/>
                </w:r>
              </w:hyperlink>
            </w:p>
            <w:p w14:paraId="4D2E817C" w14:textId="632694E4"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6" w:history="1">
                <w:r w:rsidRPr="008623E0">
                  <w:rPr>
                    <w:rStyle w:val="Hyperlink"/>
                    <w:rFonts w:ascii="Times New Roman" w:eastAsiaTheme="majorEastAsia" w:hAnsi="Times New Roman"/>
                    <w:noProof/>
                    <w:sz w:val="24"/>
                    <w:szCs w:val="24"/>
                  </w:rPr>
                  <w:t>5.3 Endpoint and Cloud Protection Mechanisms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_Toc218601966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15</w:t>
                </w:r>
                <w:r w:rsidRPr="008623E0">
                  <w:rPr>
                    <w:rFonts w:ascii="Times New Roman" w:hAnsi="Times New Roman"/>
                    <w:noProof/>
                    <w:webHidden/>
                    <w:sz w:val="24"/>
                    <w:szCs w:val="24"/>
                  </w:rPr>
                  <w:fldChar w:fldCharType="end"/>
                </w:r>
              </w:hyperlink>
            </w:p>
            <w:p w14:paraId="0C2A521C" w14:textId="36D134C0"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7" w:history="1">
                <w:r w:rsidRPr="008623E0">
                  <w:rPr>
                    <w:rStyle w:val="Hyperlink"/>
                    <w:rFonts w:ascii="Times New Roman" w:eastAsiaTheme="majorEastAsia" w:hAnsi="Times New Roman"/>
                    <w:noProof/>
                    <w:sz w:val="24"/>
                    <w:szCs w:val="24"/>
                  </w:rPr>
                  <w:t>5.4 Detection and Security Monitoring</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_Toc218601967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16</w:t>
                </w:r>
                <w:r w:rsidRPr="008623E0">
                  <w:rPr>
                    <w:rFonts w:ascii="Times New Roman" w:hAnsi="Times New Roman"/>
                    <w:noProof/>
                    <w:webHidden/>
                    <w:sz w:val="24"/>
                    <w:szCs w:val="24"/>
                  </w:rPr>
                  <w:fldChar w:fldCharType="end"/>
                </w:r>
              </w:hyperlink>
            </w:p>
            <w:p w14:paraId="4E9CAA67" w14:textId="6F59F6D8"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68" w:history="1">
                <w:r w:rsidRPr="008623E0">
                  <w:rPr>
                    <w:rStyle w:val="Hyperlink"/>
                    <w:rFonts w:ascii="Times New Roman" w:eastAsiaTheme="majorEastAsia" w:hAnsi="Times New Roman"/>
                    <w:noProof/>
                    <w:sz w:val="24"/>
                    <w:szCs w:val="24"/>
                  </w:rPr>
                  <w:t>5.5 Regulatory and Strategic Alignment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_Toc218601968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16</w:t>
                </w:r>
                <w:r w:rsidRPr="008623E0">
                  <w:rPr>
                    <w:rFonts w:ascii="Times New Roman" w:hAnsi="Times New Roman"/>
                    <w:noProof/>
                    <w:webHidden/>
                    <w:sz w:val="24"/>
                    <w:szCs w:val="24"/>
                  </w:rPr>
                  <w:fldChar w:fldCharType="end"/>
                </w:r>
              </w:hyperlink>
            </w:p>
            <w:p w14:paraId="6B420E07" w14:textId="192380AB"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69" w:history="1">
                <w:r w:rsidRPr="008623E0">
                  <w:rPr>
                    <w:rStyle w:val="Hyperlink"/>
                    <w:rFonts w:ascii="Times New Roman" w:eastAsiaTheme="majorEastAsia" w:hAnsi="Times New Roman"/>
                    <w:noProof/>
                    <w:sz w:val="24"/>
                    <w:szCs w:val="24"/>
                  </w:rPr>
                  <w:t>6. Incident Response and Operational Resilience</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_Toc218601969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16</w:t>
                </w:r>
                <w:r w:rsidRPr="008623E0">
                  <w:rPr>
                    <w:rFonts w:ascii="Times New Roman" w:hAnsi="Times New Roman"/>
                    <w:noProof/>
                    <w:webHidden/>
                    <w:sz w:val="24"/>
                    <w:szCs w:val="24"/>
                  </w:rPr>
                  <w:fldChar w:fldCharType="end"/>
                </w:r>
              </w:hyperlink>
            </w:p>
            <w:p w14:paraId="60210FDD" w14:textId="1B42C070"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0" w:history="1">
                <w:r w:rsidRPr="008623E0">
                  <w:rPr>
                    <w:rStyle w:val="Hyperlink"/>
                    <w:rFonts w:ascii="Times New Roman" w:eastAsiaTheme="majorEastAsia" w:hAnsi="Times New Roman"/>
                    <w:noProof/>
                    <w:sz w:val="24"/>
                    <w:szCs w:val="24"/>
                  </w:rPr>
                  <w:t>6.1 Incident Response as a Core Capability of Zero Trust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_Toc218601970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16</w:t>
                </w:r>
                <w:r w:rsidRPr="008623E0">
                  <w:rPr>
                    <w:rFonts w:ascii="Times New Roman" w:hAnsi="Times New Roman"/>
                    <w:noProof/>
                    <w:webHidden/>
                    <w:sz w:val="24"/>
                    <w:szCs w:val="24"/>
                  </w:rPr>
                  <w:fldChar w:fldCharType="end"/>
                </w:r>
              </w:hyperlink>
            </w:p>
            <w:p w14:paraId="6F6A6BB9" w14:textId="453D15B7"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1" w:history="1">
                <w:r w:rsidRPr="008623E0">
                  <w:rPr>
                    <w:rStyle w:val="Hyperlink"/>
                    <w:rFonts w:ascii="Times New Roman" w:eastAsiaTheme="majorEastAsia" w:hAnsi="Times New Roman"/>
                    <w:noProof/>
                    <w:sz w:val="24"/>
                    <w:szCs w:val="24"/>
                  </w:rPr>
                  <w:t>6.2 SOC Workflows and Detection to Response Integration</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_Toc218601971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16</w:t>
                </w:r>
                <w:r w:rsidRPr="008623E0">
                  <w:rPr>
                    <w:rFonts w:ascii="Times New Roman" w:hAnsi="Times New Roman"/>
                    <w:noProof/>
                    <w:webHidden/>
                    <w:sz w:val="24"/>
                    <w:szCs w:val="24"/>
                  </w:rPr>
                  <w:fldChar w:fldCharType="end"/>
                </w:r>
              </w:hyperlink>
            </w:p>
            <w:p w14:paraId="60B37B43" w14:textId="151BF4E0"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2" w:history="1">
                <w:r w:rsidRPr="008623E0">
                  <w:rPr>
                    <w:rStyle w:val="Hyperlink"/>
                    <w:rFonts w:ascii="Times New Roman" w:eastAsiaTheme="majorEastAsia" w:hAnsi="Times New Roman"/>
                    <w:noProof/>
                    <w:sz w:val="24"/>
                    <w:szCs w:val="24"/>
                  </w:rPr>
                  <w:t>6.3 Operational Resilience and DORA Alignment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_Toc218601972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17</w:t>
                </w:r>
                <w:r w:rsidRPr="008623E0">
                  <w:rPr>
                    <w:rFonts w:ascii="Times New Roman" w:hAnsi="Times New Roman"/>
                    <w:noProof/>
                    <w:webHidden/>
                    <w:sz w:val="24"/>
                    <w:szCs w:val="24"/>
                  </w:rPr>
                  <w:fldChar w:fldCharType="end"/>
                </w:r>
              </w:hyperlink>
            </w:p>
            <w:p w14:paraId="608C981F" w14:textId="1D586BC8"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3" w:history="1">
                <w:r w:rsidRPr="008623E0">
                  <w:rPr>
                    <w:rStyle w:val="Hyperlink"/>
                    <w:rFonts w:ascii="Times New Roman" w:eastAsiaTheme="majorEastAsia" w:hAnsi="Times New Roman"/>
                    <w:noProof/>
                    <w:sz w:val="24"/>
                    <w:szCs w:val="24"/>
                  </w:rPr>
                  <w:t>6.4 NIS2 Incident Reporting and Regulatory Accountability</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_Toc218601973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17</w:t>
                </w:r>
                <w:r w:rsidRPr="008623E0">
                  <w:rPr>
                    <w:rFonts w:ascii="Times New Roman" w:hAnsi="Times New Roman"/>
                    <w:noProof/>
                    <w:webHidden/>
                    <w:sz w:val="24"/>
                    <w:szCs w:val="24"/>
                  </w:rPr>
                  <w:fldChar w:fldCharType="end"/>
                </w:r>
              </w:hyperlink>
            </w:p>
            <w:p w14:paraId="0CB4D4DA" w14:textId="765FDF31"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4" w:history="1">
                <w:r w:rsidRPr="008623E0">
                  <w:rPr>
                    <w:rStyle w:val="Hyperlink"/>
                    <w:rFonts w:ascii="Times New Roman" w:eastAsiaTheme="majorEastAsia" w:hAnsi="Times New Roman"/>
                    <w:noProof/>
                    <w:sz w:val="24"/>
                    <w:szCs w:val="24"/>
                  </w:rPr>
                  <w:t>6.5 Governance, Review, and Continuous Improvement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_Toc218601974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17</w:t>
                </w:r>
                <w:r w:rsidRPr="008623E0">
                  <w:rPr>
                    <w:rFonts w:ascii="Times New Roman" w:hAnsi="Times New Roman"/>
                    <w:noProof/>
                    <w:webHidden/>
                    <w:sz w:val="24"/>
                    <w:szCs w:val="24"/>
                  </w:rPr>
                  <w:fldChar w:fldCharType="end"/>
                </w:r>
              </w:hyperlink>
            </w:p>
            <w:p w14:paraId="10565EC7" w14:textId="0F6752C1"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75" w:history="1">
                <w:r w:rsidRPr="008623E0">
                  <w:rPr>
                    <w:rStyle w:val="Hyperlink"/>
                    <w:rFonts w:ascii="Times New Roman" w:eastAsiaTheme="majorEastAsia" w:hAnsi="Times New Roman"/>
                    <w:noProof/>
                    <w:sz w:val="24"/>
                    <w:szCs w:val="24"/>
                  </w:rPr>
                  <w:t>7. Disaster Recovery and Contingency Planning</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_Toc218601975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17</w:t>
                </w:r>
                <w:r w:rsidRPr="008623E0">
                  <w:rPr>
                    <w:rFonts w:ascii="Times New Roman" w:hAnsi="Times New Roman"/>
                    <w:noProof/>
                    <w:webHidden/>
                    <w:sz w:val="24"/>
                    <w:szCs w:val="24"/>
                  </w:rPr>
                  <w:fldChar w:fldCharType="end"/>
                </w:r>
              </w:hyperlink>
            </w:p>
            <w:p w14:paraId="5C7EB8E1" w14:textId="33970243"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6" w:history="1">
                <w:r w:rsidRPr="008623E0">
                  <w:rPr>
                    <w:rStyle w:val="Hyperlink"/>
                    <w:rFonts w:ascii="Times New Roman" w:eastAsiaTheme="majorEastAsia" w:hAnsi="Times New Roman"/>
                    <w:noProof/>
                    <w:sz w:val="24"/>
                    <w:szCs w:val="24"/>
                  </w:rPr>
                  <w:t>7.1 Ransomware as a Critical Resilience Scenario</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_Toc218601976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17</w:t>
                </w:r>
                <w:r w:rsidRPr="008623E0">
                  <w:rPr>
                    <w:rFonts w:ascii="Times New Roman" w:hAnsi="Times New Roman"/>
                    <w:noProof/>
                    <w:webHidden/>
                    <w:sz w:val="24"/>
                    <w:szCs w:val="24"/>
                  </w:rPr>
                  <w:fldChar w:fldCharType="end"/>
                </w:r>
              </w:hyperlink>
            </w:p>
            <w:p w14:paraId="04877F9C" w14:textId="53BA42B8"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7" w:history="1">
                <w:r w:rsidRPr="008623E0">
                  <w:rPr>
                    <w:rStyle w:val="Hyperlink"/>
                    <w:rFonts w:ascii="Times New Roman" w:eastAsiaTheme="majorEastAsia" w:hAnsi="Times New Roman"/>
                    <w:noProof/>
                    <w:sz w:val="24"/>
                    <w:szCs w:val="24"/>
                  </w:rPr>
                  <w:t>7.2 Zero Trust Aligned Disaster Recovery Principles</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_Toc218601977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17</w:t>
                </w:r>
                <w:r w:rsidRPr="008623E0">
                  <w:rPr>
                    <w:rFonts w:ascii="Times New Roman" w:hAnsi="Times New Roman"/>
                    <w:noProof/>
                    <w:webHidden/>
                    <w:sz w:val="24"/>
                    <w:szCs w:val="24"/>
                  </w:rPr>
                  <w:fldChar w:fldCharType="end"/>
                </w:r>
              </w:hyperlink>
            </w:p>
            <w:p w14:paraId="5D373E6A" w14:textId="7848E88F"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8" w:history="1">
                <w:r w:rsidRPr="008623E0">
                  <w:rPr>
                    <w:rStyle w:val="Hyperlink"/>
                    <w:rFonts w:ascii="Times New Roman" w:eastAsiaTheme="majorEastAsia" w:hAnsi="Times New Roman"/>
                    <w:noProof/>
                    <w:sz w:val="24"/>
                    <w:szCs w:val="24"/>
                  </w:rPr>
                  <w:t>7.3 Recovery Strategy for AI Data and Source Code</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_Toc218601978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17</w:t>
                </w:r>
                <w:r w:rsidRPr="008623E0">
                  <w:rPr>
                    <w:rFonts w:ascii="Times New Roman" w:hAnsi="Times New Roman"/>
                    <w:noProof/>
                    <w:webHidden/>
                    <w:sz w:val="24"/>
                    <w:szCs w:val="24"/>
                  </w:rPr>
                  <w:fldChar w:fldCharType="end"/>
                </w:r>
              </w:hyperlink>
            </w:p>
            <w:p w14:paraId="2B6251EF" w14:textId="702F5F2C"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79" w:history="1">
                <w:r w:rsidRPr="008623E0">
                  <w:rPr>
                    <w:rStyle w:val="Hyperlink"/>
                    <w:rFonts w:ascii="Times New Roman" w:eastAsiaTheme="majorEastAsia" w:hAnsi="Times New Roman"/>
                    <w:noProof/>
                    <w:sz w:val="24"/>
                    <w:szCs w:val="24"/>
                  </w:rPr>
                  <w:t>7.4 Recovery Time and Point Objectives (RTO), (RPO) and DORA Alignment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_Toc218601979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18</w:t>
                </w:r>
                <w:r w:rsidRPr="008623E0">
                  <w:rPr>
                    <w:rFonts w:ascii="Times New Roman" w:hAnsi="Times New Roman"/>
                    <w:noProof/>
                    <w:webHidden/>
                    <w:sz w:val="24"/>
                    <w:szCs w:val="24"/>
                  </w:rPr>
                  <w:fldChar w:fldCharType="end"/>
                </w:r>
              </w:hyperlink>
            </w:p>
            <w:p w14:paraId="75EE071A" w14:textId="47E33FF2" w:rsidR="008623E0" w:rsidRPr="008623E0" w:rsidRDefault="008623E0" w:rsidP="00603EA3">
              <w:pPr>
                <w:pStyle w:val="TOC3"/>
                <w:tabs>
                  <w:tab w:val="right" w:leader="dot" w:pos="9736"/>
                </w:tabs>
                <w:spacing w:line="276" w:lineRule="auto"/>
                <w:rPr>
                  <w:rFonts w:ascii="Times New Roman" w:eastAsiaTheme="minorEastAsia" w:hAnsi="Times New Roman"/>
                  <w:noProof/>
                  <w:kern w:val="2"/>
                  <w:sz w:val="24"/>
                  <w:szCs w:val="24"/>
                  <w14:ligatures w14:val="standardContextual"/>
                </w:rPr>
              </w:pPr>
              <w:hyperlink w:anchor="_Toc218601980" w:history="1">
                <w:r w:rsidRPr="008623E0">
                  <w:rPr>
                    <w:rStyle w:val="Hyperlink"/>
                    <w:rFonts w:ascii="Times New Roman" w:eastAsiaTheme="majorEastAsia" w:hAnsi="Times New Roman"/>
                    <w:noProof/>
                    <w:sz w:val="24"/>
                    <w:szCs w:val="24"/>
                  </w:rPr>
                  <w:t>7.5 Governance, Testing and Continuous Improvement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_Toc218601980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18</w:t>
                </w:r>
                <w:r w:rsidRPr="008623E0">
                  <w:rPr>
                    <w:rFonts w:ascii="Times New Roman" w:hAnsi="Times New Roman"/>
                    <w:noProof/>
                    <w:webHidden/>
                    <w:sz w:val="24"/>
                    <w:szCs w:val="24"/>
                  </w:rPr>
                  <w:fldChar w:fldCharType="end"/>
                </w:r>
              </w:hyperlink>
            </w:p>
            <w:p w14:paraId="47936303" w14:textId="0104BDD9"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81" w:history="1">
                <w:r w:rsidRPr="008623E0">
                  <w:rPr>
                    <w:rStyle w:val="Hyperlink"/>
                    <w:rFonts w:ascii="Times New Roman" w:eastAsiaTheme="majorEastAsia" w:hAnsi="Times New Roman"/>
                    <w:noProof/>
                    <w:sz w:val="24"/>
                    <w:szCs w:val="24"/>
                  </w:rPr>
                  <w:t>Conclusion</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_Toc218601981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19</w:t>
                </w:r>
                <w:r w:rsidRPr="008623E0">
                  <w:rPr>
                    <w:rFonts w:ascii="Times New Roman" w:hAnsi="Times New Roman"/>
                    <w:noProof/>
                    <w:webHidden/>
                    <w:sz w:val="24"/>
                    <w:szCs w:val="24"/>
                  </w:rPr>
                  <w:fldChar w:fldCharType="end"/>
                </w:r>
              </w:hyperlink>
            </w:p>
            <w:p w14:paraId="7C4A3996" w14:textId="7CF84952" w:rsidR="008623E0" w:rsidRPr="008623E0" w:rsidRDefault="008623E0" w:rsidP="00603EA3">
              <w:pPr>
                <w:pStyle w:val="TOC2"/>
                <w:tabs>
                  <w:tab w:val="right" w:leader="dot" w:pos="9736"/>
                </w:tabs>
                <w:spacing w:line="276" w:lineRule="auto"/>
                <w:rPr>
                  <w:rFonts w:ascii="Times New Roman" w:eastAsiaTheme="minorEastAsia" w:hAnsi="Times New Roman"/>
                  <w:b w:val="0"/>
                  <w:bCs w:val="0"/>
                  <w:noProof/>
                  <w:kern w:val="2"/>
                  <w:sz w:val="24"/>
                  <w:szCs w:val="24"/>
                  <w14:ligatures w14:val="standardContextual"/>
                </w:rPr>
              </w:pPr>
              <w:hyperlink w:anchor="_Toc218601982" w:history="1">
                <w:r w:rsidRPr="008623E0">
                  <w:rPr>
                    <w:rStyle w:val="Hyperlink"/>
                    <w:rFonts w:ascii="Times New Roman" w:eastAsiaTheme="majorEastAsia" w:hAnsi="Times New Roman"/>
                    <w:noProof/>
                    <w:sz w:val="24"/>
                    <w:szCs w:val="24"/>
                  </w:rPr>
                  <w:t>References List:</w:t>
                </w:r>
                <w:r w:rsidRPr="008623E0">
                  <w:rPr>
                    <w:rFonts w:ascii="Times New Roman" w:hAnsi="Times New Roman"/>
                    <w:noProof/>
                    <w:webHidden/>
                    <w:sz w:val="24"/>
                    <w:szCs w:val="24"/>
                  </w:rPr>
                  <w:tab/>
                </w:r>
                <w:r w:rsidRPr="008623E0">
                  <w:rPr>
                    <w:rFonts w:ascii="Times New Roman" w:hAnsi="Times New Roman"/>
                    <w:noProof/>
                    <w:webHidden/>
                    <w:sz w:val="24"/>
                    <w:szCs w:val="24"/>
                  </w:rPr>
                  <w:fldChar w:fldCharType="begin"/>
                </w:r>
                <w:r w:rsidRPr="008623E0">
                  <w:rPr>
                    <w:rFonts w:ascii="Times New Roman" w:hAnsi="Times New Roman"/>
                    <w:noProof/>
                    <w:webHidden/>
                    <w:sz w:val="24"/>
                    <w:szCs w:val="24"/>
                  </w:rPr>
                  <w:instrText xml:space="preserve"> PAGEREF _Toc218601982 \h </w:instrText>
                </w:r>
                <w:r w:rsidRPr="008623E0">
                  <w:rPr>
                    <w:rFonts w:ascii="Times New Roman" w:hAnsi="Times New Roman"/>
                    <w:noProof/>
                    <w:webHidden/>
                    <w:sz w:val="24"/>
                    <w:szCs w:val="24"/>
                  </w:rPr>
                </w:r>
                <w:r w:rsidRPr="008623E0">
                  <w:rPr>
                    <w:rFonts w:ascii="Times New Roman" w:hAnsi="Times New Roman"/>
                    <w:noProof/>
                    <w:webHidden/>
                    <w:sz w:val="24"/>
                    <w:szCs w:val="24"/>
                  </w:rPr>
                  <w:fldChar w:fldCharType="separate"/>
                </w:r>
                <w:r w:rsidRPr="008623E0">
                  <w:rPr>
                    <w:rFonts w:ascii="Times New Roman" w:hAnsi="Times New Roman"/>
                    <w:noProof/>
                    <w:webHidden/>
                    <w:sz w:val="24"/>
                    <w:szCs w:val="24"/>
                  </w:rPr>
                  <w:t>20</w:t>
                </w:r>
                <w:r w:rsidRPr="008623E0">
                  <w:rPr>
                    <w:rFonts w:ascii="Times New Roman" w:hAnsi="Times New Roman"/>
                    <w:noProof/>
                    <w:webHidden/>
                    <w:sz w:val="24"/>
                    <w:szCs w:val="24"/>
                  </w:rPr>
                  <w:fldChar w:fldCharType="end"/>
                </w:r>
              </w:hyperlink>
            </w:p>
            <w:p w14:paraId="085B2A9B" w14:textId="5C21D4CC" w:rsidR="008623E0" w:rsidRPr="008623E0" w:rsidRDefault="008623E0" w:rsidP="00603EA3">
              <w:pPr>
                <w:spacing w:line="276" w:lineRule="auto"/>
              </w:pPr>
              <w:r w:rsidRPr="008623E0">
                <w:rPr>
                  <w:b/>
                  <w:bCs/>
                  <w:noProof/>
                </w:rPr>
                <w:fldChar w:fldCharType="end"/>
              </w:r>
            </w:p>
          </w:sdtContent>
        </w:sdt>
        <w:p w14:paraId="3DBF92F8" w14:textId="77777777" w:rsidR="007A7019" w:rsidRPr="008623E0" w:rsidRDefault="007A7019" w:rsidP="00603EA3">
          <w:pPr>
            <w:tabs>
              <w:tab w:val="left" w:pos="1276"/>
            </w:tabs>
            <w:spacing w:line="276" w:lineRule="auto"/>
            <w:jc w:val="both"/>
          </w:pPr>
        </w:p>
        <w:p w14:paraId="3DF93E6A" w14:textId="5FB40B19" w:rsidR="007A7019" w:rsidRDefault="007A7019" w:rsidP="00F953B0">
          <w:pPr>
            <w:tabs>
              <w:tab w:val="left" w:pos="1276"/>
            </w:tabs>
            <w:spacing w:line="276" w:lineRule="auto"/>
            <w:jc w:val="both"/>
          </w:pPr>
        </w:p>
        <w:p w14:paraId="7C89FFD4" w14:textId="77777777" w:rsidR="007A7019" w:rsidRDefault="007A7019" w:rsidP="00F953B0">
          <w:pPr>
            <w:tabs>
              <w:tab w:val="left" w:pos="1276"/>
            </w:tabs>
            <w:spacing w:line="276" w:lineRule="auto"/>
            <w:jc w:val="both"/>
          </w:pPr>
        </w:p>
        <w:p w14:paraId="0A529C99" w14:textId="77777777" w:rsidR="007A7019" w:rsidRDefault="007A7019" w:rsidP="00F953B0">
          <w:pPr>
            <w:tabs>
              <w:tab w:val="left" w:pos="1276"/>
            </w:tabs>
            <w:spacing w:line="276" w:lineRule="auto"/>
            <w:jc w:val="both"/>
          </w:pPr>
        </w:p>
        <w:p w14:paraId="3BD276ED" w14:textId="77777777" w:rsidR="007A7019" w:rsidRDefault="007A7019" w:rsidP="00F953B0">
          <w:pPr>
            <w:tabs>
              <w:tab w:val="left" w:pos="1276"/>
            </w:tabs>
            <w:spacing w:line="276" w:lineRule="auto"/>
            <w:jc w:val="both"/>
          </w:pPr>
        </w:p>
        <w:p w14:paraId="0AC270D3" w14:textId="77777777" w:rsidR="007A7019" w:rsidRDefault="007A7019" w:rsidP="00F953B0">
          <w:pPr>
            <w:tabs>
              <w:tab w:val="left" w:pos="1276"/>
            </w:tabs>
            <w:spacing w:line="276" w:lineRule="auto"/>
            <w:jc w:val="both"/>
          </w:pPr>
        </w:p>
        <w:p w14:paraId="1C167028" w14:textId="77777777" w:rsidR="007A7019" w:rsidRDefault="007A7019" w:rsidP="00F953B0">
          <w:pPr>
            <w:tabs>
              <w:tab w:val="left" w:pos="1276"/>
            </w:tabs>
            <w:spacing w:line="276" w:lineRule="auto"/>
            <w:jc w:val="both"/>
          </w:pPr>
        </w:p>
        <w:p w14:paraId="6794413F" w14:textId="77777777" w:rsidR="007A7019" w:rsidRDefault="007A7019" w:rsidP="00F953B0">
          <w:pPr>
            <w:tabs>
              <w:tab w:val="left" w:pos="1276"/>
            </w:tabs>
            <w:spacing w:line="276" w:lineRule="auto"/>
            <w:jc w:val="both"/>
          </w:pPr>
        </w:p>
        <w:p w14:paraId="40110D48" w14:textId="23D96F6C" w:rsidR="009A5926" w:rsidRPr="00280E6C" w:rsidRDefault="00000000" w:rsidP="00F953B0">
          <w:pPr>
            <w:tabs>
              <w:tab w:val="left" w:pos="1276"/>
            </w:tabs>
            <w:spacing w:line="276" w:lineRule="auto"/>
            <w:jc w:val="both"/>
          </w:pPr>
        </w:p>
      </w:sdtContent>
    </w:sdt>
    <w:p w14:paraId="53184C82" w14:textId="77777777" w:rsidR="00B04475" w:rsidRDefault="00B04475" w:rsidP="00F953B0">
      <w:pPr>
        <w:spacing w:before="100" w:beforeAutospacing="1" w:after="100" w:afterAutospacing="1" w:line="276" w:lineRule="auto"/>
        <w:jc w:val="both"/>
        <w:rPr>
          <w:b/>
          <w:bCs/>
          <w:sz w:val="40"/>
          <w:szCs w:val="40"/>
        </w:rPr>
      </w:pPr>
    </w:p>
    <w:p w14:paraId="23D2B3E7" w14:textId="77777777" w:rsidR="00B04475" w:rsidRDefault="00B04475" w:rsidP="00F953B0">
      <w:pPr>
        <w:spacing w:line="276" w:lineRule="auto"/>
        <w:jc w:val="both"/>
        <w:rPr>
          <w:b/>
          <w:bCs/>
          <w:sz w:val="40"/>
          <w:szCs w:val="40"/>
        </w:rPr>
      </w:pPr>
      <w:r>
        <w:rPr>
          <w:b/>
          <w:bCs/>
          <w:sz w:val="40"/>
          <w:szCs w:val="40"/>
        </w:rPr>
        <w:br w:type="page"/>
      </w:r>
    </w:p>
    <w:p w14:paraId="26F47B18" w14:textId="76C9574B" w:rsidR="004A2D6B" w:rsidRDefault="00387D1D" w:rsidP="00D067C0">
      <w:pPr>
        <w:spacing w:before="100" w:beforeAutospacing="1" w:after="100" w:afterAutospacing="1" w:line="276" w:lineRule="auto"/>
        <w:jc w:val="center"/>
        <w:rPr>
          <w:b/>
          <w:bCs/>
          <w:sz w:val="40"/>
          <w:szCs w:val="40"/>
        </w:rPr>
      </w:pPr>
      <w:r w:rsidRPr="00280E6C">
        <w:rPr>
          <w:b/>
          <w:bCs/>
          <w:sz w:val="40"/>
          <w:szCs w:val="40"/>
        </w:rPr>
        <w:lastRenderedPageBreak/>
        <w:t>A Risk</w:t>
      </w:r>
      <w:r w:rsidR="004A2D6B" w:rsidRPr="00280E6C">
        <w:rPr>
          <w:b/>
          <w:bCs/>
          <w:sz w:val="40"/>
          <w:szCs w:val="40"/>
        </w:rPr>
        <w:t xml:space="preserve"> </w:t>
      </w:r>
      <w:r w:rsidRPr="00280E6C">
        <w:rPr>
          <w:b/>
          <w:bCs/>
          <w:sz w:val="40"/>
          <w:szCs w:val="40"/>
        </w:rPr>
        <w:t xml:space="preserve">Based Approach to Zero Trust Architecture in </w:t>
      </w:r>
      <w:r w:rsidR="004A2D6B" w:rsidRPr="00280E6C">
        <w:rPr>
          <w:b/>
          <w:bCs/>
          <w:sz w:val="40"/>
          <w:szCs w:val="40"/>
        </w:rPr>
        <w:t>Software as a Service</w:t>
      </w:r>
      <w:r w:rsidRPr="00280E6C">
        <w:rPr>
          <w:b/>
          <w:bCs/>
          <w:sz w:val="40"/>
          <w:szCs w:val="40"/>
        </w:rPr>
        <w:t xml:space="preserve"> Environments</w:t>
      </w:r>
    </w:p>
    <w:p w14:paraId="058C6342" w14:textId="77777777" w:rsidR="009729A8" w:rsidRPr="009729A8" w:rsidRDefault="009729A8" w:rsidP="009729A8">
      <w:pPr>
        <w:spacing w:line="276" w:lineRule="auto"/>
        <w:jc w:val="both"/>
        <w:rPr>
          <w:b/>
          <w:bCs/>
        </w:rPr>
      </w:pPr>
    </w:p>
    <w:p w14:paraId="6EEEE588" w14:textId="234F48CD" w:rsidR="002228C2" w:rsidRPr="00474D5B" w:rsidRDefault="002228C2" w:rsidP="00D067C0">
      <w:pPr>
        <w:spacing w:line="360" w:lineRule="auto"/>
        <w:jc w:val="center"/>
      </w:pPr>
      <w:r w:rsidRPr="00474D5B">
        <w:t>Kawam Cunha de Oliveira</w:t>
      </w:r>
    </w:p>
    <w:p w14:paraId="144D9411" w14:textId="77777777" w:rsidR="002228C2" w:rsidRPr="00474D5B" w:rsidRDefault="002228C2" w:rsidP="00D067C0">
      <w:pPr>
        <w:pStyle w:val="IEEE-Affil"/>
        <w:spacing w:after="0" w:line="360" w:lineRule="auto"/>
        <w:rPr>
          <w:szCs w:val="24"/>
        </w:rPr>
      </w:pPr>
      <w:r w:rsidRPr="00474D5B">
        <w:rPr>
          <w:szCs w:val="24"/>
        </w:rPr>
        <w:t>Student University of Wales Trinity St David, Swansea, Wales</w:t>
      </w:r>
    </w:p>
    <w:p w14:paraId="6547C21E" w14:textId="1604FDE7" w:rsidR="00B130A6" w:rsidRDefault="009729A8" w:rsidP="009729A8">
      <w:pPr>
        <w:spacing w:line="360" w:lineRule="auto"/>
        <w:jc w:val="center"/>
      </w:pPr>
      <w:r w:rsidRPr="009729A8">
        <w:t>2412430@student.uwtsd.ac.uk</w:t>
      </w:r>
    </w:p>
    <w:p w14:paraId="5E5A4467" w14:textId="77777777" w:rsidR="009729A8" w:rsidRPr="009729A8" w:rsidRDefault="009729A8" w:rsidP="009729A8">
      <w:pPr>
        <w:spacing w:line="360" w:lineRule="auto"/>
        <w:jc w:val="center"/>
        <w:rPr>
          <w:rFonts w:eastAsiaTheme="minorHAnsi"/>
          <w:kern w:val="2"/>
          <w:lang w:eastAsia="en-US"/>
          <w14:ligatures w14:val="standardContextual"/>
        </w:rPr>
      </w:pPr>
    </w:p>
    <w:p w14:paraId="528EF512" w14:textId="77777777" w:rsidR="009729A8" w:rsidRPr="00A77C9A" w:rsidRDefault="009729A8" w:rsidP="00A77C9A">
      <w:pPr>
        <w:pStyle w:val="Heading1"/>
      </w:pPr>
      <w:bookmarkStart w:id="0" w:name="_Toc218600670"/>
      <w:bookmarkStart w:id="1" w:name="_Toc218601245"/>
      <w:bookmarkStart w:id="2" w:name="_Toc218601866"/>
      <w:bookmarkStart w:id="3" w:name="_Toc218601932"/>
      <w:r w:rsidRPr="00A77C9A">
        <w:t>Task 1</w:t>
      </w:r>
      <w:bookmarkEnd w:id="0"/>
      <w:bookmarkEnd w:id="1"/>
      <w:bookmarkEnd w:id="2"/>
      <w:bookmarkEnd w:id="3"/>
    </w:p>
    <w:p w14:paraId="3D283E9D" w14:textId="77777777" w:rsidR="009729A8" w:rsidRDefault="009729A8" w:rsidP="009729A8">
      <w:pPr>
        <w:spacing w:line="276" w:lineRule="auto"/>
        <w:jc w:val="both"/>
        <w:rPr>
          <w:b/>
          <w:bCs/>
        </w:rPr>
      </w:pPr>
    </w:p>
    <w:p w14:paraId="3A524871" w14:textId="77777777" w:rsidR="009729A8" w:rsidRPr="00474D5B" w:rsidRDefault="009729A8" w:rsidP="009729A8">
      <w:pPr>
        <w:spacing w:line="276" w:lineRule="auto"/>
        <w:jc w:val="both"/>
        <w:rPr>
          <w:b/>
          <w:bCs/>
        </w:rPr>
        <w:sectPr w:rsidR="009729A8" w:rsidRPr="00474D5B" w:rsidSect="00F953B0">
          <w:footerReference w:type="even" r:id="rId9"/>
          <w:footerReference w:type="default" r:id="rId10"/>
          <w:pgSz w:w="11906" w:h="16838"/>
          <w:pgMar w:top="1440" w:right="1080" w:bottom="1440" w:left="1080" w:header="708" w:footer="708" w:gutter="0"/>
          <w:pgNumType w:start="0"/>
          <w:cols w:space="708"/>
          <w:titlePg/>
          <w:docGrid w:linePitch="360"/>
        </w:sectPr>
      </w:pPr>
    </w:p>
    <w:p w14:paraId="2E210DDF" w14:textId="46DD79C7" w:rsidR="005D7E75" w:rsidRPr="00A57371" w:rsidRDefault="005D7E75" w:rsidP="00CF0548">
      <w:pPr>
        <w:pStyle w:val="p1"/>
        <w:spacing w:before="0" w:beforeAutospacing="0" w:after="0" w:afterAutospacing="0" w:line="276" w:lineRule="auto"/>
        <w:jc w:val="both"/>
        <w:rPr>
          <w:b/>
          <w:bCs/>
        </w:rPr>
      </w:pPr>
      <w:r w:rsidRPr="00A57371">
        <w:rPr>
          <w:rStyle w:val="s1"/>
          <w:b/>
          <w:bCs/>
          <w:i/>
          <w:iCs/>
        </w:rPr>
        <w:t>Abstract</w:t>
      </w:r>
      <w:r w:rsidRPr="00A57371">
        <w:rPr>
          <w:b/>
          <w:bCs/>
          <w:i/>
          <w:iCs/>
        </w:rPr>
        <w:t xml:space="preserve"> </w:t>
      </w:r>
      <w:r w:rsidR="00FA7EFB" w:rsidRPr="00A57371">
        <w:rPr>
          <w:rFonts w:ascii="Cambria Math" w:hAnsi="Cambria Math" w:cs="Cambria Math"/>
          <w:b/>
          <w:bCs/>
          <w:i/>
          <w:iCs/>
        </w:rPr>
        <w:t>⎯</w:t>
      </w:r>
      <w:r w:rsidR="001E2CE3" w:rsidRPr="00A57371">
        <w:rPr>
          <w:b/>
          <w:bCs/>
          <w:i/>
          <w:iCs/>
        </w:rPr>
        <w:t xml:space="preserve"> </w:t>
      </w:r>
      <w:r w:rsidRPr="00A57371">
        <w:rPr>
          <w:b/>
          <w:bCs/>
        </w:rPr>
        <w:t xml:space="preserve">The increasing reliance on Software as a Service (SaaS) and web applications has expanded organisational attack surfaces and weakened the effectiveness of </w:t>
      </w:r>
      <w:r w:rsidR="001E2CE3" w:rsidRPr="00A57371">
        <w:rPr>
          <w:b/>
          <w:bCs/>
        </w:rPr>
        <w:t>perimeter-based</w:t>
      </w:r>
      <w:r w:rsidRPr="00A57371">
        <w:rPr>
          <w:b/>
          <w:bCs/>
        </w:rPr>
        <w:t xml:space="preserve"> security models. In parallel, European Union (EU) and United Kingdom (UK) regulatory expectations increasingly emphasise security measures that are proportionate to risk, supported by operational resilience, continuous monitoring, and timely incident response.</w:t>
      </w:r>
    </w:p>
    <w:p w14:paraId="26593724" w14:textId="2D6FB2E5" w:rsidR="005D7E75" w:rsidRPr="00A57371" w:rsidRDefault="005D7E75" w:rsidP="00CF0548">
      <w:pPr>
        <w:pStyle w:val="p1"/>
        <w:spacing w:before="0" w:beforeAutospacing="0" w:after="0" w:afterAutospacing="0" w:line="276" w:lineRule="auto"/>
        <w:jc w:val="both"/>
        <w:rPr>
          <w:b/>
          <w:bCs/>
        </w:rPr>
      </w:pPr>
      <w:r w:rsidRPr="00A57371">
        <w:rPr>
          <w:rStyle w:val="s1"/>
          <w:b/>
          <w:bCs/>
          <w:i/>
          <w:iCs/>
        </w:rPr>
        <w:t>Objective</w:t>
      </w:r>
      <w:r w:rsidRPr="00A57371">
        <w:rPr>
          <w:b/>
          <w:bCs/>
          <w:i/>
          <w:iCs/>
        </w:rPr>
        <w:t xml:space="preserve"> </w:t>
      </w:r>
      <w:r w:rsidR="00FA7EFB" w:rsidRPr="00A57371">
        <w:rPr>
          <w:rFonts w:ascii="Cambria Math" w:hAnsi="Cambria Math" w:cs="Cambria Math"/>
          <w:b/>
          <w:bCs/>
          <w:i/>
          <w:iCs/>
        </w:rPr>
        <w:t>⎯</w:t>
      </w:r>
      <w:r w:rsidR="001E2CE3" w:rsidRPr="00A57371">
        <w:rPr>
          <w:b/>
          <w:bCs/>
          <w:i/>
          <w:iCs/>
        </w:rPr>
        <w:t xml:space="preserve"> </w:t>
      </w:r>
      <w:r w:rsidRPr="00A57371">
        <w:rPr>
          <w:b/>
          <w:bCs/>
        </w:rPr>
        <w:t>This paper critically examines how a risk-based approach can structure the adoption of Zero Trust Architecture (ZTA) in SaaS environments. It analyses whether ZTA design principles, including removal of implicit network trust, identity</w:t>
      </w:r>
      <w:r w:rsidR="001E2CE3" w:rsidRPr="00A57371">
        <w:rPr>
          <w:b/>
          <w:bCs/>
        </w:rPr>
        <w:t xml:space="preserve"> </w:t>
      </w:r>
      <w:r w:rsidRPr="00A57371">
        <w:rPr>
          <w:b/>
          <w:bCs/>
        </w:rPr>
        <w:t>centric access control, least privilege, and continuous verification, provide an effective architectural response to dominant SaaS threats such as credential compromise and unauthorised access.</w:t>
      </w:r>
    </w:p>
    <w:p w14:paraId="2830239B" w14:textId="6C048C7E" w:rsidR="005D7E75" w:rsidRPr="00A57371" w:rsidRDefault="005D7E75" w:rsidP="00CF0548">
      <w:pPr>
        <w:pStyle w:val="p1"/>
        <w:spacing w:before="0" w:beforeAutospacing="0" w:after="0" w:afterAutospacing="0" w:line="276" w:lineRule="auto"/>
        <w:jc w:val="both"/>
        <w:rPr>
          <w:b/>
          <w:bCs/>
        </w:rPr>
      </w:pPr>
      <w:r w:rsidRPr="00A57371">
        <w:rPr>
          <w:rStyle w:val="s1"/>
          <w:b/>
          <w:bCs/>
          <w:i/>
          <w:iCs/>
        </w:rPr>
        <w:t>Method</w:t>
      </w:r>
      <w:r w:rsidRPr="00A57371">
        <w:rPr>
          <w:b/>
          <w:bCs/>
          <w:i/>
          <w:iCs/>
        </w:rPr>
        <w:t xml:space="preserve"> </w:t>
      </w:r>
      <w:r w:rsidR="00FA7EFB" w:rsidRPr="00A57371">
        <w:rPr>
          <w:rFonts w:ascii="Cambria Math" w:hAnsi="Cambria Math" w:cs="Cambria Math"/>
          <w:b/>
          <w:bCs/>
          <w:i/>
          <w:iCs/>
        </w:rPr>
        <w:t>⎯</w:t>
      </w:r>
      <w:r w:rsidR="001E2CE3" w:rsidRPr="00A57371">
        <w:rPr>
          <w:b/>
          <w:bCs/>
          <w:i/>
          <w:iCs/>
        </w:rPr>
        <w:t xml:space="preserve"> </w:t>
      </w:r>
      <w:r w:rsidR="001E2CE3" w:rsidRPr="00A57371">
        <w:rPr>
          <w:b/>
          <w:bCs/>
        </w:rPr>
        <w:t>The s</w:t>
      </w:r>
      <w:r w:rsidRPr="00A57371">
        <w:rPr>
          <w:b/>
          <w:bCs/>
        </w:rPr>
        <w:t xml:space="preserve">tudy applies a structured analytical approach that maps risk identification, risk appetite, and residual risk to ZTA implementation choices. It then evaluates how continuous monitoring and automated response can reduce incident dwell time and limit blast radius, while recognising </w:t>
      </w:r>
      <w:r w:rsidRPr="00A57371">
        <w:rPr>
          <w:b/>
          <w:bCs/>
        </w:rPr>
        <w:t>operational trade-offs such as telemetry gaps, alert fatigue, and usability impacts.</w:t>
      </w:r>
    </w:p>
    <w:p w14:paraId="04268617" w14:textId="77777777" w:rsidR="00FA7EFB" w:rsidRPr="00A57371" w:rsidRDefault="005D7E75" w:rsidP="00CF0548">
      <w:pPr>
        <w:pStyle w:val="p1"/>
        <w:spacing w:before="0" w:beforeAutospacing="0" w:line="276" w:lineRule="auto"/>
        <w:jc w:val="both"/>
        <w:rPr>
          <w:b/>
          <w:bCs/>
        </w:rPr>
      </w:pPr>
      <w:r w:rsidRPr="00A57371">
        <w:rPr>
          <w:rStyle w:val="s1"/>
          <w:b/>
          <w:bCs/>
          <w:i/>
          <w:iCs/>
        </w:rPr>
        <w:t>Conclusion</w:t>
      </w:r>
      <w:r w:rsidRPr="00A57371">
        <w:rPr>
          <w:b/>
          <w:bCs/>
          <w:i/>
          <w:iCs/>
        </w:rPr>
        <w:t xml:space="preserve"> </w:t>
      </w:r>
      <w:r w:rsidR="00FA7EFB" w:rsidRPr="00A57371">
        <w:rPr>
          <w:rFonts w:ascii="Cambria Math" w:hAnsi="Cambria Math" w:cs="Cambria Math"/>
          <w:b/>
          <w:bCs/>
          <w:i/>
          <w:iCs/>
        </w:rPr>
        <w:t>⎯</w:t>
      </w:r>
      <w:r w:rsidRPr="00A57371">
        <w:rPr>
          <w:b/>
          <w:bCs/>
        </w:rPr>
        <w:t xml:space="preserve"> The findings indicate that aligning ZTA implementation depth with risk appetite and governance constraints can strengthen confidentiality, integrity, and availability in EU and UK contexts without imposing disproportionate operational burden.</w:t>
      </w:r>
    </w:p>
    <w:p w14:paraId="13712A48" w14:textId="1A3C3C08" w:rsidR="00FA7EFB" w:rsidRDefault="004A2D6B" w:rsidP="00CF0548">
      <w:pPr>
        <w:pStyle w:val="p1"/>
        <w:spacing w:before="0" w:beforeAutospacing="0" w:after="0" w:afterAutospacing="0" w:line="276" w:lineRule="auto"/>
        <w:jc w:val="both"/>
        <w:rPr>
          <w:b/>
          <w:bCs/>
        </w:rPr>
      </w:pPr>
      <w:r w:rsidRPr="00A57371">
        <w:rPr>
          <w:b/>
          <w:bCs/>
          <w:i/>
          <w:iCs/>
        </w:rPr>
        <w:t>Keywords:</w:t>
      </w:r>
      <w:r w:rsidRPr="00A57371">
        <w:rPr>
          <w:b/>
          <w:bCs/>
        </w:rPr>
        <w:t xml:space="preserve"> Zero Trust Architecture; Risk-Based Security; SaaS Security; Identity and Access Management; Continuous Monitoring; Automated Incident Response</w:t>
      </w:r>
    </w:p>
    <w:p w14:paraId="60C537F9" w14:textId="77777777" w:rsidR="00E434BF" w:rsidRPr="00A57371" w:rsidRDefault="00E434BF" w:rsidP="00CF0548">
      <w:pPr>
        <w:pStyle w:val="p1"/>
        <w:spacing w:before="0" w:beforeAutospacing="0" w:after="0" w:afterAutospacing="0" w:line="276" w:lineRule="auto"/>
        <w:jc w:val="both"/>
        <w:rPr>
          <w:b/>
          <w:bCs/>
        </w:rPr>
      </w:pPr>
    </w:p>
    <w:p w14:paraId="28E6DF1D" w14:textId="6E1B6EE1" w:rsidR="00C80757" w:rsidRDefault="00FF4832" w:rsidP="00E434BF">
      <w:pPr>
        <w:pStyle w:val="Heading2"/>
      </w:pPr>
      <w:bookmarkStart w:id="4" w:name="_Toc218600671"/>
      <w:bookmarkStart w:id="5" w:name="_Toc218601246"/>
      <w:bookmarkStart w:id="6" w:name="_Toc218601867"/>
      <w:bookmarkStart w:id="7" w:name="_Toc218601933"/>
      <w:bookmarkStart w:id="8" w:name="_Toc217872899"/>
      <w:bookmarkStart w:id="9" w:name="_Toc217873122"/>
      <w:bookmarkStart w:id="10" w:name="_Toc217873304"/>
      <w:bookmarkStart w:id="11" w:name="_Toc217877497"/>
      <w:bookmarkStart w:id="12" w:name="_Toc217949156"/>
      <w:r w:rsidRPr="00E434BF">
        <w:t>1</w:t>
      </w:r>
      <w:r w:rsidR="00387D1D" w:rsidRPr="00E434BF">
        <w:t>. Introduction</w:t>
      </w:r>
      <w:bookmarkEnd w:id="4"/>
      <w:bookmarkEnd w:id="5"/>
      <w:bookmarkEnd w:id="6"/>
      <w:bookmarkEnd w:id="7"/>
      <w:r w:rsidR="00387D1D" w:rsidRPr="00E434BF">
        <w:t xml:space="preserve"> </w:t>
      </w:r>
      <w:bookmarkEnd w:id="8"/>
      <w:bookmarkEnd w:id="9"/>
      <w:bookmarkEnd w:id="10"/>
      <w:bookmarkEnd w:id="11"/>
      <w:bookmarkEnd w:id="12"/>
    </w:p>
    <w:p w14:paraId="0CD25887" w14:textId="77777777" w:rsidR="00E434BF" w:rsidRPr="00E434BF" w:rsidRDefault="00E434BF" w:rsidP="00E434BF"/>
    <w:p w14:paraId="3154AE6C" w14:textId="1AFDB39F" w:rsidR="00331B96" w:rsidRPr="00A57371" w:rsidRDefault="00331B96" w:rsidP="00CF0548">
      <w:pPr>
        <w:pStyle w:val="p1"/>
        <w:spacing w:before="0" w:beforeAutospacing="0" w:after="0" w:afterAutospacing="0" w:line="276" w:lineRule="auto"/>
        <w:ind w:firstLine="284"/>
        <w:jc w:val="both"/>
      </w:pPr>
      <w:bookmarkStart w:id="13" w:name="_Toc217872900"/>
      <w:bookmarkStart w:id="14" w:name="_Toc217873123"/>
      <w:bookmarkStart w:id="15" w:name="_Toc217873305"/>
      <w:bookmarkStart w:id="16" w:name="_Toc217877498"/>
      <w:bookmarkStart w:id="17" w:name="_Toc217949157"/>
      <w:r w:rsidRPr="00A57371">
        <w:t xml:space="preserve">The rapid adoption of Software as a Service (SaaS) and </w:t>
      </w:r>
      <w:r w:rsidR="001E2CE3" w:rsidRPr="00A57371">
        <w:t>web-based</w:t>
      </w:r>
      <w:r w:rsidRPr="00A57371">
        <w:t xml:space="preserve"> applications has transformed how organisations store, process, and access information assets. Although these technologies provide scalability, flexibility, and operational efficiency, they also expand organisational attack surfaces and expose the limitations of perimeter-based security models that extend implicit trust once network access is granted [</w:t>
      </w:r>
      <w:r w:rsidR="006F4133" w:rsidRPr="00A57371">
        <w:t>1].</w:t>
      </w:r>
      <w:r w:rsidRPr="00A57371">
        <w:t xml:space="preserve"> In highly distributed environments, where users, devices, and services operate beyond fixed network boundaries, become increasingly unreliable identity compromise.</w:t>
      </w:r>
    </w:p>
    <w:p w14:paraId="18B431F7" w14:textId="7DF16B07" w:rsidR="00331B96" w:rsidRPr="00A57371" w:rsidRDefault="00331B96" w:rsidP="00CF0548">
      <w:pPr>
        <w:pStyle w:val="p1"/>
        <w:spacing w:before="0" w:beforeAutospacing="0" w:after="0" w:afterAutospacing="0" w:line="276" w:lineRule="auto"/>
        <w:ind w:firstLine="284"/>
        <w:jc w:val="both"/>
      </w:pPr>
      <w:r w:rsidRPr="00A57371">
        <w:lastRenderedPageBreak/>
        <w:t>Within the European Union and the United Kingdom, this technological shift coincides with heightened expectations for cybersecurity governance, operational resilience, and accountability [</w:t>
      </w:r>
      <w:r w:rsidR="005E4086" w:rsidRPr="00A57371">
        <w:t>1</w:t>
      </w:r>
      <w:r w:rsidRPr="00A57371">
        <w:t>], [</w:t>
      </w:r>
      <w:r w:rsidR="006F4133" w:rsidRPr="00A57371">
        <w:t>4</w:t>
      </w:r>
      <w:r w:rsidRPr="00A57371">
        <w:t>]. Organisations are expected not only to protect sensitive information but also to demonstrate proportionate, risk-based decision-making [</w:t>
      </w:r>
      <w:r w:rsidR="006F4133" w:rsidRPr="00A57371">
        <w:t>3</w:t>
      </w:r>
      <w:r w:rsidRPr="00A57371">
        <w:t>], [</w:t>
      </w:r>
      <w:r w:rsidR="006F4133" w:rsidRPr="00A57371">
        <w:t>4</w:t>
      </w:r>
      <w:r w:rsidRPr="00A57371">
        <w:t>]. In regulated sectors, operational resilience requirements further reinforce the need to detect, respond to, and recover from ICT related incidents [1].</w:t>
      </w:r>
    </w:p>
    <w:p w14:paraId="53ED8435" w14:textId="58071615" w:rsidR="00331B96" w:rsidRPr="00A57371" w:rsidRDefault="00331B96" w:rsidP="00CF0548">
      <w:pPr>
        <w:pStyle w:val="p1"/>
        <w:spacing w:before="0" w:beforeAutospacing="0" w:after="0" w:afterAutospacing="0" w:line="276" w:lineRule="auto"/>
        <w:ind w:firstLine="284"/>
        <w:jc w:val="both"/>
      </w:pPr>
      <w:r w:rsidRPr="00A57371">
        <w:t>Risk management provides a structured basis for this approach by enabling threat identification, risk assessment, control selection, and explicit residual-risk treatment [</w:t>
      </w:r>
      <w:r w:rsidR="006F4133" w:rsidRPr="00A57371">
        <w:t>5</w:t>
      </w:r>
      <w:r w:rsidRPr="00A57371">
        <w:t>]. In SaaS contexts, security decisions directly shape user experience and software delivery, therefore trade-offs between protection, usability, cost, and performance must be justified rather than assumed. This is particularly relevant in shared</w:t>
      </w:r>
      <w:r w:rsidR="00852A52" w:rsidRPr="00A57371">
        <w:t xml:space="preserve"> </w:t>
      </w:r>
      <w:r w:rsidRPr="00A57371">
        <w:t>responsibility environments with third-party dependencies, where accountability boundaries can blur risk ownership.</w:t>
      </w:r>
    </w:p>
    <w:p w14:paraId="593F31EC" w14:textId="3B4DDDF5" w:rsidR="00331B96" w:rsidRDefault="00331B96" w:rsidP="00CF0548">
      <w:pPr>
        <w:pStyle w:val="p1"/>
        <w:spacing w:before="0" w:beforeAutospacing="0" w:after="0" w:afterAutospacing="0" w:line="276" w:lineRule="auto"/>
        <w:ind w:firstLine="284"/>
        <w:jc w:val="both"/>
      </w:pPr>
      <w:r w:rsidRPr="00A57371">
        <w:t>Against this backdrop, Zero Trust Architecture (ZTA) has emerged as a practical alternative to traditional models, prioritising identity centric access control, least privilege, and continuous verification, ZTA aligns closely with risk-based protection and resilience objectives [</w:t>
      </w:r>
      <w:r w:rsidR="006F4133" w:rsidRPr="00A57371">
        <w:t>1</w:t>
      </w:r>
      <w:r w:rsidRPr="00A57371">
        <w:t>]. However, effectiveness depends on consistent integration with monitoring telemetry and incident response capabilities. Accordingly, this paper examines how a risk-based approach can guide ZTA implementation in SaaS and web application environments, identifying risks and assessment as the foundation for subsequent architectural, monitoring, and response decisions [1], [</w:t>
      </w:r>
      <w:r w:rsidR="006F4133" w:rsidRPr="00A57371">
        <w:t>4</w:t>
      </w:r>
      <w:r w:rsidRPr="00A57371">
        <w:t>].</w:t>
      </w:r>
    </w:p>
    <w:p w14:paraId="785DCFA0" w14:textId="77777777" w:rsidR="00E434BF" w:rsidRPr="00A57371" w:rsidRDefault="00E434BF" w:rsidP="00CF0548">
      <w:pPr>
        <w:pStyle w:val="p1"/>
        <w:spacing w:before="0" w:beforeAutospacing="0" w:after="0" w:afterAutospacing="0" w:line="276" w:lineRule="auto"/>
        <w:ind w:firstLine="284"/>
        <w:jc w:val="both"/>
      </w:pPr>
    </w:p>
    <w:p w14:paraId="75000D71" w14:textId="77777777" w:rsidR="00A57371" w:rsidRDefault="00FF4832" w:rsidP="00E434BF">
      <w:pPr>
        <w:pStyle w:val="Heading2"/>
      </w:pPr>
      <w:bookmarkStart w:id="18" w:name="_Toc218600672"/>
      <w:bookmarkStart w:id="19" w:name="_Toc218601247"/>
      <w:bookmarkStart w:id="20" w:name="_Toc218601868"/>
      <w:bookmarkStart w:id="21" w:name="_Toc218601934"/>
      <w:r w:rsidRPr="00E434BF">
        <w:rPr>
          <w:rStyle w:val="Heading1Char"/>
          <w:rFonts w:eastAsiaTheme="majorEastAsia"/>
          <w:b/>
          <w:sz w:val="24"/>
          <w:szCs w:val="24"/>
        </w:rPr>
        <w:t>2</w:t>
      </w:r>
      <w:r w:rsidR="00387D1D" w:rsidRPr="00E434BF">
        <w:rPr>
          <w:rStyle w:val="Heading1Char"/>
          <w:rFonts w:eastAsiaTheme="majorEastAsia"/>
          <w:b/>
          <w:sz w:val="24"/>
          <w:szCs w:val="24"/>
        </w:rPr>
        <w:t>. Risk</w:t>
      </w:r>
      <w:r w:rsidR="00055793" w:rsidRPr="00E434BF">
        <w:rPr>
          <w:rStyle w:val="Heading1Char"/>
          <w:rFonts w:eastAsiaTheme="majorEastAsia"/>
          <w:b/>
          <w:sz w:val="24"/>
          <w:szCs w:val="24"/>
        </w:rPr>
        <w:t xml:space="preserve"> </w:t>
      </w:r>
      <w:r w:rsidR="00387D1D" w:rsidRPr="00E434BF">
        <w:rPr>
          <w:rStyle w:val="Heading1Char"/>
          <w:rFonts w:eastAsiaTheme="majorEastAsia"/>
          <w:b/>
          <w:sz w:val="24"/>
          <w:szCs w:val="24"/>
        </w:rPr>
        <w:t>Based Security as a Foundational Approach</w:t>
      </w:r>
      <w:bookmarkEnd w:id="13"/>
      <w:bookmarkEnd w:id="14"/>
      <w:bookmarkEnd w:id="15"/>
      <w:bookmarkEnd w:id="16"/>
      <w:bookmarkEnd w:id="17"/>
      <w:bookmarkEnd w:id="18"/>
      <w:bookmarkEnd w:id="19"/>
      <w:bookmarkEnd w:id="20"/>
      <w:bookmarkEnd w:id="21"/>
      <w:r w:rsidR="00387D1D" w:rsidRPr="00E434BF">
        <w:t xml:space="preserve"> </w:t>
      </w:r>
      <w:bookmarkStart w:id="22" w:name="_Toc217872901"/>
      <w:bookmarkStart w:id="23" w:name="_Toc217873124"/>
      <w:bookmarkStart w:id="24" w:name="_Toc217873306"/>
      <w:bookmarkStart w:id="25" w:name="_Toc217877499"/>
      <w:bookmarkStart w:id="26" w:name="_Toc217949158"/>
    </w:p>
    <w:p w14:paraId="36081010" w14:textId="7883D7F0" w:rsidR="00387D1D" w:rsidRDefault="00DC211C" w:rsidP="00E434BF">
      <w:pPr>
        <w:pStyle w:val="Heading3"/>
        <w:rPr>
          <w:rFonts w:eastAsia="Times New Roman"/>
        </w:rPr>
      </w:pPr>
      <w:bookmarkStart w:id="27" w:name="_Toc218600673"/>
      <w:bookmarkStart w:id="28" w:name="_Toc218601248"/>
      <w:bookmarkStart w:id="29" w:name="_Toc218601869"/>
      <w:bookmarkStart w:id="30" w:name="_Toc218601935"/>
      <w:r w:rsidRPr="00E434BF">
        <w:t>2.1</w:t>
      </w:r>
      <w:r w:rsidR="00387D1D" w:rsidRPr="00E434BF">
        <w:t>. Risk Identification and Assessment</w:t>
      </w:r>
      <w:bookmarkEnd w:id="22"/>
      <w:bookmarkEnd w:id="23"/>
      <w:bookmarkEnd w:id="24"/>
      <w:bookmarkEnd w:id="25"/>
      <w:bookmarkEnd w:id="26"/>
      <w:bookmarkEnd w:id="27"/>
      <w:bookmarkEnd w:id="28"/>
      <w:bookmarkEnd w:id="29"/>
      <w:bookmarkEnd w:id="30"/>
      <w:r w:rsidR="00387D1D" w:rsidRPr="00A57371">
        <w:rPr>
          <w:rFonts w:eastAsia="Times New Roman"/>
        </w:rPr>
        <w:t xml:space="preserve"> </w:t>
      </w:r>
    </w:p>
    <w:p w14:paraId="40A5A9B5" w14:textId="77777777" w:rsidR="00E434BF" w:rsidRPr="00E434BF" w:rsidRDefault="00E434BF" w:rsidP="00E434BF"/>
    <w:p w14:paraId="007EE542" w14:textId="47052333" w:rsidR="00343122" w:rsidRPr="00A57371" w:rsidRDefault="00343122" w:rsidP="00CF0548">
      <w:pPr>
        <w:spacing w:line="276" w:lineRule="auto"/>
        <w:ind w:firstLine="284"/>
        <w:jc w:val="both"/>
        <w:outlineLvl w:val="3"/>
      </w:pPr>
      <w:bookmarkStart w:id="31" w:name="_Toc217872902"/>
      <w:bookmarkStart w:id="32" w:name="_Toc217873125"/>
      <w:bookmarkStart w:id="33" w:name="_Toc217873307"/>
      <w:bookmarkStart w:id="34" w:name="_Toc217877500"/>
      <w:bookmarkStart w:id="35" w:name="_Toc217949159"/>
      <w:r w:rsidRPr="00A57371">
        <w:t>Effective cybersecurity in SaaS and web application environments begins with a structured process of risk identification and assessment , based on information security risk management guidelines [</w:t>
      </w:r>
      <w:r w:rsidR="006F4133" w:rsidRPr="00A57371">
        <w:t>5</w:t>
      </w:r>
      <w:r w:rsidRPr="00A57371">
        <w:t>]</w:t>
      </w:r>
    </w:p>
    <w:p w14:paraId="1F2DCC5A" w14:textId="5F571534" w:rsidR="00343122" w:rsidRPr="00A57371" w:rsidRDefault="00343122" w:rsidP="00CF0548">
      <w:pPr>
        <w:spacing w:line="276" w:lineRule="auto"/>
        <w:ind w:firstLine="284"/>
        <w:jc w:val="both"/>
        <w:outlineLvl w:val="3"/>
      </w:pPr>
      <w:r w:rsidRPr="00A57371">
        <w:t xml:space="preserve">In contrast to traditional on premises systems, SaaS delivery distributes information assets across cloud platforms, third-party services, and geographically dispersed users. This distribution alters both threat exposure and incident impact, rendering </w:t>
      </w:r>
      <w:r w:rsidR="00852A52" w:rsidRPr="00A57371">
        <w:t>non-systematic</w:t>
      </w:r>
      <w:r w:rsidRPr="00A57371">
        <w:t xml:space="preserve"> or purely control-driven approaches insufficient for defensible decision making.</w:t>
      </w:r>
    </w:p>
    <w:p w14:paraId="3B055517" w14:textId="3A69D2CD" w:rsidR="00343122" w:rsidRPr="00A57371" w:rsidRDefault="00343122" w:rsidP="00CF0548">
      <w:pPr>
        <w:spacing w:line="276" w:lineRule="auto"/>
        <w:ind w:firstLine="284"/>
        <w:jc w:val="both"/>
        <w:outlineLvl w:val="3"/>
      </w:pPr>
      <w:r w:rsidRPr="00A57371">
        <w:t>In SaaS contexts, these assets commonly include personal data, proprietary business logic, authentication artefacts, and API endpoints supporting service-to-service connectivity. Such assets are frequently accessed through web interfaces and APIs, which increases exposure to identity-based attacks, credential compromise, session hijacking, and unauthorised API access [</w:t>
      </w:r>
      <w:r w:rsidR="006F4133" w:rsidRPr="00A57371">
        <w:t>6</w:t>
      </w:r>
      <w:r w:rsidRPr="00A57371">
        <w:t>]</w:t>
      </w:r>
      <w:r w:rsidR="00852A52" w:rsidRPr="00A57371">
        <w:t>, [11], [12]</w:t>
      </w:r>
      <w:r w:rsidRPr="00A57371">
        <w:t xml:space="preserve">. </w:t>
      </w:r>
    </w:p>
    <w:p w14:paraId="569E21C4" w14:textId="58962D92" w:rsidR="00343122" w:rsidRPr="00A57371" w:rsidRDefault="00343122" w:rsidP="00CF0548">
      <w:pPr>
        <w:spacing w:line="276" w:lineRule="auto"/>
        <w:ind w:firstLine="284"/>
        <w:jc w:val="both"/>
        <w:outlineLvl w:val="3"/>
      </w:pPr>
      <w:r w:rsidRPr="00A57371">
        <w:t>Risk identification must also incorporate internal and socio-technical vulnerabilities. The routine use of remote access, third-party integrations, and contractor accounts introduces complexity, particularly where access provisioning and deprovisioning are inconsistently governed. A risk-based approach evaluates these weaknesses in terms of likelihood and potential impact on confidentiality, integrity, and availability, rather than treating vulnerabilities as equivalent or isolated [</w:t>
      </w:r>
      <w:r w:rsidR="006F4133" w:rsidRPr="00A57371">
        <w:t>5</w:t>
      </w:r>
      <w:r w:rsidRPr="00A57371">
        <w:t>].</w:t>
      </w:r>
    </w:p>
    <w:p w14:paraId="0B824C99" w14:textId="2EFB9FBB" w:rsidR="00343122" w:rsidRPr="00A57371" w:rsidRDefault="00343122" w:rsidP="00CF0548">
      <w:pPr>
        <w:spacing w:line="276" w:lineRule="auto"/>
        <w:ind w:firstLine="284"/>
        <w:jc w:val="both"/>
        <w:outlineLvl w:val="3"/>
      </w:pPr>
      <w:r w:rsidRPr="00A57371">
        <w:t>Risk assessment then examines the probability of threat realisation and the severity of consequences. In SaaS ecosystems, a single compromised identity may cascade across multiple services, amplifying systemic risk and increasing the likelihood of data breach and service disruption</w:t>
      </w:r>
      <w:r w:rsidR="00852A52" w:rsidRPr="00A57371">
        <w:t xml:space="preserve"> [11], [12]</w:t>
      </w:r>
      <w:r w:rsidRPr="00A57371">
        <w:t xml:space="preserve">. This reinforces the need to assess interconnected services and dependencies rather than focusing exclusively on isolated technical weaknesses. In EU and UK contexts, such assessments support proportionate </w:t>
      </w:r>
      <w:r w:rsidRPr="00A57371">
        <w:lastRenderedPageBreak/>
        <w:t>measures aligned with regulatory expectations for risk-based protection and accountability [</w:t>
      </w:r>
      <w:r w:rsidR="006F4133" w:rsidRPr="00A57371">
        <w:t>3</w:t>
      </w:r>
      <w:r w:rsidRPr="00A57371">
        <w:t>], [</w:t>
      </w:r>
      <w:r w:rsidR="006F4133" w:rsidRPr="00A57371">
        <w:t>4</w:t>
      </w:r>
      <w:r w:rsidRPr="00A57371">
        <w:t>].</w:t>
      </w:r>
    </w:p>
    <w:p w14:paraId="7941A48D" w14:textId="79F33E9A" w:rsidR="00E434BF" w:rsidRDefault="00343122" w:rsidP="00E434BF">
      <w:pPr>
        <w:spacing w:line="276" w:lineRule="auto"/>
        <w:ind w:firstLine="284"/>
        <w:jc w:val="both"/>
        <w:outlineLvl w:val="3"/>
      </w:pPr>
      <w:r w:rsidRPr="00A57371">
        <w:t>Consequently, risk identification and continuous reassessment are necessary to ensure that controls remain proportionate to current risk and aligned with operational resilience objectives [1], [</w:t>
      </w:r>
      <w:r w:rsidR="006F4133" w:rsidRPr="00A57371">
        <w:t>5</w:t>
      </w:r>
      <w:r w:rsidRPr="00A57371">
        <w:t>].</w:t>
      </w:r>
    </w:p>
    <w:p w14:paraId="77BF424E" w14:textId="77777777" w:rsidR="008623E0" w:rsidRPr="00A57371" w:rsidRDefault="008623E0" w:rsidP="00E434BF">
      <w:pPr>
        <w:spacing w:line="276" w:lineRule="auto"/>
        <w:ind w:firstLine="284"/>
        <w:jc w:val="both"/>
        <w:outlineLvl w:val="3"/>
      </w:pPr>
    </w:p>
    <w:p w14:paraId="424F3ECE" w14:textId="03B59B80" w:rsidR="00E434BF" w:rsidRPr="00E434BF" w:rsidRDefault="00810959" w:rsidP="00E434BF">
      <w:pPr>
        <w:pStyle w:val="Heading3"/>
        <w:rPr>
          <w:rFonts w:eastAsia="Times New Roman"/>
          <w:bCs/>
        </w:rPr>
      </w:pPr>
      <w:bookmarkStart w:id="36" w:name="_Toc218600674"/>
      <w:bookmarkStart w:id="37" w:name="_Toc218601249"/>
      <w:bookmarkStart w:id="38" w:name="_Toc218601870"/>
      <w:bookmarkStart w:id="39" w:name="_Toc218601936"/>
      <w:r w:rsidRPr="00E434BF">
        <w:t>2.2</w:t>
      </w:r>
      <w:r w:rsidR="00387D1D" w:rsidRPr="00E434BF">
        <w:t>. Risk Appetite and Residual Risk</w:t>
      </w:r>
      <w:bookmarkEnd w:id="31"/>
      <w:bookmarkEnd w:id="32"/>
      <w:bookmarkEnd w:id="33"/>
      <w:bookmarkEnd w:id="34"/>
      <w:bookmarkEnd w:id="35"/>
      <w:bookmarkEnd w:id="36"/>
      <w:bookmarkEnd w:id="37"/>
      <w:bookmarkEnd w:id="38"/>
      <w:bookmarkEnd w:id="39"/>
      <w:r w:rsidR="00387D1D" w:rsidRPr="00A57371">
        <w:rPr>
          <w:rFonts w:eastAsia="Times New Roman"/>
          <w:b/>
          <w:bCs/>
        </w:rPr>
        <w:t xml:space="preserve"> </w:t>
      </w:r>
      <w:bookmarkStart w:id="40" w:name="_Toc217872903"/>
      <w:bookmarkStart w:id="41" w:name="_Toc217873126"/>
      <w:bookmarkStart w:id="42" w:name="_Toc217873308"/>
      <w:bookmarkStart w:id="43" w:name="_Toc217877501"/>
      <w:bookmarkStart w:id="44" w:name="_Toc217949160"/>
    </w:p>
    <w:p w14:paraId="3505FEC2" w14:textId="77777777" w:rsidR="00A57371" w:rsidRDefault="0091737C" w:rsidP="00E434BF">
      <w:pPr>
        <w:spacing w:before="240" w:line="276" w:lineRule="auto"/>
        <w:ind w:firstLine="284"/>
        <w:jc w:val="both"/>
        <w:outlineLvl w:val="3"/>
      </w:pPr>
      <w:r w:rsidRPr="00A57371">
        <w:t>Once risks are identified and assessed, organisations should define risk appetite, which refers to the level and type of exposure they are willing to tolerate in pursuit of business objectives, taking account of operational priorities, regulatory obligations, and resource constraints [</w:t>
      </w:r>
      <w:r w:rsidR="006F4133" w:rsidRPr="00A57371">
        <w:t>5</w:t>
      </w:r>
      <w:r w:rsidRPr="00A57371">
        <w:t xml:space="preserve">]. This entails explicit evaluation of </w:t>
      </w:r>
      <w:r w:rsidR="00852A52" w:rsidRPr="00A57371">
        <w:t>trade-offs</w:t>
      </w:r>
      <w:r w:rsidRPr="00A57371">
        <w:t xml:space="preserve"> between incident impact, cost, and operational burden. For example, stronger authentication and continuous verification may reduce the probability of unauthorised access, yet overly restrictive implementations can introduce friction that encourages insecure workarounds or reduces productivity. A risk-based approach supports defensible decisions by evidencing why selected controls are proportionate to assessed risk and aligned with governance expectations [</w:t>
      </w:r>
      <w:r w:rsidR="006F4133" w:rsidRPr="00A57371">
        <w:t>3</w:t>
      </w:r>
      <w:r w:rsidRPr="00A57371">
        <w:t>], [</w:t>
      </w:r>
      <w:r w:rsidR="006F4133" w:rsidRPr="00A57371">
        <w:t>4</w:t>
      </w:r>
      <w:r w:rsidRPr="00A57371">
        <w:t>].</w:t>
      </w:r>
    </w:p>
    <w:p w14:paraId="6B810D2D" w14:textId="77777777" w:rsidR="00CF0548" w:rsidRDefault="0091737C" w:rsidP="00E434BF">
      <w:pPr>
        <w:spacing w:line="276" w:lineRule="auto"/>
        <w:ind w:firstLine="284"/>
        <w:jc w:val="both"/>
        <w:outlineLvl w:val="3"/>
      </w:pPr>
      <w:r w:rsidRPr="00A57371">
        <w:t xml:space="preserve">Residual risk is the exposure that remains after controls are implemented and is inevitable where organisations rely on third-party services, face evolving threats, and operate rapid configuration and release cycles. Recognising and documenting residual risk supports due care and transparency, particularly where organisations must demonstrate that appropriate technical and organisational measures have been selected and </w:t>
      </w:r>
      <w:r w:rsidRPr="00CF0548">
        <w:t>maintained [</w:t>
      </w:r>
      <w:r w:rsidR="006F4133" w:rsidRPr="00CF0548">
        <w:t>3</w:t>
      </w:r>
      <w:r w:rsidRPr="00CF0548">
        <w:t>], [</w:t>
      </w:r>
      <w:r w:rsidR="006F4133" w:rsidRPr="00CF0548">
        <w:t>4</w:t>
      </w:r>
      <w:r w:rsidRPr="00CF0548">
        <w:t>].</w:t>
      </w:r>
      <w:r w:rsidR="00A57371">
        <w:t xml:space="preserve"> </w:t>
      </w:r>
    </w:p>
    <w:p w14:paraId="64AC318D" w14:textId="0F347BE1" w:rsidR="00CB3AC0" w:rsidRPr="00A57371" w:rsidRDefault="0091737C" w:rsidP="008623E0">
      <w:pPr>
        <w:spacing w:line="276" w:lineRule="auto"/>
        <w:ind w:firstLine="284"/>
        <w:jc w:val="both"/>
        <w:outlineLvl w:val="3"/>
        <w:rPr>
          <w:b/>
        </w:rPr>
      </w:pPr>
      <w:r w:rsidRPr="00A57371">
        <w:t xml:space="preserve">By explicitly defining risk appetite and acknowledging residual risk, organisations establish a decision-making framework that shapes architectural choices, supports accountability and continual improvement, and </w:t>
      </w:r>
      <w:r w:rsidRPr="00A57371">
        <w:t>reduces the risk that Zero Trust initiatives become either over</w:t>
      </w:r>
      <w:r w:rsidR="00852A52" w:rsidRPr="00A57371">
        <w:rPr>
          <w:b/>
        </w:rPr>
        <w:t xml:space="preserve"> </w:t>
      </w:r>
      <w:r w:rsidRPr="00A57371">
        <w:t>engineered or under-implemented [1].</w:t>
      </w:r>
    </w:p>
    <w:p w14:paraId="09C5DCAD" w14:textId="77777777" w:rsidR="00CB3AC0" w:rsidRPr="00A57371" w:rsidRDefault="00CB3AC0" w:rsidP="00CF0548">
      <w:pPr>
        <w:pStyle w:val="Heading1"/>
        <w:spacing w:before="0" w:after="0"/>
        <w:ind w:firstLine="284"/>
        <w:rPr>
          <w:b w:val="0"/>
          <w:color w:val="auto"/>
          <w:sz w:val="24"/>
          <w:szCs w:val="24"/>
        </w:rPr>
      </w:pPr>
    </w:p>
    <w:p w14:paraId="420ECF0F" w14:textId="04ECC172" w:rsidR="00387D1D" w:rsidRPr="00A57371" w:rsidRDefault="00FF4832" w:rsidP="00E434BF">
      <w:pPr>
        <w:pStyle w:val="Heading2"/>
        <w:rPr>
          <w:rFonts w:eastAsia="Times New Roman"/>
        </w:rPr>
      </w:pPr>
      <w:bookmarkStart w:id="45" w:name="_Toc218600675"/>
      <w:bookmarkStart w:id="46" w:name="_Toc218601250"/>
      <w:bookmarkStart w:id="47" w:name="_Toc218601871"/>
      <w:bookmarkStart w:id="48" w:name="_Toc218601937"/>
      <w:r w:rsidRPr="00A57371">
        <w:t>3</w:t>
      </w:r>
      <w:r w:rsidR="00387D1D" w:rsidRPr="00A57371">
        <w:t>. Risk Treatment Through Zero Trust Architecture</w:t>
      </w:r>
      <w:bookmarkEnd w:id="45"/>
      <w:bookmarkEnd w:id="46"/>
      <w:bookmarkEnd w:id="47"/>
      <w:bookmarkEnd w:id="48"/>
      <w:r w:rsidR="00387D1D" w:rsidRPr="00A57371">
        <w:rPr>
          <w:rFonts w:eastAsia="Times New Roman"/>
        </w:rPr>
        <w:t xml:space="preserve"> </w:t>
      </w:r>
      <w:bookmarkEnd w:id="40"/>
      <w:bookmarkEnd w:id="41"/>
      <w:bookmarkEnd w:id="42"/>
      <w:bookmarkEnd w:id="43"/>
      <w:bookmarkEnd w:id="44"/>
    </w:p>
    <w:p w14:paraId="0FD388E5" w14:textId="71344195" w:rsidR="0076176A" w:rsidRDefault="00810959" w:rsidP="00E434BF">
      <w:pPr>
        <w:pStyle w:val="Heading3"/>
        <w:rPr>
          <w:rFonts w:eastAsia="Times New Roman"/>
          <w:bCs/>
        </w:rPr>
      </w:pPr>
      <w:bookmarkStart w:id="49" w:name="_Toc217872904"/>
      <w:bookmarkStart w:id="50" w:name="_Toc217873127"/>
      <w:bookmarkStart w:id="51" w:name="_Toc217873309"/>
      <w:bookmarkStart w:id="52" w:name="_Toc217877502"/>
      <w:bookmarkStart w:id="53" w:name="_Toc217949161"/>
      <w:bookmarkStart w:id="54" w:name="_Toc218600676"/>
      <w:bookmarkStart w:id="55" w:name="_Toc218601251"/>
      <w:bookmarkStart w:id="56" w:name="_Toc218601872"/>
      <w:bookmarkStart w:id="57" w:name="_Toc218601938"/>
      <w:r w:rsidRPr="00E434BF">
        <w:t>3.1</w:t>
      </w:r>
      <w:r w:rsidR="0076176A" w:rsidRPr="00E434BF">
        <w:t>. Principles of Zero Trust Architecture</w:t>
      </w:r>
      <w:bookmarkEnd w:id="49"/>
      <w:bookmarkEnd w:id="50"/>
      <w:bookmarkEnd w:id="51"/>
      <w:bookmarkEnd w:id="52"/>
      <w:bookmarkEnd w:id="53"/>
      <w:bookmarkEnd w:id="54"/>
      <w:bookmarkEnd w:id="55"/>
      <w:bookmarkEnd w:id="56"/>
      <w:bookmarkEnd w:id="57"/>
      <w:r w:rsidR="0076176A" w:rsidRPr="00A57371">
        <w:rPr>
          <w:rFonts w:eastAsia="Times New Roman"/>
          <w:bCs/>
        </w:rPr>
        <w:t xml:space="preserve"> </w:t>
      </w:r>
    </w:p>
    <w:p w14:paraId="0E34366A" w14:textId="77777777" w:rsidR="00E434BF" w:rsidRPr="00E434BF" w:rsidRDefault="00E434BF" w:rsidP="00E434BF"/>
    <w:p w14:paraId="7D406EDE" w14:textId="093FA91E" w:rsidR="00502EC5" w:rsidRPr="00A57371" w:rsidRDefault="00502EC5" w:rsidP="00CF0548">
      <w:pPr>
        <w:spacing w:line="276" w:lineRule="auto"/>
        <w:ind w:firstLine="284"/>
        <w:jc w:val="both"/>
      </w:pPr>
      <w:bookmarkStart w:id="58" w:name="_Toc217872905"/>
      <w:bookmarkStart w:id="59" w:name="_Toc217873128"/>
      <w:bookmarkStart w:id="60" w:name="_Toc217873310"/>
      <w:bookmarkStart w:id="61" w:name="_Toc217877503"/>
      <w:bookmarkStart w:id="62" w:name="_Toc217949162"/>
      <w:r w:rsidRPr="00A57371">
        <w:t xml:space="preserve">Zero Trust Architecture (ZTA) represents a fundamental shift in how organisations conceptualise trust within digital environments. Rather than assuming that users, devices, or systems operating within a network boundary are inherently trustworthy, Zero Trust (ZT) is founded on the principle that no entity should be trusted by default and that access decisions must be continuously evaluated [5], [8]. </w:t>
      </w:r>
    </w:p>
    <w:p w14:paraId="52A45D2B" w14:textId="798AF322" w:rsidR="00502EC5" w:rsidRPr="00A57371" w:rsidRDefault="00502EC5" w:rsidP="00CF0548">
      <w:pPr>
        <w:spacing w:line="276" w:lineRule="auto"/>
        <w:ind w:firstLine="284"/>
        <w:jc w:val="both"/>
      </w:pPr>
      <w:r w:rsidRPr="00A57371">
        <w:t>A defining characteristic of ZTA is its emphasis on identity-centric access control, which in SaaS and web application environments becomes the primary security perimeter, as users operate across multiple locations, devices, and services [</w:t>
      </w:r>
      <w:r w:rsidR="006F4133" w:rsidRPr="00A57371">
        <w:t>5</w:t>
      </w:r>
      <w:r w:rsidRPr="00A57371">
        <w:t>], [</w:t>
      </w:r>
      <w:r w:rsidR="006F4133" w:rsidRPr="00A57371">
        <w:t>9</w:t>
      </w:r>
      <w:r w:rsidRPr="00A57371">
        <w:t>]. This model enables granular and contextual authorisation aligned with assessed risk, while the principle of least privilege reinforces this approach by restricting users and services to the minimum access required, reducing excessive permissions, limiting lateral movement across interconnected services, and, critically, mitigating the impact of credential compromise.</w:t>
      </w:r>
    </w:p>
    <w:p w14:paraId="461FE73B" w14:textId="6F661589" w:rsidR="00502EC5" w:rsidRPr="00A57371" w:rsidRDefault="00502EC5" w:rsidP="00CF0548">
      <w:pPr>
        <w:spacing w:line="276" w:lineRule="auto"/>
        <w:ind w:firstLine="284"/>
        <w:jc w:val="both"/>
      </w:pPr>
      <w:r w:rsidRPr="00A57371">
        <w:t>Continuous verification extends beyond initial authentication. Instead of assuming session trust, access is reassessed using contextual signals such as device posture and behavioural indicators. While this strengthens security, it introduces operational complexity that must be justified through risk-based decision</w:t>
      </w:r>
      <w:r w:rsidR="00852A52" w:rsidRPr="00A57371">
        <w:t xml:space="preserve"> </w:t>
      </w:r>
      <w:r w:rsidRPr="00A57371">
        <w:t>making.</w:t>
      </w:r>
    </w:p>
    <w:p w14:paraId="6D1EC599" w14:textId="3534977B" w:rsidR="00502EC5" w:rsidRDefault="00502EC5" w:rsidP="00CF0548">
      <w:pPr>
        <w:spacing w:line="276" w:lineRule="auto"/>
        <w:ind w:firstLine="284"/>
        <w:jc w:val="both"/>
      </w:pPr>
      <w:r w:rsidRPr="00A57371">
        <w:t>Importantly, ZT is not a single technology but an architectural framework integrating policies, controls, and processes. Its effectiveness depends on consistent enforcement, reliable identity governance, and monitoring capability [</w:t>
      </w:r>
      <w:r w:rsidR="006F4133" w:rsidRPr="00A57371">
        <w:t>5</w:t>
      </w:r>
      <w:r w:rsidRPr="00A57371">
        <w:t>]</w:t>
      </w:r>
      <w:r w:rsidR="00852A52" w:rsidRPr="00A57371">
        <w:t>, [10]</w:t>
      </w:r>
      <w:r w:rsidRPr="00A57371">
        <w:t>.</w:t>
      </w:r>
    </w:p>
    <w:p w14:paraId="4D81A984" w14:textId="77777777" w:rsidR="008623E0" w:rsidRPr="00A57371" w:rsidRDefault="008623E0" w:rsidP="00CF0548">
      <w:pPr>
        <w:spacing w:line="276" w:lineRule="auto"/>
        <w:ind w:firstLine="284"/>
        <w:jc w:val="both"/>
      </w:pPr>
    </w:p>
    <w:p w14:paraId="2DD53ABD" w14:textId="644135E4" w:rsidR="007D63BC" w:rsidRPr="00A57371" w:rsidRDefault="00810959" w:rsidP="00E434BF">
      <w:pPr>
        <w:pStyle w:val="Heading3"/>
        <w:rPr>
          <w:rFonts w:eastAsia="Times New Roman"/>
          <w:color w:val="0E0E0E"/>
        </w:rPr>
      </w:pPr>
      <w:bookmarkStart w:id="63" w:name="_Toc218600677"/>
      <w:bookmarkStart w:id="64" w:name="_Toc218601252"/>
      <w:bookmarkStart w:id="65" w:name="_Toc218601873"/>
      <w:bookmarkStart w:id="66" w:name="_Toc218601939"/>
      <w:r w:rsidRPr="00E434BF">
        <w:t>3.2</w:t>
      </w:r>
      <w:r w:rsidR="00387D1D" w:rsidRPr="00E434BF">
        <w:t>. Applying Zero Trust to SaaS and Web Applications</w:t>
      </w:r>
      <w:bookmarkEnd w:id="58"/>
      <w:bookmarkEnd w:id="59"/>
      <w:bookmarkEnd w:id="60"/>
      <w:bookmarkEnd w:id="61"/>
      <w:bookmarkEnd w:id="62"/>
      <w:bookmarkEnd w:id="63"/>
      <w:bookmarkEnd w:id="64"/>
      <w:bookmarkEnd w:id="65"/>
      <w:bookmarkEnd w:id="66"/>
      <w:r w:rsidR="00387D1D" w:rsidRPr="00A57371">
        <w:rPr>
          <w:rFonts w:eastAsia="Times New Roman"/>
        </w:rPr>
        <w:t xml:space="preserve"> </w:t>
      </w:r>
    </w:p>
    <w:p w14:paraId="39B7E38A" w14:textId="775B6B82" w:rsidR="001207D7" w:rsidRPr="00A57371" w:rsidRDefault="001207D7" w:rsidP="00E434BF">
      <w:pPr>
        <w:pStyle w:val="p1"/>
        <w:spacing w:before="240" w:beforeAutospacing="0" w:after="0" w:afterAutospacing="0" w:line="276" w:lineRule="auto"/>
        <w:ind w:firstLine="284"/>
        <w:jc w:val="both"/>
      </w:pPr>
      <w:bookmarkStart w:id="67" w:name="_Toc217872906"/>
      <w:bookmarkStart w:id="68" w:name="_Toc217873129"/>
      <w:bookmarkStart w:id="69" w:name="_Toc217873311"/>
      <w:bookmarkStart w:id="70" w:name="_Toc217877504"/>
      <w:bookmarkStart w:id="71" w:name="_Toc217949163"/>
      <w:r w:rsidRPr="00A57371">
        <w:t>Applying Zero Trust(ZT) principles in SaaS and web application environments requires a shift towards identity- and context driven access decisions. Traditional perimeter-based models rely on firewalls and Virtual Private Networks (VPNs), implicitly extending trust once a user gains network access. In highly distributed SaaS environments, authenticated connectivity can grant broader visibility and reach than is necessary or appropriate for a user’s role [</w:t>
      </w:r>
      <w:r w:rsidR="005E4086" w:rsidRPr="00A57371">
        <w:t>5</w:t>
      </w:r>
      <w:r w:rsidRPr="00A57371">
        <w:t>]. In contrast, ZT enforces access decisions at the level of individual applications and resources rather than at the network boundary. Each access request is evaluated independently, reducing reliance on location-based trust and constraining lateral movement, thereby limiting the potential impact of compromised credentials even after successful authentication [</w:t>
      </w:r>
      <w:r w:rsidR="005E4086" w:rsidRPr="00A57371">
        <w:t>5</w:t>
      </w:r>
      <w:r w:rsidRPr="00A57371">
        <w:t>].</w:t>
      </w:r>
    </w:p>
    <w:p w14:paraId="5F34C137" w14:textId="787BD611" w:rsidR="001207D7" w:rsidRPr="00A57371" w:rsidRDefault="001207D7" w:rsidP="00CF0548">
      <w:pPr>
        <w:pStyle w:val="p1"/>
        <w:spacing w:before="0" w:beforeAutospacing="0" w:after="0" w:afterAutospacing="0" w:line="276" w:lineRule="auto"/>
        <w:ind w:firstLine="284"/>
        <w:jc w:val="both"/>
      </w:pPr>
      <w:r w:rsidRPr="00A57371">
        <w:t>The adoption of Zero Trust Network Access (ZTNA) operationalises this approach by replacing VPN style network exposure with per-application access decisions based on verified identity, device posture, and contextual risk signals [</w:t>
      </w:r>
      <w:r w:rsidR="005E4086" w:rsidRPr="00A57371">
        <w:t>6</w:t>
      </w:r>
      <w:r w:rsidRPr="00A57371">
        <w:t>]. By granting access only to explicitly authorised applications, ZTNA enforces least privilege by design and enables proportionate risk treatment, such as stronger verification or narrower access scopes for higher</w:t>
      </w:r>
      <w:r w:rsidR="00852A52" w:rsidRPr="00A57371">
        <w:t xml:space="preserve"> </w:t>
      </w:r>
      <w:r w:rsidRPr="00A57371">
        <w:t>risk services.</w:t>
      </w:r>
    </w:p>
    <w:p w14:paraId="49EAF720" w14:textId="0253971E" w:rsidR="001207D7" w:rsidRPr="00A57371" w:rsidRDefault="001207D7" w:rsidP="00CF0548">
      <w:pPr>
        <w:pStyle w:val="p1"/>
        <w:spacing w:before="0" w:beforeAutospacing="0" w:after="0" w:afterAutospacing="0" w:line="276" w:lineRule="auto"/>
        <w:ind w:firstLine="284"/>
        <w:jc w:val="both"/>
      </w:pPr>
      <w:r w:rsidRPr="00A57371">
        <w:t xml:space="preserve">Despite these advantages, implementing ZT presents practical challenges, including integrating identity providers, enforcing consistent policies across multiple services, and collecting sufficient telemetry to support monitoring and incident response. Addressing these challenges requires careful architectural planning and organisational maturity. For software development teams, this may necessitate changes to authentication flows, application architecture, and deployment </w:t>
      </w:r>
      <w:r w:rsidRPr="00A57371">
        <w:t>pipelines, with potential impacts on delivery velocity and operational efficiency [</w:t>
      </w:r>
      <w:r w:rsidR="005E4086" w:rsidRPr="00A57371">
        <w:t>9</w:t>
      </w:r>
      <w:r w:rsidRPr="00A57371">
        <w:t>].</w:t>
      </w:r>
    </w:p>
    <w:p w14:paraId="56177166" w14:textId="295E3067" w:rsidR="001207D7" w:rsidRDefault="001207D7" w:rsidP="00CF0548">
      <w:pPr>
        <w:pStyle w:val="p1"/>
        <w:spacing w:before="0" w:beforeAutospacing="0" w:after="0" w:afterAutospacing="0" w:line="276" w:lineRule="auto"/>
        <w:ind w:firstLine="284"/>
        <w:jc w:val="both"/>
      </w:pPr>
      <w:r w:rsidRPr="00A57371">
        <w:t>Nevertheless, when guided by a risk-based approach, ZT can be implemented proportionately to avoid unnecessary complexity. Aligning access controls with assessed risk enables organisations to strengthen security while preserving usability and scalability, thereby supporting a resilient security posture within evolving SaaS and web application ecosystems.</w:t>
      </w:r>
    </w:p>
    <w:p w14:paraId="0746AEC2" w14:textId="77777777" w:rsidR="00E434BF" w:rsidRPr="00A57371" w:rsidRDefault="00E434BF" w:rsidP="00CF0548">
      <w:pPr>
        <w:pStyle w:val="p1"/>
        <w:spacing w:before="0" w:beforeAutospacing="0" w:after="0" w:afterAutospacing="0" w:line="276" w:lineRule="auto"/>
        <w:ind w:firstLine="284"/>
        <w:jc w:val="both"/>
      </w:pPr>
    </w:p>
    <w:p w14:paraId="6A664B7F" w14:textId="120B4C8C" w:rsidR="00387D1D" w:rsidRPr="00A57371" w:rsidRDefault="00FF4832" w:rsidP="007C3222">
      <w:pPr>
        <w:pStyle w:val="Heading2"/>
        <w:rPr>
          <w:rFonts w:eastAsia="Times New Roman"/>
          <w:bCs/>
        </w:rPr>
      </w:pPr>
      <w:bookmarkStart w:id="72" w:name="_Toc218600678"/>
      <w:bookmarkStart w:id="73" w:name="_Toc218601253"/>
      <w:bookmarkStart w:id="74" w:name="_Toc218601874"/>
      <w:bookmarkStart w:id="75" w:name="_Toc218601940"/>
      <w:r w:rsidRPr="007C3222">
        <w:t>4</w:t>
      </w:r>
      <w:r w:rsidR="00387D1D" w:rsidRPr="007C3222">
        <w:t>. Continuous Monitoring and Threat</w:t>
      </w:r>
      <w:r w:rsidR="00387D1D" w:rsidRPr="00A57371">
        <w:rPr>
          <w:rStyle w:val="Heading1Char"/>
          <w:rFonts w:eastAsiaTheme="majorEastAsia"/>
          <w:sz w:val="24"/>
          <w:szCs w:val="24"/>
        </w:rPr>
        <w:t xml:space="preserve"> </w:t>
      </w:r>
      <w:r w:rsidR="00387D1D" w:rsidRPr="007C3222">
        <w:t>Detection</w:t>
      </w:r>
      <w:bookmarkEnd w:id="72"/>
      <w:bookmarkEnd w:id="73"/>
      <w:bookmarkEnd w:id="74"/>
      <w:bookmarkEnd w:id="75"/>
      <w:r w:rsidR="00387D1D" w:rsidRPr="00A57371">
        <w:rPr>
          <w:rFonts w:eastAsia="Times New Roman"/>
          <w:bCs/>
        </w:rPr>
        <w:t xml:space="preserve"> </w:t>
      </w:r>
      <w:bookmarkEnd w:id="67"/>
      <w:bookmarkEnd w:id="68"/>
      <w:bookmarkEnd w:id="69"/>
      <w:bookmarkEnd w:id="70"/>
      <w:bookmarkEnd w:id="71"/>
    </w:p>
    <w:p w14:paraId="716B265E" w14:textId="3E1EC154" w:rsidR="00387D1D" w:rsidRPr="00E434BF" w:rsidRDefault="00810959" w:rsidP="00E434BF">
      <w:pPr>
        <w:pStyle w:val="Heading3"/>
        <w:rPr>
          <w:rFonts w:eastAsia="Times New Roman"/>
        </w:rPr>
      </w:pPr>
      <w:bookmarkStart w:id="76" w:name="_Toc217872907"/>
      <w:bookmarkStart w:id="77" w:name="_Toc217873130"/>
      <w:bookmarkStart w:id="78" w:name="_Toc217873312"/>
      <w:bookmarkStart w:id="79" w:name="_Toc217877505"/>
      <w:bookmarkStart w:id="80" w:name="_Toc218600679"/>
      <w:bookmarkStart w:id="81" w:name="_Toc218601254"/>
      <w:bookmarkStart w:id="82" w:name="_Toc218601875"/>
      <w:bookmarkStart w:id="83" w:name="_Toc218601941"/>
      <w:bookmarkStart w:id="84" w:name="_Toc217949164"/>
      <w:r w:rsidRPr="00A57371">
        <w:rPr>
          <w:rFonts w:eastAsia="Times New Roman"/>
        </w:rPr>
        <w:t>4.1</w:t>
      </w:r>
      <w:r w:rsidR="00387D1D" w:rsidRPr="00A57371">
        <w:rPr>
          <w:rFonts w:eastAsia="Times New Roman"/>
        </w:rPr>
        <w:t>. Role of Continuous Monitoring</w:t>
      </w:r>
      <w:bookmarkEnd w:id="76"/>
      <w:bookmarkEnd w:id="77"/>
      <w:bookmarkEnd w:id="78"/>
      <w:bookmarkEnd w:id="79"/>
      <w:bookmarkEnd w:id="80"/>
      <w:bookmarkEnd w:id="81"/>
      <w:bookmarkEnd w:id="82"/>
      <w:bookmarkEnd w:id="83"/>
      <w:r w:rsidR="00387D1D" w:rsidRPr="00A57371">
        <w:rPr>
          <w:rFonts w:eastAsia="Times New Roman"/>
          <w:b/>
          <w:bCs/>
        </w:rPr>
        <w:t xml:space="preserve"> </w:t>
      </w:r>
      <w:bookmarkEnd w:id="84"/>
    </w:p>
    <w:p w14:paraId="1D082ECD" w14:textId="3124FE7E" w:rsidR="007804AC" w:rsidRPr="00A57371" w:rsidRDefault="007804AC" w:rsidP="00E434BF">
      <w:pPr>
        <w:spacing w:before="240" w:line="276" w:lineRule="auto"/>
        <w:ind w:firstLine="284"/>
        <w:jc w:val="both"/>
        <w:outlineLvl w:val="3"/>
      </w:pPr>
      <w:bookmarkStart w:id="85" w:name="_Toc217872908"/>
      <w:bookmarkStart w:id="86" w:name="_Toc217873131"/>
      <w:bookmarkStart w:id="87" w:name="_Toc217873313"/>
      <w:bookmarkStart w:id="88" w:name="_Toc217877506"/>
      <w:bookmarkStart w:id="89" w:name="_Toc217949165"/>
      <w:r w:rsidRPr="00A57371">
        <w:t>Continuous monitoring is a critical component of a risk-based security strategy, particularly in SaaS and web application environments characterised by rapid change. Unlike static controls configured at a single point in time, continuous monitoring enables organisations to maintain ongoing visibility into system activity, user behaviour, and security posture. This visibility supports the timely identification of deviations from expected patterns and the early detection of security incidents before escalation occurs [7]</w:t>
      </w:r>
      <w:r w:rsidR="00852A52" w:rsidRPr="00A57371">
        <w:t>, [10]</w:t>
      </w:r>
      <w:r w:rsidRPr="00A57371">
        <w:t>.</w:t>
      </w:r>
    </w:p>
    <w:p w14:paraId="02C58C40" w14:textId="49C57D4F" w:rsidR="007804AC" w:rsidRPr="00A57371" w:rsidRDefault="007804AC" w:rsidP="00CF0548">
      <w:pPr>
        <w:spacing w:line="276" w:lineRule="auto"/>
        <w:ind w:firstLine="284"/>
        <w:jc w:val="both"/>
        <w:outlineLvl w:val="3"/>
      </w:pPr>
      <w:r w:rsidRPr="00A57371">
        <w:t>Within Zero Trust Architecture, monitoring directly supports continuous verification by enabling trust decisions to be reassessed throughout a session using telemetry from authentication events, application access logs, and behavioural indicators [</w:t>
      </w:r>
      <w:r w:rsidR="005E4086" w:rsidRPr="00A57371">
        <w:t>5</w:t>
      </w:r>
      <w:r w:rsidRPr="00A57371">
        <w:t>]. In SaaS ecosystems, where infrastructure is shared and operational control is partly delegated to service providers, organisations rely heavily on application-level logging and identity-related signals to detect anomalous access. Indicators such as unusual login locations, abnormal session duration, and atypical API usage patterns can therefore be decisive in identifying credential misuse and automated attacks</w:t>
      </w:r>
      <w:r w:rsidR="00852A52" w:rsidRPr="00A57371">
        <w:t xml:space="preserve"> [13]</w:t>
      </w:r>
      <w:r w:rsidRPr="00A57371">
        <w:t>.</w:t>
      </w:r>
    </w:p>
    <w:p w14:paraId="0BF82601" w14:textId="45C4A582" w:rsidR="007804AC" w:rsidRDefault="007804AC" w:rsidP="00CF0548">
      <w:pPr>
        <w:spacing w:line="276" w:lineRule="auto"/>
        <w:ind w:firstLine="284"/>
        <w:jc w:val="both"/>
        <w:outlineLvl w:val="3"/>
      </w:pPr>
      <w:r w:rsidRPr="00A57371">
        <w:lastRenderedPageBreak/>
        <w:t>Ongoing security monitoring also underpins EU and UK expectations for situational awareness, incident detection, and evidence of security operations, thereby supporting governance and accountability requirements [1], [</w:t>
      </w:r>
      <w:r w:rsidR="005E4086" w:rsidRPr="00A57371">
        <w:t>3</w:t>
      </w:r>
      <w:r w:rsidRPr="00A57371">
        <w:t>], [</w:t>
      </w:r>
      <w:r w:rsidR="005E4086" w:rsidRPr="00A57371">
        <w:t>4</w:t>
      </w:r>
      <w:r w:rsidRPr="00A57371">
        <w:t xml:space="preserve">]. </w:t>
      </w:r>
    </w:p>
    <w:p w14:paraId="0AADC64C" w14:textId="77777777" w:rsidR="008623E0" w:rsidRPr="00A57371" w:rsidRDefault="008623E0" w:rsidP="00CF0548">
      <w:pPr>
        <w:spacing w:line="276" w:lineRule="auto"/>
        <w:ind w:firstLine="284"/>
        <w:jc w:val="both"/>
        <w:outlineLvl w:val="3"/>
      </w:pPr>
    </w:p>
    <w:p w14:paraId="79FB9234" w14:textId="66029417" w:rsidR="00810959" w:rsidRPr="007C3222" w:rsidRDefault="00810959" w:rsidP="007C3222">
      <w:pPr>
        <w:pStyle w:val="Heading3"/>
      </w:pPr>
      <w:bookmarkStart w:id="90" w:name="_Toc218600680"/>
      <w:bookmarkStart w:id="91" w:name="_Toc218601255"/>
      <w:bookmarkStart w:id="92" w:name="_Toc218601876"/>
      <w:bookmarkStart w:id="93" w:name="_Toc218601942"/>
      <w:r w:rsidRPr="007C3222">
        <w:t>4.2</w:t>
      </w:r>
      <w:r w:rsidR="00387D1D" w:rsidRPr="007C3222">
        <w:t>. Limitations and Challenges of Detection Mechanisms</w:t>
      </w:r>
      <w:bookmarkEnd w:id="85"/>
      <w:bookmarkEnd w:id="86"/>
      <w:bookmarkEnd w:id="87"/>
      <w:bookmarkEnd w:id="88"/>
      <w:bookmarkEnd w:id="89"/>
      <w:bookmarkEnd w:id="90"/>
      <w:bookmarkEnd w:id="91"/>
      <w:bookmarkEnd w:id="92"/>
      <w:bookmarkEnd w:id="93"/>
      <w:r w:rsidR="00387D1D" w:rsidRPr="007C3222">
        <w:t xml:space="preserve"> </w:t>
      </w:r>
    </w:p>
    <w:p w14:paraId="0065A55C" w14:textId="74E6E59C" w:rsidR="00735FE6" w:rsidRPr="00A57371" w:rsidRDefault="00735FE6" w:rsidP="007C3222">
      <w:pPr>
        <w:pStyle w:val="p1"/>
        <w:spacing w:before="240" w:beforeAutospacing="0" w:after="0" w:afterAutospacing="0" w:line="276" w:lineRule="auto"/>
        <w:ind w:firstLine="284"/>
        <w:jc w:val="both"/>
      </w:pPr>
      <w:bookmarkStart w:id="94" w:name="_Toc217872909"/>
      <w:bookmarkStart w:id="95" w:name="_Toc217873132"/>
      <w:bookmarkStart w:id="96" w:name="_Toc217873314"/>
      <w:bookmarkStart w:id="97" w:name="_Toc217877507"/>
      <w:r w:rsidRPr="00A57371">
        <w:t>Despite its importance, continuous monitoring and threat detection are subject to limitations that must be acknowledged to avoid overstating effectiveness. A primary challenge arises from the widespread use of encryption, which reduces the visibility of security tools and restricts the inspection of traffic content for malicious activity [</w:t>
      </w:r>
      <w:r w:rsidR="005E4086" w:rsidRPr="00A57371">
        <w:t>4</w:t>
      </w:r>
      <w:r w:rsidRPr="00A57371">
        <w:t>], [7]. While encryption strengthens confidentiality and integrity, it shifts detection towards metadata, behavioural indicators, and identity</w:t>
      </w:r>
      <w:r w:rsidR="00852A52" w:rsidRPr="00A57371">
        <w:t xml:space="preserve"> </w:t>
      </w:r>
      <w:r w:rsidRPr="00A57371">
        <w:t>related signals, which may be less definitive and therefore require careful interpretation.</w:t>
      </w:r>
    </w:p>
    <w:p w14:paraId="56437455" w14:textId="6A0F68AC" w:rsidR="00735FE6" w:rsidRPr="00A57371" w:rsidRDefault="00735FE6" w:rsidP="00CF0548">
      <w:pPr>
        <w:pStyle w:val="p1"/>
        <w:spacing w:before="0" w:beforeAutospacing="0" w:after="0" w:afterAutospacing="0" w:line="276" w:lineRule="auto"/>
        <w:ind w:firstLine="284"/>
        <w:jc w:val="both"/>
      </w:pPr>
      <w:r w:rsidRPr="00A57371">
        <w:t>Detection accuracy is a further constraint. Anomaly</w:t>
      </w:r>
      <w:r w:rsidR="00852A52" w:rsidRPr="00A57371">
        <w:t xml:space="preserve"> </w:t>
      </w:r>
      <w:r w:rsidRPr="00A57371">
        <w:t>based techniques rely on baselines of “normal” behaviour, which can be difficult to define in dynamic SaaS environments where usage varies by role, location, and time. This increases false positives and contributes to alert fatigue, potentially delaying response to genuine incidents [7].</w:t>
      </w:r>
    </w:p>
    <w:p w14:paraId="55A21BE0" w14:textId="771AA5E3" w:rsidR="00735FE6" w:rsidRPr="00A57371" w:rsidRDefault="00735FE6" w:rsidP="00CF0548">
      <w:pPr>
        <w:pStyle w:val="p1"/>
        <w:spacing w:before="0" w:beforeAutospacing="0" w:after="0" w:afterAutospacing="0" w:line="276" w:lineRule="auto"/>
        <w:ind w:firstLine="284"/>
        <w:jc w:val="both"/>
      </w:pPr>
      <w:r w:rsidRPr="00A57371">
        <w:t>Operational complexity also limits detection. SaaS ecosystems integrate multiple services with inconsistent logging formats, retention periods, and levels of granularity. Achieving coherent visibility requires ongoing integration effort, and gaps in telemetry or delays in log delivery can reduce confidence in detection outputs</w:t>
      </w:r>
      <w:r w:rsidR="00852A52" w:rsidRPr="00A57371">
        <w:t xml:space="preserve"> [13]</w:t>
      </w:r>
      <w:r w:rsidRPr="00A57371">
        <w:t>. Moreover, poorly tuned detection rules can introduce additional risk. Overly aggressive logic may trigger unnecessary automated responses, while permissive configurations may fail to identify high-impact threats.</w:t>
      </w:r>
    </w:p>
    <w:p w14:paraId="471434D2" w14:textId="64B56C89" w:rsidR="00735FE6" w:rsidRDefault="00735FE6" w:rsidP="00CF0548">
      <w:pPr>
        <w:pStyle w:val="p1"/>
        <w:spacing w:before="0" w:beforeAutospacing="0" w:after="0" w:afterAutospacing="0" w:line="276" w:lineRule="auto"/>
        <w:ind w:firstLine="284"/>
        <w:jc w:val="both"/>
      </w:pPr>
      <w:r w:rsidRPr="00A57371">
        <w:t>These constraints reinforce the need for proportionate, risk</w:t>
      </w:r>
      <w:r w:rsidR="00CB3AC0" w:rsidRPr="00A57371">
        <w:t xml:space="preserve"> </w:t>
      </w:r>
      <w:r w:rsidRPr="00A57371">
        <w:t>led monitoring strategies that prioritise high-impact scenarios and continuously refine detection logic.</w:t>
      </w:r>
    </w:p>
    <w:p w14:paraId="6A763E2F" w14:textId="77777777" w:rsidR="007C3222" w:rsidRPr="00A57371" w:rsidRDefault="007C3222" w:rsidP="00CF0548">
      <w:pPr>
        <w:pStyle w:val="p1"/>
        <w:spacing w:before="0" w:beforeAutospacing="0" w:after="0" w:afterAutospacing="0" w:line="276" w:lineRule="auto"/>
        <w:ind w:firstLine="284"/>
        <w:jc w:val="both"/>
      </w:pPr>
    </w:p>
    <w:p w14:paraId="4D7E6454" w14:textId="406B6BB5" w:rsidR="00387D1D" w:rsidRPr="00A57371" w:rsidRDefault="00FF4832" w:rsidP="007C3222">
      <w:pPr>
        <w:pStyle w:val="Heading2"/>
        <w:rPr>
          <w:rFonts w:eastAsia="Times New Roman"/>
          <w:bCs/>
        </w:rPr>
      </w:pPr>
      <w:bookmarkStart w:id="98" w:name="_Toc218600681"/>
      <w:bookmarkStart w:id="99" w:name="_Toc218601256"/>
      <w:bookmarkStart w:id="100" w:name="_Toc218601877"/>
      <w:bookmarkStart w:id="101" w:name="_Toc218601943"/>
      <w:bookmarkStart w:id="102" w:name="_Toc217949166"/>
      <w:r w:rsidRPr="007C3222">
        <w:t>5</w:t>
      </w:r>
      <w:r w:rsidR="00387D1D" w:rsidRPr="007C3222">
        <w:t>. Automated Response and Incident</w:t>
      </w:r>
      <w:r w:rsidR="00387D1D" w:rsidRPr="00A57371">
        <w:rPr>
          <w:rStyle w:val="Heading1Char"/>
          <w:rFonts w:eastAsiaTheme="majorEastAsia"/>
          <w:sz w:val="24"/>
          <w:szCs w:val="24"/>
        </w:rPr>
        <w:t xml:space="preserve"> </w:t>
      </w:r>
      <w:r w:rsidR="00387D1D" w:rsidRPr="007C3222">
        <w:t>Handling</w:t>
      </w:r>
      <w:bookmarkEnd w:id="98"/>
      <w:bookmarkEnd w:id="99"/>
      <w:bookmarkEnd w:id="100"/>
      <w:bookmarkEnd w:id="101"/>
      <w:r w:rsidR="00387D1D" w:rsidRPr="00A57371">
        <w:rPr>
          <w:rFonts w:eastAsia="Times New Roman"/>
          <w:bCs/>
        </w:rPr>
        <w:t xml:space="preserve"> </w:t>
      </w:r>
      <w:bookmarkEnd w:id="94"/>
      <w:bookmarkEnd w:id="95"/>
      <w:bookmarkEnd w:id="96"/>
      <w:bookmarkEnd w:id="97"/>
      <w:bookmarkEnd w:id="102"/>
    </w:p>
    <w:p w14:paraId="04DBB779" w14:textId="740FE0C2" w:rsidR="00387D1D" w:rsidRPr="00A57371" w:rsidRDefault="00810959" w:rsidP="007C3222">
      <w:pPr>
        <w:pStyle w:val="Heading3"/>
        <w:rPr>
          <w:rFonts w:eastAsia="Times New Roman"/>
          <w:bCs/>
          <w:color w:val="EE0000"/>
        </w:rPr>
      </w:pPr>
      <w:bookmarkStart w:id="103" w:name="_Toc217872910"/>
      <w:bookmarkStart w:id="104" w:name="_Toc217873133"/>
      <w:bookmarkStart w:id="105" w:name="_Toc217873315"/>
      <w:bookmarkStart w:id="106" w:name="_Toc217877508"/>
      <w:bookmarkStart w:id="107" w:name="_Toc217949167"/>
      <w:bookmarkStart w:id="108" w:name="_Toc218600682"/>
      <w:bookmarkStart w:id="109" w:name="_Toc218601257"/>
      <w:bookmarkStart w:id="110" w:name="_Toc218601878"/>
      <w:bookmarkStart w:id="111" w:name="_Toc218601944"/>
      <w:r w:rsidRPr="007C3222">
        <w:t>5.1</w:t>
      </w:r>
      <w:r w:rsidR="00387D1D" w:rsidRPr="007C3222">
        <w:t>. Automated Response as a Risk Mitigation Strategy</w:t>
      </w:r>
      <w:bookmarkEnd w:id="103"/>
      <w:bookmarkEnd w:id="104"/>
      <w:bookmarkEnd w:id="105"/>
      <w:bookmarkEnd w:id="106"/>
      <w:bookmarkEnd w:id="107"/>
      <w:bookmarkEnd w:id="108"/>
      <w:bookmarkEnd w:id="109"/>
      <w:bookmarkEnd w:id="110"/>
      <w:bookmarkEnd w:id="111"/>
      <w:r w:rsidR="00387D1D" w:rsidRPr="00A57371">
        <w:rPr>
          <w:rFonts w:eastAsia="Times New Roman"/>
          <w:bCs/>
        </w:rPr>
        <w:t xml:space="preserve"> </w:t>
      </w:r>
    </w:p>
    <w:p w14:paraId="15E0E1A9" w14:textId="5E3003F5" w:rsidR="00735FE6" w:rsidRPr="00A57371" w:rsidRDefault="00735FE6" w:rsidP="008623E0">
      <w:pPr>
        <w:pStyle w:val="p1"/>
        <w:spacing w:before="240" w:beforeAutospacing="0" w:after="0" w:afterAutospacing="0" w:line="276" w:lineRule="auto"/>
        <w:ind w:firstLine="284"/>
        <w:jc w:val="both"/>
      </w:pPr>
      <w:bookmarkStart w:id="112" w:name="_Toc217872911"/>
      <w:bookmarkStart w:id="113" w:name="_Toc217873134"/>
      <w:bookmarkStart w:id="114" w:name="_Toc217873316"/>
      <w:bookmarkStart w:id="115" w:name="_Toc217877509"/>
      <w:r w:rsidRPr="00A57371">
        <w:t>Automated response has become an increasingly important component of modern security architectures, particularly in SaaS and web application environments where the speed and scale of attacks often exceed the capacity for manual intervention. From a risk management perspective, automation functions as a mitigation strategy by reducing the time between detection and containment, thereby limiting incident impact and supporting operational resilience objectives [1], [</w:t>
      </w:r>
      <w:r w:rsidR="005E4086" w:rsidRPr="00A57371">
        <w:t>9</w:t>
      </w:r>
      <w:r w:rsidRPr="00A57371">
        <w:t>].</w:t>
      </w:r>
    </w:p>
    <w:p w14:paraId="322535F1" w14:textId="7277E9A9" w:rsidR="00735FE6" w:rsidRPr="00A57371" w:rsidRDefault="00735FE6" w:rsidP="00CF0548">
      <w:pPr>
        <w:pStyle w:val="p1"/>
        <w:spacing w:before="0" w:beforeAutospacing="0" w:after="0" w:afterAutospacing="0" w:line="276" w:lineRule="auto"/>
        <w:ind w:firstLine="284"/>
        <w:jc w:val="both"/>
      </w:pPr>
      <w:r w:rsidRPr="00A57371">
        <w:t>In identity</w:t>
      </w:r>
      <w:r w:rsidR="00CB3AC0" w:rsidRPr="00A57371">
        <w:t xml:space="preserve"> </w:t>
      </w:r>
      <w:r w:rsidRPr="00A57371">
        <w:t>centric threat scenarios such as credential compromise or session hijacking, delayed response can enable privilege escalation, data exfiltration, or service disruption. Automated actions, including session termination, credential revocation, and access restriction, can contain threats rapidly and consistently. When aligned with assessed risk levels, these measures support proportionate response by ensuring that high-impact incidents trigger immediate containment, while lower-risk events are managed with minimal operational disruption.</w:t>
      </w:r>
    </w:p>
    <w:p w14:paraId="58931CD1" w14:textId="7E93EBCE" w:rsidR="00735FE6" w:rsidRDefault="00735FE6" w:rsidP="00CF0548">
      <w:pPr>
        <w:pStyle w:val="p1"/>
        <w:spacing w:before="0" w:beforeAutospacing="0" w:after="0" w:afterAutospacing="0" w:line="276" w:lineRule="auto"/>
        <w:ind w:firstLine="284"/>
        <w:jc w:val="both"/>
      </w:pPr>
      <w:r w:rsidRPr="00A57371">
        <w:t>Within Zero Trust Architecture, automated response complements continuous verification by dynamically adjusting access conditions in response to emerging risk signals, thereby reinforcing the principle that trust is conditional and continuously reassessed [</w:t>
      </w:r>
      <w:r w:rsidR="005E4086" w:rsidRPr="00A57371">
        <w:t>9</w:t>
      </w:r>
      <w:r w:rsidRPr="00A57371">
        <w:t xml:space="preserve">]. However, effectiveness depends on detection accuracy and the quality of response logic. Poorly tuned automation may trigger unnecessary access revocation or service interruption, thereby </w:t>
      </w:r>
      <w:r w:rsidRPr="00A57371">
        <w:lastRenderedPageBreak/>
        <w:t>harming user experience and business continuity. These risks reinforce the need to govern automated response through defined thresholds, testing, and periodic review aligned with organisational risk appetite.</w:t>
      </w:r>
    </w:p>
    <w:p w14:paraId="476764C1" w14:textId="77777777" w:rsidR="008623E0" w:rsidRPr="00A57371" w:rsidRDefault="008623E0" w:rsidP="00CF0548">
      <w:pPr>
        <w:pStyle w:val="p1"/>
        <w:spacing w:before="0" w:beforeAutospacing="0" w:after="0" w:afterAutospacing="0" w:line="276" w:lineRule="auto"/>
        <w:ind w:firstLine="284"/>
        <w:jc w:val="both"/>
      </w:pPr>
    </w:p>
    <w:p w14:paraId="09CD7B48" w14:textId="202E62CC" w:rsidR="00772850" w:rsidRPr="00A57371" w:rsidRDefault="008A0D3E" w:rsidP="007C3222">
      <w:pPr>
        <w:pStyle w:val="Heading3"/>
        <w:rPr>
          <w:rFonts w:eastAsia="Times New Roman"/>
          <w:b/>
          <w:bCs/>
          <w:color w:val="EE0000"/>
        </w:rPr>
      </w:pPr>
      <w:bookmarkStart w:id="116" w:name="_Toc217949168"/>
      <w:bookmarkStart w:id="117" w:name="_Toc218600683"/>
      <w:bookmarkStart w:id="118" w:name="_Toc218601258"/>
      <w:bookmarkStart w:id="119" w:name="_Toc218601879"/>
      <w:bookmarkStart w:id="120" w:name="_Toc218601945"/>
      <w:r w:rsidRPr="007C3222">
        <w:t>5.2</w:t>
      </w:r>
      <w:r w:rsidR="00387D1D" w:rsidRPr="007C3222">
        <w:t>. Integration with Incident Response Processes</w:t>
      </w:r>
      <w:bookmarkEnd w:id="112"/>
      <w:bookmarkEnd w:id="113"/>
      <w:bookmarkEnd w:id="114"/>
      <w:bookmarkEnd w:id="115"/>
      <w:bookmarkEnd w:id="116"/>
      <w:bookmarkEnd w:id="117"/>
      <w:bookmarkEnd w:id="118"/>
      <w:bookmarkEnd w:id="119"/>
      <w:bookmarkEnd w:id="120"/>
      <w:r w:rsidR="00387D1D" w:rsidRPr="00A57371">
        <w:rPr>
          <w:rFonts w:eastAsia="Times New Roman"/>
          <w:b/>
          <w:bCs/>
        </w:rPr>
        <w:t xml:space="preserve"> </w:t>
      </w:r>
    </w:p>
    <w:p w14:paraId="73E8979B" w14:textId="66D7ED1B" w:rsidR="00B04475" w:rsidRPr="00A57371" w:rsidRDefault="00B04475" w:rsidP="007C3222">
      <w:pPr>
        <w:pStyle w:val="p1"/>
        <w:spacing w:before="240" w:beforeAutospacing="0" w:after="0" w:afterAutospacing="0" w:line="276" w:lineRule="auto"/>
        <w:ind w:firstLine="720"/>
        <w:jc w:val="both"/>
      </w:pPr>
      <w:bookmarkStart w:id="121" w:name="_Toc217872912"/>
      <w:bookmarkStart w:id="122" w:name="_Toc217873135"/>
      <w:bookmarkStart w:id="123" w:name="_Toc217873317"/>
      <w:bookmarkStart w:id="124" w:name="_Toc217877510"/>
      <w:r w:rsidRPr="00A57371">
        <w:t>While automated response mechanisms provide clear benefits in speed and consistency, they must be integrated within established incident response processes to ensure accountability, traceability, and effective recovery [1], [</w:t>
      </w:r>
      <w:r w:rsidR="005E4086" w:rsidRPr="00A57371">
        <w:t>3</w:t>
      </w:r>
      <w:r w:rsidRPr="00A57371">
        <w:t>]. Automation alone cannot address the full scope of incidents, particularly those involving personal data exposure, complex technical failure, or regulatory reporting obligations.</w:t>
      </w:r>
    </w:p>
    <w:p w14:paraId="373074AB" w14:textId="1A512C1C" w:rsidR="00B04475" w:rsidRPr="00A57371" w:rsidRDefault="00B04475" w:rsidP="00CF0548">
      <w:pPr>
        <w:pStyle w:val="p1"/>
        <w:spacing w:before="0" w:beforeAutospacing="0" w:after="0" w:afterAutospacing="0" w:line="276" w:lineRule="auto"/>
        <w:ind w:firstLine="720"/>
        <w:jc w:val="both"/>
      </w:pPr>
      <w:r w:rsidRPr="00A57371">
        <w:t>Incident Response Plans (IRPs) provide the procedural framework through which incidents are identified, assessed, contained, and resolved. In a risk-based model, automated actions should be mapped to predefined incident categories and severity thresholds. Lower-impact events may trigger enhanced monitoring and escalation, whereas high-confidence indicators of compromise may initiate immediate containment actions, such as access revocation or session termination.</w:t>
      </w:r>
    </w:p>
    <w:p w14:paraId="54F6165B" w14:textId="7008099E" w:rsidR="00B04475" w:rsidRPr="00A57371" w:rsidRDefault="00B04475" w:rsidP="00CF0548">
      <w:pPr>
        <w:pStyle w:val="p1"/>
        <w:spacing w:before="0" w:beforeAutospacing="0" w:after="0" w:afterAutospacing="0" w:line="276" w:lineRule="auto"/>
        <w:ind w:firstLine="720"/>
        <w:jc w:val="both"/>
      </w:pPr>
      <w:r w:rsidRPr="00A57371">
        <w:t>In regulated environments, integration with resilience and continuity arrangements is critical. Although automation can support availability by limiting attacker dwell time, poorly governed containment may disrupt critical services or hinder root-cause analysis. Effective integration therefore requires explicit handover points between automated containment and human-led investigation and recovery, supported by documented decision logic and audit trails [1], [</w:t>
      </w:r>
      <w:r w:rsidR="005E4086" w:rsidRPr="00A57371">
        <w:t>3</w:t>
      </w:r>
      <w:r w:rsidRPr="00A57371">
        <w:t>].</w:t>
      </w:r>
    </w:p>
    <w:p w14:paraId="7FC49199" w14:textId="77777777" w:rsidR="00B04475" w:rsidRDefault="00B04475" w:rsidP="00CF0548">
      <w:pPr>
        <w:pStyle w:val="p1"/>
        <w:spacing w:before="0" w:beforeAutospacing="0" w:after="0" w:afterAutospacing="0" w:line="276" w:lineRule="auto"/>
        <w:ind w:firstLine="720"/>
        <w:jc w:val="both"/>
      </w:pPr>
      <w:r w:rsidRPr="00A57371">
        <w:t xml:space="preserve">Governance mechanisms further ensure that response logic remains proportionate to risk and aligned with organisational objectives. </w:t>
      </w:r>
      <w:r w:rsidRPr="00A57371">
        <w:t>Automated workflows should be tested, reviewed, and controlled through formal change management to reduce unintended consequences and maintain confidence in response operations.</w:t>
      </w:r>
    </w:p>
    <w:p w14:paraId="47F51827" w14:textId="77777777" w:rsidR="007C3222" w:rsidRPr="00A57371" w:rsidRDefault="007C3222" w:rsidP="00CF0548">
      <w:pPr>
        <w:pStyle w:val="p1"/>
        <w:spacing w:before="0" w:beforeAutospacing="0" w:after="0" w:afterAutospacing="0" w:line="276" w:lineRule="auto"/>
        <w:ind w:firstLine="720"/>
        <w:jc w:val="both"/>
      </w:pPr>
    </w:p>
    <w:p w14:paraId="1BB59E56" w14:textId="2E90EA60" w:rsidR="00735FE6" w:rsidRPr="00A57371" w:rsidRDefault="00FF4832" w:rsidP="007C3222">
      <w:pPr>
        <w:pStyle w:val="Heading2"/>
        <w:rPr>
          <w:rFonts w:eastAsia="Times New Roman"/>
          <w:bCs/>
          <w:color w:val="EE0000"/>
        </w:rPr>
      </w:pPr>
      <w:bookmarkStart w:id="125" w:name="_Toc218600684"/>
      <w:bookmarkStart w:id="126" w:name="_Toc218601259"/>
      <w:bookmarkStart w:id="127" w:name="_Toc218601880"/>
      <w:bookmarkStart w:id="128" w:name="_Toc218601946"/>
      <w:bookmarkStart w:id="129" w:name="_Toc217949169"/>
      <w:r w:rsidRPr="007C3222">
        <w:t>6</w:t>
      </w:r>
      <w:r w:rsidR="00387D1D" w:rsidRPr="007C3222">
        <w:t>. Discussion: Benefits, Limitations, and Trade-offs</w:t>
      </w:r>
      <w:bookmarkEnd w:id="125"/>
      <w:bookmarkEnd w:id="126"/>
      <w:bookmarkEnd w:id="127"/>
      <w:bookmarkEnd w:id="128"/>
      <w:r w:rsidR="00387D1D" w:rsidRPr="007C3222">
        <w:t xml:space="preserve"> </w:t>
      </w:r>
      <w:bookmarkEnd w:id="121"/>
      <w:bookmarkEnd w:id="122"/>
      <w:bookmarkEnd w:id="123"/>
      <w:bookmarkEnd w:id="124"/>
      <w:bookmarkEnd w:id="129"/>
    </w:p>
    <w:p w14:paraId="4728D364" w14:textId="127A7F2C" w:rsidR="00772850" w:rsidRPr="00A57371" w:rsidRDefault="00772850" w:rsidP="00CF0548">
      <w:pPr>
        <w:pStyle w:val="p1"/>
        <w:spacing w:before="240" w:beforeAutospacing="0" w:after="0" w:afterAutospacing="0" w:line="276" w:lineRule="auto"/>
        <w:ind w:firstLine="284"/>
        <w:jc w:val="both"/>
      </w:pPr>
      <w:r w:rsidRPr="00A57371">
        <w:t>The adoption of a risk-based approach to Zero Trust Architecture offers clear advantages over perimeter-based security models, particularly in SaaS and web application environments where trust assumptions tied to network location are increasingly ineffective [</w:t>
      </w:r>
      <w:r w:rsidR="005E4086" w:rsidRPr="00A57371">
        <w:t>1</w:t>
      </w:r>
      <w:r w:rsidRPr="00A57371">
        <w:t>], [</w:t>
      </w:r>
      <w:r w:rsidR="005E4086" w:rsidRPr="00A57371">
        <w:t>9</w:t>
      </w:r>
      <w:r w:rsidRPr="00A57371">
        <w:t>]. By aligning control selection with assessed risk levels, organisations can prioritise resources towards high-impact scenarios such as identity compromise and unauthorised access, avoiding blanket implementations that increase complexity without proportional benefit. This approach supports scalability while maintaining a defensible security posture.</w:t>
      </w:r>
    </w:p>
    <w:p w14:paraId="033949C9" w14:textId="2F9632E9" w:rsidR="00772850" w:rsidRPr="00A57371" w:rsidRDefault="00772850" w:rsidP="00CF0548">
      <w:pPr>
        <w:pStyle w:val="p1"/>
        <w:spacing w:before="0" w:beforeAutospacing="0" w:after="0" w:afterAutospacing="0" w:line="276" w:lineRule="auto"/>
        <w:ind w:firstLine="284"/>
        <w:jc w:val="both"/>
      </w:pPr>
      <w:r w:rsidRPr="00A57371">
        <w:t>A key strength of integrating Risk Management with Zero Trust lies in adaptability. Risk-led governance enables security decisions to evolve in response to changes in architecture, threat intelligence, and operational requirements. When combined with Zero Trust principles, this supports context-aware access decisions that reduce implicit trust and constrain lateral movement following credential compromise [</w:t>
      </w:r>
      <w:r w:rsidR="005E4086" w:rsidRPr="00A57371">
        <w:t>5</w:t>
      </w:r>
      <w:r w:rsidRPr="00A57371">
        <w:t>], [</w:t>
      </w:r>
      <w:r w:rsidR="005E4086" w:rsidRPr="00A57371">
        <w:t>9</w:t>
      </w:r>
      <w:r w:rsidRPr="00A57371">
        <w:t>]. In practice, the same principles can be applied proportionately, allowing organisations to calibrate implementation depth to risk appetite rather than pursuing a uniform maturity model.</w:t>
      </w:r>
    </w:p>
    <w:p w14:paraId="1BBCD737" w14:textId="1EACC0B4" w:rsidR="00772850" w:rsidRPr="00A57371" w:rsidRDefault="00772850" w:rsidP="00CF0548">
      <w:pPr>
        <w:pStyle w:val="p1"/>
        <w:spacing w:before="0" w:beforeAutospacing="0" w:after="0" w:afterAutospacing="0" w:line="276" w:lineRule="auto"/>
        <w:ind w:firstLine="284"/>
        <w:jc w:val="both"/>
      </w:pPr>
      <w:r w:rsidRPr="00A57371">
        <w:t xml:space="preserve">However, the approach introduces notable challenges. Zero Trust implementation can increase architectural and operational complexity, particularly where multiple SaaS platforms, identity providers, and monitoring pipelines must be integrated. For software development teams, stronger identity enforcement and policy-driven access controls may require changes to authentication flows, API </w:t>
      </w:r>
      <w:r w:rsidRPr="00A57371">
        <w:lastRenderedPageBreak/>
        <w:t>design, and deployment practices, which can affect delivery velocity and operational efficiency [</w:t>
      </w:r>
      <w:r w:rsidR="005E4086" w:rsidRPr="00A57371">
        <w:t>9</w:t>
      </w:r>
      <w:r w:rsidRPr="00A57371">
        <w:t>]. These constraints highlight the need to align implementation ambition with organisational maturity and resourcing.</w:t>
      </w:r>
    </w:p>
    <w:p w14:paraId="296E4B72" w14:textId="1BBCDCB2" w:rsidR="00772850" w:rsidRPr="00A57371" w:rsidRDefault="00772850" w:rsidP="00CF0548">
      <w:pPr>
        <w:pStyle w:val="p1"/>
        <w:spacing w:before="0" w:beforeAutospacing="0" w:after="0" w:afterAutospacing="0" w:line="276" w:lineRule="auto"/>
        <w:ind w:firstLine="284"/>
        <w:jc w:val="both"/>
      </w:pPr>
      <w:r w:rsidRPr="00A57371">
        <w:t>Trade-offs between security and usability are also significant. Strong authentication and continuous verification can reduce unauthorised access, yet overly restrictive controls may degrade user experience and encourage insecure workarounds. A risk-based approach provides a defensible basis for selecting appropriate technical and organisational measures in proportion to risk, consistent with EU and UK expectations [</w:t>
      </w:r>
      <w:r w:rsidR="005E4086" w:rsidRPr="00A57371">
        <w:t>3</w:t>
      </w:r>
      <w:r w:rsidRPr="00A57371">
        <w:t>], [</w:t>
      </w:r>
      <w:r w:rsidR="005E4086" w:rsidRPr="00A57371">
        <w:t>4</w:t>
      </w:r>
      <w:r w:rsidRPr="00A57371">
        <w:t>]. Similarly, automation can reduce dwell time but may trigger inappropriate containment if detection logic is inaccurate or poorly governed, reinforcing the need for calibrated thresholds and oversight.</w:t>
      </w:r>
    </w:p>
    <w:p w14:paraId="7B1A66A5" w14:textId="2AD34D10" w:rsidR="004A2D6B" w:rsidRDefault="00772850" w:rsidP="00CF0548">
      <w:pPr>
        <w:pStyle w:val="p1"/>
        <w:spacing w:before="0" w:beforeAutospacing="0" w:after="0" w:afterAutospacing="0" w:line="276" w:lineRule="auto"/>
        <w:ind w:firstLine="284"/>
        <w:jc w:val="both"/>
      </w:pPr>
      <w:r w:rsidRPr="00A57371">
        <w:t>Finally, sustained effectiveness depends on governance capability. Authoritative guidance emphasises continuous evaluation, policy enforcement, and organisational readiness as prerequisites for meaningful risk reduction, rather than symbolic compliance [</w:t>
      </w:r>
      <w:r w:rsidR="005E4086" w:rsidRPr="00A57371">
        <w:t>6</w:t>
      </w:r>
      <w:r w:rsidRPr="00A57371">
        <w:t>].</w:t>
      </w:r>
    </w:p>
    <w:p w14:paraId="443639DD" w14:textId="77777777" w:rsidR="007C3222" w:rsidRPr="00A57371" w:rsidRDefault="007C3222" w:rsidP="00CF0548">
      <w:pPr>
        <w:pStyle w:val="p1"/>
        <w:spacing w:before="0" w:beforeAutospacing="0" w:after="0" w:afterAutospacing="0" w:line="276" w:lineRule="auto"/>
        <w:ind w:firstLine="284"/>
        <w:jc w:val="both"/>
      </w:pPr>
    </w:p>
    <w:p w14:paraId="7B7D69B7" w14:textId="472A4EE4" w:rsidR="00B04475" w:rsidRPr="00A57371" w:rsidRDefault="00FF4832" w:rsidP="007C3222">
      <w:pPr>
        <w:pStyle w:val="Heading2"/>
        <w:rPr>
          <w:rFonts w:eastAsia="Times New Roman"/>
          <w:bCs/>
          <w:color w:val="EE0000"/>
        </w:rPr>
      </w:pPr>
      <w:bookmarkStart w:id="130" w:name="_Toc218600685"/>
      <w:bookmarkStart w:id="131" w:name="_Toc218601260"/>
      <w:bookmarkStart w:id="132" w:name="_Toc218601881"/>
      <w:bookmarkStart w:id="133" w:name="_Toc218601947"/>
      <w:bookmarkStart w:id="134" w:name="_Toc217872913"/>
      <w:bookmarkStart w:id="135" w:name="_Toc217873136"/>
      <w:bookmarkStart w:id="136" w:name="_Toc217873318"/>
      <w:bookmarkStart w:id="137" w:name="_Toc217877511"/>
      <w:bookmarkStart w:id="138" w:name="_Toc217949170"/>
      <w:r w:rsidRPr="007C3222">
        <w:t>7</w:t>
      </w:r>
      <w:r w:rsidR="00387D1D" w:rsidRPr="007C3222">
        <w:t>. Conclusion</w:t>
      </w:r>
      <w:bookmarkEnd w:id="130"/>
      <w:bookmarkEnd w:id="131"/>
      <w:bookmarkEnd w:id="132"/>
      <w:bookmarkEnd w:id="133"/>
      <w:r w:rsidR="00387D1D" w:rsidRPr="00A57371">
        <w:rPr>
          <w:rFonts w:eastAsia="Times New Roman"/>
          <w:bCs/>
        </w:rPr>
        <w:t xml:space="preserve"> </w:t>
      </w:r>
      <w:bookmarkEnd w:id="134"/>
      <w:bookmarkEnd w:id="135"/>
      <w:bookmarkEnd w:id="136"/>
      <w:bookmarkEnd w:id="137"/>
      <w:bookmarkEnd w:id="138"/>
    </w:p>
    <w:p w14:paraId="6ED64839" w14:textId="33E57355" w:rsidR="00DC211C" w:rsidRPr="00A57371" w:rsidRDefault="00DC211C" w:rsidP="00CF0548">
      <w:pPr>
        <w:pStyle w:val="p1"/>
        <w:spacing w:before="240" w:beforeAutospacing="0" w:after="0" w:afterAutospacing="0" w:line="276" w:lineRule="auto"/>
        <w:ind w:firstLine="284"/>
        <w:jc w:val="both"/>
      </w:pPr>
      <w:r w:rsidRPr="00A57371">
        <w:t xml:space="preserve">The growing complexity of SaaS and web application environments has exposed the limitations of traditional </w:t>
      </w:r>
      <w:r w:rsidR="00852A52" w:rsidRPr="00A57371">
        <w:t>perimeter-based</w:t>
      </w:r>
      <w:r w:rsidRPr="00A57371">
        <w:t xml:space="preserve"> security models and reinforced the need for adaptive, risk</w:t>
      </w:r>
      <w:r w:rsidR="00CB3AC0" w:rsidRPr="00A57371">
        <w:t xml:space="preserve"> </w:t>
      </w:r>
      <w:r w:rsidRPr="00A57371">
        <w:t>driven security strategies. Within the European Union and the United Kingdom, organisations are increasingly expected not only to deploy technical controls but also to demonstrate structured, proportionate, and accountable cybersecurity practices aligned with regulatory and operational expectations [</w:t>
      </w:r>
      <w:r w:rsidR="005E4086" w:rsidRPr="00A57371">
        <w:t>1</w:t>
      </w:r>
      <w:r w:rsidRPr="00A57371">
        <w:t>], [</w:t>
      </w:r>
      <w:r w:rsidR="005E4086" w:rsidRPr="00A57371">
        <w:t>3</w:t>
      </w:r>
      <w:r w:rsidRPr="00A57371">
        <w:t>]</w:t>
      </w:r>
      <w:r w:rsidR="005E4086" w:rsidRPr="00A57371">
        <w:t>, [4]</w:t>
      </w:r>
      <w:r w:rsidRPr="00A57371">
        <w:t>.</w:t>
      </w:r>
    </w:p>
    <w:p w14:paraId="143BF989" w14:textId="6E17AB83" w:rsidR="00DC211C" w:rsidRPr="00A57371" w:rsidRDefault="00DC211C" w:rsidP="00CF0548">
      <w:pPr>
        <w:pStyle w:val="p1"/>
        <w:spacing w:before="0" w:beforeAutospacing="0" w:after="0" w:afterAutospacing="0" w:line="276" w:lineRule="auto"/>
        <w:ind w:firstLine="284"/>
        <w:jc w:val="both"/>
      </w:pPr>
      <w:r w:rsidRPr="00A57371">
        <w:t xml:space="preserve">This paper has shown that positioning Risk Management as the foundational framework enables organisations to make informed security decisions based on risk assessment, risk appetite, </w:t>
      </w:r>
      <w:r w:rsidRPr="00A57371">
        <w:t>and residual risk. Rather than pursuing absolute security, a risk-based approach supports prioritisation, transparency, and defensible trade-offs that align security investments with business objectives and regulatory obligations [1], [</w:t>
      </w:r>
      <w:r w:rsidR="005E4086" w:rsidRPr="00A57371">
        <w:t>3</w:t>
      </w:r>
      <w:r w:rsidRPr="00A57371">
        <w:t>].</w:t>
      </w:r>
    </w:p>
    <w:p w14:paraId="12EE913B" w14:textId="19AD55DC" w:rsidR="00B130A6" w:rsidRDefault="00DC211C" w:rsidP="00CF0548">
      <w:pPr>
        <w:pStyle w:val="p1"/>
        <w:spacing w:before="0" w:beforeAutospacing="0" w:after="0" w:afterAutospacing="0" w:line="276" w:lineRule="auto"/>
        <w:ind w:firstLine="284"/>
        <w:jc w:val="both"/>
      </w:pPr>
      <w:r w:rsidRPr="00A57371">
        <w:t>Within this framework, Zero Trust Architecture emerges as a practical and scalable response to dominant SaaS threats. By rejecting implicit trust and enforcing identity-centric access control, least privilege, and continuous verification, Zero Trust directly addresses weaknesses inherent in perimeter-based models while remaining adaptable to evolving threat conditions [</w:t>
      </w:r>
      <w:r w:rsidR="005E4086" w:rsidRPr="00A57371">
        <w:t>5</w:t>
      </w:r>
      <w:r w:rsidRPr="00A57371">
        <w:t>], [</w:t>
      </w:r>
      <w:r w:rsidR="005E4086" w:rsidRPr="00A57371">
        <w:t>9</w:t>
      </w:r>
      <w:r w:rsidRPr="00A57371">
        <w:t>]. The integration of continuous monitoring and automated response further strengthens this approach by enabling timely detection, containment, and recovery. When supported by governance and incident response processes, Zero Trust provides a resilient security model consistent with EU and UK regulatory expectations [</w:t>
      </w:r>
      <w:r w:rsidR="005E4086" w:rsidRPr="00A57371">
        <w:t>1</w:t>
      </w:r>
      <w:r w:rsidRPr="00A57371">
        <w:t>], [</w:t>
      </w:r>
      <w:r w:rsidR="005E4086" w:rsidRPr="00A57371">
        <w:t>3</w:t>
      </w:r>
      <w:r w:rsidRPr="00A57371">
        <w:t>]</w:t>
      </w:r>
      <w:r w:rsidR="005E4086" w:rsidRPr="00A57371">
        <w:t>, [4]</w:t>
      </w:r>
      <w:r w:rsidRPr="00A57371">
        <w:t>.</w:t>
      </w:r>
    </w:p>
    <w:p w14:paraId="47EF9AD6" w14:textId="77777777" w:rsidR="007C3222" w:rsidRPr="00A57371" w:rsidRDefault="007C3222" w:rsidP="00CF0548">
      <w:pPr>
        <w:pStyle w:val="p1"/>
        <w:spacing w:before="0" w:beforeAutospacing="0" w:after="0" w:afterAutospacing="0" w:line="276" w:lineRule="auto"/>
        <w:ind w:firstLine="284"/>
        <w:jc w:val="both"/>
      </w:pPr>
    </w:p>
    <w:p w14:paraId="159DD775" w14:textId="416C8674" w:rsidR="00387D1D" w:rsidRPr="007C3222" w:rsidRDefault="00387D1D" w:rsidP="007C3222">
      <w:pPr>
        <w:pStyle w:val="Heading2"/>
      </w:pPr>
      <w:bookmarkStart w:id="139" w:name="_Toc217872914"/>
      <w:bookmarkStart w:id="140" w:name="_Toc217873137"/>
      <w:bookmarkStart w:id="141" w:name="_Toc217873319"/>
      <w:bookmarkStart w:id="142" w:name="_Toc217877512"/>
      <w:bookmarkStart w:id="143" w:name="_Toc217949171"/>
      <w:bookmarkStart w:id="144" w:name="_Toc218600686"/>
      <w:bookmarkStart w:id="145" w:name="_Toc218601261"/>
      <w:bookmarkStart w:id="146" w:name="_Toc218601882"/>
      <w:bookmarkStart w:id="147" w:name="_Toc218601948"/>
      <w:r w:rsidRPr="007C3222">
        <w:t>Reference</w:t>
      </w:r>
      <w:bookmarkEnd w:id="139"/>
      <w:bookmarkEnd w:id="140"/>
      <w:bookmarkEnd w:id="141"/>
      <w:bookmarkEnd w:id="142"/>
      <w:bookmarkEnd w:id="143"/>
      <w:r w:rsidR="00A77C9A">
        <w:t xml:space="preserve"> List</w:t>
      </w:r>
      <w:r w:rsidR="007C3222" w:rsidRPr="007C3222">
        <w:t>:</w:t>
      </w:r>
      <w:bookmarkEnd w:id="144"/>
      <w:bookmarkEnd w:id="145"/>
      <w:bookmarkEnd w:id="146"/>
      <w:bookmarkEnd w:id="147"/>
    </w:p>
    <w:p w14:paraId="4D2EE254" w14:textId="77777777" w:rsidR="00702A27" w:rsidRPr="00A57371" w:rsidRDefault="00702A27" w:rsidP="00CF0548">
      <w:pPr>
        <w:spacing w:line="276" w:lineRule="auto"/>
        <w:jc w:val="both"/>
      </w:pPr>
    </w:p>
    <w:p w14:paraId="11FA3032" w14:textId="137E63CE" w:rsidR="00702A27" w:rsidRPr="00A57371" w:rsidRDefault="00702A27" w:rsidP="00CF0548">
      <w:pPr>
        <w:spacing w:after="240" w:line="276" w:lineRule="auto"/>
        <w:jc w:val="both"/>
        <w:rPr>
          <w:color w:val="000000" w:themeColor="text1"/>
        </w:rPr>
      </w:pPr>
      <w:r w:rsidRPr="00A57371">
        <w:rPr>
          <w:color w:val="000000" w:themeColor="text1"/>
        </w:rPr>
        <w:t xml:space="preserve">[1] Official Journal of the European Union, “Official Journal L 333/2022,” </w:t>
      </w:r>
      <w:r w:rsidRPr="00A57371">
        <w:rPr>
          <w:i/>
          <w:iCs/>
          <w:color w:val="000000" w:themeColor="text1"/>
        </w:rPr>
        <w:t>Europa.eu</w:t>
      </w:r>
      <w:r w:rsidRPr="00A57371">
        <w:rPr>
          <w:color w:val="000000" w:themeColor="text1"/>
        </w:rPr>
        <w:t>, 2022. [Online]. Available: https://eur-lex.europa.eu/legal-content/EN/TXT/HTML/?uri=OJ:L:2022:333:FULL [Accessed: Dec. 28, 2025].</w:t>
      </w:r>
    </w:p>
    <w:p w14:paraId="368E5A4E" w14:textId="1CFAA58C" w:rsidR="00DC211C" w:rsidRPr="00A57371" w:rsidRDefault="00DC211C" w:rsidP="00CF0548">
      <w:pPr>
        <w:spacing w:line="276" w:lineRule="auto"/>
        <w:jc w:val="both"/>
        <w:rPr>
          <w:color w:val="000000" w:themeColor="text1"/>
        </w:rPr>
      </w:pPr>
      <w:r w:rsidRPr="00A57371">
        <w:rPr>
          <w:color w:val="000000" w:themeColor="text1"/>
        </w:rPr>
        <w:t>[</w:t>
      </w:r>
      <w:r w:rsidR="00702A27" w:rsidRPr="00A57371">
        <w:rPr>
          <w:color w:val="000000" w:themeColor="text1"/>
        </w:rPr>
        <w:t>2</w:t>
      </w:r>
      <w:r w:rsidRPr="00A57371">
        <w:rPr>
          <w:color w:val="000000" w:themeColor="text1"/>
        </w:rPr>
        <w:t>]</w:t>
      </w:r>
      <w:r w:rsidR="001C187A" w:rsidRPr="00A57371">
        <w:t xml:space="preserve"> F. Kitsios, E. Chatzidimitriou, and M. Kamariotou, “The ISO/IEC 27001 Information Security Management Standard: How to Extract Value from Data in the IT Sector,” </w:t>
      </w:r>
      <w:r w:rsidR="001C187A" w:rsidRPr="00A57371">
        <w:rPr>
          <w:i/>
          <w:iCs/>
        </w:rPr>
        <w:t>Sustainability</w:t>
      </w:r>
      <w:r w:rsidR="001C187A" w:rsidRPr="00A57371">
        <w:t xml:space="preserve">, vol. 15, no. 7, Jan. 2023. </w:t>
      </w:r>
      <w:r w:rsidR="001C187A" w:rsidRPr="00A57371">
        <w:rPr>
          <w:color w:val="000000" w:themeColor="text1"/>
        </w:rPr>
        <w:t xml:space="preserve">[Online]. Available: </w:t>
      </w:r>
      <w:r w:rsidR="001C187A" w:rsidRPr="00A57371">
        <w:t xml:space="preserve">https://doi.org/10.3390/su15075828 </w:t>
      </w:r>
      <w:r w:rsidRPr="00A57371">
        <w:rPr>
          <w:color w:val="000000" w:themeColor="text1"/>
        </w:rPr>
        <w:t>[Accessed</w:t>
      </w:r>
      <w:r w:rsidR="00E34E1F" w:rsidRPr="00A57371">
        <w:rPr>
          <w:color w:val="000000" w:themeColor="text1"/>
        </w:rPr>
        <w:t>:</w:t>
      </w:r>
      <w:r w:rsidRPr="00A57371">
        <w:rPr>
          <w:color w:val="000000" w:themeColor="text1"/>
        </w:rPr>
        <w:t xml:space="preserve"> Dec. 28, 2025]. </w:t>
      </w:r>
    </w:p>
    <w:p w14:paraId="5F119F65" w14:textId="77777777" w:rsidR="001C187A" w:rsidRPr="00A57371" w:rsidRDefault="001C187A" w:rsidP="00CF0548">
      <w:pPr>
        <w:spacing w:line="276" w:lineRule="auto"/>
        <w:jc w:val="both"/>
        <w:rPr>
          <w:color w:val="000000" w:themeColor="text1"/>
        </w:rPr>
      </w:pPr>
    </w:p>
    <w:p w14:paraId="22A8F38B" w14:textId="610DD226" w:rsidR="00B04475" w:rsidRPr="00A57371" w:rsidRDefault="00DC211C" w:rsidP="00CF0548">
      <w:pPr>
        <w:spacing w:line="276" w:lineRule="auto"/>
        <w:jc w:val="both"/>
        <w:rPr>
          <w:color w:val="000000" w:themeColor="text1"/>
        </w:rPr>
      </w:pPr>
      <w:r w:rsidRPr="00A57371">
        <w:rPr>
          <w:color w:val="000000" w:themeColor="text1"/>
        </w:rPr>
        <w:t>[</w:t>
      </w:r>
      <w:r w:rsidR="00702A27" w:rsidRPr="00A57371">
        <w:rPr>
          <w:color w:val="000000" w:themeColor="text1"/>
        </w:rPr>
        <w:t>3</w:t>
      </w:r>
      <w:r w:rsidRPr="00A57371">
        <w:rPr>
          <w:color w:val="000000" w:themeColor="text1"/>
        </w:rPr>
        <w:t xml:space="preserve">] </w:t>
      </w:r>
      <w:r w:rsidR="00A44961" w:rsidRPr="00A57371">
        <w:t xml:space="preserve">N. Alsafwani, Y. Fazea, and F. Alnajjar, “Strategic Approaches in Network Communication and Information Security Risk Assessment,” </w:t>
      </w:r>
      <w:r w:rsidR="00A44961" w:rsidRPr="00A57371">
        <w:rPr>
          <w:i/>
          <w:iCs/>
        </w:rPr>
        <w:t>Information</w:t>
      </w:r>
      <w:r w:rsidR="00A44961" w:rsidRPr="00A57371">
        <w:t xml:space="preserve">, vol. 15, no. 6, p. 353,  Jun. 2024. </w:t>
      </w:r>
      <w:r w:rsidR="00A44961" w:rsidRPr="00A57371">
        <w:rPr>
          <w:color w:val="000000" w:themeColor="text1"/>
        </w:rPr>
        <w:t xml:space="preserve">[Online]. Available: </w:t>
      </w:r>
      <w:r w:rsidR="00A44961" w:rsidRPr="00A57371">
        <w:lastRenderedPageBreak/>
        <w:t xml:space="preserve">https://doi.org/10.3390/info15060353 </w:t>
      </w:r>
      <w:r w:rsidRPr="00A57371">
        <w:rPr>
          <w:color w:val="000000" w:themeColor="text1"/>
        </w:rPr>
        <w:t xml:space="preserve"> [Accessed</w:t>
      </w:r>
      <w:r w:rsidR="00E34E1F" w:rsidRPr="00A57371">
        <w:rPr>
          <w:color w:val="000000" w:themeColor="text1"/>
        </w:rPr>
        <w:t>:</w:t>
      </w:r>
      <w:r w:rsidRPr="00A57371">
        <w:rPr>
          <w:color w:val="000000" w:themeColor="text1"/>
        </w:rPr>
        <w:t xml:space="preserve"> Dec. 28, 2025]. </w:t>
      </w:r>
    </w:p>
    <w:p w14:paraId="644F3A8B" w14:textId="77777777" w:rsidR="00702A27" w:rsidRPr="00A57371" w:rsidRDefault="00702A27" w:rsidP="00CF0548">
      <w:pPr>
        <w:spacing w:after="240" w:line="276" w:lineRule="auto"/>
        <w:jc w:val="both"/>
        <w:rPr>
          <w:color w:val="000000" w:themeColor="text1"/>
        </w:rPr>
      </w:pPr>
      <w:r w:rsidRPr="00A57371">
        <w:rPr>
          <w:color w:val="000000" w:themeColor="text1"/>
        </w:rPr>
        <w:t>Available: https://www.ncsc.gov.uk/collection/zero-trust-architecture [Accessed: Dec. 28, 2025].</w:t>
      </w:r>
    </w:p>
    <w:p w14:paraId="1CB4EF5B" w14:textId="1B2BA0AA" w:rsidR="00702A27" w:rsidRPr="00A57371" w:rsidRDefault="00702A27" w:rsidP="00CF0548">
      <w:pPr>
        <w:spacing w:after="240" w:line="276" w:lineRule="auto"/>
        <w:jc w:val="both"/>
        <w:rPr>
          <w:color w:val="000000" w:themeColor="text1"/>
        </w:rPr>
      </w:pPr>
      <w:r w:rsidRPr="00A57371">
        <w:rPr>
          <w:color w:val="000000" w:themeColor="text1"/>
        </w:rPr>
        <w:t xml:space="preserve">[4] R. Peter , “Zero trust 1.0,” </w:t>
      </w:r>
      <w:r w:rsidRPr="00A57371">
        <w:rPr>
          <w:i/>
          <w:iCs/>
          <w:color w:val="000000" w:themeColor="text1"/>
        </w:rPr>
        <w:t>www.ncsc.gov.uk</w:t>
      </w:r>
      <w:r w:rsidRPr="00A57371">
        <w:rPr>
          <w:color w:val="000000" w:themeColor="text1"/>
        </w:rPr>
        <w:t>, Jul. 21, 2021. [Online] Available: https://www.ncsc.gov.uk/blog-post/zero-trust-1-0 [Accessed: Dec. 28, 2025].</w:t>
      </w:r>
    </w:p>
    <w:p w14:paraId="0D694294" w14:textId="506EDD71" w:rsidR="00A44961" w:rsidRPr="00A57371" w:rsidRDefault="00702A27" w:rsidP="00CF0548">
      <w:pPr>
        <w:spacing w:after="240" w:line="276" w:lineRule="auto"/>
        <w:jc w:val="both"/>
        <w:rPr>
          <w:color w:val="000000" w:themeColor="text1"/>
        </w:rPr>
      </w:pPr>
      <w:r w:rsidRPr="00A57371">
        <w:rPr>
          <w:color w:val="000000" w:themeColor="text1"/>
        </w:rPr>
        <w:t xml:space="preserve">[5] National Cyber Security Centre, “Logging and protective monitoring,” </w:t>
      </w:r>
      <w:r w:rsidRPr="00A57371">
        <w:rPr>
          <w:i/>
          <w:iCs/>
          <w:color w:val="000000" w:themeColor="text1"/>
        </w:rPr>
        <w:t>www.ncsc.gov.uk</w:t>
      </w:r>
      <w:r w:rsidRPr="00A57371">
        <w:rPr>
          <w:color w:val="000000" w:themeColor="text1"/>
        </w:rPr>
        <w:t>, Jun. 29, 2021. [Online]. Available: https://www.ncsc.gov.uk/collection/device-security-guidance/managing-deployed-devices/logging-and-protective-monitoring [Accessed: Dec. 28, 2025].</w:t>
      </w:r>
    </w:p>
    <w:p w14:paraId="2D1E736A" w14:textId="77777777" w:rsidR="00702A27" w:rsidRPr="00A57371" w:rsidRDefault="00702A27" w:rsidP="00CF0548">
      <w:pPr>
        <w:spacing w:after="240" w:line="276" w:lineRule="auto"/>
        <w:jc w:val="both"/>
        <w:rPr>
          <w:color w:val="000000" w:themeColor="text1"/>
        </w:rPr>
      </w:pPr>
      <w:r w:rsidRPr="00A57371">
        <w:rPr>
          <w:color w:val="000000" w:themeColor="text1"/>
        </w:rPr>
        <w:t xml:space="preserve">[6] ICO, “A Guide to Data Security,” </w:t>
      </w:r>
      <w:r w:rsidRPr="00A57371">
        <w:rPr>
          <w:i/>
          <w:iCs/>
          <w:color w:val="000000" w:themeColor="text1"/>
        </w:rPr>
        <w:t>ico.org.uk</w:t>
      </w:r>
      <w:r w:rsidRPr="00A57371">
        <w:rPr>
          <w:color w:val="000000" w:themeColor="text1"/>
        </w:rPr>
        <w:t>, May 19, 2023. [Online]. Available: https://ico.org.uk/for-organisations/uk-gdpr-guidance-and-resources/security/a-guide-to-data-security/ [Accessed: Dec. 28, 2025].</w:t>
      </w:r>
    </w:p>
    <w:p w14:paraId="4F87F067" w14:textId="4766823B" w:rsidR="00702A27" w:rsidRPr="00A57371" w:rsidRDefault="00702A27" w:rsidP="00CF0548">
      <w:pPr>
        <w:spacing w:after="240" w:line="276" w:lineRule="auto"/>
        <w:jc w:val="both"/>
        <w:rPr>
          <w:color w:val="000000" w:themeColor="text1"/>
        </w:rPr>
      </w:pPr>
      <w:r w:rsidRPr="00A57371">
        <w:rPr>
          <w:color w:val="000000" w:themeColor="text1"/>
        </w:rPr>
        <w:t xml:space="preserve">[7] M. Darragh , “Logging Made Easy with CISA,” </w:t>
      </w:r>
      <w:r w:rsidRPr="00A57371">
        <w:rPr>
          <w:i/>
          <w:iCs/>
          <w:color w:val="000000" w:themeColor="text1"/>
        </w:rPr>
        <w:t>Ncsc.gov.uk</w:t>
      </w:r>
      <w:r w:rsidRPr="00A57371">
        <w:rPr>
          <w:color w:val="000000" w:themeColor="text1"/>
        </w:rPr>
        <w:t>, 2025. [Online]. Available: https://www.ncsc.gov.uk/blog-post/logging-made-easy-with-cisa [Accessed: Dec. 28, 2025].</w:t>
      </w:r>
    </w:p>
    <w:p w14:paraId="31DF91A6" w14:textId="729E2928" w:rsidR="00DC211C" w:rsidRPr="00A57371" w:rsidRDefault="00DC211C" w:rsidP="00CF0548">
      <w:pPr>
        <w:spacing w:after="240" w:line="276" w:lineRule="auto"/>
        <w:jc w:val="both"/>
        <w:rPr>
          <w:color w:val="000000" w:themeColor="text1"/>
        </w:rPr>
      </w:pPr>
      <w:r w:rsidRPr="00A57371">
        <w:rPr>
          <w:color w:val="000000" w:themeColor="text1"/>
        </w:rPr>
        <w:t>[</w:t>
      </w:r>
      <w:r w:rsidR="00702A27" w:rsidRPr="00A57371">
        <w:rPr>
          <w:color w:val="000000" w:themeColor="text1"/>
        </w:rPr>
        <w:t>8</w:t>
      </w:r>
      <w:r w:rsidRPr="00A57371">
        <w:rPr>
          <w:color w:val="000000" w:themeColor="text1"/>
        </w:rPr>
        <w:t xml:space="preserve">] NCSC, “Zero trust architecture design principles,” </w:t>
      </w:r>
      <w:r w:rsidRPr="00A57371">
        <w:rPr>
          <w:i/>
          <w:iCs/>
          <w:color w:val="000000" w:themeColor="text1"/>
        </w:rPr>
        <w:t>www.ncsc.gov.uk</w:t>
      </w:r>
      <w:r w:rsidRPr="00A57371">
        <w:rPr>
          <w:color w:val="000000" w:themeColor="text1"/>
        </w:rPr>
        <w:t xml:space="preserve">, Jul. 23, 2021. [Online]. </w:t>
      </w:r>
    </w:p>
    <w:p w14:paraId="6355BCF6" w14:textId="6DB81F69" w:rsidR="00702A27" w:rsidRPr="00A57371" w:rsidRDefault="00702A27" w:rsidP="00CF0548">
      <w:pPr>
        <w:spacing w:after="240" w:line="276" w:lineRule="auto"/>
        <w:jc w:val="both"/>
        <w:rPr>
          <w:color w:val="000000" w:themeColor="text1"/>
        </w:rPr>
      </w:pPr>
      <w:r w:rsidRPr="00A57371">
        <w:rPr>
          <w:color w:val="000000" w:themeColor="text1"/>
        </w:rPr>
        <w:t xml:space="preserve">[9] S. Rose, O. Borchert, S. Mitchell, and S. Connelly, “Zero trust architecture,” </w:t>
      </w:r>
      <w:r w:rsidRPr="00A57371">
        <w:rPr>
          <w:i/>
          <w:iCs/>
          <w:color w:val="000000" w:themeColor="text1"/>
        </w:rPr>
        <w:t xml:space="preserve">NIST Special </w:t>
      </w:r>
      <w:r w:rsidRPr="00A57371">
        <w:rPr>
          <w:i/>
          <w:iCs/>
          <w:color w:val="000000" w:themeColor="text1"/>
        </w:rPr>
        <w:t>Publication 800-207</w:t>
      </w:r>
      <w:r w:rsidRPr="00A57371">
        <w:rPr>
          <w:color w:val="000000" w:themeColor="text1"/>
        </w:rPr>
        <w:t>, vol. 1, no. 800–207, Aug. 2020, Doi: [Online]. Available: https://doi.org/10.6028/nist.sp.800-207. [Accessed: Dec. 28, 2025].</w:t>
      </w:r>
    </w:p>
    <w:p w14:paraId="73976474" w14:textId="67C1D1B4" w:rsidR="00A57371" w:rsidRPr="00A57371" w:rsidRDefault="00A57371" w:rsidP="00CF0548">
      <w:pPr>
        <w:spacing w:after="240" w:line="276" w:lineRule="auto"/>
        <w:jc w:val="both"/>
        <w:rPr>
          <w:color w:val="000000" w:themeColor="text1"/>
        </w:rPr>
      </w:pPr>
      <w:r w:rsidRPr="00A57371">
        <w:rPr>
          <w:color w:val="000000" w:themeColor="text1"/>
        </w:rPr>
        <w:t xml:space="preserve">[10] Home Office Engineering Guidance and Standards, “Zero trust,” </w:t>
      </w:r>
      <w:r w:rsidRPr="00A57371">
        <w:rPr>
          <w:i/>
          <w:iCs/>
          <w:color w:val="000000" w:themeColor="text1"/>
        </w:rPr>
        <w:t>Homeoffice.gov.uk</w:t>
      </w:r>
      <w:r w:rsidRPr="00A57371">
        <w:rPr>
          <w:color w:val="000000" w:themeColor="text1"/>
        </w:rPr>
        <w:t>, 2023. [Online]. Available: https://engineering.homeoffice.gov.uk/principles/zero-trust [Accessed: Dec. 28, 2025].</w:t>
      </w:r>
    </w:p>
    <w:p w14:paraId="6B1FE4A8" w14:textId="265F3C3E" w:rsidR="00B04475" w:rsidRPr="00A57371" w:rsidRDefault="00DC211C" w:rsidP="00CF0548">
      <w:pPr>
        <w:spacing w:after="240" w:line="276" w:lineRule="auto"/>
        <w:jc w:val="both"/>
        <w:rPr>
          <w:color w:val="000000" w:themeColor="text1"/>
        </w:rPr>
      </w:pPr>
      <w:r w:rsidRPr="00A57371">
        <w:rPr>
          <w:color w:val="000000" w:themeColor="text1"/>
        </w:rPr>
        <w:t>[11] European Union Agency for Cybersecurity, “ENISA THREAT LANDSCAPE,” 2025. [Online]. Available: https://www.enisa.europa.eu/sites/default/files/2025-10/ENISA%20Threat%20Landscape%202025%20Booklet.pdf [Accessed</w:t>
      </w:r>
      <w:r w:rsidR="00E34E1F" w:rsidRPr="00A57371">
        <w:rPr>
          <w:color w:val="000000" w:themeColor="text1"/>
        </w:rPr>
        <w:t>:</w:t>
      </w:r>
      <w:r w:rsidRPr="00A57371">
        <w:rPr>
          <w:color w:val="000000" w:themeColor="text1"/>
        </w:rPr>
        <w:t xml:space="preserve"> Dec. 28, 2025].</w:t>
      </w:r>
    </w:p>
    <w:p w14:paraId="22780C46" w14:textId="5FCC63EE" w:rsidR="00DC211C" w:rsidRPr="00A57371" w:rsidRDefault="00DC211C" w:rsidP="00CF0548">
      <w:pPr>
        <w:spacing w:after="240" w:line="276" w:lineRule="auto"/>
        <w:jc w:val="both"/>
        <w:rPr>
          <w:color w:val="000000" w:themeColor="text1"/>
        </w:rPr>
      </w:pPr>
      <w:r w:rsidRPr="00A57371">
        <w:rPr>
          <w:color w:val="000000" w:themeColor="text1"/>
        </w:rPr>
        <w:t>[12] European Union Agency for Cybersecurity, “ENISA THREAT LANDSCAPE 2025,” 2025. [Online]. Available: https://www.enisa.europa.eu/sites/default/files/2025-12/ENISA%20Threat%20Landscape%202025_v1.1.pdf [Accessed</w:t>
      </w:r>
      <w:r w:rsidR="00E34E1F" w:rsidRPr="00A57371">
        <w:rPr>
          <w:color w:val="000000" w:themeColor="text1"/>
        </w:rPr>
        <w:t>:</w:t>
      </w:r>
      <w:r w:rsidRPr="00A57371">
        <w:rPr>
          <w:color w:val="000000" w:themeColor="text1"/>
        </w:rPr>
        <w:t xml:space="preserve"> Dec. 28, 2025].</w:t>
      </w:r>
    </w:p>
    <w:p w14:paraId="091B8EFB" w14:textId="4F4558C0" w:rsidR="00DC211C" w:rsidRPr="00A57371" w:rsidRDefault="00DC211C" w:rsidP="00CF0548">
      <w:pPr>
        <w:spacing w:after="240" w:line="276" w:lineRule="auto"/>
        <w:jc w:val="both"/>
        <w:rPr>
          <w:color w:val="000000" w:themeColor="text1"/>
        </w:rPr>
      </w:pPr>
      <w:r w:rsidRPr="00A57371">
        <w:rPr>
          <w:color w:val="000000" w:themeColor="text1"/>
        </w:rPr>
        <w:t>[1</w:t>
      </w:r>
      <w:r w:rsidR="00702A27" w:rsidRPr="00A57371">
        <w:rPr>
          <w:color w:val="000000" w:themeColor="text1"/>
        </w:rPr>
        <w:t>3</w:t>
      </w:r>
      <w:r w:rsidRPr="00A57371">
        <w:rPr>
          <w:color w:val="000000" w:themeColor="text1"/>
        </w:rPr>
        <w:t xml:space="preserve">] Cybersecurity and Infrastructure Security Agency , “Logging Made Easy | CISA,” </w:t>
      </w:r>
      <w:r w:rsidRPr="00A57371">
        <w:rPr>
          <w:i/>
          <w:iCs/>
          <w:color w:val="000000" w:themeColor="text1"/>
        </w:rPr>
        <w:t>Cybersecurity and Infrastructure Security Agency CISA</w:t>
      </w:r>
      <w:r w:rsidRPr="00A57371">
        <w:rPr>
          <w:color w:val="000000" w:themeColor="text1"/>
        </w:rPr>
        <w:t>, 2024. [Online]. Available: https://www.cisa.gov/resources-tools/services/logging-made-easy [Accessed Dec. 28, 2025].</w:t>
      </w:r>
    </w:p>
    <w:p w14:paraId="11312872" w14:textId="77777777" w:rsidR="00B130A6" w:rsidRPr="00A57371" w:rsidRDefault="00B130A6" w:rsidP="00F953B0">
      <w:pPr>
        <w:spacing w:line="276" w:lineRule="auto"/>
        <w:jc w:val="both"/>
        <w:rPr>
          <w:color w:val="000000" w:themeColor="text1"/>
        </w:rPr>
        <w:sectPr w:rsidR="00B130A6" w:rsidRPr="00A57371" w:rsidSect="00A57371">
          <w:type w:val="continuous"/>
          <w:pgSz w:w="11906" w:h="16838"/>
          <w:pgMar w:top="1440" w:right="1080" w:bottom="1440" w:left="1080" w:header="708" w:footer="708" w:gutter="0"/>
          <w:cols w:num="2" w:space="369"/>
          <w:docGrid w:linePitch="360"/>
        </w:sectPr>
      </w:pPr>
    </w:p>
    <w:p w14:paraId="371491F9" w14:textId="77777777" w:rsidR="007D63BC" w:rsidRPr="00A57371" w:rsidRDefault="007D63BC" w:rsidP="00F953B0">
      <w:pPr>
        <w:spacing w:line="276" w:lineRule="auto"/>
        <w:jc w:val="both"/>
        <w:rPr>
          <w:color w:val="000000" w:themeColor="text1"/>
        </w:rPr>
      </w:pPr>
    </w:p>
    <w:p w14:paraId="4FE68745" w14:textId="77777777" w:rsidR="00A57371" w:rsidRDefault="00A57371" w:rsidP="00F953B0">
      <w:pPr>
        <w:spacing w:line="276" w:lineRule="auto"/>
        <w:jc w:val="both"/>
        <w:rPr>
          <w:color w:val="000000" w:themeColor="text1"/>
        </w:rPr>
        <w:sectPr w:rsidR="00A57371" w:rsidSect="00A57371">
          <w:type w:val="continuous"/>
          <w:pgSz w:w="11906" w:h="16838"/>
          <w:pgMar w:top="1440" w:right="1080" w:bottom="1440" w:left="1080" w:header="708" w:footer="708" w:gutter="0"/>
          <w:cols w:num="2" w:space="369"/>
          <w:docGrid w:linePitch="360"/>
        </w:sectPr>
      </w:pPr>
    </w:p>
    <w:p w14:paraId="1F870B1B" w14:textId="77777777" w:rsidR="00482A79" w:rsidRPr="00474D5B" w:rsidRDefault="00482A79" w:rsidP="00F953B0">
      <w:pPr>
        <w:spacing w:line="276" w:lineRule="auto"/>
        <w:jc w:val="both"/>
        <w:rPr>
          <w:color w:val="000000" w:themeColor="text1"/>
        </w:rPr>
      </w:pPr>
    </w:p>
    <w:p w14:paraId="1A7EF0B7" w14:textId="77777777" w:rsidR="00482A79" w:rsidRDefault="00482A79" w:rsidP="00F953B0">
      <w:pPr>
        <w:spacing w:line="276" w:lineRule="auto"/>
        <w:jc w:val="both"/>
        <w:rPr>
          <w:color w:val="000000" w:themeColor="text1"/>
        </w:rPr>
      </w:pPr>
    </w:p>
    <w:p w14:paraId="01AC6204" w14:textId="77777777" w:rsidR="00482A79" w:rsidRDefault="00482A79" w:rsidP="00F953B0">
      <w:pPr>
        <w:spacing w:line="276" w:lineRule="auto"/>
        <w:jc w:val="both"/>
        <w:rPr>
          <w:color w:val="000000" w:themeColor="text1"/>
        </w:rPr>
      </w:pPr>
    </w:p>
    <w:p w14:paraId="1C72D974" w14:textId="77777777" w:rsidR="00482A79" w:rsidRDefault="00482A79" w:rsidP="00F953B0">
      <w:pPr>
        <w:spacing w:line="276" w:lineRule="auto"/>
        <w:jc w:val="both"/>
        <w:rPr>
          <w:color w:val="000000" w:themeColor="text1"/>
        </w:rPr>
      </w:pPr>
    </w:p>
    <w:p w14:paraId="77C490B3" w14:textId="77777777" w:rsidR="00482A79" w:rsidRDefault="00482A79" w:rsidP="00F953B0">
      <w:pPr>
        <w:spacing w:line="276" w:lineRule="auto"/>
        <w:jc w:val="both"/>
        <w:rPr>
          <w:color w:val="000000" w:themeColor="text1"/>
        </w:rPr>
      </w:pPr>
    </w:p>
    <w:p w14:paraId="3C4313F1" w14:textId="77777777" w:rsidR="00482A79" w:rsidRDefault="00482A79" w:rsidP="00F953B0">
      <w:pPr>
        <w:spacing w:line="276" w:lineRule="auto"/>
        <w:jc w:val="both"/>
        <w:rPr>
          <w:color w:val="000000" w:themeColor="text1"/>
        </w:rPr>
      </w:pPr>
    </w:p>
    <w:p w14:paraId="77C54C1B" w14:textId="77777777" w:rsidR="005D3B30" w:rsidRDefault="005D3B30" w:rsidP="00F953B0">
      <w:pPr>
        <w:spacing w:line="276" w:lineRule="auto"/>
        <w:jc w:val="both"/>
        <w:rPr>
          <w:color w:val="000000" w:themeColor="text1"/>
        </w:rPr>
      </w:pPr>
    </w:p>
    <w:p w14:paraId="63BA3342" w14:textId="77777777" w:rsidR="005D3B30" w:rsidRDefault="005D3B30" w:rsidP="00F953B0">
      <w:pPr>
        <w:spacing w:line="276" w:lineRule="auto"/>
        <w:jc w:val="both"/>
        <w:rPr>
          <w:color w:val="000000" w:themeColor="text1"/>
        </w:rPr>
      </w:pPr>
    </w:p>
    <w:p w14:paraId="29663D46" w14:textId="77777777" w:rsidR="005D3B30" w:rsidRDefault="005D3B30" w:rsidP="00F953B0">
      <w:pPr>
        <w:spacing w:line="276" w:lineRule="auto"/>
        <w:jc w:val="both"/>
        <w:rPr>
          <w:color w:val="000000" w:themeColor="text1"/>
        </w:rPr>
      </w:pPr>
    </w:p>
    <w:p w14:paraId="755B69A2" w14:textId="77777777" w:rsidR="005D3B30" w:rsidRPr="00E818B7" w:rsidRDefault="005D3B30" w:rsidP="00E818B7">
      <w:pPr>
        <w:pStyle w:val="Heading1"/>
      </w:pPr>
      <w:bookmarkStart w:id="148" w:name="_Toc218600687"/>
      <w:bookmarkStart w:id="149" w:name="_Toc218601262"/>
      <w:bookmarkStart w:id="150" w:name="_Toc218601883"/>
      <w:bookmarkStart w:id="151" w:name="_Toc218601949"/>
      <w:r w:rsidRPr="00E818B7">
        <w:t>Task 2</w:t>
      </w:r>
      <w:bookmarkEnd w:id="148"/>
      <w:bookmarkEnd w:id="149"/>
      <w:bookmarkEnd w:id="150"/>
      <w:bookmarkEnd w:id="151"/>
    </w:p>
    <w:p w14:paraId="750CEDAF" w14:textId="77777777" w:rsidR="005D3B30" w:rsidRPr="005D3B30" w:rsidRDefault="005D3B30" w:rsidP="005D3B30">
      <w:pPr>
        <w:pStyle w:val="p3"/>
        <w:spacing w:before="0" w:beforeAutospacing="0" w:after="0" w:afterAutospacing="0"/>
        <w:jc w:val="both"/>
        <w:rPr>
          <w:b/>
          <w:bCs/>
          <w:color w:val="000000" w:themeColor="text1"/>
        </w:rPr>
      </w:pPr>
    </w:p>
    <w:p w14:paraId="0C0738C8" w14:textId="77777777" w:rsidR="005D3B30" w:rsidRDefault="005D3B30" w:rsidP="00E818B7">
      <w:pPr>
        <w:pStyle w:val="Heading2"/>
      </w:pPr>
      <w:bookmarkStart w:id="152" w:name="_Toc218600688"/>
      <w:bookmarkStart w:id="153" w:name="_Toc218601263"/>
      <w:bookmarkStart w:id="154" w:name="_Toc218601884"/>
      <w:bookmarkStart w:id="155" w:name="_Toc218601950"/>
      <w:r w:rsidRPr="005D3B30">
        <w:t>Introduction</w:t>
      </w:r>
      <w:bookmarkEnd w:id="152"/>
      <w:bookmarkEnd w:id="153"/>
      <w:bookmarkEnd w:id="154"/>
      <w:bookmarkEnd w:id="155"/>
      <w:r w:rsidRPr="005D3B30">
        <w:t xml:space="preserve"> </w:t>
      </w:r>
    </w:p>
    <w:p w14:paraId="702F1CA5" w14:textId="77777777" w:rsidR="005D3B30" w:rsidRPr="005D3B30" w:rsidRDefault="005D3B30" w:rsidP="005D3B30">
      <w:pPr>
        <w:spacing w:line="276" w:lineRule="auto"/>
      </w:pPr>
    </w:p>
    <w:p w14:paraId="0C19FAD8"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Resilient Intellect Ltd is a fast-growing threat intelligence and consultancy organisation that develops Artificial Intelligence (AI) driven threat analysis software and operates a fully hybrid workforce. As it expands into the European Union (EU), its information security programme must satisfy new regulatory obligations while maintaining delivery velocity, customer trust, and business continuity. Security therefore needs to be integrated into governance, engineering, and operations and be capable of producing clear evidence of risk management and resilience, rather than functioning as a purely technical function.</w:t>
      </w:r>
    </w:p>
    <w:p w14:paraId="5BB8EE0F"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The expansion brings binding requirements under the Digital Operational Resilience Act (DORA), which assigns explicit responsibility for Information and Communication Technology (ICT) risk management to the management body and requires organisations to demonstrate the ability to withstand, respond to, and recover from ICT-related disruptions [1]. DORA emphasises continuous monitoring, protection, detection, and structured response and recovery as core elements of operational resilience [1]. In parallel, the NIS2 Directive strengthens baseline cybersecurity obligations, including risk management, incident handling, and regulatory reporting for essential and important entities and their key ICT dependencies [2].</w:t>
      </w:r>
    </w:p>
    <w:p w14:paraId="60919B20"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To address these requirements in a scalable and proportionate way, this report proposes a Zero Trust-aligned security programme structured around the NIST Cybersecurity Framework (CSF) 2.0 [3]. CSF 2.0 provides a governance-led approach that links cyber risk management to business objectives through the functions Govern, Identify, Protect, Detect, Respond, and Recover [3]. Zero Trust principles are used as the primary risk treatment approach to reduce implicit trust, constrain lateral movement, and prioritise identity-centric access decisions in a cloud-first, hybrid operating model [4]. Positioning Zero Trust as a strategic design principle is intended to support regulatory compliance, operational resilience, and sustainable growth in the EU.</w:t>
      </w:r>
    </w:p>
    <w:p w14:paraId="4CF9071F" w14:textId="77777777" w:rsidR="005D3B30" w:rsidRPr="005D3B30" w:rsidRDefault="005D3B30" w:rsidP="005D3B30">
      <w:pPr>
        <w:ind w:firstLine="284"/>
        <w:jc w:val="both"/>
        <w:rPr>
          <w:color w:val="000000" w:themeColor="text1"/>
        </w:rPr>
      </w:pPr>
    </w:p>
    <w:p w14:paraId="08930AB4" w14:textId="77777777" w:rsidR="005D3B30" w:rsidRPr="005D3B30" w:rsidRDefault="005D3B30" w:rsidP="005D3B30">
      <w:pPr>
        <w:ind w:firstLine="284"/>
        <w:jc w:val="both"/>
        <w:rPr>
          <w:color w:val="000000" w:themeColor="text1"/>
        </w:rPr>
      </w:pPr>
    </w:p>
    <w:p w14:paraId="0C0E5816" w14:textId="77777777" w:rsidR="005D3B30" w:rsidRPr="005D3B30" w:rsidRDefault="005D3B30" w:rsidP="005D3B30">
      <w:pPr>
        <w:ind w:firstLine="284"/>
        <w:jc w:val="both"/>
        <w:rPr>
          <w:color w:val="000000" w:themeColor="text1"/>
        </w:rPr>
      </w:pPr>
    </w:p>
    <w:p w14:paraId="1D55FC6A" w14:textId="77777777" w:rsidR="005D3B30" w:rsidRPr="005D3B30" w:rsidRDefault="005D3B30" w:rsidP="005D3B30">
      <w:pPr>
        <w:ind w:firstLine="284"/>
        <w:jc w:val="both"/>
        <w:rPr>
          <w:color w:val="000000" w:themeColor="text1"/>
        </w:rPr>
      </w:pPr>
    </w:p>
    <w:p w14:paraId="06C13FBC" w14:textId="77777777" w:rsidR="005D3B30" w:rsidRPr="005D3B30" w:rsidRDefault="005D3B30" w:rsidP="005D3B30">
      <w:pPr>
        <w:ind w:firstLine="284"/>
        <w:jc w:val="both"/>
        <w:rPr>
          <w:color w:val="000000" w:themeColor="text1"/>
        </w:rPr>
      </w:pPr>
    </w:p>
    <w:p w14:paraId="3EB6BEE0" w14:textId="77777777" w:rsidR="005D3B30" w:rsidRPr="005D3B30" w:rsidRDefault="005D3B30" w:rsidP="005D3B30">
      <w:pPr>
        <w:ind w:firstLine="284"/>
        <w:jc w:val="both"/>
        <w:rPr>
          <w:color w:val="000000" w:themeColor="text1"/>
        </w:rPr>
      </w:pPr>
    </w:p>
    <w:p w14:paraId="03C57E55" w14:textId="77777777" w:rsidR="005D3B30" w:rsidRPr="005D3B30" w:rsidRDefault="005D3B30" w:rsidP="005D3B30">
      <w:pPr>
        <w:ind w:firstLine="284"/>
        <w:jc w:val="both"/>
        <w:rPr>
          <w:color w:val="000000" w:themeColor="text1"/>
        </w:rPr>
      </w:pPr>
    </w:p>
    <w:p w14:paraId="4A8C2605" w14:textId="77777777" w:rsidR="005D3B30" w:rsidRPr="005D3B30" w:rsidRDefault="005D3B30" w:rsidP="005D3B30">
      <w:pPr>
        <w:ind w:firstLine="284"/>
        <w:jc w:val="both"/>
        <w:rPr>
          <w:color w:val="000000" w:themeColor="text1"/>
        </w:rPr>
      </w:pPr>
    </w:p>
    <w:p w14:paraId="7D9B6EEC" w14:textId="77777777" w:rsidR="005D3B30" w:rsidRPr="005D3B30" w:rsidRDefault="005D3B30" w:rsidP="005D3B30">
      <w:pPr>
        <w:ind w:firstLine="284"/>
        <w:jc w:val="both"/>
        <w:rPr>
          <w:color w:val="000000" w:themeColor="text1"/>
        </w:rPr>
      </w:pPr>
    </w:p>
    <w:p w14:paraId="4EFB3D28" w14:textId="77777777" w:rsidR="005D3B30" w:rsidRPr="005D3B30" w:rsidRDefault="005D3B30" w:rsidP="005D3B30">
      <w:pPr>
        <w:ind w:firstLine="284"/>
        <w:jc w:val="both"/>
        <w:rPr>
          <w:color w:val="000000" w:themeColor="text1"/>
        </w:rPr>
      </w:pPr>
    </w:p>
    <w:p w14:paraId="17661741" w14:textId="77777777" w:rsidR="005D3B30" w:rsidRPr="005D3B30" w:rsidRDefault="005D3B30" w:rsidP="005D3B30">
      <w:pPr>
        <w:ind w:firstLine="284"/>
        <w:jc w:val="both"/>
        <w:rPr>
          <w:color w:val="000000" w:themeColor="text1"/>
        </w:rPr>
      </w:pPr>
    </w:p>
    <w:p w14:paraId="4296C56C" w14:textId="77777777" w:rsidR="005D3B30" w:rsidRPr="005D3B30" w:rsidRDefault="005D3B30" w:rsidP="005D3B30">
      <w:pPr>
        <w:ind w:firstLine="284"/>
        <w:jc w:val="both"/>
        <w:rPr>
          <w:color w:val="000000" w:themeColor="text1"/>
        </w:rPr>
      </w:pPr>
    </w:p>
    <w:p w14:paraId="2D208B8A" w14:textId="77777777" w:rsidR="005D3B30" w:rsidRPr="005D3B30" w:rsidRDefault="005D3B30" w:rsidP="005D3B30">
      <w:pPr>
        <w:ind w:firstLine="284"/>
        <w:jc w:val="both"/>
        <w:rPr>
          <w:color w:val="000000" w:themeColor="text1"/>
        </w:rPr>
      </w:pPr>
    </w:p>
    <w:p w14:paraId="5495F5AA" w14:textId="77777777" w:rsidR="005D3B30" w:rsidRPr="005D3B30" w:rsidRDefault="005D3B30" w:rsidP="005D3B30">
      <w:pPr>
        <w:ind w:firstLine="284"/>
        <w:jc w:val="both"/>
        <w:rPr>
          <w:color w:val="000000" w:themeColor="text1"/>
        </w:rPr>
      </w:pPr>
    </w:p>
    <w:p w14:paraId="17FE4E02" w14:textId="77777777" w:rsidR="005D3B30" w:rsidRDefault="005D3B30" w:rsidP="005D3B30">
      <w:pPr>
        <w:ind w:firstLine="284"/>
        <w:jc w:val="both"/>
        <w:rPr>
          <w:color w:val="000000" w:themeColor="text1"/>
        </w:rPr>
      </w:pPr>
    </w:p>
    <w:p w14:paraId="23EC87A0" w14:textId="77777777" w:rsidR="005D3B30" w:rsidRPr="005D3B30" w:rsidRDefault="005D3B30" w:rsidP="00E818B7">
      <w:pPr>
        <w:jc w:val="both"/>
        <w:rPr>
          <w:color w:val="000000" w:themeColor="text1"/>
        </w:rPr>
      </w:pPr>
    </w:p>
    <w:p w14:paraId="441BD8BF" w14:textId="77777777" w:rsidR="005D3B30" w:rsidRPr="00E818B7" w:rsidRDefault="005D3B30" w:rsidP="00E818B7">
      <w:pPr>
        <w:pStyle w:val="Heading2"/>
      </w:pPr>
      <w:bookmarkStart w:id="156" w:name="_Toc218600689"/>
      <w:bookmarkStart w:id="157" w:name="_Toc218601264"/>
      <w:bookmarkStart w:id="158" w:name="_Toc218601885"/>
      <w:bookmarkStart w:id="159" w:name="_Toc218601951"/>
      <w:r w:rsidRPr="00E818B7">
        <w:lastRenderedPageBreak/>
        <w:t>1. Security Strategy and Governance Model</w:t>
      </w:r>
      <w:bookmarkEnd w:id="156"/>
      <w:bookmarkEnd w:id="157"/>
      <w:bookmarkEnd w:id="158"/>
      <w:bookmarkEnd w:id="159"/>
    </w:p>
    <w:p w14:paraId="3BF1329C" w14:textId="77777777" w:rsidR="005D3B30" w:rsidRPr="005D3B30" w:rsidRDefault="005D3B30" w:rsidP="005D3B30"/>
    <w:p w14:paraId="7B56E622"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To support EU expansion, Resilient Intellect Ltd requires a security strategy that links governance, risk management, and operational delivery within a single accountable framework. Given its dependence on cloud services, an AI-driven development pipeline, and a hybrid workforce, security decisions must be directly connected to service availability, protection of proprietary AI assets, and assurance for regulated customers.</w:t>
      </w:r>
    </w:p>
    <w:p w14:paraId="4FC7A2E2"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The NIST CSF 2.0 is adopted as the primary framework because it emphasises organisational accountability and risk-informed decision-making through the Govern function [3]. In this programme, the Govern function is used to:</w:t>
      </w:r>
    </w:p>
    <w:p w14:paraId="59E1E3E2" w14:textId="77777777" w:rsidR="005D3B30" w:rsidRPr="005D3B30" w:rsidRDefault="005D3B30" w:rsidP="005D3B30">
      <w:pPr>
        <w:pStyle w:val="p1"/>
        <w:spacing w:before="0" w:beforeAutospacing="0" w:after="0" w:afterAutospacing="0" w:line="276" w:lineRule="auto"/>
        <w:jc w:val="both"/>
        <w:rPr>
          <w:color w:val="000000" w:themeColor="text1"/>
        </w:rPr>
      </w:pPr>
    </w:p>
    <w:p w14:paraId="38C08D98" w14:textId="77777777" w:rsidR="005D3B30" w:rsidRPr="005D3B30" w:rsidRDefault="005D3B30" w:rsidP="005D3B30">
      <w:pPr>
        <w:pStyle w:val="p1"/>
        <w:spacing w:before="0" w:beforeAutospacing="0" w:after="0" w:afterAutospacing="0" w:line="276" w:lineRule="auto"/>
        <w:ind w:left="1440" w:hanging="873"/>
        <w:jc w:val="both"/>
        <w:rPr>
          <w:color w:val="000000" w:themeColor="text1"/>
        </w:rPr>
      </w:pPr>
      <w:r w:rsidRPr="005D3B30">
        <w:rPr>
          <w:color w:val="000000" w:themeColor="text1"/>
        </w:rPr>
        <w:t>• Define security objectives that support business goals and regulatory obligations</w:t>
      </w:r>
    </w:p>
    <w:p w14:paraId="4E04E3B9" w14:textId="77777777" w:rsidR="005D3B30" w:rsidRPr="005D3B30" w:rsidRDefault="005D3B30" w:rsidP="005D3B30">
      <w:pPr>
        <w:pStyle w:val="p1"/>
        <w:spacing w:before="0" w:beforeAutospacing="0" w:after="0" w:afterAutospacing="0" w:line="276" w:lineRule="auto"/>
        <w:ind w:left="1440" w:hanging="873"/>
        <w:jc w:val="both"/>
        <w:rPr>
          <w:color w:val="000000" w:themeColor="text1"/>
        </w:rPr>
      </w:pPr>
      <w:r w:rsidRPr="005D3B30">
        <w:rPr>
          <w:color w:val="000000" w:themeColor="text1"/>
        </w:rPr>
        <w:t>• Set risk appetite and tolerances for downtime, data loss, and third-party exposure</w:t>
      </w:r>
    </w:p>
    <w:p w14:paraId="2CA11271" w14:textId="77777777" w:rsidR="005D3B30" w:rsidRPr="005D3B30" w:rsidRDefault="005D3B30" w:rsidP="005D3B30">
      <w:pPr>
        <w:pStyle w:val="p1"/>
        <w:spacing w:before="0" w:beforeAutospacing="0" w:after="0" w:afterAutospacing="0" w:line="276" w:lineRule="auto"/>
        <w:ind w:left="1440" w:hanging="873"/>
        <w:jc w:val="both"/>
        <w:rPr>
          <w:color w:val="000000" w:themeColor="text1"/>
        </w:rPr>
      </w:pPr>
      <w:r w:rsidRPr="005D3B30">
        <w:rPr>
          <w:color w:val="000000" w:themeColor="text1"/>
        </w:rPr>
        <w:t>• Prioritise investment in identity, monitoring, and resilience capabilities</w:t>
      </w:r>
    </w:p>
    <w:p w14:paraId="3A4D318C" w14:textId="49F03B14" w:rsidR="005D3B30" w:rsidRDefault="005D3B30" w:rsidP="005D3B30">
      <w:pPr>
        <w:pStyle w:val="p1"/>
        <w:spacing w:before="0" w:beforeAutospacing="0" w:after="0" w:afterAutospacing="0" w:line="276" w:lineRule="auto"/>
        <w:ind w:left="1440" w:hanging="873"/>
        <w:jc w:val="both"/>
        <w:rPr>
          <w:color w:val="000000" w:themeColor="text1"/>
        </w:rPr>
      </w:pPr>
      <w:r w:rsidRPr="005D3B30">
        <w:rPr>
          <w:color w:val="000000" w:themeColor="text1"/>
        </w:rPr>
        <w:t>• Establish metrics and reporting to demonstrate assurance to senior management and regulators [3]</w:t>
      </w:r>
      <w:r>
        <w:rPr>
          <w:color w:val="000000" w:themeColor="text1"/>
        </w:rPr>
        <w:t>.</w:t>
      </w:r>
    </w:p>
    <w:p w14:paraId="396F5762" w14:textId="77777777" w:rsidR="005D3B30" w:rsidRPr="005D3B30" w:rsidRDefault="005D3B30" w:rsidP="005D3B30">
      <w:pPr>
        <w:pStyle w:val="p1"/>
        <w:spacing w:before="0" w:beforeAutospacing="0" w:after="0" w:afterAutospacing="0" w:line="276" w:lineRule="auto"/>
        <w:ind w:left="1440"/>
        <w:jc w:val="both"/>
        <w:rPr>
          <w:color w:val="000000" w:themeColor="text1"/>
        </w:rPr>
      </w:pPr>
    </w:p>
    <w:p w14:paraId="3E72A00D"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Governance operates through three layers. Strategic governance, led by the board and senior management, sets risk appetite, approves policy, and receives regular reporting on CSF outcomes and regulatory compliance. Tactical governance translates strategy into policies, standards, and reference architectures across cloud platforms, SaaS tenants, and development pipelines. Operational governance, delivered by the Security Operations Centre (SOC) and engineering teams, runs day-to-day monitoring, incident response, and continuous improvement. This structure provides traceability from governance decisions to technical enforcement and supports DORA accountability expectations and NIS2 oversight requirements [1]–[3].</w:t>
      </w:r>
    </w:p>
    <w:p w14:paraId="091C8A2F" w14:textId="77777777" w:rsidR="005D3B30" w:rsidRPr="005D3B30" w:rsidRDefault="005D3B30" w:rsidP="005D3B30">
      <w:pPr>
        <w:pStyle w:val="p1"/>
        <w:spacing w:before="0" w:beforeAutospacing="0" w:after="0" w:afterAutospacing="0" w:line="276" w:lineRule="auto"/>
        <w:ind w:firstLine="284"/>
        <w:jc w:val="both"/>
        <w:rPr>
          <w:color w:val="000000" w:themeColor="text1"/>
        </w:rPr>
      </w:pPr>
    </w:p>
    <w:p w14:paraId="4E72E48B" w14:textId="77777777" w:rsidR="005D3B30" w:rsidRDefault="005D3B30" w:rsidP="00E818B7">
      <w:pPr>
        <w:pStyle w:val="Heading2"/>
      </w:pPr>
      <w:bookmarkStart w:id="160" w:name="_Toc218600690"/>
      <w:bookmarkStart w:id="161" w:name="_Toc218601265"/>
      <w:bookmarkStart w:id="162" w:name="_Toc218601886"/>
      <w:bookmarkStart w:id="163" w:name="_Toc218601952"/>
      <w:r w:rsidRPr="005D3B30">
        <w:t>2. Organisational Structure and Security Roles</w:t>
      </w:r>
      <w:bookmarkEnd w:id="160"/>
      <w:bookmarkEnd w:id="161"/>
      <w:bookmarkEnd w:id="162"/>
      <w:bookmarkEnd w:id="163"/>
      <w:r w:rsidRPr="005D3B30">
        <w:t xml:space="preserve"> </w:t>
      </w:r>
    </w:p>
    <w:p w14:paraId="02E09EA3" w14:textId="77777777" w:rsidR="005D3B30" w:rsidRPr="005D3B30" w:rsidRDefault="005D3B30" w:rsidP="005D3B30"/>
    <w:p w14:paraId="28B68FD3"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To operationalise a Zero Trust-aligned security strategy and meet EU regulatory expectations, Resilient Intellect Ltd needs an organisational structure that embeds accountability across governance, engineering, and operations. A hybrid workforce and cloud-first delivery model increase reliance on identity systems, third-party services, and distributed telemetry, so security responsibilities should be defined as ongoing capabilities rather than isolated tasks [1], [2], [8].</w:t>
      </w:r>
    </w:p>
    <w:p w14:paraId="7EB857A2"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A Cloud Security Architect is essential to ensure consistent application of Zero Trust principles across cloud platforms, SaaS services, and data environments. This role defines secure cloud reference architectures, enforces identity-centric access, and maintains infrastructure-as-code and configuration baselines aligned with organisational risk appetite [1], [2]. It supports DORA requirements for secure and resilient ICT architectures and provides assurance that new services and integrations do not introduce unmanaged trust relationships or material misconfigurations [4], [5].</w:t>
      </w:r>
    </w:p>
    <w:p w14:paraId="0106D4B9"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A DevSecOps Lead embeds security within the software development life cycle through secure pipelines, dependency governance, automated security gates, and controlled releases, reducing exposure to supply chain compromise and unauthorised artefact modification [5], [6].</w:t>
      </w:r>
    </w:p>
    <w:p w14:paraId="7E1B5BD9"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 xml:space="preserve">Security monitoring and coordinated response are delivered through a SOC function, whether internal, outsourced, or hybrid, which centralises triage, correlation, and escalation and consumes telemetry </w:t>
      </w:r>
      <w:r w:rsidRPr="005D3B30">
        <w:rPr>
          <w:color w:val="000000" w:themeColor="text1"/>
        </w:rPr>
        <w:lastRenderedPageBreak/>
        <w:t>from identity providers, cloud control planes, endpoints, and application logs to enable incident handling and evidence-ready reporting [6], [7].</w:t>
      </w:r>
    </w:p>
    <w:p w14:paraId="5CE76F8C" w14:textId="77777777" w:rsidR="005D3B30" w:rsidRPr="005D3B30" w:rsidRDefault="005D3B30" w:rsidP="005D3B30">
      <w:pPr>
        <w:pStyle w:val="p1"/>
        <w:spacing w:before="0" w:beforeAutospacing="0" w:after="0" w:afterAutospacing="0" w:line="276" w:lineRule="auto"/>
        <w:jc w:val="both"/>
        <w:rPr>
          <w:color w:val="000000" w:themeColor="text1"/>
        </w:rPr>
      </w:pPr>
    </w:p>
    <w:p w14:paraId="7A9F9F32" w14:textId="77777777" w:rsidR="005D3B30" w:rsidRPr="005D3B30" w:rsidRDefault="005D3B30" w:rsidP="00E818B7">
      <w:pPr>
        <w:pStyle w:val="Heading2"/>
        <w:rPr>
          <w:bCs/>
        </w:rPr>
      </w:pPr>
      <w:bookmarkStart w:id="164" w:name="_Toc218600691"/>
      <w:bookmarkStart w:id="165" w:name="_Toc218601266"/>
      <w:bookmarkStart w:id="166" w:name="_Toc218601887"/>
      <w:bookmarkStart w:id="167" w:name="_Toc218601953"/>
      <w:r w:rsidRPr="005D3B30">
        <w:t>3. Policies and Procedures for a Hybrid, AI Driven Environment</w:t>
      </w:r>
      <w:bookmarkEnd w:id="164"/>
      <w:bookmarkEnd w:id="165"/>
      <w:bookmarkEnd w:id="166"/>
      <w:bookmarkEnd w:id="167"/>
    </w:p>
    <w:p w14:paraId="58AB4736" w14:textId="77777777" w:rsidR="005D3B30" w:rsidRPr="005D3B30" w:rsidRDefault="005D3B30" w:rsidP="005D3B30">
      <w:pPr>
        <w:pStyle w:val="p1"/>
        <w:spacing w:line="276" w:lineRule="auto"/>
        <w:jc w:val="both"/>
        <w:rPr>
          <w:color w:val="000000" w:themeColor="text1"/>
        </w:rPr>
      </w:pPr>
      <w:r w:rsidRPr="005D3B30">
        <w:rPr>
          <w:color w:val="000000" w:themeColor="text1"/>
        </w:rPr>
        <w:t>To support the new EU unit, Resilient Intellect Ltd needs a coherent policy framework that turns its Zero Trust security strategy into enforceable day-to-day practice [1], [2], [4]. The framework reflects reliance on AI-driven software, cloud-native SaaS platforms, and a fully hybrid workforce, and addresses both technical risks and human behaviour [3], [4].</w:t>
      </w:r>
    </w:p>
    <w:tbl>
      <w:tblPr>
        <w:tblStyle w:val="TableGrid"/>
        <w:tblW w:w="0" w:type="auto"/>
        <w:jc w:val="center"/>
        <w:tblLook w:val="04A0" w:firstRow="1" w:lastRow="0" w:firstColumn="1" w:lastColumn="0" w:noHBand="0" w:noVBand="1"/>
      </w:tblPr>
      <w:tblGrid>
        <w:gridCol w:w="1328"/>
        <w:gridCol w:w="2339"/>
        <w:gridCol w:w="2948"/>
        <w:gridCol w:w="3121"/>
      </w:tblGrid>
      <w:tr w:rsidR="005D3B30" w:rsidRPr="00117E07" w14:paraId="1995BB1A" w14:textId="77777777" w:rsidTr="00152564">
        <w:trPr>
          <w:jc w:val="center"/>
        </w:trPr>
        <w:tc>
          <w:tcPr>
            <w:tcW w:w="0" w:type="auto"/>
            <w:hideMark/>
          </w:tcPr>
          <w:p w14:paraId="3DD7BACF" w14:textId="77777777" w:rsidR="005D3B30" w:rsidRPr="00117E07" w:rsidRDefault="005D3B30" w:rsidP="00117E07">
            <w:pPr>
              <w:pStyle w:val="p1"/>
              <w:spacing w:before="0" w:beforeAutospacing="0" w:after="0" w:afterAutospacing="0" w:line="276" w:lineRule="auto"/>
              <w:rPr>
                <w:b/>
                <w:bCs/>
                <w:color w:val="000000" w:themeColor="text1"/>
                <w:sz w:val="16"/>
                <w:szCs w:val="16"/>
              </w:rPr>
            </w:pPr>
            <w:r w:rsidRPr="00117E07">
              <w:rPr>
                <w:b/>
                <w:bCs/>
                <w:color w:val="000000" w:themeColor="text1"/>
                <w:sz w:val="16"/>
                <w:szCs w:val="16"/>
              </w:rPr>
              <w:t>Regulation &amp; Article</w:t>
            </w:r>
          </w:p>
        </w:tc>
        <w:tc>
          <w:tcPr>
            <w:tcW w:w="0" w:type="auto"/>
            <w:hideMark/>
          </w:tcPr>
          <w:p w14:paraId="18266906" w14:textId="77777777" w:rsidR="005D3B30" w:rsidRPr="00117E07" w:rsidRDefault="005D3B30" w:rsidP="00117E07">
            <w:pPr>
              <w:pStyle w:val="p1"/>
              <w:spacing w:before="0" w:beforeAutospacing="0" w:after="0" w:afterAutospacing="0" w:line="276" w:lineRule="auto"/>
              <w:rPr>
                <w:b/>
                <w:bCs/>
                <w:color w:val="000000" w:themeColor="text1"/>
                <w:sz w:val="16"/>
                <w:szCs w:val="16"/>
              </w:rPr>
            </w:pPr>
            <w:r w:rsidRPr="00117E07">
              <w:rPr>
                <w:b/>
                <w:bCs/>
                <w:color w:val="000000" w:themeColor="text1"/>
                <w:sz w:val="16"/>
                <w:szCs w:val="16"/>
              </w:rPr>
              <w:t>Regulatory Requirement</w:t>
            </w:r>
          </w:p>
        </w:tc>
        <w:tc>
          <w:tcPr>
            <w:tcW w:w="0" w:type="auto"/>
            <w:hideMark/>
          </w:tcPr>
          <w:p w14:paraId="1497CC25" w14:textId="77777777" w:rsidR="005D3B30" w:rsidRPr="00117E07" w:rsidRDefault="005D3B30" w:rsidP="00117E07">
            <w:pPr>
              <w:pStyle w:val="p1"/>
              <w:spacing w:before="0" w:beforeAutospacing="0" w:after="0" w:afterAutospacing="0" w:line="276" w:lineRule="auto"/>
              <w:rPr>
                <w:b/>
                <w:bCs/>
                <w:color w:val="000000" w:themeColor="text1"/>
                <w:sz w:val="16"/>
                <w:szCs w:val="16"/>
              </w:rPr>
            </w:pPr>
            <w:r w:rsidRPr="00117E07">
              <w:rPr>
                <w:b/>
                <w:bCs/>
                <w:color w:val="000000" w:themeColor="text1"/>
                <w:sz w:val="16"/>
                <w:szCs w:val="16"/>
              </w:rPr>
              <w:t>Programme Element</w:t>
            </w:r>
          </w:p>
        </w:tc>
        <w:tc>
          <w:tcPr>
            <w:tcW w:w="0" w:type="auto"/>
            <w:hideMark/>
          </w:tcPr>
          <w:p w14:paraId="1E7F6D6D" w14:textId="77777777" w:rsidR="005D3B30" w:rsidRPr="00117E07" w:rsidRDefault="005D3B30" w:rsidP="00117E07">
            <w:pPr>
              <w:pStyle w:val="p1"/>
              <w:spacing w:before="0" w:beforeAutospacing="0" w:after="0" w:afterAutospacing="0" w:line="276" w:lineRule="auto"/>
              <w:rPr>
                <w:b/>
                <w:bCs/>
                <w:color w:val="000000" w:themeColor="text1"/>
                <w:sz w:val="16"/>
                <w:szCs w:val="16"/>
              </w:rPr>
            </w:pPr>
            <w:r w:rsidRPr="00117E07">
              <w:rPr>
                <w:b/>
                <w:bCs/>
                <w:color w:val="000000" w:themeColor="text1"/>
                <w:sz w:val="16"/>
                <w:szCs w:val="16"/>
              </w:rPr>
              <w:t>Evidence Produced</w:t>
            </w:r>
          </w:p>
        </w:tc>
      </w:tr>
      <w:tr w:rsidR="005D3B30" w:rsidRPr="00117E07" w14:paraId="613E3F58" w14:textId="77777777" w:rsidTr="00152564">
        <w:trPr>
          <w:jc w:val="center"/>
        </w:trPr>
        <w:tc>
          <w:tcPr>
            <w:tcW w:w="0" w:type="auto"/>
            <w:hideMark/>
          </w:tcPr>
          <w:p w14:paraId="20379962"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DORA - Article 5</w:t>
            </w:r>
          </w:p>
        </w:tc>
        <w:tc>
          <w:tcPr>
            <w:tcW w:w="0" w:type="auto"/>
            <w:hideMark/>
          </w:tcPr>
          <w:p w14:paraId="1003FC47"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ICT risk management framework and governance</w:t>
            </w:r>
          </w:p>
        </w:tc>
        <w:tc>
          <w:tcPr>
            <w:tcW w:w="0" w:type="auto"/>
            <w:hideMark/>
          </w:tcPr>
          <w:p w14:paraId="03F1E1B3"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Board level security governance aligned with NIST CSF 2.0</w:t>
            </w:r>
          </w:p>
        </w:tc>
        <w:tc>
          <w:tcPr>
            <w:tcW w:w="0" w:type="auto"/>
            <w:hideMark/>
          </w:tcPr>
          <w:p w14:paraId="716C4274"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Approved security strategy, governance minutes, risk appetite statements</w:t>
            </w:r>
          </w:p>
        </w:tc>
      </w:tr>
      <w:tr w:rsidR="005D3B30" w:rsidRPr="00117E07" w14:paraId="5920EDAE" w14:textId="77777777" w:rsidTr="00152564">
        <w:trPr>
          <w:jc w:val="center"/>
        </w:trPr>
        <w:tc>
          <w:tcPr>
            <w:tcW w:w="0" w:type="auto"/>
            <w:hideMark/>
          </w:tcPr>
          <w:p w14:paraId="2C10FFB1"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DORA - Article 9</w:t>
            </w:r>
          </w:p>
        </w:tc>
        <w:tc>
          <w:tcPr>
            <w:tcW w:w="0" w:type="auto"/>
            <w:hideMark/>
          </w:tcPr>
          <w:p w14:paraId="232DF248"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Protection and prevention measures</w:t>
            </w:r>
          </w:p>
        </w:tc>
        <w:tc>
          <w:tcPr>
            <w:tcW w:w="0" w:type="auto"/>
            <w:hideMark/>
          </w:tcPr>
          <w:p w14:paraId="34B48AD9"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Zero Trust aligned controls including MFA, ZTNA, CSPM, EDR</w:t>
            </w:r>
          </w:p>
        </w:tc>
        <w:tc>
          <w:tcPr>
            <w:tcW w:w="0" w:type="auto"/>
            <w:hideMark/>
          </w:tcPr>
          <w:p w14:paraId="0D3F86BE"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Access control policies, configuration baselines, security tooling reports</w:t>
            </w:r>
          </w:p>
        </w:tc>
      </w:tr>
      <w:tr w:rsidR="005D3B30" w:rsidRPr="00117E07" w14:paraId="6A7F258D" w14:textId="77777777" w:rsidTr="00152564">
        <w:trPr>
          <w:jc w:val="center"/>
        </w:trPr>
        <w:tc>
          <w:tcPr>
            <w:tcW w:w="0" w:type="auto"/>
            <w:hideMark/>
          </w:tcPr>
          <w:p w14:paraId="5F4B1110"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DORA - Article 10</w:t>
            </w:r>
          </w:p>
        </w:tc>
        <w:tc>
          <w:tcPr>
            <w:tcW w:w="0" w:type="auto"/>
            <w:hideMark/>
          </w:tcPr>
          <w:p w14:paraId="5DDA7F62"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Detection of anomalous activity</w:t>
            </w:r>
          </w:p>
        </w:tc>
        <w:tc>
          <w:tcPr>
            <w:tcW w:w="0" w:type="auto"/>
            <w:hideMark/>
          </w:tcPr>
          <w:p w14:paraId="2255B403"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Centralised SIEM and SOC monitoring workflows</w:t>
            </w:r>
          </w:p>
        </w:tc>
        <w:tc>
          <w:tcPr>
            <w:tcW w:w="0" w:type="auto"/>
            <w:hideMark/>
          </w:tcPr>
          <w:p w14:paraId="4CE78FA9"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Security logs, alert correlation records, SOC dashboards</w:t>
            </w:r>
          </w:p>
        </w:tc>
      </w:tr>
      <w:tr w:rsidR="005D3B30" w:rsidRPr="00117E07" w14:paraId="09DD6AEA" w14:textId="77777777" w:rsidTr="00152564">
        <w:trPr>
          <w:jc w:val="center"/>
        </w:trPr>
        <w:tc>
          <w:tcPr>
            <w:tcW w:w="0" w:type="auto"/>
            <w:hideMark/>
          </w:tcPr>
          <w:p w14:paraId="2AD0864A"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DORA - Article 11</w:t>
            </w:r>
          </w:p>
        </w:tc>
        <w:tc>
          <w:tcPr>
            <w:tcW w:w="0" w:type="auto"/>
            <w:hideMark/>
          </w:tcPr>
          <w:p w14:paraId="1CBC8639"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ICT incident response and recovery</w:t>
            </w:r>
          </w:p>
        </w:tc>
        <w:tc>
          <w:tcPr>
            <w:tcW w:w="0" w:type="auto"/>
            <w:hideMark/>
          </w:tcPr>
          <w:p w14:paraId="0775FB2C"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Automated containment, incident response procedures, DR planning</w:t>
            </w:r>
          </w:p>
        </w:tc>
        <w:tc>
          <w:tcPr>
            <w:tcW w:w="0" w:type="auto"/>
            <w:hideMark/>
          </w:tcPr>
          <w:p w14:paraId="54317EE1"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Incident reports, response playbooks, recovery test results</w:t>
            </w:r>
          </w:p>
        </w:tc>
      </w:tr>
      <w:tr w:rsidR="005D3B30" w:rsidRPr="00117E07" w14:paraId="1D3E26E2" w14:textId="77777777" w:rsidTr="00152564">
        <w:trPr>
          <w:jc w:val="center"/>
        </w:trPr>
        <w:tc>
          <w:tcPr>
            <w:tcW w:w="0" w:type="auto"/>
            <w:hideMark/>
          </w:tcPr>
          <w:p w14:paraId="0E5B3913"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NIS2 - Article 21</w:t>
            </w:r>
          </w:p>
        </w:tc>
        <w:tc>
          <w:tcPr>
            <w:tcW w:w="0" w:type="auto"/>
            <w:hideMark/>
          </w:tcPr>
          <w:p w14:paraId="5CA94BDE"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Risk management measures</w:t>
            </w:r>
          </w:p>
        </w:tc>
        <w:tc>
          <w:tcPr>
            <w:tcW w:w="0" w:type="auto"/>
            <w:hideMark/>
          </w:tcPr>
          <w:p w14:paraId="65D065CD"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Risk based security design covering supply chain and cloud risks</w:t>
            </w:r>
          </w:p>
        </w:tc>
        <w:tc>
          <w:tcPr>
            <w:tcW w:w="0" w:type="auto"/>
            <w:hideMark/>
          </w:tcPr>
          <w:p w14:paraId="06DE67BB"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Risk register, threat assessments, mitigation mapping</w:t>
            </w:r>
          </w:p>
        </w:tc>
      </w:tr>
      <w:tr w:rsidR="005D3B30" w:rsidRPr="00117E07" w14:paraId="502D6620" w14:textId="77777777" w:rsidTr="00152564">
        <w:trPr>
          <w:jc w:val="center"/>
        </w:trPr>
        <w:tc>
          <w:tcPr>
            <w:tcW w:w="0" w:type="auto"/>
            <w:hideMark/>
          </w:tcPr>
          <w:p w14:paraId="74667D8C"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NIS2 - Article 23</w:t>
            </w:r>
          </w:p>
        </w:tc>
        <w:tc>
          <w:tcPr>
            <w:tcW w:w="0" w:type="auto"/>
            <w:hideMark/>
          </w:tcPr>
          <w:p w14:paraId="1AEB4EB6"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Incident reporting obligations</w:t>
            </w:r>
          </w:p>
        </w:tc>
        <w:tc>
          <w:tcPr>
            <w:tcW w:w="0" w:type="auto"/>
            <w:hideMark/>
          </w:tcPr>
          <w:p w14:paraId="50375057"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Defined SOC escalation and regulatory notification workflows</w:t>
            </w:r>
          </w:p>
        </w:tc>
        <w:tc>
          <w:tcPr>
            <w:tcW w:w="0" w:type="auto"/>
            <w:hideMark/>
          </w:tcPr>
          <w:p w14:paraId="75120A98" w14:textId="77777777" w:rsidR="005D3B30" w:rsidRPr="00117E07" w:rsidRDefault="005D3B30" w:rsidP="00117E07">
            <w:pPr>
              <w:pStyle w:val="p1"/>
              <w:spacing w:before="0" w:beforeAutospacing="0" w:after="0" w:afterAutospacing="0" w:line="276" w:lineRule="auto"/>
              <w:rPr>
                <w:color w:val="000000" w:themeColor="text1"/>
                <w:sz w:val="16"/>
                <w:szCs w:val="16"/>
              </w:rPr>
            </w:pPr>
            <w:r w:rsidRPr="00117E07">
              <w:rPr>
                <w:color w:val="000000" w:themeColor="text1"/>
                <w:sz w:val="16"/>
                <w:szCs w:val="16"/>
              </w:rPr>
              <w:t>Incident classification records, notification timelines, audit logs</w:t>
            </w:r>
          </w:p>
        </w:tc>
      </w:tr>
    </w:tbl>
    <w:p w14:paraId="1FCDBB5B" w14:textId="60AF8391" w:rsidR="005D3B30" w:rsidRDefault="005D3B30" w:rsidP="00603EA3">
      <w:pPr>
        <w:pStyle w:val="Heading5"/>
      </w:pPr>
      <w:r w:rsidRPr="00117E07">
        <w:rPr>
          <w:rFonts w:cs="Times New Roman"/>
        </w:rPr>
        <w:t>Table 1</w:t>
      </w:r>
      <w:r w:rsidRPr="00E818B7">
        <w:rPr>
          <w:rFonts w:cs="Times New Roman"/>
        </w:rPr>
        <w:t>.</w:t>
      </w:r>
      <w:r w:rsidR="00E818B7" w:rsidRPr="00E818B7">
        <w:t xml:space="preserve"> Mapping of DORA and NIS2 Regulatory Requirements to Zero Trust Programme Elements and Evidence</w:t>
      </w:r>
      <w:r w:rsidR="00603EA3">
        <w:t xml:space="preserve"> </w:t>
      </w:r>
      <w:r w:rsidR="00603EA3" w:rsidRPr="00603EA3">
        <w:t>(author’s own work)</w:t>
      </w:r>
    </w:p>
    <w:p w14:paraId="2A87995F" w14:textId="77777777" w:rsidR="00603EA3" w:rsidRPr="00603EA3" w:rsidRDefault="00603EA3" w:rsidP="00603EA3"/>
    <w:p w14:paraId="32994BAE" w14:textId="77777777" w:rsidR="005D3B30" w:rsidRPr="00E818B7" w:rsidRDefault="005D3B30" w:rsidP="00E818B7">
      <w:pPr>
        <w:pStyle w:val="Heading3"/>
      </w:pPr>
      <w:bookmarkStart w:id="168" w:name="_Toc218600692"/>
      <w:bookmarkStart w:id="169" w:name="_Toc218601267"/>
      <w:bookmarkStart w:id="170" w:name="_Toc218601888"/>
      <w:bookmarkStart w:id="171" w:name="_Toc218601954"/>
      <w:r w:rsidRPr="00E818B7">
        <w:t>3.1 AI Usage Policy</w:t>
      </w:r>
      <w:bookmarkEnd w:id="168"/>
      <w:bookmarkEnd w:id="169"/>
      <w:bookmarkEnd w:id="170"/>
      <w:bookmarkEnd w:id="171"/>
    </w:p>
    <w:p w14:paraId="3DF91FD6"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The AI Usage Policy sets out how AI capabilities are used across development, testing, and operations to protect intellectual property, prevent data leakage, and minimise the risk of model manipulation or poisoning, including misuse of third-party services. Training and evaluation are restricted to approved platforms and classified datasets, and personal, client, or regulated data may only be used following a documented risk assessment and formal governance approval [1], [2]. Activities are logged to support traceability and regulatory evidence, while integrity is maintained through segmented environments, provenance validation, and regular adversarial testing in line with secure development and supply chain risk management guidance [5], [6], [7].</w:t>
      </w:r>
    </w:p>
    <w:p w14:paraId="20D30022" w14:textId="77777777" w:rsidR="005D3B30" w:rsidRPr="005D3B30" w:rsidRDefault="005D3B30" w:rsidP="005D3B30">
      <w:pPr>
        <w:pStyle w:val="p1"/>
        <w:spacing w:before="0" w:beforeAutospacing="0" w:after="0" w:afterAutospacing="0" w:line="276" w:lineRule="auto"/>
        <w:jc w:val="both"/>
        <w:rPr>
          <w:color w:val="000000" w:themeColor="text1"/>
        </w:rPr>
      </w:pPr>
    </w:p>
    <w:p w14:paraId="1947357A" w14:textId="77777777" w:rsidR="005D3B30" w:rsidRPr="005D3B30" w:rsidRDefault="005D3B30" w:rsidP="00E818B7">
      <w:pPr>
        <w:pStyle w:val="Heading3"/>
      </w:pPr>
      <w:bookmarkStart w:id="172" w:name="_Toc218600693"/>
      <w:bookmarkStart w:id="173" w:name="_Toc218601268"/>
      <w:bookmarkStart w:id="174" w:name="_Toc218601889"/>
      <w:bookmarkStart w:id="175" w:name="_Toc218601955"/>
      <w:r w:rsidRPr="005D3B30">
        <w:t>3.2 Secure SaaS Configuration Standard</w:t>
      </w:r>
      <w:bookmarkEnd w:id="172"/>
      <w:bookmarkEnd w:id="173"/>
      <w:bookmarkEnd w:id="174"/>
      <w:bookmarkEnd w:id="175"/>
    </w:p>
    <w:p w14:paraId="5BDB4FE7" w14:textId="77777777" w:rsidR="005D3B30" w:rsidRDefault="005D3B30" w:rsidP="005D3B30">
      <w:pPr>
        <w:pStyle w:val="p1"/>
        <w:spacing w:before="0" w:beforeAutospacing="0" w:after="0" w:afterAutospacing="0"/>
        <w:jc w:val="both"/>
        <w:rPr>
          <w:color w:val="000000" w:themeColor="text1"/>
        </w:rPr>
      </w:pPr>
      <w:r w:rsidRPr="005D3B30">
        <w:rPr>
          <w:color w:val="000000" w:themeColor="text1"/>
        </w:rPr>
        <w:t>The Secure SaaS Configuration Standard defines mandatory security controls for SaaS platforms that support business operations, including identity providers, development environments, collaboration tools, and cloud-hosted analytics. Core requirements include phishing-resistant multi-factor authentication, conditional access based on identity assurance and device posture, and role-based administration with tightly controlled privileged access [1], [2], [4], [9]. Third-party integrations and OAuth 2.0 applications are restricted to approved services and reviewed regularly to identify excessive permissions or dormant access paths [1], [2]. Authentication, administrative actions, and high-risk application events must be logged to support effective detection, investigation, and regulatory reporting [1], [2], [8], [11]. Configuration drift is handled through continuous posture assessment and governed remediation workflows so that SaaS environments remain aligned with organisational risk appetite and regulatory expectations [1], [3], [10], [11].</w:t>
      </w:r>
    </w:p>
    <w:p w14:paraId="43AA399A" w14:textId="77777777" w:rsidR="005D3B30" w:rsidRPr="005D3B30" w:rsidRDefault="005D3B30" w:rsidP="005D3B30">
      <w:pPr>
        <w:pStyle w:val="p1"/>
        <w:spacing w:before="0" w:beforeAutospacing="0" w:after="0" w:afterAutospacing="0"/>
        <w:ind w:firstLine="720"/>
        <w:jc w:val="both"/>
        <w:rPr>
          <w:color w:val="000000" w:themeColor="text1"/>
        </w:rPr>
      </w:pPr>
    </w:p>
    <w:p w14:paraId="07952ECF" w14:textId="77777777" w:rsidR="005D3B30" w:rsidRPr="005D3B30" w:rsidRDefault="005D3B30" w:rsidP="00E818B7">
      <w:pPr>
        <w:pStyle w:val="Heading3"/>
      </w:pPr>
      <w:bookmarkStart w:id="176" w:name="_Toc218600694"/>
      <w:bookmarkStart w:id="177" w:name="_Toc218601269"/>
      <w:bookmarkStart w:id="178" w:name="_Toc218601890"/>
      <w:bookmarkStart w:id="179" w:name="_Toc218601956"/>
      <w:r w:rsidRPr="005D3B30">
        <w:lastRenderedPageBreak/>
        <w:t>3.3 Bring Your Own Device (BYOD) Policy for a Hybrid Workforce</w:t>
      </w:r>
      <w:bookmarkEnd w:id="176"/>
      <w:bookmarkEnd w:id="177"/>
      <w:bookmarkEnd w:id="178"/>
      <w:bookmarkEnd w:id="179"/>
    </w:p>
    <w:p w14:paraId="01315F2B" w14:textId="77777777" w:rsidR="005D3B30" w:rsidRDefault="005D3B30" w:rsidP="005D3B30">
      <w:pPr>
        <w:pStyle w:val="p1"/>
        <w:spacing w:before="0" w:beforeAutospacing="0" w:after="0" w:afterAutospacing="0"/>
        <w:jc w:val="both"/>
        <w:rPr>
          <w:color w:val="000000" w:themeColor="text1"/>
        </w:rPr>
      </w:pPr>
      <w:r w:rsidRPr="005D3B30">
        <w:rPr>
          <w:color w:val="000000" w:themeColor="text1"/>
        </w:rPr>
        <w:t>The BYOD Policy governs personal-device access to corporate services, recognising that unmanaged endpoints increase identity-centred risk in hybrid operating models [4], [8]. Access is allowed only when minimum posture requirements are met, including device registration, mobile device management or containerisation, enforced screen lock, encryption, endpoint protection, and continuous posture checks [1], [2], [8]. Corporate data is logically separated from personal data to support secure offboarding and limit unauthorised disclosure. Access from BYOD endpoints remains conditional and is regularly reassessed so that compromised or non-compliant devices do not retain persistent access [4], [9].</w:t>
      </w:r>
    </w:p>
    <w:p w14:paraId="1F2D75B0" w14:textId="77777777" w:rsidR="005D3B30" w:rsidRPr="005D3B30" w:rsidRDefault="005D3B30" w:rsidP="005D3B30">
      <w:pPr>
        <w:pStyle w:val="p1"/>
        <w:spacing w:before="0" w:beforeAutospacing="0" w:after="0" w:afterAutospacing="0"/>
        <w:jc w:val="both"/>
        <w:rPr>
          <w:color w:val="000000" w:themeColor="text1"/>
        </w:rPr>
      </w:pPr>
    </w:p>
    <w:p w14:paraId="0D7D8C58" w14:textId="2E08990F" w:rsidR="005D3B30" w:rsidRPr="005D3B30" w:rsidRDefault="005D3B30" w:rsidP="00E818B7">
      <w:pPr>
        <w:pStyle w:val="Heading3"/>
      </w:pPr>
      <w:bookmarkStart w:id="180" w:name="_Toc218600695"/>
      <w:bookmarkStart w:id="181" w:name="_Toc218601270"/>
      <w:bookmarkStart w:id="182" w:name="_Toc218601891"/>
      <w:bookmarkStart w:id="183" w:name="_Toc218601957"/>
      <w:r w:rsidRPr="005D3B30">
        <w:t>3.4 Roles and Responsibilities (RACI Overview)</w:t>
      </w:r>
      <w:bookmarkEnd w:id="180"/>
      <w:bookmarkEnd w:id="181"/>
      <w:bookmarkEnd w:id="182"/>
      <w:bookmarkEnd w:id="183"/>
    </w:p>
    <w:p w14:paraId="0700EBC5" w14:textId="0E0F64FA" w:rsidR="005D3B30" w:rsidRPr="005D3B30" w:rsidRDefault="005D3B30" w:rsidP="00E818B7">
      <w:pPr>
        <w:pStyle w:val="p1"/>
        <w:tabs>
          <w:tab w:val="left" w:pos="0"/>
          <w:tab w:val="left" w:pos="993"/>
        </w:tabs>
        <w:spacing w:before="0" w:beforeAutospacing="0" w:after="240" w:afterAutospacing="0"/>
        <w:jc w:val="both"/>
        <w:rPr>
          <w:color w:val="000000" w:themeColor="text1"/>
        </w:rPr>
      </w:pPr>
      <w:r w:rsidRPr="005D3B30">
        <w:rPr>
          <w:color w:val="000000" w:themeColor="text1"/>
        </w:rPr>
        <w:t>The table below summarises key roles and responsibilities for policy ownership, enforcement, and assurance.</w:t>
      </w:r>
    </w:p>
    <w:tbl>
      <w:tblPr>
        <w:tblStyle w:val="TableGrid"/>
        <w:tblW w:w="0" w:type="auto"/>
        <w:jc w:val="center"/>
        <w:tblLook w:val="04A0" w:firstRow="1" w:lastRow="0" w:firstColumn="1" w:lastColumn="0" w:noHBand="0" w:noVBand="1"/>
      </w:tblPr>
      <w:tblGrid>
        <w:gridCol w:w="2025"/>
        <w:gridCol w:w="5037"/>
      </w:tblGrid>
      <w:tr w:rsidR="005D3B30" w:rsidRPr="00117E07" w14:paraId="041988FA" w14:textId="77777777" w:rsidTr="00152564">
        <w:trPr>
          <w:jc w:val="center"/>
        </w:trPr>
        <w:tc>
          <w:tcPr>
            <w:tcW w:w="0" w:type="auto"/>
            <w:hideMark/>
          </w:tcPr>
          <w:p w14:paraId="4961A6CE" w14:textId="77777777" w:rsidR="005D3B30" w:rsidRPr="00117E07" w:rsidRDefault="005D3B30" w:rsidP="00E818B7">
            <w:pPr>
              <w:pStyle w:val="p1"/>
              <w:spacing w:before="0" w:beforeAutospacing="0" w:after="0" w:afterAutospacing="0" w:line="276" w:lineRule="auto"/>
              <w:rPr>
                <w:b/>
                <w:bCs/>
                <w:color w:val="000000" w:themeColor="text1"/>
                <w:sz w:val="16"/>
                <w:szCs w:val="16"/>
              </w:rPr>
            </w:pPr>
            <w:r w:rsidRPr="00117E07">
              <w:rPr>
                <w:b/>
                <w:bCs/>
                <w:color w:val="000000" w:themeColor="text1"/>
                <w:sz w:val="16"/>
                <w:szCs w:val="16"/>
              </w:rPr>
              <w:t>Role</w:t>
            </w:r>
          </w:p>
        </w:tc>
        <w:tc>
          <w:tcPr>
            <w:tcW w:w="0" w:type="auto"/>
            <w:hideMark/>
          </w:tcPr>
          <w:p w14:paraId="4248F631" w14:textId="77777777" w:rsidR="005D3B30" w:rsidRPr="00117E07" w:rsidRDefault="005D3B30" w:rsidP="00E818B7">
            <w:pPr>
              <w:pStyle w:val="p1"/>
              <w:spacing w:before="0" w:beforeAutospacing="0" w:after="0" w:afterAutospacing="0" w:line="276" w:lineRule="auto"/>
              <w:rPr>
                <w:b/>
                <w:bCs/>
                <w:color w:val="000000" w:themeColor="text1"/>
                <w:sz w:val="16"/>
                <w:szCs w:val="16"/>
              </w:rPr>
            </w:pPr>
            <w:r w:rsidRPr="00117E07">
              <w:rPr>
                <w:b/>
                <w:bCs/>
                <w:color w:val="000000" w:themeColor="text1"/>
                <w:sz w:val="16"/>
                <w:szCs w:val="16"/>
              </w:rPr>
              <w:t>Responsibilities</w:t>
            </w:r>
          </w:p>
        </w:tc>
      </w:tr>
      <w:tr w:rsidR="005D3B30" w:rsidRPr="00117E07" w14:paraId="518947C2" w14:textId="77777777" w:rsidTr="00152564">
        <w:trPr>
          <w:jc w:val="center"/>
        </w:trPr>
        <w:tc>
          <w:tcPr>
            <w:tcW w:w="0" w:type="auto"/>
            <w:hideMark/>
          </w:tcPr>
          <w:p w14:paraId="62A883C2"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Board / Senior Management</w:t>
            </w:r>
          </w:p>
        </w:tc>
        <w:tc>
          <w:tcPr>
            <w:tcW w:w="0" w:type="auto"/>
            <w:hideMark/>
          </w:tcPr>
          <w:p w14:paraId="75D3985E"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Policy approval, risk appetite definition, oversight and assurance</w:t>
            </w:r>
          </w:p>
        </w:tc>
      </w:tr>
      <w:tr w:rsidR="005D3B30" w:rsidRPr="00117E07" w14:paraId="4B4AEB68" w14:textId="77777777" w:rsidTr="00152564">
        <w:trPr>
          <w:jc w:val="center"/>
        </w:trPr>
        <w:tc>
          <w:tcPr>
            <w:tcW w:w="0" w:type="auto"/>
            <w:hideMark/>
          </w:tcPr>
          <w:p w14:paraId="1A92AFD3"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Cloud Security Architect</w:t>
            </w:r>
          </w:p>
        </w:tc>
        <w:tc>
          <w:tcPr>
            <w:tcW w:w="0" w:type="auto"/>
            <w:hideMark/>
          </w:tcPr>
          <w:p w14:paraId="086FFD09"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SaaS baselines, identity architecture, configuration assurance</w:t>
            </w:r>
          </w:p>
        </w:tc>
      </w:tr>
      <w:tr w:rsidR="005D3B30" w:rsidRPr="00117E07" w14:paraId="17EB045A" w14:textId="77777777" w:rsidTr="00152564">
        <w:trPr>
          <w:jc w:val="center"/>
        </w:trPr>
        <w:tc>
          <w:tcPr>
            <w:tcW w:w="0" w:type="auto"/>
            <w:hideMark/>
          </w:tcPr>
          <w:p w14:paraId="1435C3E9"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DevSecOps Lead</w:t>
            </w:r>
          </w:p>
        </w:tc>
        <w:tc>
          <w:tcPr>
            <w:tcW w:w="0" w:type="auto"/>
            <w:hideMark/>
          </w:tcPr>
          <w:p w14:paraId="6DA96DED"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Secure AI development practices, pipeline enforcement, control integration</w:t>
            </w:r>
          </w:p>
        </w:tc>
      </w:tr>
      <w:tr w:rsidR="005D3B30" w:rsidRPr="00117E07" w14:paraId="74DBA294" w14:textId="77777777" w:rsidTr="00152564">
        <w:trPr>
          <w:jc w:val="center"/>
        </w:trPr>
        <w:tc>
          <w:tcPr>
            <w:tcW w:w="0" w:type="auto"/>
            <w:hideMark/>
          </w:tcPr>
          <w:p w14:paraId="2E12AFB6"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SOC / Security Operations</w:t>
            </w:r>
          </w:p>
        </w:tc>
        <w:tc>
          <w:tcPr>
            <w:tcW w:w="0" w:type="auto"/>
            <w:hideMark/>
          </w:tcPr>
          <w:p w14:paraId="1DEBA9BE"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Monitoring, policy enforcement validation, incident escalation</w:t>
            </w:r>
          </w:p>
        </w:tc>
      </w:tr>
      <w:tr w:rsidR="005D3B30" w:rsidRPr="00117E07" w14:paraId="049A8156" w14:textId="77777777" w:rsidTr="00152564">
        <w:trPr>
          <w:jc w:val="center"/>
        </w:trPr>
        <w:tc>
          <w:tcPr>
            <w:tcW w:w="0" w:type="auto"/>
            <w:hideMark/>
          </w:tcPr>
          <w:p w14:paraId="28F90FB0"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Workforce / Developers</w:t>
            </w:r>
          </w:p>
        </w:tc>
        <w:tc>
          <w:tcPr>
            <w:tcW w:w="0" w:type="auto"/>
            <w:hideMark/>
          </w:tcPr>
          <w:p w14:paraId="75DB9971" w14:textId="77777777" w:rsidR="005D3B30" w:rsidRPr="00117E07" w:rsidRDefault="005D3B30" w:rsidP="00E818B7">
            <w:pPr>
              <w:pStyle w:val="p1"/>
              <w:spacing w:before="0" w:beforeAutospacing="0" w:after="0" w:afterAutospacing="0" w:line="276" w:lineRule="auto"/>
              <w:rPr>
                <w:color w:val="000000" w:themeColor="text1"/>
                <w:sz w:val="16"/>
                <w:szCs w:val="16"/>
              </w:rPr>
            </w:pPr>
            <w:r w:rsidRPr="00117E07">
              <w:rPr>
                <w:color w:val="000000" w:themeColor="text1"/>
                <w:sz w:val="16"/>
                <w:szCs w:val="16"/>
              </w:rPr>
              <w:t>Policy compliance, secure use of AI and corporate services</w:t>
            </w:r>
          </w:p>
        </w:tc>
      </w:tr>
    </w:tbl>
    <w:p w14:paraId="2B8F3F2D" w14:textId="16F1BC16" w:rsidR="005D3B30" w:rsidRPr="00E818B7" w:rsidRDefault="005D3B30" w:rsidP="00603EA3">
      <w:pPr>
        <w:pStyle w:val="p1"/>
        <w:spacing w:before="0" w:beforeAutospacing="0" w:line="276" w:lineRule="auto"/>
        <w:jc w:val="center"/>
        <w:rPr>
          <w:rStyle w:val="s1"/>
          <w:i/>
          <w:iCs/>
          <w:sz w:val="16"/>
          <w:szCs w:val="16"/>
        </w:rPr>
      </w:pPr>
      <w:r w:rsidRPr="00117E07">
        <w:rPr>
          <w:rStyle w:val="s1"/>
          <w:rFonts w:eastAsiaTheme="majorEastAsia"/>
          <w:i/>
          <w:iCs/>
          <w:color w:val="000000" w:themeColor="text1"/>
          <w:sz w:val="16"/>
          <w:szCs w:val="16"/>
        </w:rPr>
        <w:t>Table 2</w:t>
      </w:r>
      <w:r w:rsidRPr="00E818B7">
        <w:rPr>
          <w:rStyle w:val="s1"/>
          <w:rFonts w:eastAsiaTheme="majorEastAsia"/>
          <w:i/>
          <w:iCs/>
          <w:color w:val="000000" w:themeColor="text1"/>
          <w:sz w:val="16"/>
          <w:szCs w:val="16"/>
        </w:rPr>
        <w:t>.</w:t>
      </w:r>
      <w:r w:rsidR="00E818B7" w:rsidRPr="00E818B7">
        <w:rPr>
          <w:rStyle w:val="s1"/>
          <w:rFonts w:eastAsiaTheme="majorEastAsia"/>
          <w:i/>
          <w:iCs/>
          <w:color w:val="000000" w:themeColor="text1"/>
          <w:sz w:val="16"/>
          <w:szCs w:val="16"/>
        </w:rPr>
        <w:t xml:space="preserve"> </w:t>
      </w:r>
      <w:r w:rsidR="00E818B7" w:rsidRPr="00E818B7">
        <w:rPr>
          <w:i/>
          <w:iCs/>
          <w:sz w:val="16"/>
          <w:szCs w:val="16"/>
        </w:rPr>
        <w:t>Roles and Responsibilities for Policy Ownership, Enforcement, and Assurance</w:t>
      </w:r>
      <w:r w:rsidR="00603EA3" w:rsidRPr="00603EA3">
        <w:rPr>
          <w:b/>
          <w:bCs/>
        </w:rPr>
        <w:t xml:space="preserve"> </w:t>
      </w:r>
      <w:r w:rsidR="00603EA3" w:rsidRPr="00603EA3">
        <w:rPr>
          <w:i/>
          <w:iCs/>
          <w:sz w:val="16"/>
          <w:szCs w:val="16"/>
        </w:rPr>
        <w:t>(author’s own work)</w:t>
      </w:r>
    </w:p>
    <w:p w14:paraId="317760F7" w14:textId="77777777" w:rsidR="005D3B30" w:rsidRDefault="005D3B30" w:rsidP="005D3B30">
      <w:pPr>
        <w:pStyle w:val="p1"/>
        <w:spacing w:before="0" w:beforeAutospacing="0" w:after="0" w:afterAutospacing="0"/>
        <w:jc w:val="both"/>
        <w:rPr>
          <w:color w:val="000000" w:themeColor="text1"/>
        </w:rPr>
      </w:pPr>
      <w:r w:rsidRPr="005D3B30">
        <w:rPr>
          <w:color w:val="000000" w:themeColor="text1"/>
        </w:rPr>
        <w:t>Collectively, these policies and role allocations provide enforceable standards for identity assurance, configuration integrity, and secure workforce access, while remaining auditable against DORA and NIS2 requirements [1]–[3], [8], [11]. The earlier regulatory mapping (Table 1) and this overview of responsibilities together demonstrate regulatory traceability and operational accountability [1]–[3].</w:t>
      </w:r>
    </w:p>
    <w:p w14:paraId="5246FB52" w14:textId="77777777" w:rsidR="005D3B30" w:rsidRPr="005D3B30" w:rsidRDefault="005D3B30" w:rsidP="005D3B30">
      <w:pPr>
        <w:pStyle w:val="p1"/>
        <w:spacing w:before="0" w:beforeAutospacing="0" w:after="0" w:afterAutospacing="0"/>
        <w:jc w:val="both"/>
        <w:rPr>
          <w:color w:val="000000" w:themeColor="text1"/>
        </w:rPr>
      </w:pPr>
    </w:p>
    <w:p w14:paraId="17AABA0C" w14:textId="3072F8BF" w:rsidR="005D3B30" w:rsidRPr="005D3B30" w:rsidRDefault="005D3B30" w:rsidP="00E818B7">
      <w:pPr>
        <w:pStyle w:val="Heading2"/>
      </w:pPr>
      <w:bookmarkStart w:id="184" w:name="_Toc218600696"/>
      <w:bookmarkStart w:id="185" w:name="_Toc218601271"/>
      <w:bookmarkStart w:id="186" w:name="_Toc218601892"/>
      <w:bookmarkStart w:id="187" w:name="_Toc218601958"/>
      <w:r w:rsidRPr="005D3B30">
        <w:t>4. Risk Management and Threat Landscape</w:t>
      </w:r>
      <w:bookmarkEnd w:id="184"/>
      <w:bookmarkEnd w:id="185"/>
      <w:bookmarkEnd w:id="186"/>
      <w:bookmarkEnd w:id="187"/>
    </w:p>
    <w:p w14:paraId="6BFA7C91" w14:textId="77777777" w:rsidR="005D3B30" w:rsidRPr="005D3B30" w:rsidRDefault="005D3B30" w:rsidP="00E818B7">
      <w:pPr>
        <w:pStyle w:val="Heading3"/>
      </w:pPr>
      <w:bookmarkStart w:id="188" w:name="_Toc218600697"/>
      <w:bookmarkStart w:id="189" w:name="_Toc218601272"/>
      <w:bookmarkStart w:id="190" w:name="_Toc218601893"/>
      <w:bookmarkStart w:id="191" w:name="_Toc218601959"/>
      <w:r w:rsidRPr="005D3B30">
        <w:t>4.1 Software Supply Chain Risks</w:t>
      </w:r>
      <w:bookmarkEnd w:id="188"/>
      <w:bookmarkEnd w:id="189"/>
      <w:bookmarkEnd w:id="190"/>
      <w:bookmarkEnd w:id="191"/>
    </w:p>
    <w:p w14:paraId="0389BDBE"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As an AI-powered threat analysis software provider, Resilient Intellect Ltd faces significant software supply chain risk. Key scenarios include malicious or vulnerable third-party libraries, compromise of build and deployment pipelines, and poisoning of AI training data or models, all of which can degrade analytical accuracy, introduce hidden backdoors, and undermine service reliability and customer trust. These risks are highly relevant because they affect the integrity and availability of critical digital services. DORA requires firms to identify and manage ICT risks arising from dependencies and third-party components that could disrupt operational resilience [1], while NIS2 calls for risk analysis and preventive measures across supply chains, recognising that software dependencies expand the attack surface [2]. A Zero Trust-aligned approach treats development environments, pipelines, and model artefacts as untrusted by default, with continuous verification of provenance, integrity, and deployment actions to reduce the chance of undetected propagation into production [4]–[6].</w:t>
      </w:r>
    </w:p>
    <w:p w14:paraId="75B0C7E6" w14:textId="77777777" w:rsidR="005D3B30" w:rsidRPr="005D3B30" w:rsidRDefault="005D3B30" w:rsidP="005D3B30">
      <w:pPr>
        <w:pStyle w:val="p1"/>
        <w:spacing w:before="0" w:beforeAutospacing="0" w:after="0" w:afterAutospacing="0" w:line="276" w:lineRule="auto"/>
        <w:jc w:val="both"/>
        <w:rPr>
          <w:color w:val="000000" w:themeColor="text1"/>
        </w:rPr>
      </w:pPr>
    </w:p>
    <w:p w14:paraId="5640C743" w14:textId="77777777" w:rsidR="005D3B30" w:rsidRPr="005D3B30" w:rsidRDefault="005D3B30" w:rsidP="00117E07">
      <w:pPr>
        <w:pStyle w:val="Heading3"/>
      </w:pPr>
      <w:bookmarkStart w:id="192" w:name="_Toc218600698"/>
      <w:bookmarkStart w:id="193" w:name="_Toc218601273"/>
      <w:bookmarkStart w:id="194" w:name="_Toc218601894"/>
      <w:bookmarkStart w:id="195" w:name="_Toc218601960"/>
      <w:r w:rsidRPr="005D3B30">
        <w:t>4.2 Cloud Misconfiguration Risks</w:t>
      </w:r>
      <w:bookmarkEnd w:id="192"/>
      <w:bookmarkEnd w:id="193"/>
      <w:bookmarkEnd w:id="194"/>
      <w:bookmarkEnd w:id="195"/>
    </w:p>
    <w:p w14:paraId="0E2939BF"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 xml:space="preserve">Reliance on cloud-based SaaS platforms, scalable storage, and identity-driven access models introduces significant risk from cloud misconfiguration. Typical failures include overly permissive access policies, exposed storage resources, insecure application programming interfaces (APIs), and weak segregation between environments, amplified by hybrid working that involves distributed and sometimes unmanaged endpoints. These weaknesses can result in unauthorised access, data leakage, </w:t>
      </w:r>
      <w:r w:rsidRPr="005D3B30">
        <w:rPr>
          <w:color w:val="000000" w:themeColor="text1"/>
        </w:rPr>
        <w:lastRenderedPageBreak/>
        <w:t>service disruption, and regulatory non-compliance. Under DORA, such configuration issues directly undermine ICT resilience by exposing critical services to avoidable outages or breaches [1], while NIS2 requires organisations to address them through appropriate technical and organisational controls wherever cloud services support essential business functions [2].</w:t>
      </w:r>
    </w:p>
    <w:p w14:paraId="68C1158E" w14:textId="77777777" w:rsidR="005D3B30" w:rsidRPr="005D3B30" w:rsidRDefault="005D3B30" w:rsidP="005D3B30">
      <w:pPr>
        <w:pStyle w:val="p1"/>
        <w:spacing w:before="0" w:beforeAutospacing="0" w:after="0" w:afterAutospacing="0" w:line="276" w:lineRule="auto"/>
        <w:jc w:val="both"/>
        <w:rPr>
          <w:color w:val="000000" w:themeColor="text1"/>
        </w:rPr>
      </w:pPr>
    </w:p>
    <w:p w14:paraId="5E991725" w14:textId="77777777" w:rsidR="005D3B30" w:rsidRPr="005D3B30" w:rsidRDefault="005D3B30" w:rsidP="00E818B7">
      <w:pPr>
        <w:pStyle w:val="Heading3"/>
      </w:pPr>
      <w:bookmarkStart w:id="196" w:name="_Toc218600699"/>
      <w:bookmarkStart w:id="197" w:name="_Toc218601274"/>
      <w:bookmarkStart w:id="198" w:name="_Toc218601895"/>
      <w:bookmarkStart w:id="199" w:name="_Toc218601961"/>
      <w:r w:rsidRPr="005D3B30">
        <w:t>4.3 High-Level Risk Assessment and Zero Trust Alignment</w:t>
      </w:r>
      <w:bookmarkEnd w:id="196"/>
      <w:bookmarkEnd w:id="197"/>
      <w:bookmarkEnd w:id="198"/>
      <w:bookmarkEnd w:id="199"/>
    </w:p>
    <w:p w14:paraId="25C94417" w14:textId="591814FB" w:rsidR="005D3B30" w:rsidRPr="005D3B30" w:rsidRDefault="005D3B30" w:rsidP="00E818B7">
      <w:pPr>
        <w:pStyle w:val="p1"/>
        <w:spacing w:before="0" w:beforeAutospacing="0" w:after="240" w:afterAutospacing="0" w:line="276" w:lineRule="auto"/>
        <w:jc w:val="both"/>
        <w:rPr>
          <w:color w:val="000000" w:themeColor="text1"/>
        </w:rPr>
      </w:pPr>
      <w:r w:rsidRPr="005D3B30">
        <w:rPr>
          <w:color w:val="000000" w:themeColor="text1"/>
        </w:rPr>
        <w:t>This assessment draws on recognised guidance for cybersecurity risk management, software supply chain security, and Zero Trust Architecture to support proportionate, risk-driven control selection and clear governance traceability [1]–[5]. Rather than listing every possible control, it focuses on priority threat scenarios and links them to regulatory expectations under DORA and NIS2 and to appropriate Zero Trust-aligned mitigations. Table 3 summarises the key risks by likelihood and impact.</w:t>
      </w:r>
    </w:p>
    <w:tbl>
      <w:tblPr>
        <w:tblStyle w:val="TableGrid"/>
        <w:tblW w:w="0" w:type="auto"/>
        <w:tblLook w:val="04A0" w:firstRow="1" w:lastRow="0" w:firstColumn="1" w:lastColumn="0" w:noHBand="0" w:noVBand="1"/>
      </w:tblPr>
      <w:tblGrid>
        <w:gridCol w:w="1378"/>
        <w:gridCol w:w="2059"/>
        <w:gridCol w:w="955"/>
        <w:gridCol w:w="705"/>
        <w:gridCol w:w="1829"/>
        <w:gridCol w:w="2810"/>
      </w:tblGrid>
      <w:tr w:rsidR="005D3B30" w:rsidRPr="005D3B30" w14:paraId="2E2EBE76" w14:textId="77777777" w:rsidTr="00E818B7">
        <w:tc>
          <w:tcPr>
            <w:tcW w:w="0" w:type="auto"/>
            <w:hideMark/>
          </w:tcPr>
          <w:p w14:paraId="3545F448" w14:textId="77777777" w:rsidR="005D3B30" w:rsidRPr="005D3B30" w:rsidRDefault="005D3B30" w:rsidP="005D3B30">
            <w:pPr>
              <w:pStyle w:val="p1"/>
              <w:spacing w:before="0" w:beforeAutospacing="0" w:after="0" w:afterAutospacing="0" w:line="276" w:lineRule="auto"/>
              <w:jc w:val="both"/>
              <w:rPr>
                <w:b/>
                <w:bCs/>
                <w:color w:val="000000" w:themeColor="text1"/>
                <w:sz w:val="16"/>
                <w:szCs w:val="16"/>
              </w:rPr>
            </w:pPr>
            <w:r w:rsidRPr="005D3B30">
              <w:rPr>
                <w:b/>
                <w:bCs/>
                <w:color w:val="000000" w:themeColor="text1"/>
                <w:sz w:val="16"/>
                <w:szCs w:val="16"/>
              </w:rPr>
              <w:t>Risk Category</w:t>
            </w:r>
          </w:p>
        </w:tc>
        <w:tc>
          <w:tcPr>
            <w:tcW w:w="0" w:type="auto"/>
            <w:hideMark/>
          </w:tcPr>
          <w:p w14:paraId="57B94466" w14:textId="77777777" w:rsidR="005D3B30" w:rsidRPr="005D3B30" w:rsidRDefault="005D3B30" w:rsidP="005D3B30">
            <w:pPr>
              <w:pStyle w:val="p1"/>
              <w:spacing w:before="0" w:beforeAutospacing="0" w:after="0" w:afterAutospacing="0" w:line="276" w:lineRule="auto"/>
              <w:jc w:val="both"/>
              <w:rPr>
                <w:b/>
                <w:bCs/>
                <w:color w:val="000000" w:themeColor="text1"/>
                <w:sz w:val="16"/>
                <w:szCs w:val="16"/>
              </w:rPr>
            </w:pPr>
            <w:r w:rsidRPr="005D3B30">
              <w:rPr>
                <w:b/>
                <w:bCs/>
                <w:color w:val="000000" w:themeColor="text1"/>
                <w:sz w:val="16"/>
                <w:szCs w:val="16"/>
              </w:rPr>
              <w:t>Risk Description</w:t>
            </w:r>
          </w:p>
        </w:tc>
        <w:tc>
          <w:tcPr>
            <w:tcW w:w="0" w:type="auto"/>
            <w:hideMark/>
          </w:tcPr>
          <w:p w14:paraId="7981D983" w14:textId="77777777" w:rsidR="005D3B30" w:rsidRPr="005D3B30" w:rsidRDefault="005D3B30" w:rsidP="005D3B30">
            <w:pPr>
              <w:pStyle w:val="p1"/>
              <w:spacing w:before="0" w:beforeAutospacing="0" w:after="0" w:afterAutospacing="0" w:line="276" w:lineRule="auto"/>
              <w:jc w:val="both"/>
              <w:rPr>
                <w:b/>
                <w:bCs/>
                <w:color w:val="000000" w:themeColor="text1"/>
                <w:sz w:val="16"/>
                <w:szCs w:val="16"/>
              </w:rPr>
            </w:pPr>
            <w:r w:rsidRPr="005D3B30">
              <w:rPr>
                <w:b/>
                <w:bCs/>
                <w:color w:val="000000" w:themeColor="text1"/>
                <w:sz w:val="16"/>
                <w:szCs w:val="16"/>
              </w:rPr>
              <w:t>Likelihood</w:t>
            </w:r>
          </w:p>
        </w:tc>
        <w:tc>
          <w:tcPr>
            <w:tcW w:w="0" w:type="auto"/>
            <w:hideMark/>
          </w:tcPr>
          <w:p w14:paraId="05827C57" w14:textId="77777777" w:rsidR="005D3B30" w:rsidRPr="005D3B30" w:rsidRDefault="005D3B30" w:rsidP="005D3B30">
            <w:pPr>
              <w:pStyle w:val="p1"/>
              <w:spacing w:before="0" w:beforeAutospacing="0" w:after="0" w:afterAutospacing="0" w:line="276" w:lineRule="auto"/>
              <w:jc w:val="both"/>
              <w:rPr>
                <w:b/>
                <w:bCs/>
                <w:color w:val="000000" w:themeColor="text1"/>
                <w:sz w:val="16"/>
                <w:szCs w:val="16"/>
              </w:rPr>
            </w:pPr>
            <w:r w:rsidRPr="005D3B30">
              <w:rPr>
                <w:b/>
                <w:bCs/>
                <w:color w:val="000000" w:themeColor="text1"/>
                <w:sz w:val="16"/>
                <w:szCs w:val="16"/>
              </w:rPr>
              <w:t>Impact</w:t>
            </w:r>
          </w:p>
        </w:tc>
        <w:tc>
          <w:tcPr>
            <w:tcW w:w="0" w:type="auto"/>
            <w:hideMark/>
          </w:tcPr>
          <w:p w14:paraId="79E8D1EB" w14:textId="77777777" w:rsidR="005D3B30" w:rsidRPr="005D3B30" w:rsidRDefault="005D3B30" w:rsidP="005D3B30">
            <w:pPr>
              <w:pStyle w:val="p1"/>
              <w:spacing w:before="0" w:beforeAutospacing="0" w:after="0" w:afterAutospacing="0" w:line="276" w:lineRule="auto"/>
              <w:jc w:val="both"/>
              <w:rPr>
                <w:b/>
                <w:bCs/>
                <w:color w:val="000000" w:themeColor="text1"/>
                <w:sz w:val="16"/>
                <w:szCs w:val="16"/>
              </w:rPr>
            </w:pPr>
            <w:r w:rsidRPr="005D3B30">
              <w:rPr>
                <w:b/>
                <w:bCs/>
                <w:color w:val="000000" w:themeColor="text1"/>
                <w:sz w:val="16"/>
                <w:szCs w:val="16"/>
              </w:rPr>
              <w:t>Regulatory Relevance</w:t>
            </w:r>
          </w:p>
        </w:tc>
        <w:tc>
          <w:tcPr>
            <w:tcW w:w="0" w:type="auto"/>
            <w:hideMark/>
          </w:tcPr>
          <w:p w14:paraId="73CA2D0A" w14:textId="77777777" w:rsidR="005D3B30" w:rsidRPr="005D3B30" w:rsidRDefault="005D3B30" w:rsidP="005D3B30">
            <w:pPr>
              <w:pStyle w:val="p1"/>
              <w:spacing w:before="0" w:beforeAutospacing="0" w:after="0" w:afterAutospacing="0" w:line="276" w:lineRule="auto"/>
              <w:jc w:val="both"/>
              <w:rPr>
                <w:b/>
                <w:bCs/>
                <w:color w:val="000000" w:themeColor="text1"/>
                <w:sz w:val="16"/>
                <w:szCs w:val="16"/>
              </w:rPr>
            </w:pPr>
            <w:r w:rsidRPr="005D3B30">
              <w:rPr>
                <w:b/>
                <w:bCs/>
                <w:color w:val="000000" w:themeColor="text1"/>
                <w:sz w:val="16"/>
                <w:szCs w:val="16"/>
              </w:rPr>
              <w:t>Zero Trust Aligned Risk Treatment</w:t>
            </w:r>
          </w:p>
        </w:tc>
      </w:tr>
      <w:tr w:rsidR="005D3B30" w:rsidRPr="005D3B30" w14:paraId="0F38FC30" w14:textId="77777777" w:rsidTr="00E818B7">
        <w:tc>
          <w:tcPr>
            <w:tcW w:w="0" w:type="auto"/>
            <w:hideMark/>
          </w:tcPr>
          <w:p w14:paraId="524D8903"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Software Supply Chain</w:t>
            </w:r>
          </w:p>
        </w:tc>
        <w:tc>
          <w:tcPr>
            <w:tcW w:w="0" w:type="auto"/>
            <w:hideMark/>
          </w:tcPr>
          <w:p w14:paraId="038E1142"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Poisoned AI training data or models, or malicious third-party dependencies, degrade detection accuracy or introduce hidden functionality</w:t>
            </w:r>
          </w:p>
        </w:tc>
        <w:tc>
          <w:tcPr>
            <w:tcW w:w="0" w:type="auto"/>
            <w:hideMark/>
          </w:tcPr>
          <w:p w14:paraId="7C38CA4B"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Medium</w:t>
            </w:r>
          </w:p>
        </w:tc>
        <w:tc>
          <w:tcPr>
            <w:tcW w:w="0" w:type="auto"/>
            <w:hideMark/>
          </w:tcPr>
          <w:p w14:paraId="29B59DBA"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High</w:t>
            </w:r>
          </w:p>
        </w:tc>
        <w:tc>
          <w:tcPr>
            <w:tcW w:w="0" w:type="auto"/>
            <w:hideMark/>
          </w:tcPr>
          <w:p w14:paraId="3770B36D"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DORA ICT risk management and protection measures, NIS2 risk management measures and prevention</w:t>
            </w:r>
          </w:p>
        </w:tc>
        <w:tc>
          <w:tcPr>
            <w:tcW w:w="0" w:type="auto"/>
            <w:hideMark/>
          </w:tcPr>
          <w:p w14:paraId="79A021AE"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Phishing-resistant MFA and conditional access for engineers, least privilege CI/CD permissions, signed artefacts and integrity verification, SBOM and dependency allow listing, continuous verification of model and data lineage</w:t>
            </w:r>
          </w:p>
        </w:tc>
      </w:tr>
      <w:tr w:rsidR="005D3B30" w:rsidRPr="005D3B30" w14:paraId="3887EB39" w14:textId="77777777" w:rsidTr="00E818B7">
        <w:tc>
          <w:tcPr>
            <w:tcW w:w="0" w:type="auto"/>
            <w:hideMark/>
          </w:tcPr>
          <w:p w14:paraId="182F672D"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Software Supply Chain</w:t>
            </w:r>
          </w:p>
        </w:tc>
        <w:tc>
          <w:tcPr>
            <w:tcW w:w="0" w:type="auto"/>
            <w:hideMark/>
          </w:tcPr>
          <w:p w14:paraId="6D95E37D"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Compromised build pipeline injects unauthorised code or modifies release artefacts</w:t>
            </w:r>
          </w:p>
        </w:tc>
        <w:tc>
          <w:tcPr>
            <w:tcW w:w="0" w:type="auto"/>
            <w:hideMark/>
          </w:tcPr>
          <w:p w14:paraId="2A4530D1"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Medium</w:t>
            </w:r>
          </w:p>
        </w:tc>
        <w:tc>
          <w:tcPr>
            <w:tcW w:w="0" w:type="auto"/>
            <w:hideMark/>
          </w:tcPr>
          <w:p w14:paraId="3B6E85E3"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High</w:t>
            </w:r>
          </w:p>
        </w:tc>
        <w:tc>
          <w:tcPr>
            <w:tcW w:w="0" w:type="auto"/>
            <w:hideMark/>
          </w:tcPr>
          <w:p w14:paraId="1A1325A4"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DORA operational resilience and incident preparedness, NIS2 incident prevention and handling capability</w:t>
            </w:r>
          </w:p>
        </w:tc>
        <w:tc>
          <w:tcPr>
            <w:tcW w:w="0" w:type="auto"/>
            <w:hideMark/>
          </w:tcPr>
          <w:p w14:paraId="6B97C5B0"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Zero Trust access to build systems via ZTNA, segregation of duties, short-lived credentials, signed commits and artefacts, tamper-evident logging to SIEM, automated containment for high confidence compromise</w:t>
            </w:r>
          </w:p>
        </w:tc>
      </w:tr>
      <w:tr w:rsidR="005D3B30" w:rsidRPr="005D3B30" w14:paraId="1CAAB470" w14:textId="77777777" w:rsidTr="00E818B7">
        <w:tc>
          <w:tcPr>
            <w:tcW w:w="0" w:type="auto"/>
            <w:hideMark/>
          </w:tcPr>
          <w:p w14:paraId="5157ADF7"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Cloud Misconfiguration</w:t>
            </w:r>
          </w:p>
        </w:tc>
        <w:tc>
          <w:tcPr>
            <w:tcW w:w="0" w:type="auto"/>
            <w:hideMark/>
          </w:tcPr>
          <w:p w14:paraId="2BB9C8C7"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Excessive cloud permissions enable unauthorised access and privilege escalation across SaaS and cloud resources</w:t>
            </w:r>
          </w:p>
        </w:tc>
        <w:tc>
          <w:tcPr>
            <w:tcW w:w="0" w:type="auto"/>
            <w:hideMark/>
          </w:tcPr>
          <w:p w14:paraId="1158514A"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High</w:t>
            </w:r>
          </w:p>
        </w:tc>
        <w:tc>
          <w:tcPr>
            <w:tcW w:w="0" w:type="auto"/>
            <w:hideMark/>
          </w:tcPr>
          <w:p w14:paraId="043332F1"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High</w:t>
            </w:r>
          </w:p>
        </w:tc>
        <w:tc>
          <w:tcPr>
            <w:tcW w:w="0" w:type="auto"/>
            <w:hideMark/>
          </w:tcPr>
          <w:p w14:paraId="3B35FDB9"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DORA access control and ICT risk mitigation, NIS2 risk management measures</w:t>
            </w:r>
          </w:p>
        </w:tc>
        <w:tc>
          <w:tcPr>
            <w:tcW w:w="0" w:type="auto"/>
            <w:hideMark/>
          </w:tcPr>
          <w:p w14:paraId="21538890"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Phishing-resistant MFA, identity-centric access policies, least privilege with CIEM, continuous session verification, Privileged Access Management (PAM), policy as code guardrails with automated remediation</w:t>
            </w:r>
          </w:p>
        </w:tc>
      </w:tr>
      <w:tr w:rsidR="005D3B30" w:rsidRPr="005D3B30" w14:paraId="4CFBD035" w14:textId="77777777" w:rsidTr="00E818B7">
        <w:tc>
          <w:tcPr>
            <w:tcW w:w="0" w:type="auto"/>
            <w:hideMark/>
          </w:tcPr>
          <w:p w14:paraId="5BD8E209"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Cloud Misconfiguration</w:t>
            </w:r>
          </w:p>
        </w:tc>
        <w:tc>
          <w:tcPr>
            <w:tcW w:w="0" w:type="auto"/>
            <w:hideMark/>
          </w:tcPr>
          <w:p w14:paraId="2A6459B3"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Publicly exposed cloud storage or insecure API configuration leads to sensitive data leakage or service disruption</w:t>
            </w:r>
          </w:p>
        </w:tc>
        <w:tc>
          <w:tcPr>
            <w:tcW w:w="0" w:type="auto"/>
            <w:hideMark/>
          </w:tcPr>
          <w:p w14:paraId="66D1E71D"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Medium</w:t>
            </w:r>
          </w:p>
        </w:tc>
        <w:tc>
          <w:tcPr>
            <w:tcW w:w="0" w:type="auto"/>
            <w:hideMark/>
          </w:tcPr>
          <w:p w14:paraId="1D9C417E"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High</w:t>
            </w:r>
          </w:p>
        </w:tc>
        <w:tc>
          <w:tcPr>
            <w:tcW w:w="0" w:type="auto"/>
            <w:hideMark/>
          </w:tcPr>
          <w:p w14:paraId="0E893F37"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DORA protection of information assets and resilience measures, NIS2 impact reduction and incident readiness</w:t>
            </w:r>
          </w:p>
        </w:tc>
        <w:tc>
          <w:tcPr>
            <w:tcW w:w="0" w:type="auto"/>
            <w:hideMark/>
          </w:tcPr>
          <w:p w14:paraId="424ADC8C" w14:textId="77777777" w:rsidR="005D3B30" w:rsidRPr="005D3B30" w:rsidRDefault="005D3B30" w:rsidP="00E818B7">
            <w:pPr>
              <w:pStyle w:val="p1"/>
              <w:spacing w:before="0" w:beforeAutospacing="0" w:after="0" w:afterAutospacing="0" w:line="276" w:lineRule="auto"/>
              <w:jc w:val="both"/>
              <w:rPr>
                <w:color w:val="000000" w:themeColor="text1"/>
                <w:sz w:val="16"/>
                <w:szCs w:val="16"/>
              </w:rPr>
            </w:pPr>
            <w:r w:rsidRPr="005D3B30">
              <w:rPr>
                <w:color w:val="000000" w:themeColor="text1"/>
                <w:sz w:val="16"/>
                <w:szCs w:val="16"/>
              </w:rPr>
              <w:t>CSPM with continuous posture monitoring, least privilege storage and API access, automated policy enforcement, encryption and key management controls, centralised logging and alerting to SIEM with SOAR playbooks for rapid containment</w:t>
            </w:r>
          </w:p>
        </w:tc>
      </w:tr>
    </w:tbl>
    <w:p w14:paraId="143F9FC9" w14:textId="2792A09B" w:rsidR="005D3B30" w:rsidRDefault="005D3B30" w:rsidP="00603EA3">
      <w:pPr>
        <w:pStyle w:val="Heading5"/>
      </w:pPr>
      <w:r w:rsidRPr="005D3B30">
        <w:rPr>
          <w:rFonts w:cs="Times New Roman"/>
        </w:rPr>
        <w:t xml:space="preserve">Table 3: </w:t>
      </w:r>
      <w:r w:rsidR="00E818B7" w:rsidRPr="00E818B7">
        <w:t>High-Level Risk Assessment and Zero Trust–Aligned Risk Treatment</w:t>
      </w:r>
      <w:r w:rsidR="00603EA3">
        <w:t xml:space="preserve"> </w:t>
      </w:r>
      <w:r w:rsidR="00603EA3" w:rsidRPr="00603EA3">
        <w:t>(author’s own work)</w:t>
      </w:r>
    </w:p>
    <w:p w14:paraId="1C7F90CC" w14:textId="77777777" w:rsidR="00603EA3" w:rsidRPr="00603EA3" w:rsidRDefault="00603EA3" w:rsidP="00603EA3"/>
    <w:p w14:paraId="67E1B111" w14:textId="77777777" w:rsidR="005D3B30" w:rsidRPr="005D3B30" w:rsidRDefault="005D3B30" w:rsidP="00E818B7">
      <w:pPr>
        <w:pStyle w:val="Heading3"/>
      </w:pPr>
      <w:bookmarkStart w:id="200" w:name="_Toc218600700"/>
      <w:bookmarkStart w:id="201" w:name="_Toc218601275"/>
      <w:bookmarkStart w:id="202" w:name="_Toc218601896"/>
      <w:bookmarkStart w:id="203" w:name="_Toc218601962"/>
      <w:r w:rsidRPr="005D3B30">
        <w:t>4.4 Regulatory Alignment and Governance Implications</w:t>
      </w:r>
      <w:bookmarkEnd w:id="200"/>
      <w:bookmarkEnd w:id="201"/>
      <w:bookmarkEnd w:id="202"/>
      <w:bookmarkEnd w:id="203"/>
    </w:p>
    <w:p w14:paraId="5852CB37" w14:textId="77777777" w:rsidR="005D3B30" w:rsidRP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This risk-based approach supports DORA by ensuring that high-impact ICT risks receive prioritised treatment and ongoing oversight in line with expectations for proportionate risk management and operational resilience [1]. The structured focus on supply chain and cloud misconfiguration threats also addresses NIS2 obligations for risk analysis, preventive measures, and incident preparedness [2].</w:t>
      </w:r>
    </w:p>
    <w:p w14:paraId="03C0A9B4" w14:textId="58BFAB9C" w:rsid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Linking each risk to specific Zero Trust-aligned mitigations gives the board clear visibility of how security investment reduces business and regulatory exposure. Risk management is therefore positioned as a core governance activity that underpins informed decision-making, regulatory assurance, and long-term organisational resilience [3], [4].</w:t>
      </w:r>
    </w:p>
    <w:p w14:paraId="5412B7F4" w14:textId="77777777" w:rsidR="008623E0" w:rsidRPr="005D3B30" w:rsidRDefault="008623E0" w:rsidP="00117E07">
      <w:pPr>
        <w:pStyle w:val="p1"/>
        <w:spacing w:before="0" w:beforeAutospacing="0" w:after="0" w:afterAutospacing="0" w:line="276" w:lineRule="auto"/>
        <w:jc w:val="both"/>
        <w:rPr>
          <w:color w:val="000000" w:themeColor="text1"/>
        </w:rPr>
      </w:pPr>
    </w:p>
    <w:p w14:paraId="214ECD27" w14:textId="1F3B72B6" w:rsidR="005D3B30" w:rsidRPr="00E818B7" w:rsidRDefault="005D3B30" w:rsidP="00E818B7">
      <w:pPr>
        <w:pStyle w:val="Heading2"/>
      </w:pPr>
      <w:bookmarkStart w:id="204" w:name="_Toc218600701"/>
      <w:bookmarkStart w:id="205" w:name="_Toc218601276"/>
      <w:bookmarkStart w:id="206" w:name="_Toc218601897"/>
      <w:bookmarkStart w:id="207" w:name="_Toc218601963"/>
      <w:r w:rsidRPr="00E818B7">
        <w:lastRenderedPageBreak/>
        <w:t>5. Protection and Detection Mechanisms</w:t>
      </w:r>
      <w:bookmarkEnd w:id="204"/>
      <w:bookmarkEnd w:id="205"/>
      <w:bookmarkEnd w:id="206"/>
      <w:bookmarkEnd w:id="207"/>
    </w:p>
    <w:p w14:paraId="67210A7C" w14:textId="77777777" w:rsidR="005D3B30" w:rsidRPr="005D3B30" w:rsidRDefault="005D3B30" w:rsidP="00E818B7">
      <w:pPr>
        <w:pStyle w:val="Heading3"/>
      </w:pPr>
      <w:bookmarkStart w:id="208" w:name="_Toc218600702"/>
      <w:bookmarkStart w:id="209" w:name="_Toc218601277"/>
      <w:bookmarkStart w:id="210" w:name="_Toc218601898"/>
      <w:bookmarkStart w:id="211" w:name="_Toc218601964"/>
      <w:r w:rsidRPr="005D3B30">
        <w:t>5.1 Zero Trust Aligned Protection Strategy</w:t>
      </w:r>
      <w:bookmarkEnd w:id="208"/>
      <w:bookmarkEnd w:id="209"/>
      <w:bookmarkEnd w:id="210"/>
      <w:bookmarkEnd w:id="211"/>
    </w:p>
    <w:p w14:paraId="799C3586"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Given the hybrid workforce, cloud-native architecture, and AI-driven delivery model, protection mechanisms focus on identity-based access control, endpoint assurance, and secure cloud configuration. These controls directly address the main risks identified in Section 4, particularly software supply chain compromise and cloud misconfiguration, and support proportional, risk-driven security investment [3]–[5].</w:t>
      </w:r>
    </w:p>
    <w:p w14:paraId="5E531171" w14:textId="77777777" w:rsidR="005D3B30" w:rsidRPr="005D3B30" w:rsidRDefault="005D3B30" w:rsidP="005D3B30">
      <w:pPr>
        <w:pStyle w:val="p1"/>
        <w:spacing w:before="0" w:beforeAutospacing="0" w:after="0" w:afterAutospacing="0" w:line="276" w:lineRule="auto"/>
        <w:jc w:val="both"/>
        <w:rPr>
          <w:color w:val="000000" w:themeColor="text1"/>
        </w:rPr>
      </w:pPr>
    </w:p>
    <w:p w14:paraId="36B2AAB7" w14:textId="33D10088" w:rsidR="005D3B30" w:rsidRPr="005D3B30" w:rsidRDefault="005D3B30" w:rsidP="00E818B7">
      <w:pPr>
        <w:pStyle w:val="Heading3"/>
      </w:pPr>
      <w:bookmarkStart w:id="212" w:name="_Toc218600703"/>
      <w:bookmarkStart w:id="213" w:name="_Toc218601278"/>
      <w:bookmarkStart w:id="214" w:name="_Toc218601899"/>
      <w:bookmarkStart w:id="215" w:name="_Toc218601965"/>
      <w:r w:rsidRPr="005D3B30">
        <w:t>5.2 Identity and Access Protection Controls</w:t>
      </w:r>
      <w:bookmarkEnd w:id="212"/>
      <w:bookmarkEnd w:id="213"/>
      <w:bookmarkEnd w:id="214"/>
      <w:bookmarkEnd w:id="215"/>
    </w:p>
    <w:p w14:paraId="7F4BFB21" w14:textId="674689E8" w:rsidR="005D3B30" w:rsidRPr="00E818B7" w:rsidRDefault="005D3B30" w:rsidP="00E818B7">
      <w:pPr>
        <w:pStyle w:val="Heading4"/>
      </w:pPr>
      <w:r w:rsidRPr="00E818B7">
        <w:t>5.2.1 Phishing Resistant Multi Factor Authentication (MFA)</w:t>
      </w:r>
    </w:p>
    <w:p w14:paraId="20EE1A39"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Identity is treated as the primary security control plane. Access to cloud platforms, SaaS services, development environments, and administrative interfaces is protected using phishing-resistant multi-factor authentication, in line with authenticator-assurance guidance and Zero Trust design principles [4], [9]. This lowers the likelihood of credential compromise, a common initial access vector in SaaS and hybrid environments and provides stronger identity assurance for privileged and other high-risk access paths [8], [9].</w:t>
      </w:r>
    </w:p>
    <w:p w14:paraId="5E99AD5D" w14:textId="77777777" w:rsidR="005D3B30" w:rsidRPr="005D3B30" w:rsidRDefault="005D3B30" w:rsidP="005D3B30">
      <w:pPr>
        <w:pStyle w:val="p1"/>
        <w:spacing w:before="0" w:beforeAutospacing="0" w:after="0" w:afterAutospacing="0" w:line="276" w:lineRule="auto"/>
        <w:jc w:val="both"/>
        <w:rPr>
          <w:color w:val="000000" w:themeColor="text1"/>
        </w:rPr>
      </w:pPr>
    </w:p>
    <w:p w14:paraId="6970D27F" w14:textId="18257D20" w:rsidR="005D3B30" w:rsidRPr="00A77C9A" w:rsidRDefault="005D3B30" w:rsidP="00A77C9A">
      <w:pPr>
        <w:pStyle w:val="Heading4"/>
      </w:pPr>
      <w:r w:rsidRPr="00A77C9A">
        <w:t>5.2.2 Zero Trust Network Access (ZTNA)</w:t>
      </w:r>
    </w:p>
    <w:p w14:paraId="28485184" w14:textId="77777777" w:rsidR="005D3B30" w:rsidRDefault="005D3B30" w:rsidP="005D3B30">
      <w:pPr>
        <w:pStyle w:val="p1"/>
        <w:spacing w:before="0" w:beforeAutospacing="0" w:after="0" w:afterAutospacing="0" w:line="276" w:lineRule="auto"/>
        <w:jc w:val="both"/>
        <w:rPr>
          <w:color w:val="000000" w:themeColor="text1"/>
        </w:rPr>
      </w:pPr>
      <w:r w:rsidRPr="005D3B30">
        <w:rPr>
          <w:color w:val="000000" w:themeColor="text1"/>
        </w:rPr>
        <w:t>ZTNA replaces VPN-based access by enforcing application-level decisions based on verified identity, device posture, and contextual risk. Users and developers are granted access only to explicitly authorised services, which reduces lateral movement and limits the blast radius in the event of compromise [4], [5]. This provides controlled access to critical ICT assets and aligns with DORA expectations for strong access control and ICT risk reduction [1], [4].</w:t>
      </w:r>
    </w:p>
    <w:p w14:paraId="07BB0912" w14:textId="77777777" w:rsidR="005D3B30" w:rsidRPr="005D3B30" w:rsidRDefault="005D3B30" w:rsidP="005D3B30">
      <w:pPr>
        <w:pStyle w:val="p1"/>
        <w:spacing w:before="0" w:beforeAutospacing="0" w:after="0" w:afterAutospacing="0" w:line="276" w:lineRule="auto"/>
        <w:jc w:val="both"/>
        <w:rPr>
          <w:color w:val="000000" w:themeColor="text1"/>
        </w:rPr>
      </w:pPr>
    </w:p>
    <w:p w14:paraId="4049E163" w14:textId="24DA56F4" w:rsidR="005D3B30" w:rsidRPr="005D3B30" w:rsidRDefault="005D3B30" w:rsidP="00E818B7">
      <w:pPr>
        <w:pStyle w:val="Heading3"/>
      </w:pPr>
      <w:bookmarkStart w:id="216" w:name="_Toc218600704"/>
      <w:bookmarkStart w:id="217" w:name="_Toc218601279"/>
      <w:bookmarkStart w:id="218" w:name="_Toc218601900"/>
      <w:bookmarkStart w:id="219" w:name="_Toc218601966"/>
      <w:r w:rsidRPr="005D3B30">
        <w:t>5.3 Endpoint and Cloud Protection Mechanisms</w:t>
      </w:r>
      <w:bookmarkEnd w:id="216"/>
      <w:bookmarkEnd w:id="217"/>
      <w:bookmarkEnd w:id="218"/>
      <w:bookmarkEnd w:id="219"/>
    </w:p>
    <w:p w14:paraId="6D585D11" w14:textId="77777777" w:rsidR="005D3B30" w:rsidRPr="00E818B7" w:rsidRDefault="005D3B30" w:rsidP="008623E0">
      <w:pPr>
        <w:pStyle w:val="Heading5"/>
      </w:pPr>
      <w:r w:rsidRPr="00E818B7">
        <w:t>5.3.1 Endpoint Detection and Response (EDR) with Automated Response</w:t>
      </w:r>
    </w:p>
    <w:p w14:paraId="71F747AA" w14:textId="77777777" w:rsid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EDR is deployed across corporate and approved BYOD endpoints to provide continuous visibility into device activity. Automated actions such as process isolation, account lockout, and session termination enable rapid containment of high-confidence threats and reduce dwell time in line with recognised response playbooks [7], [8]. This contributes to operational resilience while staying within governance oversight and agreed risk appetite [1], [3], [7].</w:t>
      </w:r>
    </w:p>
    <w:p w14:paraId="7339516C" w14:textId="77777777" w:rsidR="00117E07" w:rsidRPr="005D3B30" w:rsidRDefault="00117E07" w:rsidP="00117E07">
      <w:pPr>
        <w:pStyle w:val="p1"/>
        <w:spacing w:before="0" w:beforeAutospacing="0" w:after="0" w:afterAutospacing="0" w:line="276" w:lineRule="auto"/>
        <w:jc w:val="both"/>
        <w:rPr>
          <w:color w:val="000000" w:themeColor="text1"/>
        </w:rPr>
      </w:pPr>
    </w:p>
    <w:p w14:paraId="36853394" w14:textId="77777777" w:rsidR="005D3B30" w:rsidRPr="00A77C9A" w:rsidRDefault="005D3B30" w:rsidP="008623E0">
      <w:pPr>
        <w:pStyle w:val="Heading5"/>
      </w:pPr>
      <w:r w:rsidRPr="00A77C9A">
        <w:t>5.3.2 Cloud Security Posture Management (CSPM)</w:t>
      </w:r>
    </w:p>
    <w:p w14:paraId="2F18811E" w14:textId="77777777" w:rsidR="005D3B30" w:rsidRP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CSPM is used to continuously assess cloud configurations against security baselines and governance expectations, helping to detect misconfigurations that commonly expose data or services in cloud environments [1], [3], [10]. Issues involving identity permissions, storage exposure, or network access are identified early and remediated through controlled workflows or automation, enabling timely risk reduction and evidence-ready compliance [10]. This directly mitigates the high-impact cloud misconfiguration risks identified in the threat landscape [3], [8], [10].</w:t>
      </w:r>
    </w:p>
    <w:p w14:paraId="54877F41" w14:textId="4CC91D7A" w:rsidR="005D3B30" w:rsidRPr="005D3B30" w:rsidRDefault="005D3B30" w:rsidP="00E818B7">
      <w:pPr>
        <w:pStyle w:val="Heading3"/>
      </w:pPr>
      <w:bookmarkStart w:id="220" w:name="_Toc218600705"/>
      <w:bookmarkStart w:id="221" w:name="_Toc218601280"/>
      <w:bookmarkStart w:id="222" w:name="_Toc218601901"/>
      <w:bookmarkStart w:id="223" w:name="_Toc218601967"/>
      <w:r w:rsidRPr="005D3B30">
        <w:lastRenderedPageBreak/>
        <w:t>5.4 Detection and Security Monitoring</w:t>
      </w:r>
      <w:bookmarkEnd w:id="220"/>
      <w:bookmarkEnd w:id="221"/>
      <w:bookmarkEnd w:id="222"/>
      <w:bookmarkEnd w:id="223"/>
    </w:p>
    <w:p w14:paraId="6D29B821" w14:textId="77777777" w:rsidR="005D3B30" w:rsidRPr="00E818B7" w:rsidRDefault="005D3B30" w:rsidP="00E818B7">
      <w:pPr>
        <w:pStyle w:val="Heading4"/>
      </w:pPr>
      <w:r w:rsidRPr="00E818B7">
        <w:t>5.4.1 Security Information and Event Management (SIEM)</w:t>
      </w:r>
    </w:p>
    <w:p w14:paraId="7489A9D2" w14:textId="77777777" w:rsid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Detection is centralised through a SIEM platform that aggregates identity, endpoint, cloud control-plane, and application telemetry. Correlation rules prioritise identity-based anomalies, privilege escalation attempts, and suspicious access patterns, aligning monitoring with the highest-risk scenarios and supporting secure software and operational oversight [6], [8].</w:t>
      </w:r>
    </w:p>
    <w:p w14:paraId="186E8DD2" w14:textId="77777777" w:rsidR="00117E07" w:rsidRPr="005D3B30" w:rsidRDefault="00117E07" w:rsidP="00117E07">
      <w:pPr>
        <w:pStyle w:val="p1"/>
        <w:spacing w:before="0" w:beforeAutospacing="0" w:after="0" w:afterAutospacing="0" w:line="276" w:lineRule="auto"/>
        <w:jc w:val="both"/>
        <w:rPr>
          <w:color w:val="000000" w:themeColor="text1"/>
        </w:rPr>
      </w:pPr>
    </w:p>
    <w:p w14:paraId="6044C36A" w14:textId="77777777" w:rsidR="005D3B30" w:rsidRPr="00E818B7" w:rsidRDefault="005D3B30" w:rsidP="008623E0">
      <w:pPr>
        <w:pStyle w:val="Heading5"/>
      </w:pPr>
      <w:r w:rsidRPr="00E818B7">
        <w:t>5.4.2 SOC Workflows and Incident Escalation</w:t>
      </w:r>
    </w:p>
    <w:p w14:paraId="4909A986" w14:textId="77777777" w:rsid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Detection outputs feed into defined SOC workflows that combine automated triage with analyst oversight. Alerts are categorised by severity and business impact to keep responses proportionate, auditable, and aligned with incident-handling playbooks [7]. This approach supports DORA’s requirement for timely detection and response and NIS2’s expectations for effective incident handling and readiness [1], [2], [7].</w:t>
      </w:r>
    </w:p>
    <w:p w14:paraId="40064507" w14:textId="77777777" w:rsidR="00E818B7" w:rsidRPr="005D3B30" w:rsidRDefault="00E818B7" w:rsidP="00117E07">
      <w:pPr>
        <w:pStyle w:val="p1"/>
        <w:spacing w:before="0" w:beforeAutospacing="0" w:after="0" w:afterAutospacing="0" w:line="276" w:lineRule="auto"/>
        <w:jc w:val="both"/>
        <w:rPr>
          <w:color w:val="000000" w:themeColor="text1"/>
        </w:rPr>
      </w:pPr>
    </w:p>
    <w:p w14:paraId="12B968BA" w14:textId="77777777" w:rsidR="005D3B30" w:rsidRPr="005D3B30" w:rsidRDefault="005D3B30" w:rsidP="00E818B7">
      <w:pPr>
        <w:pStyle w:val="Heading3"/>
      </w:pPr>
      <w:bookmarkStart w:id="224" w:name="_Toc218600706"/>
      <w:bookmarkStart w:id="225" w:name="_Toc218601281"/>
      <w:bookmarkStart w:id="226" w:name="_Toc218601902"/>
      <w:bookmarkStart w:id="227" w:name="_Toc218601968"/>
      <w:r w:rsidRPr="005D3B30">
        <w:t>5.5 Regulatory and Strategic Alignment</w:t>
      </w:r>
      <w:bookmarkEnd w:id="224"/>
      <w:bookmarkEnd w:id="225"/>
      <w:bookmarkEnd w:id="226"/>
      <w:bookmarkEnd w:id="227"/>
    </w:p>
    <w:p w14:paraId="6DF36263" w14:textId="77777777" w:rsid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Collectively, these protection and detection mechanisms provide defence in depth without relying on implicit trust, consistent with Zero Trust design principles and EU regulatory expectations [1], [2], [4]. DORA requirements for detection, response, and operational resilience are addressed through continuous monitoring and governed automation, while NIS2 obligations around preventive and detective measures are supported by structured governance, reporting readiness, and SOC workflows that correlate identity, endpoint, and cloud control-plane telemetry for effective detection, containment, and evidence collection [1]–[3], [7], [8].</w:t>
      </w:r>
    </w:p>
    <w:p w14:paraId="786AEA2D" w14:textId="77777777" w:rsidR="00117E07" w:rsidRPr="005D3B30" w:rsidRDefault="00117E07" w:rsidP="00117E07">
      <w:pPr>
        <w:pStyle w:val="p1"/>
        <w:spacing w:before="0" w:beforeAutospacing="0" w:after="0" w:afterAutospacing="0" w:line="276" w:lineRule="auto"/>
        <w:jc w:val="both"/>
        <w:rPr>
          <w:color w:val="000000" w:themeColor="text1"/>
        </w:rPr>
      </w:pPr>
    </w:p>
    <w:p w14:paraId="35076E95" w14:textId="38A6A5CD" w:rsidR="005D3B30" w:rsidRPr="00117E07" w:rsidRDefault="005D3B30" w:rsidP="00E818B7">
      <w:pPr>
        <w:pStyle w:val="Heading2"/>
        <w:rPr>
          <w:bCs/>
        </w:rPr>
      </w:pPr>
      <w:bookmarkStart w:id="228" w:name="_Toc218600707"/>
      <w:bookmarkStart w:id="229" w:name="_Toc218601282"/>
      <w:bookmarkStart w:id="230" w:name="_Toc218601903"/>
      <w:bookmarkStart w:id="231" w:name="_Toc218601969"/>
      <w:r w:rsidRPr="005D3B30">
        <w:t>6. Incident Response and Operational Resilience</w:t>
      </w:r>
      <w:bookmarkEnd w:id="228"/>
      <w:bookmarkEnd w:id="229"/>
      <w:bookmarkEnd w:id="230"/>
      <w:bookmarkEnd w:id="231"/>
    </w:p>
    <w:p w14:paraId="792A16B4" w14:textId="77777777" w:rsidR="005D3B30" w:rsidRPr="005D3B30" w:rsidRDefault="005D3B30" w:rsidP="00E818B7">
      <w:pPr>
        <w:pStyle w:val="Heading3"/>
      </w:pPr>
      <w:bookmarkStart w:id="232" w:name="_Toc218600708"/>
      <w:bookmarkStart w:id="233" w:name="_Toc218601283"/>
      <w:bookmarkStart w:id="234" w:name="_Toc218601904"/>
      <w:bookmarkStart w:id="235" w:name="_Toc218601970"/>
      <w:r w:rsidRPr="005D3B30">
        <w:t>6.1 Incident Response as a Core Capability of Zero Trust</w:t>
      </w:r>
      <w:bookmarkEnd w:id="232"/>
      <w:bookmarkEnd w:id="233"/>
      <w:bookmarkEnd w:id="234"/>
      <w:bookmarkEnd w:id="235"/>
    </w:p>
    <w:p w14:paraId="5EB5E9A8"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In a Zero Trust-aligned security programme, incident response is treated as a continuous operational capability rather than an exceptional activity, supporting business continuity, service reliability, and trust in proprietary AI services. The focus is on early detection, rapid containment, coordinated escalation, and controlled recovery, in line with DORA’s emphasis on operational resilience and NIS2 requirements for effective incident handling and reporting [1], [2].</w:t>
      </w:r>
    </w:p>
    <w:p w14:paraId="03D1AC06" w14:textId="77777777" w:rsidR="005D3B30" w:rsidRPr="005D3B30" w:rsidRDefault="005D3B30" w:rsidP="00E818B7">
      <w:pPr>
        <w:pStyle w:val="Heading3"/>
      </w:pPr>
      <w:bookmarkStart w:id="236" w:name="_Toc218600709"/>
      <w:bookmarkStart w:id="237" w:name="_Toc218601284"/>
      <w:bookmarkStart w:id="238" w:name="_Toc218601905"/>
      <w:bookmarkStart w:id="239" w:name="_Toc218601971"/>
      <w:r w:rsidRPr="005D3B30">
        <w:t>6.2 SOC Workflows and Detection to Response Integration</w:t>
      </w:r>
      <w:bookmarkEnd w:id="236"/>
      <w:bookmarkEnd w:id="237"/>
      <w:bookmarkEnd w:id="238"/>
      <w:bookmarkEnd w:id="239"/>
    </w:p>
    <w:p w14:paraId="1DC11B6D"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SOC workflows underpin incident response by triaging signals from SIEM, EDR, identity systems, and cloud platforms against predefined severity levels linked to business impact, in line with recognised operational guidance [7], [8]. Lower-severity events lead to enhanced monitoring and enrichment, while high-confidence indicators of compromise trigger automated containment actions such as session termination or access restriction, followed by analyst validation to maintain accountability [7]. Clear handovers ensure containment does not hinder investigation or evidence collection and support Zero Trust principles by keeping access decisions reversible and continuously reassessed throughout the incident lifecycle [4].</w:t>
      </w:r>
    </w:p>
    <w:p w14:paraId="1445F5BF" w14:textId="77777777" w:rsidR="005D3B30" w:rsidRPr="005D3B30" w:rsidRDefault="005D3B30" w:rsidP="00E818B7">
      <w:pPr>
        <w:pStyle w:val="Heading3"/>
      </w:pPr>
      <w:bookmarkStart w:id="240" w:name="_Toc218600710"/>
      <w:bookmarkStart w:id="241" w:name="_Toc218601285"/>
      <w:bookmarkStart w:id="242" w:name="_Toc218601906"/>
      <w:bookmarkStart w:id="243" w:name="_Toc218601972"/>
      <w:r w:rsidRPr="005D3B30">
        <w:lastRenderedPageBreak/>
        <w:t>6.3 Operational Resilience and DORA Alignment</w:t>
      </w:r>
      <w:bookmarkEnd w:id="240"/>
      <w:bookmarkEnd w:id="241"/>
      <w:bookmarkEnd w:id="242"/>
      <w:bookmarkEnd w:id="243"/>
    </w:p>
    <w:p w14:paraId="5AF16F5C"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DORA requires organisations to withstand, respond to, and recover from ICT incidents that affect critical services [1]. The incident-response framework addresses this by integrating detection, response, and recovery into a single operational resilience model, supported by service-impact assessments and clear escalation criteria for business continuity or disaster recovery activation. Regular scenario testing validates the effectiveness of these workflows and generates auditable evidence for resilience testing, incident documentation, and management oversight [1].</w:t>
      </w:r>
    </w:p>
    <w:p w14:paraId="7B4A077E" w14:textId="77777777" w:rsidR="005D3B30" w:rsidRPr="005D3B30" w:rsidRDefault="005D3B30" w:rsidP="00E818B7">
      <w:pPr>
        <w:pStyle w:val="Heading3"/>
      </w:pPr>
      <w:bookmarkStart w:id="244" w:name="_Toc218600711"/>
      <w:bookmarkStart w:id="245" w:name="_Toc218601286"/>
      <w:bookmarkStart w:id="246" w:name="_Toc218601907"/>
      <w:bookmarkStart w:id="247" w:name="_Toc218601973"/>
      <w:r w:rsidRPr="005D3B30">
        <w:t>6.4 NIS2 Incident Reporting and Regulatory Accountability</w:t>
      </w:r>
      <w:bookmarkEnd w:id="244"/>
      <w:bookmarkEnd w:id="245"/>
      <w:bookmarkEnd w:id="246"/>
      <w:bookmarkEnd w:id="247"/>
    </w:p>
    <w:p w14:paraId="620E5C44"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NIS2 requires timely incident notification and structured communication with competent authorities [2]. Incident-response workflows therefore include defined reporting thresholds, decision points, and escalation paths aligned to NIS2 severity and impact criteria, with clear accountability for notification so that regulatory timelines are met alongside containment and recovery activities [2].</w:t>
      </w:r>
    </w:p>
    <w:p w14:paraId="5BF68155" w14:textId="77777777" w:rsidR="005D3B30" w:rsidRPr="005D3B30" w:rsidRDefault="005D3B30" w:rsidP="00E818B7">
      <w:pPr>
        <w:pStyle w:val="Heading3"/>
      </w:pPr>
      <w:bookmarkStart w:id="248" w:name="_Toc218600712"/>
      <w:bookmarkStart w:id="249" w:name="_Toc218601287"/>
      <w:bookmarkStart w:id="250" w:name="_Toc218601908"/>
      <w:bookmarkStart w:id="251" w:name="_Toc218601974"/>
      <w:r w:rsidRPr="005D3B30">
        <w:t>6.5 Governance, Review, and Continuous Improvement</w:t>
      </w:r>
      <w:bookmarkEnd w:id="248"/>
      <w:bookmarkEnd w:id="249"/>
      <w:bookmarkEnd w:id="250"/>
      <w:bookmarkEnd w:id="251"/>
    </w:p>
    <w:p w14:paraId="1ACC718C"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Post incident reviews are used to update detection logic, automation thresholds, and playbooks under formal change control, while incident metrics are reported through governance channels to support assurance and continuous improvement [3], [7].</w:t>
      </w:r>
    </w:p>
    <w:p w14:paraId="42184183" w14:textId="7B2BB849" w:rsidR="005D3B30" w:rsidRPr="005D3B30" w:rsidRDefault="005D3B30" w:rsidP="00E818B7">
      <w:pPr>
        <w:pStyle w:val="Heading2"/>
      </w:pPr>
      <w:bookmarkStart w:id="252" w:name="_Toc218600713"/>
      <w:bookmarkStart w:id="253" w:name="_Toc218601288"/>
      <w:bookmarkStart w:id="254" w:name="_Toc218601909"/>
      <w:bookmarkStart w:id="255" w:name="_Toc218601975"/>
      <w:r w:rsidRPr="005D3B30">
        <w:t>7. Disaster Recovery and Contingency Planning</w:t>
      </w:r>
      <w:bookmarkEnd w:id="252"/>
      <w:bookmarkEnd w:id="253"/>
      <w:bookmarkEnd w:id="254"/>
      <w:bookmarkEnd w:id="255"/>
    </w:p>
    <w:p w14:paraId="37962851" w14:textId="77777777" w:rsidR="005D3B30" w:rsidRPr="005D3B30" w:rsidRDefault="005D3B30" w:rsidP="00E818B7">
      <w:pPr>
        <w:pStyle w:val="Heading3"/>
      </w:pPr>
      <w:bookmarkStart w:id="256" w:name="_Toc218600714"/>
      <w:bookmarkStart w:id="257" w:name="_Toc218601289"/>
      <w:bookmarkStart w:id="258" w:name="_Toc218601910"/>
      <w:bookmarkStart w:id="259" w:name="_Toc218601976"/>
      <w:r w:rsidRPr="005D3B30">
        <w:t>7.1 Ransomware as a Critical Resilience Scenario</w:t>
      </w:r>
      <w:bookmarkEnd w:id="256"/>
      <w:bookmarkEnd w:id="257"/>
      <w:bookmarkEnd w:id="258"/>
      <w:bookmarkEnd w:id="259"/>
    </w:p>
    <w:p w14:paraId="16956A38"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Ransomware poses a high-impact risk because critical AI training data and proprietary source code are concentrated assets whose loss or encryption would disrupt service delivery, undermine intellectual property protection, and threaten contractual commitments. Disaster recovery and contingency planning are therefore embedded within operational resilience to meet DORA requirements for continuity and recoverability of critical ICT services [1], [12].</w:t>
      </w:r>
    </w:p>
    <w:p w14:paraId="7D18A20F" w14:textId="77777777" w:rsidR="005D3B30" w:rsidRPr="005D3B30" w:rsidRDefault="005D3B30" w:rsidP="00E818B7">
      <w:pPr>
        <w:pStyle w:val="Heading3"/>
      </w:pPr>
      <w:bookmarkStart w:id="260" w:name="_Toc218600715"/>
      <w:bookmarkStart w:id="261" w:name="_Toc218601290"/>
      <w:bookmarkStart w:id="262" w:name="_Toc218601911"/>
      <w:bookmarkStart w:id="263" w:name="_Toc218601977"/>
      <w:r w:rsidRPr="005D3B30">
        <w:t>7.2 Zero Trust Aligned Disaster Recovery Principles</w:t>
      </w:r>
      <w:bookmarkEnd w:id="260"/>
      <w:bookmarkEnd w:id="261"/>
      <w:bookmarkEnd w:id="262"/>
      <w:bookmarkEnd w:id="263"/>
    </w:p>
    <w:p w14:paraId="350E10BC"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Disaster recovery planning applies Zero Trust principles to avoid introducing implicit trust during restoration activities. Identity-centric access controls, least privilege, and strong authentication are enforced for backups, recovery environments, and repositories, including during recovery operations [4]. Segregation between production and recovery environments, combined with immutable and logically isolated backups, reduces ransomware propagation and protects data integrity, with regular testing to confirm that these controls remain effective under emergency conditions [12].</w:t>
      </w:r>
    </w:p>
    <w:p w14:paraId="77A4DCBA" w14:textId="77777777" w:rsidR="005D3B30" w:rsidRPr="005D3B30" w:rsidRDefault="005D3B30" w:rsidP="00E818B7">
      <w:pPr>
        <w:pStyle w:val="Heading3"/>
      </w:pPr>
      <w:bookmarkStart w:id="264" w:name="_Toc218600716"/>
      <w:bookmarkStart w:id="265" w:name="_Toc218601291"/>
      <w:bookmarkStart w:id="266" w:name="_Toc218601912"/>
      <w:bookmarkStart w:id="267" w:name="_Toc218601978"/>
      <w:r w:rsidRPr="005D3B30">
        <w:t>7.3 Recovery Strategy for AI Data and Source Code</w:t>
      </w:r>
      <w:bookmarkEnd w:id="264"/>
      <w:bookmarkEnd w:id="265"/>
      <w:bookmarkEnd w:id="266"/>
      <w:bookmarkEnd w:id="267"/>
    </w:p>
    <w:p w14:paraId="0AB4C302"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The recovery strategy prioritises rapid restoration of AI training data and source code using version control and segmented backups, enabling selective recovery without reintroducing compromised artefacts [12]. Integrity checks confirm that restored datasets and code have not been tampered with or poisoned before reintegration, supporting AI service reliability and supply chain resilience [5], [12]. Restoration sequencing and resourcing are based on business impact, with AI model integrity and customer-facing services treated as critical functions [1], [12].</w:t>
      </w:r>
    </w:p>
    <w:p w14:paraId="53A9EBBB" w14:textId="77777777" w:rsidR="005D3B30" w:rsidRPr="005D3B30" w:rsidRDefault="005D3B30" w:rsidP="00E818B7">
      <w:pPr>
        <w:pStyle w:val="Heading3"/>
      </w:pPr>
      <w:bookmarkStart w:id="268" w:name="_Toc218600717"/>
      <w:bookmarkStart w:id="269" w:name="_Toc218601292"/>
      <w:bookmarkStart w:id="270" w:name="_Toc218601913"/>
      <w:bookmarkStart w:id="271" w:name="_Toc218601979"/>
      <w:r w:rsidRPr="005D3B30">
        <w:lastRenderedPageBreak/>
        <w:t>7.4 Recovery Time and Point Objectives (RTO), (RPO) and DORA Alignment</w:t>
      </w:r>
      <w:bookmarkEnd w:id="268"/>
      <w:bookmarkEnd w:id="269"/>
      <w:bookmarkEnd w:id="270"/>
      <w:bookmarkEnd w:id="271"/>
    </w:p>
    <w:p w14:paraId="38C55421"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RTOs and RPOs are set in line with DORA expectations for resilience and service continuity [1]. These targets are derived from impact-tolerance assessments and validated through regular resilience-testing exercises [1], [12]. Documented recovery objectives support governance oversight and provide evidence of preparedness under regulatory scrutiny [1]. Test outcomes are reviewed at management level to confirm that technical recovery capabilities remain aligned with agreed risk appetite and the wider security strategy [1], [3].</w:t>
      </w:r>
    </w:p>
    <w:p w14:paraId="05393EBF" w14:textId="77777777" w:rsidR="005D3B30" w:rsidRPr="005D3B30" w:rsidRDefault="005D3B30" w:rsidP="00E818B7">
      <w:pPr>
        <w:pStyle w:val="Heading3"/>
      </w:pPr>
      <w:bookmarkStart w:id="272" w:name="_Toc218600718"/>
      <w:bookmarkStart w:id="273" w:name="_Toc218601293"/>
      <w:bookmarkStart w:id="274" w:name="_Toc218601914"/>
      <w:bookmarkStart w:id="275" w:name="_Toc218601980"/>
      <w:r w:rsidRPr="005D3B30">
        <w:t>7.5 Governance, Testing and Continuous Improvement</w:t>
      </w:r>
      <w:bookmarkEnd w:id="272"/>
      <w:bookmarkEnd w:id="273"/>
      <w:bookmarkEnd w:id="274"/>
      <w:bookmarkEnd w:id="275"/>
    </w:p>
    <w:p w14:paraId="0028E72E" w14:textId="77777777" w:rsidR="005D3B30" w:rsidRPr="005D3B30" w:rsidRDefault="005D3B30" w:rsidP="00117E07">
      <w:pPr>
        <w:pStyle w:val="p1"/>
        <w:spacing w:before="0" w:beforeAutospacing="0" w:line="276" w:lineRule="auto"/>
        <w:jc w:val="both"/>
        <w:rPr>
          <w:color w:val="000000" w:themeColor="text1"/>
        </w:rPr>
      </w:pPr>
      <w:r w:rsidRPr="005D3B30">
        <w:rPr>
          <w:color w:val="000000" w:themeColor="text1"/>
        </w:rPr>
        <w:t>Disaster recovery is validated through scenario-based ransomware exercises that test coordination, restoration sequencing, access controls, and integrity verification for datasets and repositories, generating auditable evidence of capability [1], [7], [12]. Exercise outcomes are documented, reviewed, and used to update recovery plans and associated controls through formal change governance so that recovery objectives remain achievable and demonstrable over time [3], [12].</w:t>
      </w:r>
    </w:p>
    <w:p w14:paraId="3C396F42" w14:textId="77777777" w:rsidR="005D3B30" w:rsidRPr="005D3B30" w:rsidRDefault="005D3B30" w:rsidP="005D3B30">
      <w:pPr>
        <w:spacing w:line="276" w:lineRule="auto"/>
        <w:jc w:val="both"/>
        <w:rPr>
          <w:b/>
          <w:bCs/>
          <w:color w:val="000000" w:themeColor="text1"/>
        </w:rPr>
      </w:pPr>
    </w:p>
    <w:p w14:paraId="026DFC84" w14:textId="77777777" w:rsidR="005D3B30" w:rsidRPr="005D3B30" w:rsidRDefault="005D3B30" w:rsidP="005D3B30">
      <w:pPr>
        <w:spacing w:line="276" w:lineRule="auto"/>
        <w:jc w:val="both"/>
        <w:rPr>
          <w:b/>
          <w:bCs/>
          <w:color w:val="000000" w:themeColor="text1"/>
        </w:rPr>
      </w:pPr>
    </w:p>
    <w:p w14:paraId="507D0508" w14:textId="77777777" w:rsidR="005D3B30" w:rsidRPr="005D3B30" w:rsidRDefault="005D3B30" w:rsidP="005D3B30">
      <w:pPr>
        <w:spacing w:line="276" w:lineRule="auto"/>
        <w:jc w:val="both"/>
        <w:rPr>
          <w:b/>
          <w:bCs/>
          <w:color w:val="000000" w:themeColor="text1"/>
        </w:rPr>
      </w:pPr>
    </w:p>
    <w:p w14:paraId="6736DCC5" w14:textId="77777777" w:rsidR="005D3B30" w:rsidRDefault="005D3B30" w:rsidP="005D3B30">
      <w:pPr>
        <w:spacing w:line="276" w:lineRule="auto"/>
        <w:jc w:val="both"/>
        <w:rPr>
          <w:b/>
          <w:bCs/>
          <w:color w:val="000000" w:themeColor="text1"/>
        </w:rPr>
      </w:pPr>
    </w:p>
    <w:p w14:paraId="6F8BE30C" w14:textId="77777777" w:rsidR="00117E07" w:rsidRDefault="00117E07" w:rsidP="005D3B30">
      <w:pPr>
        <w:spacing w:line="276" w:lineRule="auto"/>
        <w:jc w:val="both"/>
        <w:rPr>
          <w:b/>
          <w:bCs/>
          <w:color w:val="000000" w:themeColor="text1"/>
        </w:rPr>
      </w:pPr>
    </w:p>
    <w:p w14:paraId="56CCE460" w14:textId="77777777" w:rsidR="00117E07" w:rsidRDefault="00117E07" w:rsidP="005D3B30">
      <w:pPr>
        <w:spacing w:line="276" w:lineRule="auto"/>
        <w:jc w:val="both"/>
        <w:rPr>
          <w:b/>
          <w:bCs/>
          <w:color w:val="000000" w:themeColor="text1"/>
        </w:rPr>
      </w:pPr>
    </w:p>
    <w:p w14:paraId="052839AB" w14:textId="77777777" w:rsidR="00117E07" w:rsidRDefault="00117E07" w:rsidP="005D3B30">
      <w:pPr>
        <w:spacing w:line="276" w:lineRule="auto"/>
        <w:jc w:val="both"/>
        <w:rPr>
          <w:b/>
          <w:bCs/>
          <w:color w:val="000000" w:themeColor="text1"/>
        </w:rPr>
      </w:pPr>
    </w:p>
    <w:p w14:paraId="6B73A520" w14:textId="77777777" w:rsidR="00117E07" w:rsidRDefault="00117E07" w:rsidP="005D3B30">
      <w:pPr>
        <w:spacing w:line="276" w:lineRule="auto"/>
        <w:jc w:val="both"/>
        <w:rPr>
          <w:b/>
          <w:bCs/>
          <w:color w:val="000000" w:themeColor="text1"/>
        </w:rPr>
      </w:pPr>
    </w:p>
    <w:p w14:paraId="6D436FB1" w14:textId="77777777" w:rsidR="00117E07" w:rsidRDefault="00117E07" w:rsidP="005D3B30">
      <w:pPr>
        <w:spacing w:line="276" w:lineRule="auto"/>
        <w:jc w:val="both"/>
        <w:rPr>
          <w:b/>
          <w:bCs/>
          <w:color w:val="000000" w:themeColor="text1"/>
        </w:rPr>
      </w:pPr>
    </w:p>
    <w:p w14:paraId="39C3A15B" w14:textId="77777777" w:rsidR="00117E07" w:rsidRDefault="00117E07" w:rsidP="005D3B30">
      <w:pPr>
        <w:spacing w:line="276" w:lineRule="auto"/>
        <w:jc w:val="both"/>
        <w:rPr>
          <w:b/>
          <w:bCs/>
          <w:color w:val="000000" w:themeColor="text1"/>
        </w:rPr>
      </w:pPr>
    </w:p>
    <w:p w14:paraId="48A729FF" w14:textId="77777777" w:rsidR="00117E07" w:rsidRDefault="00117E07" w:rsidP="005D3B30">
      <w:pPr>
        <w:spacing w:line="276" w:lineRule="auto"/>
        <w:jc w:val="both"/>
        <w:rPr>
          <w:b/>
          <w:bCs/>
          <w:color w:val="000000" w:themeColor="text1"/>
        </w:rPr>
      </w:pPr>
    </w:p>
    <w:p w14:paraId="1B344AA5" w14:textId="77777777" w:rsidR="00117E07" w:rsidRDefault="00117E07" w:rsidP="005D3B30">
      <w:pPr>
        <w:spacing w:line="276" w:lineRule="auto"/>
        <w:jc w:val="both"/>
        <w:rPr>
          <w:b/>
          <w:bCs/>
          <w:color w:val="000000" w:themeColor="text1"/>
        </w:rPr>
      </w:pPr>
    </w:p>
    <w:p w14:paraId="327F6E73" w14:textId="77777777" w:rsidR="00117E07" w:rsidRDefault="00117E07" w:rsidP="005D3B30">
      <w:pPr>
        <w:spacing w:line="276" w:lineRule="auto"/>
        <w:jc w:val="both"/>
        <w:rPr>
          <w:b/>
          <w:bCs/>
          <w:color w:val="000000" w:themeColor="text1"/>
        </w:rPr>
      </w:pPr>
    </w:p>
    <w:p w14:paraId="1CE3E54A" w14:textId="77777777" w:rsidR="00117E07" w:rsidRDefault="00117E07" w:rsidP="005D3B30">
      <w:pPr>
        <w:spacing w:line="276" w:lineRule="auto"/>
        <w:jc w:val="both"/>
        <w:rPr>
          <w:b/>
          <w:bCs/>
          <w:color w:val="000000" w:themeColor="text1"/>
        </w:rPr>
      </w:pPr>
    </w:p>
    <w:p w14:paraId="47B487D2" w14:textId="77777777" w:rsidR="00117E07" w:rsidRDefault="00117E07" w:rsidP="005D3B30">
      <w:pPr>
        <w:spacing w:line="276" w:lineRule="auto"/>
        <w:jc w:val="both"/>
        <w:rPr>
          <w:b/>
          <w:bCs/>
          <w:color w:val="000000" w:themeColor="text1"/>
        </w:rPr>
      </w:pPr>
    </w:p>
    <w:p w14:paraId="5EC2EA00" w14:textId="77777777" w:rsidR="00117E07" w:rsidRDefault="00117E07" w:rsidP="005D3B30">
      <w:pPr>
        <w:spacing w:line="276" w:lineRule="auto"/>
        <w:jc w:val="both"/>
        <w:rPr>
          <w:b/>
          <w:bCs/>
          <w:color w:val="000000" w:themeColor="text1"/>
        </w:rPr>
      </w:pPr>
    </w:p>
    <w:p w14:paraId="3BFECB96" w14:textId="77777777" w:rsidR="00117E07" w:rsidRDefault="00117E07" w:rsidP="005D3B30">
      <w:pPr>
        <w:spacing w:line="276" w:lineRule="auto"/>
        <w:jc w:val="both"/>
        <w:rPr>
          <w:b/>
          <w:bCs/>
          <w:color w:val="000000" w:themeColor="text1"/>
        </w:rPr>
      </w:pPr>
    </w:p>
    <w:p w14:paraId="6181737B" w14:textId="77777777" w:rsidR="00117E07" w:rsidRDefault="00117E07" w:rsidP="005D3B30">
      <w:pPr>
        <w:spacing w:line="276" w:lineRule="auto"/>
        <w:jc w:val="both"/>
        <w:rPr>
          <w:b/>
          <w:bCs/>
          <w:color w:val="000000" w:themeColor="text1"/>
        </w:rPr>
      </w:pPr>
    </w:p>
    <w:p w14:paraId="09450782" w14:textId="77777777" w:rsidR="00117E07" w:rsidRDefault="00117E07" w:rsidP="005D3B30">
      <w:pPr>
        <w:spacing w:line="276" w:lineRule="auto"/>
        <w:jc w:val="both"/>
        <w:rPr>
          <w:b/>
          <w:bCs/>
          <w:color w:val="000000" w:themeColor="text1"/>
        </w:rPr>
      </w:pPr>
    </w:p>
    <w:p w14:paraId="33FB7533" w14:textId="77777777" w:rsidR="00117E07" w:rsidRDefault="00117E07" w:rsidP="005D3B30">
      <w:pPr>
        <w:spacing w:line="276" w:lineRule="auto"/>
        <w:jc w:val="both"/>
        <w:rPr>
          <w:b/>
          <w:bCs/>
          <w:color w:val="000000" w:themeColor="text1"/>
        </w:rPr>
      </w:pPr>
    </w:p>
    <w:p w14:paraId="3CDCCD26" w14:textId="77777777" w:rsidR="00117E07" w:rsidRDefault="00117E07" w:rsidP="005D3B30">
      <w:pPr>
        <w:spacing w:line="276" w:lineRule="auto"/>
        <w:jc w:val="both"/>
        <w:rPr>
          <w:b/>
          <w:bCs/>
          <w:color w:val="000000" w:themeColor="text1"/>
        </w:rPr>
      </w:pPr>
    </w:p>
    <w:p w14:paraId="70C704C9" w14:textId="77777777" w:rsidR="00117E07" w:rsidRDefault="00117E07" w:rsidP="005D3B30">
      <w:pPr>
        <w:spacing w:line="276" w:lineRule="auto"/>
        <w:jc w:val="both"/>
        <w:rPr>
          <w:b/>
          <w:bCs/>
          <w:color w:val="000000" w:themeColor="text1"/>
        </w:rPr>
      </w:pPr>
    </w:p>
    <w:p w14:paraId="5273B2C9" w14:textId="77777777" w:rsidR="00117E07" w:rsidRDefault="00117E07" w:rsidP="005D3B30">
      <w:pPr>
        <w:spacing w:line="276" w:lineRule="auto"/>
        <w:jc w:val="both"/>
        <w:rPr>
          <w:b/>
          <w:bCs/>
          <w:color w:val="000000" w:themeColor="text1"/>
        </w:rPr>
      </w:pPr>
    </w:p>
    <w:p w14:paraId="52A66364" w14:textId="77777777" w:rsidR="00117E07" w:rsidRDefault="00117E07" w:rsidP="005D3B30">
      <w:pPr>
        <w:spacing w:line="276" w:lineRule="auto"/>
        <w:jc w:val="both"/>
        <w:rPr>
          <w:b/>
          <w:bCs/>
          <w:color w:val="000000" w:themeColor="text1"/>
        </w:rPr>
      </w:pPr>
    </w:p>
    <w:p w14:paraId="36F52F46" w14:textId="77777777" w:rsidR="00117E07" w:rsidRDefault="00117E07" w:rsidP="005D3B30">
      <w:pPr>
        <w:spacing w:line="276" w:lineRule="auto"/>
        <w:jc w:val="both"/>
        <w:rPr>
          <w:b/>
          <w:bCs/>
          <w:color w:val="000000" w:themeColor="text1"/>
        </w:rPr>
      </w:pPr>
    </w:p>
    <w:p w14:paraId="20863AB8" w14:textId="77777777" w:rsidR="00117E07" w:rsidRDefault="00117E07" w:rsidP="005D3B30">
      <w:pPr>
        <w:spacing w:line="276" w:lineRule="auto"/>
        <w:jc w:val="both"/>
        <w:rPr>
          <w:b/>
          <w:bCs/>
          <w:color w:val="000000" w:themeColor="text1"/>
        </w:rPr>
      </w:pPr>
    </w:p>
    <w:p w14:paraId="602DDB97" w14:textId="77777777" w:rsidR="00117E07" w:rsidRPr="005D3B30" w:rsidRDefault="00117E07" w:rsidP="005D3B30">
      <w:pPr>
        <w:spacing w:line="276" w:lineRule="auto"/>
        <w:jc w:val="both"/>
        <w:rPr>
          <w:b/>
          <w:bCs/>
          <w:color w:val="000000" w:themeColor="text1"/>
        </w:rPr>
      </w:pPr>
    </w:p>
    <w:p w14:paraId="3EC072BE" w14:textId="77777777" w:rsidR="005D3B30" w:rsidRPr="005D3B30" w:rsidRDefault="005D3B30" w:rsidP="00E818B7">
      <w:pPr>
        <w:pStyle w:val="Heading2"/>
      </w:pPr>
      <w:bookmarkStart w:id="276" w:name="_Toc218600719"/>
      <w:bookmarkStart w:id="277" w:name="_Toc218601294"/>
      <w:bookmarkStart w:id="278" w:name="_Toc218601915"/>
      <w:bookmarkStart w:id="279" w:name="_Toc218601981"/>
      <w:r w:rsidRPr="005D3B30">
        <w:lastRenderedPageBreak/>
        <w:t>Conclusion</w:t>
      </w:r>
      <w:bookmarkEnd w:id="276"/>
      <w:bookmarkEnd w:id="277"/>
      <w:bookmarkEnd w:id="278"/>
      <w:bookmarkEnd w:id="279"/>
    </w:p>
    <w:p w14:paraId="77FEC28E" w14:textId="77777777" w:rsidR="005D3B30" w:rsidRPr="005D3B30" w:rsidRDefault="005D3B30" w:rsidP="005D3B30">
      <w:pPr>
        <w:spacing w:line="276" w:lineRule="auto"/>
        <w:jc w:val="both"/>
        <w:rPr>
          <w:b/>
          <w:bCs/>
          <w:color w:val="000000" w:themeColor="text1"/>
        </w:rPr>
      </w:pPr>
    </w:p>
    <w:p w14:paraId="037AB222" w14:textId="77777777" w:rsidR="005D3B30" w:rsidRP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The expansion into the European Union places Resilient Intellect Ltd under binding obligations introduced by DORA and the NIS2 Directive, which require demonstrable accountability for ICT risk management, operational resilience, and incident readiness [1], [2]. In this context, cybersecurity must function as a strategic business capability that protects service continuity, customer trust, and proprietary AI assets.</w:t>
      </w:r>
    </w:p>
    <w:p w14:paraId="15106F16" w14:textId="77777777" w:rsidR="005D3B30" w:rsidRP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This report has outlined a forward-looking, Zero Trust-aligned security programme governed by the NIST CSF 2.0 and implemented through risk-based prioritisation [3], [4]. Treating Zero Trust Architecture as the primary risk treatment approach enables identity-centric controls, least privilege, continuous verification, and governed automation to reduce both the likelihood and impact of compromise across hybrid and cloud-native environments [4], [9]. High-impact risks, including software supply chain compromise and cloud misconfiguration, are addressed through explicit risk identification, mapped controls, and auditable governance mechanisms proportionate to business and regulatory exposure [5], [6], [10]. Operational resilience is strengthened through integrated protection, detection, and response capabilities, including SOC workflows, SIEM-driven correlation, and controlled automation, supporting timely containment and evidence generation in line with DORA and NIS2 expectations [1], [2], [7], [8]. Ransomware-focused disaster recovery planning safeguards AI training data and source code repositories by aligning recovery objectives, testing, and governance oversight with recognised recovery guidance and resilience requirements [1], [12].</w:t>
      </w:r>
    </w:p>
    <w:p w14:paraId="32826354" w14:textId="77777777" w:rsidR="005D3B30" w:rsidRPr="005D3B30" w:rsidRDefault="005D3B30" w:rsidP="00117E07">
      <w:pPr>
        <w:pStyle w:val="p1"/>
        <w:spacing w:before="0" w:beforeAutospacing="0" w:after="0" w:afterAutospacing="0" w:line="276" w:lineRule="auto"/>
        <w:jc w:val="both"/>
        <w:rPr>
          <w:color w:val="000000" w:themeColor="text1"/>
        </w:rPr>
      </w:pPr>
      <w:r w:rsidRPr="005D3B30">
        <w:rPr>
          <w:color w:val="000000" w:themeColor="text1"/>
        </w:rPr>
        <w:t>Overall, the proposed programme provides a coherent, scalable, and regulation-aware foundation for the new EU unit and positions Resilient Intellect Ltd to meet DORA and NIS2 obligations while sustaining innovation, operational resilience, and long-term stakeholder confidence.</w:t>
      </w:r>
    </w:p>
    <w:p w14:paraId="4F295A2B" w14:textId="77777777" w:rsidR="005D3B30" w:rsidRPr="005D3B30" w:rsidRDefault="005D3B30" w:rsidP="005D3B30">
      <w:pPr>
        <w:spacing w:line="276" w:lineRule="auto"/>
        <w:jc w:val="both"/>
        <w:rPr>
          <w:color w:val="000000" w:themeColor="text1"/>
        </w:rPr>
      </w:pPr>
    </w:p>
    <w:p w14:paraId="0074F67F" w14:textId="77777777" w:rsidR="005D3B30" w:rsidRPr="005D3B30" w:rsidRDefault="005D3B30" w:rsidP="005D3B30">
      <w:pPr>
        <w:jc w:val="both"/>
        <w:rPr>
          <w:color w:val="000000" w:themeColor="text1"/>
        </w:rPr>
      </w:pPr>
    </w:p>
    <w:p w14:paraId="22211592" w14:textId="77777777" w:rsidR="005D3B30" w:rsidRPr="005D3B30" w:rsidRDefault="005D3B30" w:rsidP="005D3B30">
      <w:pPr>
        <w:jc w:val="both"/>
        <w:rPr>
          <w:color w:val="000000" w:themeColor="text1"/>
        </w:rPr>
      </w:pPr>
    </w:p>
    <w:p w14:paraId="6A4534B1" w14:textId="77777777" w:rsidR="005D3B30" w:rsidRPr="005D3B30" w:rsidRDefault="005D3B30" w:rsidP="005D3B30">
      <w:pPr>
        <w:jc w:val="both"/>
        <w:rPr>
          <w:color w:val="000000" w:themeColor="text1"/>
        </w:rPr>
      </w:pPr>
    </w:p>
    <w:p w14:paraId="7C03478C" w14:textId="77777777" w:rsidR="005D3B30" w:rsidRPr="005D3B30" w:rsidRDefault="005D3B30" w:rsidP="005D3B30">
      <w:pPr>
        <w:jc w:val="both"/>
        <w:rPr>
          <w:color w:val="000000" w:themeColor="text1"/>
        </w:rPr>
      </w:pPr>
    </w:p>
    <w:p w14:paraId="24DCB4E8" w14:textId="77777777" w:rsidR="005D3B30" w:rsidRPr="005D3B30" w:rsidRDefault="005D3B30" w:rsidP="005D3B30">
      <w:pPr>
        <w:jc w:val="both"/>
        <w:rPr>
          <w:color w:val="000000" w:themeColor="text1"/>
        </w:rPr>
      </w:pPr>
    </w:p>
    <w:p w14:paraId="4214E31A" w14:textId="77777777" w:rsidR="005D3B30" w:rsidRPr="005D3B30" w:rsidRDefault="005D3B30" w:rsidP="005D3B30">
      <w:pPr>
        <w:jc w:val="both"/>
        <w:rPr>
          <w:color w:val="000000" w:themeColor="text1"/>
        </w:rPr>
      </w:pPr>
    </w:p>
    <w:p w14:paraId="3659267A" w14:textId="77777777" w:rsidR="005D3B30" w:rsidRPr="005D3B30" w:rsidRDefault="005D3B30" w:rsidP="005D3B30">
      <w:pPr>
        <w:jc w:val="both"/>
        <w:rPr>
          <w:color w:val="000000" w:themeColor="text1"/>
        </w:rPr>
      </w:pPr>
    </w:p>
    <w:p w14:paraId="1525DB7B" w14:textId="77777777" w:rsidR="005D3B30" w:rsidRPr="005D3B30" w:rsidRDefault="005D3B30" w:rsidP="005D3B30">
      <w:pPr>
        <w:jc w:val="both"/>
        <w:rPr>
          <w:color w:val="000000" w:themeColor="text1"/>
        </w:rPr>
      </w:pPr>
    </w:p>
    <w:p w14:paraId="6861CA42" w14:textId="77777777" w:rsidR="005D3B30" w:rsidRPr="005D3B30" w:rsidRDefault="005D3B30" w:rsidP="005D3B30">
      <w:pPr>
        <w:jc w:val="both"/>
        <w:rPr>
          <w:color w:val="000000" w:themeColor="text1"/>
        </w:rPr>
      </w:pPr>
    </w:p>
    <w:p w14:paraId="0A99383F" w14:textId="77777777" w:rsidR="005D3B30" w:rsidRPr="005D3B30" w:rsidRDefault="005D3B30" w:rsidP="005D3B30">
      <w:pPr>
        <w:jc w:val="both"/>
        <w:rPr>
          <w:color w:val="000000" w:themeColor="text1"/>
        </w:rPr>
      </w:pPr>
    </w:p>
    <w:p w14:paraId="330F7C70" w14:textId="77777777" w:rsidR="005D3B30" w:rsidRPr="005D3B30" w:rsidRDefault="005D3B30" w:rsidP="005D3B30">
      <w:pPr>
        <w:jc w:val="both"/>
        <w:rPr>
          <w:color w:val="000000" w:themeColor="text1"/>
        </w:rPr>
      </w:pPr>
    </w:p>
    <w:p w14:paraId="7425AD53" w14:textId="77777777" w:rsidR="005D3B30" w:rsidRPr="005D3B30" w:rsidRDefault="005D3B30" w:rsidP="005D3B30">
      <w:pPr>
        <w:jc w:val="both"/>
        <w:rPr>
          <w:color w:val="000000" w:themeColor="text1"/>
        </w:rPr>
      </w:pPr>
    </w:p>
    <w:p w14:paraId="647744C8" w14:textId="77777777" w:rsidR="005D3B30" w:rsidRPr="005D3B30" w:rsidRDefault="005D3B30" w:rsidP="005D3B30">
      <w:pPr>
        <w:jc w:val="both"/>
        <w:rPr>
          <w:color w:val="000000" w:themeColor="text1"/>
        </w:rPr>
      </w:pPr>
    </w:p>
    <w:p w14:paraId="4E96A19E" w14:textId="77777777" w:rsidR="005D3B30" w:rsidRPr="005D3B30" w:rsidRDefault="005D3B30" w:rsidP="005D3B30">
      <w:pPr>
        <w:jc w:val="both"/>
        <w:rPr>
          <w:color w:val="000000" w:themeColor="text1"/>
        </w:rPr>
      </w:pPr>
    </w:p>
    <w:p w14:paraId="03C318FF" w14:textId="77777777" w:rsidR="005D3B30" w:rsidRPr="005D3B30" w:rsidRDefault="005D3B30" w:rsidP="005D3B30">
      <w:pPr>
        <w:jc w:val="both"/>
        <w:rPr>
          <w:color w:val="000000" w:themeColor="text1"/>
        </w:rPr>
      </w:pPr>
    </w:p>
    <w:p w14:paraId="6EA2A602" w14:textId="77777777" w:rsidR="005D3B30" w:rsidRPr="005D3B30" w:rsidRDefault="005D3B30" w:rsidP="005D3B30">
      <w:pPr>
        <w:jc w:val="both"/>
        <w:rPr>
          <w:color w:val="000000" w:themeColor="text1"/>
        </w:rPr>
      </w:pPr>
    </w:p>
    <w:p w14:paraId="70C77D7B" w14:textId="77777777" w:rsidR="005D3B30" w:rsidRPr="005D3B30" w:rsidRDefault="005D3B30" w:rsidP="005D3B30">
      <w:pPr>
        <w:jc w:val="both"/>
        <w:rPr>
          <w:color w:val="000000" w:themeColor="text1"/>
        </w:rPr>
      </w:pPr>
    </w:p>
    <w:p w14:paraId="3025C0F6" w14:textId="77777777" w:rsidR="005D3B30" w:rsidRPr="005D3B30" w:rsidRDefault="005D3B30" w:rsidP="005D3B30">
      <w:pPr>
        <w:jc w:val="both"/>
        <w:rPr>
          <w:color w:val="000000" w:themeColor="text1"/>
        </w:rPr>
      </w:pPr>
    </w:p>
    <w:p w14:paraId="336858C9" w14:textId="77777777" w:rsidR="005D3B30" w:rsidRPr="005D3B30" w:rsidRDefault="005D3B30" w:rsidP="005D3B30">
      <w:pPr>
        <w:jc w:val="both"/>
        <w:rPr>
          <w:color w:val="000000" w:themeColor="text1"/>
        </w:rPr>
      </w:pPr>
    </w:p>
    <w:p w14:paraId="4522F26F" w14:textId="77777777" w:rsidR="005D3B30" w:rsidRPr="005D3B30" w:rsidRDefault="005D3B30" w:rsidP="005D3B30">
      <w:pPr>
        <w:jc w:val="both"/>
        <w:rPr>
          <w:color w:val="000000" w:themeColor="text1"/>
        </w:rPr>
      </w:pPr>
    </w:p>
    <w:p w14:paraId="68BB56E0" w14:textId="77777777" w:rsidR="005D3B30" w:rsidRPr="005D3B30" w:rsidRDefault="005D3B30" w:rsidP="005D3B30">
      <w:pPr>
        <w:jc w:val="both"/>
        <w:rPr>
          <w:color w:val="000000" w:themeColor="text1"/>
        </w:rPr>
      </w:pPr>
    </w:p>
    <w:p w14:paraId="20AF2902" w14:textId="2475878E" w:rsidR="005D3B30" w:rsidRPr="005D3B30" w:rsidRDefault="005D3B30" w:rsidP="00E818B7">
      <w:pPr>
        <w:pStyle w:val="Heading2"/>
      </w:pPr>
      <w:bookmarkStart w:id="280" w:name="_Toc218600720"/>
      <w:bookmarkStart w:id="281" w:name="_Toc218601295"/>
      <w:bookmarkStart w:id="282" w:name="_Toc218601916"/>
      <w:bookmarkStart w:id="283" w:name="_Toc218601982"/>
      <w:r w:rsidRPr="005D3B30">
        <w:lastRenderedPageBreak/>
        <w:t>References</w:t>
      </w:r>
      <w:r w:rsidR="00A77C9A">
        <w:t xml:space="preserve"> List</w:t>
      </w:r>
      <w:r w:rsidRPr="005D3B30">
        <w:t>:</w:t>
      </w:r>
      <w:bookmarkEnd w:id="280"/>
      <w:bookmarkEnd w:id="281"/>
      <w:bookmarkEnd w:id="282"/>
      <w:bookmarkEnd w:id="283"/>
    </w:p>
    <w:p w14:paraId="7AC50365" w14:textId="77777777" w:rsidR="005D3B30" w:rsidRPr="005D3B30" w:rsidRDefault="005D3B30" w:rsidP="005D3B30">
      <w:pPr>
        <w:jc w:val="both"/>
        <w:rPr>
          <w:color w:val="000000" w:themeColor="text1"/>
        </w:rPr>
      </w:pPr>
    </w:p>
    <w:p w14:paraId="73203971" w14:textId="77777777" w:rsidR="005D3B30" w:rsidRPr="005D3B30" w:rsidRDefault="005D3B30" w:rsidP="005D3B30">
      <w:pPr>
        <w:jc w:val="both"/>
        <w:rPr>
          <w:color w:val="000000" w:themeColor="text1"/>
        </w:rPr>
      </w:pPr>
      <w:r w:rsidRPr="005D3B30">
        <w:rPr>
          <w:color w:val="000000" w:themeColor="text1"/>
        </w:rPr>
        <w:t>[1] The European Parliament and the Council of the European Union, “</w:t>
      </w:r>
      <w:r w:rsidRPr="005D3B30">
        <w:rPr>
          <w:color w:val="000000" w:themeColor="text1"/>
          <w:shd w:val="clear" w:color="auto" w:fill="FFFFFF"/>
        </w:rPr>
        <w:t xml:space="preserve">Official Journal of the European Union”, </w:t>
      </w:r>
      <w:r w:rsidRPr="005D3B30">
        <w:rPr>
          <w:i/>
          <w:iCs/>
          <w:color w:val="000000" w:themeColor="text1"/>
          <w:shd w:val="clear" w:color="auto" w:fill="FFFFFF"/>
        </w:rPr>
        <w:t>Regulation (EU) 2022/2554</w:t>
      </w:r>
      <w:r w:rsidRPr="005D3B30">
        <w:rPr>
          <w:color w:val="000000" w:themeColor="text1"/>
        </w:rPr>
        <w:t>. Dec. 14, 2022. [Online]. Available: https://eur-lex.europa.eu/legal-content/EN/TXT/HTML/?uri=CELEX:32022R2554 [Accessed: Dec. 31, 2025].</w:t>
      </w:r>
      <w:r w:rsidRPr="005D3B30">
        <w:rPr>
          <w:rStyle w:val="apple-converted-space"/>
          <w:color w:val="000000" w:themeColor="text1"/>
        </w:rPr>
        <w:t> </w:t>
      </w:r>
    </w:p>
    <w:p w14:paraId="364898B7" w14:textId="77777777" w:rsidR="005D3B30" w:rsidRPr="005D3B30" w:rsidRDefault="005D3B30" w:rsidP="005D3B30">
      <w:pPr>
        <w:jc w:val="both"/>
        <w:rPr>
          <w:color w:val="000000" w:themeColor="text1"/>
        </w:rPr>
      </w:pPr>
    </w:p>
    <w:p w14:paraId="1A177747" w14:textId="77777777" w:rsidR="005D3B30" w:rsidRPr="005D3B30" w:rsidRDefault="005D3B30" w:rsidP="005D3B30">
      <w:pPr>
        <w:jc w:val="both"/>
        <w:rPr>
          <w:color w:val="000000" w:themeColor="text1"/>
        </w:rPr>
      </w:pPr>
      <w:r w:rsidRPr="005D3B30">
        <w:rPr>
          <w:color w:val="000000" w:themeColor="text1"/>
        </w:rPr>
        <w:t xml:space="preserve">[2] The European Parliament and the Council of the European Union, </w:t>
      </w:r>
      <w:r w:rsidRPr="005D3B30">
        <w:rPr>
          <w:i/>
          <w:iCs/>
          <w:color w:val="000000" w:themeColor="text1"/>
        </w:rPr>
        <w:t>“</w:t>
      </w:r>
      <w:r w:rsidRPr="005D3B30">
        <w:rPr>
          <w:color w:val="000000" w:themeColor="text1"/>
          <w:shd w:val="clear" w:color="auto" w:fill="FFFFFF"/>
        </w:rPr>
        <w:t xml:space="preserve">Official Journal of the European Union”, </w:t>
      </w:r>
      <w:r w:rsidRPr="005D3B30">
        <w:rPr>
          <w:i/>
          <w:iCs/>
          <w:color w:val="000000" w:themeColor="text1"/>
          <w:shd w:val="clear" w:color="auto" w:fill="FFFFFF"/>
        </w:rPr>
        <w:t>Directive (EU) 2022/2555</w:t>
      </w:r>
      <w:r w:rsidRPr="005D3B30">
        <w:rPr>
          <w:color w:val="000000" w:themeColor="text1"/>
        </w:rPr>
        <w:t>. Dec. 14, 2022. [Online]. Available: https://eur-lex.europa.eu/legal-content/EN/TXT/HTML/?uri=CELEX:32022L2555 [Accessed: Dec. 31, 2025].</w:t>
      </w:r>
      <w:r w:rsidRPr="005D3B30">
        <w:rPr>
          <w:rStyle w:val="apple-converted-space"/>
          <w:color w:val="000000" w:themeColor="text1"/>
        </w:rPr>
        <w:t> </w:t>
      </w:r>
    </w:p>
    <w:p w14:paraId="1147AD9F" w14:textId="77777777" w:rsidR="005D3B30" w:rsidRPr="005D3B30" w:rsidRDefault="005D3B30" w:rsidP="005D3B30">
      <w:pPr>
        <w:jc w:val="both"/>
        <w:rPr>
          <w:color w:val="000000" w:themeColor="text1"/>
        </w:rPr>
      </w:pPr>
    </w:p>
    <w:p w14:paraId="05DC638A" w14:textId="77777777" w:rsidR="005D3B30" w:rsidRPr="005D3B30" w:rsidRDefault="005D3B30" w:rsidP="005D3B30">
      <w:pPr>
        <w:jc w:val="both"/>
        <w:rPr>
          <w:rStyle w:val="apple-converted-space"/>
          <w:color w:val="000000" w:themeColor="text1"/>
        </w:rPr>
      </w:pPr>
      <w:r w:rsidRPr="005D3B30">
        <w:rPr>
          <w:color w:val="000000" w:themeColor="text1"/>
        </w:rPr>
        <w:t xml:space="preserve">[3] National Institute of Standards and Technology (NIST), “The NIST cybersecurity framework (CSF) 2.0”, </w:t>
      </w:r>
      <w:r w:rsidRPr="005D3B30">
        <w:rPr>
          <w:i/>
          <w:iCs/>
          <w:color w:val="000000" w:themeColor="text1"/>
        </w:rPr>
        <w:t>vol. 2.0, no. 29</w:t>
      </w:r>
      <w:r w:rsidRPr="005D3B30">
        <w:rPr>
          <w:color w:val="000000" w:themeColor="text1"/>
        </w:rPr>
        <w:t>. Feb. 2024. [Online]. Available: https://doi.org/10.6028/nist.cswp.29 [Accessed: Dec. 31, 2025].</w:t>
      </w:r>
      <w:r w:rsidRPr="005D3B30">
        <w:rPr>
          <w:rStyle w:val="apple-converted-space"/>
          <w:color w:val="000000" w:themeColor="text1"/>
        </w:rPr>
        <w:t> </w:t>
      </w:r>
    </w:p>
    <w:p w14:paraId="72E35024" w14:textId="77777777" w:rsidR="005D3B30" w:rsidRPr="005D3B30" w:rsidRDefault="005D3B30" w:rsidP="005D3B30">
      <w:pPr>
        <w:jc w:val="both"/>
        <w:rPr>
          <w:rStyle w:val="apple-converted-space"/>
          <w:color w:val="000000" w:themeColor="text1"/>
        </w:rPr>
      </w:pPr>
    </w:p>
    <w:p w14:paraId="158658F6" w14:textId="77777777" w:rsidR="005D3B30" w:rsidRPr="005D3B30" w:rsidRDefault="005D3B30" w:rsidP="005D3B30">
      <w:pPr>
        <w:jc w:val="both"/>
        <w:rPr>
          <w:rStyle w:val="apple-converted-space"/>
          <w:color w:val="000000" w:themeColor="text1"/>
        </w:rPr>
      </w:pPr>
      <w:r w:rsidRPr="005D3B30">
        <w:rPr>
          <w:color w:val="000000" w:themeColor="text1"/>
        </w:rPr>
        <w:t xml:space="preserve">[4] S. Rose, O. Borchert, S. Mitchell, and S. Connelly, “Zero Trust Architecture,” </w:t>
      </w:r>
      <w:r w:rsidRPr="005D3B30">
        <w:rPr>
          <w:i/>
          <w:iCs/>
          <w:color w:val="000000" w:themeColor="text1"/>
        </w:rPr>
        <w:t>NIST Special Publication 800-207</w:t>
      </w:r>
      <w:r w:rsidRPr="005D3B30">
        <w:rPr>
          <w:color w:val="000000" w:themeColor="text1"/>
        </w:rPr>
        <w:t xml:space="preserve">, </w:t>
      </w:r>
      <w:r w:rsidRPr="005D3B30">
        <w:rPr>
          <w:i/>
          <w:iCs/>
          <w:color w:val="000000" w:themeColor="text1"/>
        </w:rPr>
        <w:t>vol. 1, no. 800–207</w:t>
      </w:r>
      <w:r w:rsidRPr="005D3B30">
        <w:rPr>
          <w:color w:val="000000" w:themeColor="text1"/>
        </w:rPr>
        <w:t>, Aug. 2020. [Online]. Available: https://doi.org/10.6028/nist.sp.800-207 [Accessed: Dec. 31, 2025].</w:t>
      </w:r>
    </w:p>
    <w:p w14:paraId="5E0F8DC9" w14:textId="77777777" w:rsidR="005D3B30" w:rsidRPr="005D3B30" w:rsidRDefault="005D3B30" w:rsidP="005D3B30">
      <w:pPr>
        <w:jc w:val="both"/>
        <w:rPr>
          <w:color w:val="000000" w:themeColor="text1"/>
        </w:rPr>
      </w:pPr>
    </w:p>
    <w:p w14:paraId="15BF4F9C" w14:textId="77777777" w:rsidR="005D3B30" w:rsidRPr="005D3B30" w:rsidRDefault="005D3B30" w:rsidP="005D3B30">
      <w:pPr>
        <w:pStyle w:val="p1"/>
        <w:spacing w:before="0" w:beforeAutospacing="0" w:after="0" w:afterAutospacing="0"/>
        <w:jc w:val="both"/>
        <w:rPr>
          <w:color w:val="000000" w:themeColor="text1"/>
        </w:rPr>
      </w:pPr>
      <w:r w:rsidRPr="005D3B30">
        <w:rPr>
          <w:color w:val="000000" w:themeColor="text1"/>
        </w:rPr>
        <w:t xml:space="preserve">[5] J. Boyens, A. Smith, N. Bartol, K. Winkler, A. Holbrook, and M. Fallon, “Cybersecurity Supply Chain Risk Management for Systems and Organizations,” </w:t>
      </w:r>
      <w:r w:rsidRPr="005D3B30">
        <w:rPr>
          <w:rStyle w:val="s1"/>
          <w:i/>
          <w:iCs/>
          <w:color w:val="000000" w:themeColor="text1"/>
        </w:rPr>
        <w:t>NIST SP 800-161r1-upd1</w:t>
      </w:r>
      <w:r w:rsidRPr="005D3B30">
        <w:rPr>
          <w:i/>
          <w:iCs/>
          <w:color w:val="000000" w:themeColor="text1"/>
        </w:rPr>
        <w:t>, National Institute of Standards and Technology</w:t>
      </w:r>
      <w:r w:rsidRPr="005D3B30">
        <w:rPr>
          <w:color w:val="000000" w:themeColor="text1"/>
        </w:rPr>
        <w:t xml:space="preserve"> </w:t>
      </w:r>
      <w:r w:rsidRPr="005D3B30">
        <w:rPr>
          <w:i/>
          <w:iCs/>
          <w:color w:val="000000" w:themeColor="text1"/>
        </w:rPr>
        <w:t>(NIST)</w:t>
      </w:r>
      <w:r w:rsidRPr="005D3B30">
        <w:rPr>
          <w:color w:val="000000" w:themeColor="text1"/>
        </w:rPr>
        <w:t>, Nov. 2024. [Online]. Available:  https://nvlpubs.nist.gov/nistpubs/SpecialPublications/NIST.SP.800-161r1-upd1.pdf [Accessed: Dec. 31, 2025].</w:t>
      </w:r>
    </w:p>
    <w:p w14:paraId="675DC340" w14:textId="77777777" w:rsidR="005D3B30" w:rsidRPr="005D3B30" w:rsidRDefault="005D3B30" w:rsidP="005D3B30">
      <w:pPr>
        <w:pStyle w:val="p1"/>
        <w:spacing w:before="0" w:beforeAutospacing="0" w:after="0" w:afterAutospacing="0"/>
        <w:jc w:val="both"/>
        <w:rPr>
          <w:color w:val="000000" w:themeColor="text1"/>
        </w:rPr>
      </w:pPr>
    </w:p>
    <w:p w14:paraId="13185534" w14:textId="77777777" w:rsidR="005D3B30" w:rsidRPr="005D3B30" w:rsidRDefault="005D3B30" w:rsidP="005D3B30">
      <w:pPr>
        <w:pStyle w:val="p1"/>
        <w:spacing w:before="0" w:beforeAutospacing="0" w:after="0" w:afterAutospacing="0"/>
        <w:jc w:val="both"/>
        <w:rPr>
          <w:color w:val="000000" w:themeColor="text1"/>
        </w:rPr>
      </w:pPr>
      <w:r w:rsidRPr="005D3B30">
        <w:rPr>
          <w:color w:val="000000" w:themeColor="text1"/>
        </w:rPr>
        <w:t xml:space="preserve">[6] M. Souppaya, K. Scarfone, and D. Dodson, “Secure software development framework (SSDF) version 1.1,” </w:t>
      </w:r>
      <w:r w:rsidRPr="005D3B30">
        <w:rPr>
          <w:i/>
          <w:iCs/>
          <w:color w:val="000000" w:themeColor="text1"/>
        </w:rPr>
        <w:t>NIST Special Publication 800-218, vol. 1, no. 1</w:t>
      </w:r>
      <w:r w:rsidRPr="005D3B30">
        <w:rPr>
          <w:color w:val="000000" w:themeColor="text1"/>
        </w:rPr>
        <w:t>, Feb. 2022. [Online]. Available: https://doi.org/10.6028/nist.sp.800-218 [Accessed: Dec. 31, 2025].</w:t>
      </w:r>
    </w:p>
    <w:p w14:paraId="27897566" w14:textId="77777777" w:rsidR="005D3B30" w:rsidRPr="005D3B30" w:rsidRDefault="005D3B30" w:rsidP="005D3B30">
      <w:pPr>
        <w:pStyle w:val="p1"/>
        <w:spacing w:before="0" w:beforeAutospacing="0" w:after="0" w:afterAutospacing="0"/>
        <w:jc w:val="both"/>
        <w:rPr>
          <w:color w:val="000000" w:themeColor="text1"/>
        </w:rPr>
      </w:pPr>
    </w:p>
    <w:p w14:paraId="5F6984CC" w14:textId="77777777" w:rsidR="005D3B30" w:rsidRPr="005D3B30" w:rsidRDefault="005D3B30" w:rsidP="005D3B30">
      <w:pPr>
        <w:pStyle w:val="p1"/>
        <w:spacing w:before="0" w:beforeAutospacing="0" w:after="0" w:afterAutospacing="0"/>
        <w:jc w:val="both"/>
        <w:rPr>
          <w:color w:val="000000" w:themeColor="text1"/>
        </w:rPr>
      </w:pPr>
      <w:r w:rsidRPr="005D3B30">
        <w:rPr>
          <w:color w:val="000000" w:themeColor="text1"/>
        </w:rPr>
        <w:t xml:space="preserve">[7] Cybersecurity and Infrastructure Security Agency (CISA), “Cybersecurity Incident &amp; Vulnerability Response Playbooks”, </w:t>
      </w:r>
      <w:r w:rsidRPr="005D3B30">
        <w:rPr>
          <w:i/>
          <w:iCs/>
          <w:color w:val="000000" w:themeColor="text1"/>
        </w:rPr>
        <w:t>Operational Procedures for Planning and Conducting Cybersecurity Incident and Vulnerability Response Activities in FCEB Information Systems</w:t>
      </w:r>
      <w:r w:rsidRPr="005D3B30">
        <w:rPr>
          <w:color w:val="000000" w:themeColor="text1"/>
        </w:rPr>
        <w:t>. Nov. 2021. Available: https://www.cisa.gov/sites/default/files/2024-08/Federal_Government_Cybersecurity_Incident_and_Vulnerability_Response_Playbooks_508C.pdf [Accessed: Dec. 31, 2025].</w:t>
      </w:r>
    </w:p>
    <w:p w14:paraId="6E186F88" w14:textId="77777777" w:rsidR="005D3B30" w:rsidRPr="005D3B30" w:rsidRDefault="005D3B30" w:rsidP="005D3B30">
      <w:pPr>
        <w:pStyle w:val="p2"/>
        <w:spacing w:before="0" w:beforeAutospacing="0" w:after="0" w:afterAutospacing="0"/>
        <w:jc w:val="both"/>
        <w:rPr>
          <w:color w:val="000000" w:themeColor="text1"/>
        </w:rPr>
      </w:pPr>
    </w:p>
    <w:p w14:paraId="3A7BA40D" w14:textId="77777777" w:rsidR="005D3B30" w:rsidRPr="005D3B30" w:rsidRDefault="005D3B30" w:rsidP="005D3B30">
      <w:pPr>
        <w:pStyle w:val="p1"/>
        <w:spacing w:before="0" w:beforeAutospacing="0" w:after="0" w:afterAutospacing="0"/>
        <w:jc w:val="both"/>
        <w:rPr>
          <w:color w:val="000000" w:themeColor="text1"/>
        </w:rPr>
      </w:pPr>
      <w:r w:rsidRPr="005D3B30">
        <w:rPr>
          <w:rStyle w:val="s1"/>
          <w:color w:val="000000" w:themeColor="text1"/>
        </w:rPr>
        <w:t>[8]</w:t>
      </w:r>
      <w:r w:rsidRPr="005D3B30">
        <w:rPr>
          <w:color w:val="000000" w:themeColor="text1"/>
        </w:rPr>
        <w:t xml:space="preserve"> Cybersecurity and Infrastructure Security Agency (CISA), “Cross-Sector Cybersecurity Performance Goals”, </w:t>
      </w:r>
      <w:r w:rsidRPr="005D3B30">
        <w:rPr>
          <w:i/>
          <w:iCs/>
          <w:color w:val="000000" w:themeColor="text1"/>
        </w:rPr>
        <w:t>version 2.0</w:t>
      </w:r>
      <w:r w:rsidRPr="005D3B30">
        <w:rPr>
          <w:color w:val="000000" w:themeColor="text1"/>
        </w:rPr>
        <w:t>, Dec. 2025.</w:t>
      </w:r>
    </w:p>
    <w:p w14:paraId="345152ED" w14:textId="77777777" w:rsidR="005D3B30" w:rsidRPr="005D3B30" w:rsidRDefault="005D3B30" w:rsidP="005D3B30">
      <w:pPr>
        <w:pStyle w:val="p2"/>
        <w:spacing w:before="0" w:beforeAutospacing="0" w:after="0" w:afterAutospacing="0"/>
        <w:jc w:val="both"/>
        <w:rPr>
          <w:color w:val="000000" w:themeColor="text1"/>
        </w:rPr>
      </w:pPr>
      <w:r w:rsidRPr="005D3B30">
        <w:rPr>
          <w:rStyle w:val="s2"/>
          <w:rFonts w:eastAsiaTheme="majorEastAsia"/>
          <w:color w:val="000000" w:themeColor="text1"/>
        </w:rPr>
        <w:t xml:space="preserve">[Online]. Available: </w:t>
      </w:r>
      <w:r w:rsidRPr="005D3B30">
        <w:rPr>
          <w:color w:val="000000" w:themeColor="text1"/>
        </w:rPr>
        <w:t>https://www.cisa.gov/sites/default/files/2025-12/CPG_Report_2.0_508c.pdf [Accessed: Dec. 31, 2025].</w:t>
      </w:r>
    </w:p>
    <w:p w14:paraId="2EE71D86" w14:textId="77777777" w:rsidR="005D3B30" w:rsidRPr="005D3B30" w:rsidRDefault="005D3B30" w:rsidP="005D3B30">
      <w:pPr>
        <w:pStyle w:val="p2"/>
        <w:spacing w:before="0" w:beforeAutospacing="0" w:after="0" w:afterAutospacing="0"/>
        <w:jc w:val="both"/>
        <w:rPr>
          <w:color w:val="000000" w:themeColor="text1"/>
        </w:rPr>
      </w:pPr>
    </w:p>
    <w:p w14:paraId="736465D5" w14:textId="77777777" w:rsidR="005D3B30" w:rsidRPr="005D3B30" w:rsidRDefault="005D3B30" w:rsidP="005D3B30">
      <w:pPr>
        <w:pStyle w:val="p2"/>
        <w:spacing w:before="0" w:beforeAutospacing="0" w:after="0" w:afterAutospacing="0"/>
        <w:jc w:val="both"/>
        <w:rPr>
          <w:color w:val="000000" w:themeColor="text1"/>
        </w:rPr>
      </w:pPr>
      <w:r w:rsidRPr="005D3B30">
        <w:rPr>
          <w:color w:val="000000" w:themeColor="text1"/>
        </w:rPr>
        <w:t xml:space="preserve">[9] D. Temoshok, et al., “Digital Identity Guidelines” </w:t>
      </w:r>
      <w:r w:rsidRPr="005D3B30">
        <w:rPr>
          <w:i/>
          <w:iCs/>
          <w:color w:val="000000" w:themeColor="text1"/>
        </w:rPr>
        <w:t>Authentication and Authenticator Management</w:t>
      </w:r>
      <w:r w:rsidRPr="005D3B30">
        <w:rPr>
          <w:color w:val="000000" w:themeColor="text1"/>
        </w:rPr>
        <w:t xml:space="preserve">, </w:t>
      </w:r>
      <w:r w:rsidRPr="005D3B30">
        <w:rPr>
          <w:i/>
          <w:iCs/>
          <w:color w:val="000000" w:themeColor="text1"/>
        </w:rPr>
        <w:t>NIST SP 800-63B-4</w:t>
      </w:r>
      <w:r w:rsidRPr="005D3B30">
        <w:rPr>
          <w:color w:val="000000" w:themeColor="text1"/>
        </w:rPr>
        <w:t xml:space="preserve">. July 2025. </w:t>
      </w:r>
      <w:r w:rsidRPr="005D3B30">
        <w:rPr>
          <w:rStyle w:val="s2"/>
          <w:rFonts w:eastAsiaTheme="majorEastAsia"/>
          <w:color w:val="000000" w:themeColor="text1"/>
        </w:rPr>
        <w:t>[Online]. Available:</w:t>
      </w:r>
      <w:r w:rsidRPr="005D3B30">
        <w:rPr>
          <w:color w:val="000000" w:themeColor="text1"/>
        </w:rPr>
        <w:t xml:space="preserve"> https://nvlpubs.nist.gov/nistpubs/SpecialPublications/NIST.SP.800-63B-4.pdf [Accessed: Dec. 31, 2025].</w:t>
      </w:r>
    </w:p>
    <w:p w14:paraId="6DA39982" w14:textId="77777777" w:rsidR="005D3B30" w:rsidRPr="005D3B30" w:rsidRDefault="005D3B30" w:rsidP="005D3B30">
      <w:pPr>
        <w:jc w:val="both"/>
        <w:rPr>
          <w:color w:val="000000" w:themeColor="text1"/>
        </w:rPr>
      </w:pPr>
    </w:p>
    <w:p w14:paraId="3844F71B" w14:textId="77777777" w:rsidR="005D3B30" w:rsidRPr="005D3B30" w:rsidRDefault="005D3B30" w:rsidP="005D3B30">
      <w:pPr>
        <w:pStyle w:val="p2"/>
        <w:spacing w:before="0" w:beforeAutospacing="0" w:after="0" w:afterAutospacing="0"/>
        <w:jc w:val="both"/>
        <w:rPr>
          <w:color w:val="000000" w:themeColor="text1"/>
        </w:rPr>
      </w:pPr>
      <w:r w:rsidRPr="005D3B30">
        <w:rPr>
          <w:color w:val="000000" w:themeColor="text1"/>
        </w:rPr>
        <w:t xml:space="preserve">[10] A. Ganzaroli, L. Marinos, G. Nasi, A. Pasic, and S. Portesi, “Cloud Cybersecurity Market Analysis,” </w:t>
      </w:r>
      <w:r w:rsidRPr="005D3B30">
        <w:rPr>
          <w:i/>
          <w:iCs/>
          <w:color w:val="000000" w:themeColor="text1"/>
        </w:rPr>
        <w:t>Version 1.0</w:t>
      </w:r>
      <w:r w:rsidRPr="005D3B30">
        <w:rPr>
          <w:color w:val="000000" w:themeColor="text1"/>
        </w:rPr>
        <w:t xml:space="preserve">. Mar. 2023. </w:t>
      </w:r>
      <w:r w:rsidRPr="005D3B30">
        <w:rPr>
          <w:rStyle w:val="s2"/>
          <w:rFonts w:eastAsiaTheme="majorEastAsia"/>
          <w:color w:val="000000" w:themeColor="text1"/>
        </w:rPr>
        <w:t>[Online]. Available:</w:t>
      </w:r>
      <w:r w:rsidRPr="005D3B30">
        <w:rPr>
          <w:color w:val="000000" w:themeColor="text1"/>
        </w:rPr>
        <w:t xml:space="preserve"> https://www.enisa.europa.eu/sites/default/files/publications/Cloud%20Cybersecurity%20Market%20Analysis.pdf [Accessed: Dec. 31, 2025].</w:t>
      </w:r>
    </w:p>
    <w:p w14:paraId="48C8896B" w14:textId="77777777" w:rsidR="005D3B30" w:rsidRPr="005D3B30" w:rsidRDefault="005D3B30" w:rsidP="005D3B30">
      <w:pPr>
        <w:jc w:val="both"/>
        <w:rPr>
          <w:color w:val="000000" w:themeColor="text1"/>
        </w:rPr>
      </w:pPr>
    </w:p>
    <w:p w14:paraId="504CBA11" w14:textId="77777777" w:rsidR="005D3B30" w:rsidRPr="005D3B30" w:rsidRDefault="005D3B30" w:rsidP="005D3B30">
      <w:pPr>
        <w:jc w:val="both"/>
        <w:rPr>
          <w:color w:val="000000" w:themeColor="text1"/>
        </w:rPr>
      </w:pPr>
      <w:r w:rsidRPr="005D3B30">
        <w:rPr>
          <w:color w:val="000000" w:themeColor="text1"/>
        </w:rPr>
        <w:lastRenderedPageBreak/>
        <w:t xml:space="preserve">[11] K. Moulinos, M. Theocharidou, and ENISA, “Technical Implementation Guidance,” </w:t>
      </w:r>
      <w:r w:rsidRPr="005D3B30">
        <w:rPr>
          <w:i/>
          <w:iCs/>
          <w:color w:val="000000" w:themeColor="text1"/>
        </w:rPr>
        <w:t>version 1.0</w:t>
      </w:r>
      <w:r w:rsidRPr="005D3B30">
        <w:rPr>
          <w:color w:val="000000" w:themeColor="text1"/>
        </w:rPr>
        <w:t xml:space="preserve">, Jun. 2025. </w:t>
      </w:r>
      <w:r w:rsidRPr="005D3B30">
        <w:rPr>
          <w:rStyle w:val="s2"/>
          <w:rFonts w:eastAsiaTheme="majorEastAsia"/>
          <w:color w:val="000000" w:themeColor="text1"/>
        </w:rPr>
        <w:t>[Online]. Available:</w:t>
      </w:r>
    </w:p>
    <w:p w14:paraId="2A8B031B" w14:textId="77777777" w:rsidR="005D3B30" w:rsidRPr="005D3B30" w:rsidRDefault="005D3B30" w:rsidP="005D3B30">
      <w:pPr>
        <w:jc w:val="both"/>
        <w:rPr>
          <w:color w:val="000000" w:themeColor="text1"/>
        </w:rPr>
      </w:pPr>
      <w:r w:rsidRPr="005D3B30">
        <w:rPr>
          <w:color w:val="000000" w:themeColor="text1"/>
        </w:rPr>
        <w:t>https://www.enisa.europa.eu/sites/default/files/2025-06/ENISA_Technical_implementation_guidance_on_cybersecurity_risk_management_measures_version_1.0.pdf [Accessed: Jan. 1, 2026].</w:t>
      </w:r>
    </w:p>
    <w:p w14:paraId="3202EFFC" w14:textId="77777777" w:rsidR="005D3B30" w:rsidRPr="005D3B30" w:rsidRDefault="005D3B30" w:rsidP="005D3B30">
      <w:pPr>
        <w:jc w:val="both"/>
        <w:rPr>
          <w:color w:val="000000" w:themeColor="text1"/>
        </w:rPr>
      </w:pPr>
    </w:p>
    <w:p w14:paraId="35BD73D5" w14:textId="77777777" w:rsidR="005D3B30" w:rsidRPr="005D3B30" w:rsidRDefault="005D3B30" w:rsidP="005D3B30">
      <w:pPr>
        <w:jc w:val="both"/>
        <w:rPr>
          <w:color w:val="000000" w:themeColor="text1"/>
        </w:rPr>
      </w:pPr>
      <w:r w:rsidRPr="005D3B30">
        <w:rPr>
          <w:color w:val="000000" w:themeColor="text1"/>
        </w:rPr>
        <w:t xml:space="preserve">[12] M. Bartock, J. Cichonski, M. Souppaya, M. Smith, G. Witte, and K. Scarfone, “Guide for Cybersecurity Event Recovery,” </w:t>
      </w:r>
      <w:r w:rsidRPr="005D3B30">
        <w:rPr>
          <w:i/>
          <w:iCs/>
          <w:color w:val="000000" w:themeColor="text1"/>
        </w:rPr>
        <w:t>Guide for Cybersecurity Event Recovery</w:t>
      </w:r>
      <w:r w:rsidRPr="005D3B30">
        <w:rPr>
          <w:color w:val="000000" w:themeColor="text1"/>
        </w:rPr>
        <w:t xml:space="preserve">, </w:t>
      </w:r>
      <w:r w:rsidRPr="005D3B30">
        <w:rPr>
          <w:i/>
          <w:iCs/>
          <w:color w:val="000000" w:themeColor="text1"/>
        </w:rPr>
        <w:t xml:space="preserve">NIST Special Publication 800-184, </w:t>
      </w:r>
      <w:r w:rsidRPr="005D3B30">
        <w:rPr>
          <w:color w:val="000000" w:themeColor="text1"/>
        </w:rPr>
        <w:t>Dec. 2016.</w:t>
      </w:r>
      <w:r w:rsidRPr="005D3B30">
        <w:rPr>
          <w:rStyle w:val="s2"/>
          <w:rFonts w:eastAsiaTheme="majorEastAsia"/>
          <w:color w:val="000000" w:themeColor="text1"/>
        </w:rPr>
        <w:t xml:space="preserve"> [Online]. Available:</w:t>
      </w:r>
      <w:r w:rsidRPr="005D3B30">
        <w:rPr>
          <w:color w:val="000000" w:themeColor="text1"/>
        </w:rPr>
        <w:t xml:space="preserve">  https://nvlpubs.nist.gov/nistpubs/SpecialPublications/NIST.SP.800-184.pdf [Accessed: Jan. 1, 2026].</w:t>
      </w:r>
    </w:p>
    <w:p w14:paraId="401191B0" w14:textId="77777777" w:rsidR="005D3B30" w:rsidRPr="002F46E4" w:rsidRDefault="005D3B30" w:rsidP="005D3B30">
      <w:pPr>
        <w:jc w:val="both"/>
        <w:rPr>
          <w:color w:val="000000" w:themeColor="text1"/>
        </w:rPr>
      </w:pPr>
    </w:p>
    <w:p w14:paraId="7D0EE892" w14:textId="77777777" w:rsidR="005D3B30" w:rsidRPr="002F46E4" w:rsidRDefault="005D3B30" w:rsidP="005D3B30">
      <w:pPr>
        <w:jc w:val="both"/>
        <w:rPr>
          <w:color w:val="000000" w:themeColor="text1"/>
        </w:rPr>
      </w:pPr>
    </w:p>
    <w:p w14:paraId="3FFD2EDC" w14:textId="77777777" w:rsidR="005D3B30" w:rsidRPr="002F46E4" w:rsidRDefault="005D3B30" w:rsidP="005D3B30">
      <w:pPr>
        <w:jc w:val="both"/>
        <w:rPr>
          <w:color w:val="000000" w:themeColor="text1"/>
        </w:rPr>
      </w:pPr>
    </w:p>
    <w:p w14:paraId="6EFB977E" w14:textId="77777777" w:rsidR="005D3B30" w:rsidRPr="002F46E4" w:rsidRDefault="005D3B30" w:rsidP="005D3B30">
      <w:pPr>
        <w:jc w:val="both"/>
        <w:rPr>
          <w:color w:val="000000" w:themeColor="text1"/>
        </w:rPr>
      </w:pPr>
    </w:p>
    <w:p w14:paraId="44EFBA5A" w14:textId="77777777" w:rsidR="005D3B30" w:rsidRPr="002F46E4" w:rsidRDefault="005D3B30" w:rsidP="005D3B30">
      <w:pPr>
        <w:jc w:val="both"/>
        <w:rPr>
          <w:color w:val="000000" w:themeColor="text1"/>
        </w:rPr>
      </w:pPr>
    </w:p>
    <w:p w14:paraId="3BCCF905" w14:textId="77777777" w:rsidR="005D3B30" w:rsidRPr="002F46E4" w:rsidRDefault="005D3B30" w:rsidP="005D3B30">
      <w:pPr>
        <w:jc w:val="both"/>
        <w:rPr>
          <w:color w:val="000000" w:themeColor="text1"/>
        </w:rPr>
      </w:pPr>
    </w:p>
    <w:p w14:paraId="417A04FD" w14:textId="77777777" w:rsidR="005D3B30" w:rsidRPr="002F46E4" w:rsidRDefault="005D3B30" w:rsidP="005D3B30">
      <w:pPr>
        <w:jc w:val="both"/>
        <w:rPr>
          <w:color w:val="000000" w:themeColor="text1"/>
        </w:rPr>
      </w:pPr>
    </w:p>
    <w:p w14:paraId="662A0700" w14:textId="77777777" w:rsidR="005D3B30" w:rsidRPr="00280E6C" w:rsidRDefault="005D3B30" w:rsidP="00F953B0">
      <w:pPr>
        <w:spacing w:line="276" w:lineRule="auto"/>
        <w:jc w:val="both"/>
        <w:rPr>
          <w:color w:val="000000" w:themeColor="text1"/>
        </w:rPr>
      </w:pPr>
    </w:p>
    <w:sectPr w:rsidR="005D3B30" w:rsidRPr="00280E6C" w:rsidSect="00F953B0">
      <w:type w:val="continuous"/>
      <w:pgSz w:w="11906" w:h="16838"/>
      <w:pgMar w:top="1440" w:right="1080" w:bottom="1440" w:left="1080" w:header="708" w:footer="708" w:gutter="0"/>
      <w:cols w:space="3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7BE1" w14:textId="77777777" w:rsidR="00DB785D" w:rsidRDefault="00DB785D" w:rsidP="00B04475">
      <w:r>
        <w:separator/>
      </w:r>
    </w:p>
  </w:endnote>
  <w:endnote w:type="continuationSeparator" w:id="0">
    <w:p w14:paraId="7A1B8617" w14:textId="77777777" w:rsidR="00DB785D" w:rsidRDefault="00DB785D" w:rsidP="00B04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925620"/>
      <w:docPartObj>
        <w:docPartGallery w:val="Page Numbers (Bottom of Page)"/>
        <w:docPartUnique/>
      </w:docPartObj>
    </w:sdtPr>
    <w:sdtContent>
      <w:p w14:paraId="0DB79D24" w14:textId="7FD8685B" w:rsidR="00B04475" w:rsidRDefault="00B04475" w:rsidP="00B0447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5DFCCB" w14:textId="77777777" w:rsidR="00B04475" w:rsidRDefault="00B04475" w:rsidP="00B044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0992923"/>
      <w:docPartObj>
        <w:docPartGallery w:val="Page Numbers (Bottom of Page)"/>
        <w:docPartUnique/>
      </w:docPartObj>
    </w:sdtPr>
    <w:sdtContent>
      <w:p w14:paraId="20BCC641" w14:textId="684E9C26" w:rsidR="00B04475" w:rsidRDefault="00B04475" w:rsidP="00B0447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5B1EE2" w14:textId="77777777" w:rsidR="00B04475" w:rsidRDefault="00B04475" w:rsidP="00B044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4C70C" w14:textId="77777777" w:rsidR="00DB785D" w:rsidRDefault="00DB785D" w:rsidP="00B04475">
      <w:r>
        <w:separator/>
      </w:r>
    </w:p>
  </w:footnote>
  <w:footnote w:type="continuationSeparator" w:id="0">
    <w:p w14:paraId="2ABEE321" w14:textId="77777777" w:rsidR="00DB785D" w:rsidRDefault="00DB785D" w:rsidP="00B044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01A10"/>
    <w:multiLevelType w:val="multilevel"/>
    <w:tmpl w:val="3412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F0A23"/>
    <w:multiLevelType w:val="hybridMultilevel"/>
    <w:tmpl w:val="04C2E5E4"/>
    <w:lvl w:ilvl="0" w:tplc="CCD002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EC6722"/>
    <w:multiLevelType w:val="multilevel"/>
    <w:tmpl w:val="85F2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C25E6"/>
    <w:multiLevelType w:val="multilevel"/>
    <w:tmpl w:val="6418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BC7708"/>
    <w:multiLevelType w:val="multilevel"/>
    <w:tmpl w:val="9966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4832D9"/>
    <w:multiLevelType w:val="multilevel"/>
    <w:tmpl w:val="EE96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65530"/>
    <w:multiLevelType w:val="multilevel"/>
    <w:tmpl w:val="8E8A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523A59"/>
    <w:multiLevelType w:val="multilevel"/>
    <w:tmpl w:val="63F8A8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EAE1321"/>
    <w:multiLevelType w:val="multilevel"/>
    <w:tmpl w:val="1FC8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404B57"/>
    <w:multiLevelType w:val="multilevel"/>
    <w:tmpl w:val="0460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A53D16"/>
    <w:multiLevelType w:val="multilevel"/>
    <w:tmpl w:val="63FC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FC2411"/>
    <w:multiLevelType w:val="multilevel"/>
    <w:tmpl w:val="9E10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DE3218"/>
    <w:multiLevelType w:val="multilevel"/>
    <w:tmpl w:val="EFC8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255446">
    <w:abstractNumId w:val="1"/>
  </w:num>
  <w:num w:numId="2" w16cid:durableId="353194912">
    <w:abstractNumId w:val="7"/>
  </w:num>
  <w:num w:numId="3" w16cid:durableId="577130465">
    <w:abstractNumId w:val="0"/>
  </w:num>
  <w:num w:numId="4" w16cid:durableId="135538432">
    <w:abstractNumId w:val="5"/>
  </w:num>
  <w:num w:numId="5" w16cid:durableId="1703556084">
    <w:abstractNumId w:val="9"/>
  </w:num>
  <w:num w:numId="6" w16cid:durableId="1174225821">
    <w:abstractNumId w:val="8"/>
  </w:num>
  <w:num w:numId="7" w16cid:durableId="1762408180">
    <w:abstractNumId w:val="2"/>
  </w:num>
  <w:num w:numId="8" w16cid:durableId="31080327">
    <w:abstractNumId w:val="12"/>
  </w:num>
  <w:num w:numId="9" w16cid:durableId="835193860">
    <w:abstractNumId w:val="11"/>
  </w:num>
  <w:num w:numId="10" w16cid:durableId="1814907046">
    <w:abstractNumId w:val="3"/>
  </w:num>
  <w:num w:numId="11" w16cid:durableId="690836096">
    <w:abstractNumId w:val="6"/>
  </w:num>
  <w:num w:numId="12" w16cid:durableId="1526944332">
    <w:abstractNumId w:val="4"/>
  </w:num>
  <w:num w:numId="13" w16cid:durableId="1272083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D1D"/>
    <w:rsid w:val="00055793"/>
    <w:rsid w:val="00056ECF"/>
    <w:rsid w:val="000B2C0E"/>
    <w:rsid w:val="00117E07"/>
    <w:rsid w:val="001207D7"/>
    <w:rsid w:val="00137FF7"/>
    <w:rsid w:val="00155A7F"/>
    <w:rsid w:val="001772CC"/>
    <w:rsid w:val="001C187A"/>
    <w:rsid w:val="001E2CE3"/>
    <w:rsid w:val="001E7ADF"/>
    <w:rsid w:val="002228C2"/>
    <w:rsid w:val="00225B87"/>
    <w:rsid w:val="00266412"/>
    <w:rsid w:val="00280E6C"/>
    <w:rsid w:val="002925FA"/>
    <w:rsid w:val="002B19DC"/>
    <w:rsid w:val="002E267C"/>
    <w:rsid w:val="00331B96"/>
    <w:rsid w:val="00343122"/>
    <w:rsid w:val="003516F7"/>
    <w:rsid w:val="00387D1D"/>
    <w:rsid w:val="003A6F65"/>
    <w:rsid w:val="003C3855"/>
    <w:rsid w:val="003D674F"/>
    <w:rsid w:val="00405EE4"/>
    <w:rsid w:val="0044022D"/>
    <w:rsid w:val="004552D6"/>
    <w:rsid w:val="00474D5B"/>
    <w:rsid w:val="00482A79"/>
    <w:rsid w:val="004A2D6B"/>
    <w:rsid w:val="004E4BF3"/>
    <w:rsid w:val="00502EC5"/>
    <w:rsid w:val="00580833"/>
    <w:rsid w:val="005A73DA"/>
    <w:rsid w:val="005D3B30"/>
    <w:rsid w:val="005D7E75"/>
    <w:rsid w:val="005E4086"/>
    <w:rsid w:val="00603EA3"/>
    <w:rsid w:val="00621C0B"/>
    <w:rsid w:val="00693551"/>
    <w:rsid w:val="006B67D8"/>
    <w:rsid w:val="006C2151"/>
    <w:rsid w:val="006D4A8E"/>
    <w:rsid w:val="006F4133"/>
    <w:rsid w:val="00702A27"/>
    <w:rsid w:val="00735FE6"/>
    <w:rsid w:val="00742CD8"/>
    <w:rsid w:val="0076176A"/>
    <w:rsid w:val="00772850"/>
    <w:rsid w:val="007804AC"/>
    <w:rsid w:val="007A7019"/>
    <w:rsid w:val="007C3222"/>
    <w:rsid w:val="007D2878"/>
    <w:rsid w:val="007D63BC"/>
    <w:rsid w:val="007E33C1"/>
    <w:rsid w:val="008108B1"/>
    <w:rsid w:val="00810959"/>
    <w:rsid w:val="0085105D"/>
    <w:rsid w:val="00852A52"/>
    <w:rsid w:val="008623E0"/>
    <w:rsid w:val="00874C12"/>
    <w:rsid w:val="008A0D3E"/>
    <w:rsid w:val="008C25D3"/>
    <w:rsid w:val="0091737C"/>
    <w:rsid w:val="00954D0F"/>
    <w:rsid w:val="00962AB5"/>
    <w:rsid w:val="00967019"/>
    <w:rsid w:val="009729A8"/>
    <w:rsid w:val="00982992"/>
    <w:rsid w:val="009A5926"/>
    <w:rsid w:val="00A23C07"/>
    <w:rsid w:val="00A402EB"/>
    <w:rsid w:val="00A41648"/>
    <w:rsid w:val="00A44961"/>
    <w:rsid w:val="00A57371"/>
    <w:rsid w:val="00A57715"/>
    <w:rsid w:val="00A77C9A"/>
    <w:rsid w:val="00A83C8B"/>
    <w:rsid w:val="00AB75EB"/>
    <w:rsid w:val="00B04475"/>
    <w:rsid w:val="00B0698D"/>
    <w:rsid w:val="00B130A6"/>
    <w:rsid w:val="00B274E9"/>
    <w:rsid w:val="00B62353"/>
    <w:rsid w:val="00B62697"/>
    <w:rsid w:val="00B64EBB"/>
    <w:rsid w:val="00B7248B"/>
    <w:rsid w:val="00B861CE"/>
    <w:rsid w:val="00BF7123"/>
    <w:rsid w:val="00C13BC9"/>
    <w:rsid w:val="00C15DA2"/>
    <w:rsid w:val="00C243A5"/>
    <w:rsid w:val="00C4352E"/>
    <w:rsid w:val="00C659CC"/>
    <w:rsid w:val="00C80757"/>
    <w:rsid w:val="00CB3AC0"/>
    <w:rsid w:val="00CF0548"/>
    <w:rsid w:val="00CF6C60"/>
    <w:rsid w:val="00D067C0"/>
    <w:rsid w:val="00D50930"/>
    <w:rsid w:val="00D54BDC"/>
    <w:rsid w:val="00D76F71"/>
    <w:rsid w:val="00DB785D"/>
    <w:rsid w:val="00DC211C"/>
    <w:rsid w:val="00DD48B7"/>
    <w:rsid w:val="00E34E1F"/>
    <w:rsid w:val="00E434BF"/>
    <w:rsid w:val="00E50509"/>
    <w:rsid w:val="00E818B7"/>
    <w:rsid w:val="00E82D1E"/>
    <w:rsid w:val="00E97E75"/>
    <w:rsid w:val="00EA7206"/>
    <w:rsid w:val="00EC3AFA"/>
    <w:rsid w:val="00EF316E"/>
    <w:rsid w:val="00F20552"/>
    <w:rsid w:val="00F64321"/>
    <w:rsid w:val="00F76AEC"/>
    <w:rsid w:val="00F77A08"/>
    <w:rsid w:val="00F953B0"/>
    <w:rsid w:val="00FA7EFB"/>
    <w:rsid w:val="00FC1744"/>
    <w:rsid w:val="00FD35DC"/>
    <w:rsid w:val="00FF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BCE02"/>
  <w15:chartTrackingRefBased/>
  <w15:docId w15:val="{D917F693-3FE9-2748-9DF9-072C72F6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96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A77C9A"/>
    <w:pPr>
      <w:keepNext/>
      <w:keepLines/>
      <w:spacing w:before="360" w:after="80" w:line="276" w:lineRule="auto"/>
      <w:jc w:val="both"/>
      <w:outlineLvl w:val="0"/>
    </w:pPr>
    <w:rPr>
      <w:b/>
      <w:color w:val="000000" w:themeColor="text1"/>
      <w:sz w:val="28"/>
      <w:szCs w:val="28"/>
    </w:rPr>
  </w:style>
  <w:style w:type="paragraph" w:styleId="Heading2">
    <w:name w:val="heading 2"/>
    <w:basedOn w:val="Normal"/>
    <w:next w:val="Normal"/>
    <w:link w:val="Heading2Char"/>
    <w:autoRedefine/>
    <w:uiPriority w:val="9"/>
    <w:unhideWhenUsed/>
    <w:qFormat/>
    <w:rsid w:val="00E818B7"/>
    <w:pPr>
      <w:keepNext/>
      <w:keepLines/>
      <w:spacing w:line="276" w:lineRule="auto"/>
      <w:jc w:val="both"/>
      <w:outlineLvl w:val="1"/>
    </w:pPr>
    <w:rPr>
      <w:rFonts w:eastAsiaTheme="majorEastAsia"/>
      <w:b/>
      <w:color w:val="000000" w:themeColor="text1"/>
    </w:rPr>
  </w:style>
  <w:style w:type="paragraph" w:styleId="Heading3">
    <w:name w:val="heading 3"/>
    <w:basedOn w:val="Normal"/>
    <w:next w:val="Normal"/>
    <w:link w:val="Heading3Char"/>
    <w:autoRedefine/>
    <w:uiPriority w:val="9"/>
    <w:unhideWhenUsed/>
    <w:qFormat/>
    <w:rsid w:val="00E818B7"/>
    <w:pPr>
      <w:keepNext/>
      <w:keepLines/>
      <w:spacing w:after="80" w:line="276" w:lineRule="auto"/>
      <w:jc w:val="both"/>
      <w:outlineLvl w:val="2"/>
    </w:pPr>
    <w:rPr>
      <w:rFonts w:eastAsiaTheme="majorEastAsia"/>
      <w:i/>
      <w:color w:val="000000" w:themeColor="text1"/>
    </w:rPr>
  </w:style>
  <w:style w:type="paragraph" w:styleId="Heading4">
    <w:name w:val="heading 4"/>
    <w:basedOn w:val="Heading3"/>
    <w:next w:val="Heading3"/>
    <w:link w:val="Heading4Char"/>
    <w:autoRedefine/>
    <w:uiPriority w:val="9"/>
    <w:unhideWhenUsed/>
    <w:qFormat/>
    <w:rsid w:val="008623E0"/>
    <w:pPr>
      <w:spacing w:before="80" w:after="40"/>
      <w:outlineLvl w:val="3"/>
    </w:pPr>
    <w:rPr>
      <w:rFonts w:cstheme="majorBidi"/>
      <w:iCs/>
    </w:rPr>
  </w:style>
  <w:style w:type="paragraph" w:styleId="Heading5">
    <w:name w:val="heading 5"/>
    <w:basedOn w:val="Normal"/>
    <w:next w:val="Normal"/>
    <w:link w:val="Heading5Char"/>
    <w:autoRedefine/>
    <w:uiPriority w:val="9"/>
    <w:unhideWhenUsed/>
    <w:qFormat/>
    <w:rsid w:val="00603EA3"/>
    <w:pPr>
      <w:keepNext/>
      <w:keepLines/>
      <w:spacing w:before="80" w:after="40"/>
      <w:jc w:val="center"/>
      <w:outlineLvl w:val="4"/>
    </w:pPr>
    <w:rPr>
      <w:rFonts w:eastAsiaTheme="majorEastAsia" w:cstheme="majorBidi"/>
      <w:i/>
      <w:color w:val="000000" w:themeColor="text1"/>
      <w:sz w:val="16"/>
    </w:rPr>
  </w:style>
  <w:style w:type="paragraph" w:styleId="Heading6">
    <w:name w:val="heading 6"/>
    <w:basedOn w:val="Normal"/>
    <w:next w:val="Normal"/>
    <w:link w:val="Heading6Char"/>
    <w:uiPriority w:val="9"/>
    <w:semiHidden/>
    <w:unhideWhenUsed/>
    <w:qFormat/>
    <w:rsid w:val="00387D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D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D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D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C9A"/>
    <w:rPr>
      <w:rFonts w:ascii="Times New Roman" w:eastAsia="Times New Roman" w:hAnsi="Times New Roman" w:cs="Times New Roman"/>
      <w:b/>
      <w:color w:val="000000" w:themeColor="text1"/>
      <w:kern w:val="0"/>
      <w:sz w:val="28"/>
      <w:szCs w:val="28"/>
      <w:lang w:eastAsia="en-GB"/>
      <w14:ligatures w14:val="none"/>
    </w:rPr>
  </w:style>
  <w:style w:type="character" w:customStyle="1" w:styleId="Heading2Char">
    <w:name w:val="Heading 2 Char"/>
    <w:basedOn w:val="DefaultParagraphFont"/>
    <w:link w:val="Heading2"/>
    <w:uiPriority w:val="9"/>
    <w:rsid w:val="00E818B7"/>
    <w:rPr>
      <w:rFonts w:ascii="Times New Roman" w:eastAsiaTheme="majorEastAsia" w:hAnsi="Times New Roman" w:cs="Times New Roman"/>
      <w:b/>
      <w:color w:val="000000" w:themeColor="text1"/>
      <w:kern w:val="0"/>
      <w:lang w:eastAsia="en-GB"/>
      <w14:ligatures w14:val="none"/>
    </w:rPr>
  </w:style>
  <w:style w:type="paragraph" w:styleId="NoSpacing">
    <w:name w:val="No Spacing"/>
    <w:link w:val="NoSpacingChar"/>
    <w:autoRedefine/>
    <w:uiPriority w:val="1"/>
    <w:qFormat/>
    <w:rsid w:val="00FD35DC"/>
    <w:pPr>
      <w:tabs>
        <w:tab w:val="left" w:pos="1134"/>
        <w:tab w:val="left" w:pos="1276"/>
        <w:tab w:val="left" w:pos="1418"/>
      </w:tabs>
      <w:spacing w:after="900" w:line="276" w:lineRule="auto"/>
    </w:pPr>
    <w:rPr>
      <w:rFonts w:ascii="Times New Roman" w:eastAsiaTheme="minorEastAsia" w:hAnsi="Times New Roman" w:cs="Times New Roman"/>
      <w:bCs/>
      <w:kern w:val="0"/>
      <w:sz w:val="28"/>
      <w:szCs w:val="28"/>
      <w:lang w:val="en-US" w:eastAsia="zh-CN"/>
      <w14:ligatures w14:val="none"/>
    </w:rPr>
  </w:style>
  <w:style w:type="character" w:customStyle="1" w:styleId="NoSpacingChar">
    <w:name w:val="No Spacing Char"/>
    <w:basedOn w:val="DefaultParagraphFont"/>
    <w:link w:val="NoSpacing"/>
    <w:uiPriority w:val="1"/>
    <w:rsid w:val="00FD35DC"/>
    <w:rPr>
      <w:rFonts w:ascii="Times New Roman" w:eastAsiaTheme="minorEastAsia" w:hAnsi="Times New Roman" w:cs="Times New Roman"/>
      <w:bCs/>
      <w:kern w:val="0"/>
      <w:sz w:val="28"/>
      <w:szCs w:val="28"/>
      <w:lang w:val="en-US" w:eastAsia="zh-CN"/>
      <w14:ligatures w14:val="none"/>
    </w:rPr>
  </w:style>
  <w:style w:type="character" w:customStyle="1" w:styleId="Heading3Char">
    <w:name w:val="Heading 3 Char"/>
    <w:basedOn w:val="DefaultParagraphFont"/>
    <w:link w:val="Heading3"/>
    <w:uiPriority w:val="9"/>
    <w:rsid w:val="00E818B7"/>
    <w:rPr>
      <w:rFonts w:ascii="Times New Roman" w:eastAsiaTheme="majorEastAsia" w:hAnsi="Times New Roman" w:cs="Times New Roman"/>
      <w:i/>
      <w:color w:val="000000" w:themeColor="text1"/>
      <w:kern w:val="0"/>
      <w:lang w:eastAsia="en-GB"/>
      <w14:ligatures w14:val="none"/>
    </w:rPr>
  </w:style>
  <w:style w:type="character" w:customStyle="1" w:styleId="Heading4Char">
    <w:name w:val="Heading 4 Char"/>
    <w:basedOn w:val="DefaultParagraphFont"/>
    <w:link w:val="Heading4"/>
    <w:uiPriority w:val="9"/>
    <w:rsid w:val="008623E0"/>
    <w:rPr>
      <w:rFonts w:ascii="Times New Roman" w:eastAsiaTheme="majorEastAsia" w:hAnsi="Times New Roman" w:cstheme="majorBidi"/>
      <w:i/>
      <w:iCs/>
      <w:color w:val="000000" w:themeColor="text1"/>
      <w:kern w:val="0"/>
      <w:lang w:eastAsia="en-GB"/>
      <w14:ligatures w14:val="none"/>
    </w:rPr>
  </w:style>
  <w:style w:type="character" w:customStyle="1" w:styleId="Heading5Char">
    <w:name w:val="Heading 5 Char"/>
    <w:basedOn w:val="DefaultParagraphFont"/>
    <w:link w:val="Heading5"/>
    <w:uiPriority w:val="9"/>
    <w:rsid w:val="00603EA3"/>
    <w:rPr>
      <w:rFonts w:ascii="Times New Roman" w:eastAsiaTheme="majorEastAsia" w:hAnsi="Times New Roman" w:cstheme="majorBidi"/>
      <w:i/>
      <w:color w:val="000000" w:themeColor="text1"/>
      <w:kern w:val="0"/>
      <w:sz w:val="16"/>
      <w:lang w:eastAsia="en-GB"/>
      <w14:ligatures w14:val="none"/>
    </w:rPr>
  </w:style>
  <w:style w:type="character" w:customStyle="1" w:styleId="Heading6Char">
    <w:name w:val="Heading 6 Char"/>
    <w:basedOn w:val="DefaultParagraphFont"/>
    <w:link w:val="Heading6"/>
    <w:uiPriority w:val="9"/>
    <w:semiHidden/>
    <w:rsid w:val="00387D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D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D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D1D"/>
    <w:rPr>
      <w:rFonts w:eastAsiaTheme="majorEastAsia" w:cstheme="majorBidi"/>
      <w:color w:val="272727" w:themeColor="text1" w:themeTint="D8"/>
    </w:rPr>
  </w:style>
  <w:style w:type="paragraph" w:styleId="Title">
    <w:name w:val="Title"/>
    <w:basedOn w:val="Normal"/>
    <w:next w:val="Normal"/>
    <w:link w:val="TitleChar"/>
    <w:uiPriority w:val="10"/>
    <w:qFormat/>
    <w:rsid w:val="00387D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D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D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D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7D1D"/>
    <w:rPr>
      <w:i/>
      <w:iCs/>
      <w:color w:val="404040" w:themeColor="text1" w:themeTint="BF"/>
    </w:rPr>
  </w:style>
  <w:style w:type="paragraph" w:styleId="ListParagraph">
    <w:name w:val="List Paragraph"/>
    <w:basedOn w:val="Normal"/>
    <w:uiPriority w:val="34"/>
    <w:qFormat/>
    <w:rsid w:val="00387D1D"/>
    <w:pPr>
      <w:ind w:left="720"/>
      <w:contextualSpacing/>
    </w:pPr>
  </w:style>
  <w:style w:type="character" w:styleId="IntenseEmphasis">
    <w:name w:val="Intense Emphasis"/>
    <w:basedOn w:val="DefaultParagraphFont"/>
    <w:uiPriority w:val="21"/>
    <w:qFormat/>
    <w:rsid w:val="00387D1D"/>
    <w:rPr>
      <w:i/>
      <w:iCs/>
      <w:color w:val="0F4761" w:themeColor="accent1" w:themeShade="BF"/>
    </w:rPr>
  </w:style>
  <w:style w:type="paragraph" w:styleId="IntenseQuote">
    <w:name w:val="Intense Quote"/>
    <w:basedOn w:val="Normal"/>
    <w:next w:val="Normal"/>
    <w:link w:val="IntenseQuoteChar"/>
    <w:uiPriority w:val="30"/>
    <w:qFormat/>
    <w:rsid w:val="00387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D1D"/>
    <w:rPr>
      <w:i/>
      <w:iCs/>
      <w:color w:val="0F4761" w:themeColor="accent1" w:themeShade="BF"/>
    </w:rPr>
  </w:style>
  <w:style w:type="character" w:styleId="IntenseReference">
    <w:name w:val="Intense Reference"/>
    <w:basedOn w:val="DefaultParagraphFont"/>
    <w:uiPriority w:val="32"/>
    <w:qFormat/>
    <w:rsid w:val="00387D1D"/>
    <w:rPr>
      <w:b/>
      <w:bCs/>
      <w:smallCaps/>
      <w:color w:val="0F4761" w:themeColor="accent1" w:themeShade="BF"/>
      <w:spacing w:val="5"/>
    </w:rPr>
  </w:style>
  <w:style w:type="paragraph" w:customStyle="1" w:styleId="p1">
    <w:name w:val="p1"/>
    <w:basedOn w:val="Normal"/>
    <w:rsid w:val="00387D1D"/>
    <w:pPr>
      <w:spacing w:before="100" w:beforeAutospacing="1" w:after="100" w:afterAutospacing="1"/>
    </w:pPr>
  </w:style>
  <w:style w:type="character" w:customStyle="1" w:styleId="s1">
    <w:name w:val="s1"/>
    <w:basedOn w:val="DefaultParagraphFont"/>
    <w:rsid w:val="00387D1D"/>
  </w:style>
  <w:style w:type="paragraph" w:customStyle="1" w:styleId="p2">
    <w:name w:val="p2"/>
    <w:basedOn w:val="Normal"/>
    <w:rsid w:val="00387D1D"/>
    <w:pPr>
      <w:spacing w:before="100" w:beforeAutospacing="1" w:after="100" w:afterAutospacing="1"/>
    </w:pPr>
  </w:style>
  <w:style w:type="paragraph" w:customStyle="1" w:styleId="p3">
    <w:name w:val="p3"/>
    <w:basedOn w:val="Normal"/>
    <w:rsid w:val="00387D1D"/>
    <w:pPr>
      <w:spacing w:before="100" w:beforeAutospacing="1" w:after="100" w:afterAutospacing="1"/>
    </w:pPr>
  </w:style>
  <w:style w:type="paragraph" w:customStyle="1" w:styleId="p4">
    <w:name w:val="p4"/>
    <w:basedOn w:val="Normal"/>
    <w:rsid w:val="00387D1D"/>
    <w:pPr>
      <w:spacing w:before="100" w:beforeAutospacing="1" w:after="100" w:afterAutospacing="1"/>
    </w:pPr>
  </w:style>
  <w:style w:type="paragraph" w:customStyle="1" w:styleId="IEEE-Affil">
    <w:name w:val="IEEE-Affil."/>
    <w:basedOn w:val="Normal"/>
    <w:link w:val="IEEE-AffilChar"/>
    <w:autoRedefine/>
    <w:qFormat/>
    <w:rsid w:val="00603EA3"/>
    <w:pPr>
      <w:spacing w:after="160" w:line="259" w:lineRule="auto"/>
      <w:jc w:val="center"/>
    </w:pPr>
    <w:rPr>
      <w:rFonts w:eastAsiaTheme="minorEastAsia"/>
      <w:i/>
      <w:iCs/>
      <w:szCs w:val="20"/>
    </w:rPr>
  </w:style>
  <w:style w:type="character" w:customStyle="1" w:styleId="IEEE-AffilChar">
    <w:name w:val="IEEE-Affil. Char"/>
    <w:basedOn w:val="DefaultParagraphFont"/>
    <w:link w:val="IEEE-Affil"/>
    <w:rsid w:val="00603EA3"/>
    <w:rPr>
      <w:rFonts w:ascii="Times New Roman" w:eastAsiaTheme="minorEastAsia" w:hAnsi="Times New Roman" w:cs="Times New Roman"/>
      <w:i/>
      <w:iCs/>
      <w:kern w:val="0"/>
      <w:szCs w:val="20"/>
      <w:lang w:eastAsia="en-GB"/>
      <w14:ligatures w14:val="none"/>
    </w:rPr>
  </w:style>
  <w:style w:type="character" w:styleId="Hyperlink">
    <w:name w:val="Hyperlink"/>
    <w:basedOn w:val="DefaultParagraphFont"/>
    <w:uiPriority w:val="99"/>
    <w:unhideWhenUsed/>
    <w:rsid w:val="002228C2"/>
    <w:rPr>
      <w:color w:val="467886" w:themeColor="hyperlink"/>
      <w:u w:val="single"/>
    </w:rPr>
  </w:style>
  <w:style w:type="character" w:styleId="UnresolvedMention">
    <w:name w:val="Unresolved Mention"/>
    <w:basedOn w:val="DefaultParagraphFont"/>
    <w:uiPriority w:val="99"/>
    <w:semiHidden/>
    <w:unhideWhenUsed/>
    <w:rsid w:val="002228C2"/>
    <w:rPr>
      <w:color w:val="605E5C"/>
      <w:shd w:val="clear" w:color="auto" w:fill="E1DFDD"/>
    </w:rPr>
  </w:style>
  <w:style w:type="character" w:styleId="FollowedHyperlink">
    <w:name w:val="FollowedHyperlink"/>
    <w:basedOn w:val="DefaultParagraphFont"/>
    <w:uiPriority w:val="99"/>
    <w:semiHidden/>
    <w:unhideWhenUsed/>
    <w:rsid w:val="002228C2"/>
    <w:rPr>
      <w:color w:val="96607D" w:themeColor="followedHyperlink"/>
      <w:u w:val="single"/>
    </w:rPr>
  </w:style>
  <w:style w:type="paragraph" w:styleId="TOCHeading">
    <w:name w:val="TOC Heading"/>
    <w:basedOn w:val="Heading1"/>
    <w:next w:val="Normal"/>
    <w:uiPriority w:val="39"/>
    <w:unhideWhenUsed/>
    <w:qFormat/>
    <w:rsid w:val="000B2C0E"/>
    <w:pPr>
      <w:spacing w:before="480" w:after="0"/>
      <w:outlineLvl w:val="9"/>
    </w:pPr>
    <w:rPr>
      <w:rFonts w:asciiTheme="majorHAnsi" w:hAnsiTheme="majorHAnsi" w:cstheme="majorBidi"/>
      <w:bCs/>
      <w:color w:val="0F4761" w:themeColor="accent1" w:themeShade="BF"/>
      <w:lang w:val="en-US"/>
    </w:rPr>
  </w:style>
  <w:style w:type="paragraph" w:styleId="TOC1">
    <w:name w:val="toc 1"/>
    <w:basedOn w:val="Normal"/>
    <w:next w:val="Normal"/>
    <w:autoRedefine/>
    <w:uiPriority w:val="39"/>
    <w:unhideWhenUsed/>
    <w:rsid w:val="000B2C0E"/>
    <w:pPr>
      <w:spacing w:before="120"/>
    </w:pPr>
    <w:rPr>
      <w:rFonts w:asciiTheme="minorHAnsi" w:hAnsiTheme="minorHAnsi"/>
      <w:b/>
      <w:bCs/>
      <w:i/>
      <w:iCs/>
    </w:rPr>
  </w:style>
  <w:style w:type="paragraph" w:styleId="TOC3">
    <w:name w:val="toc 3"/>
    <w:basedOn w:val="Normal"/>
    <w:next w:val="Normal"/>
    <w:autoRedefine/>
    <w:uiPriority w:val="39"/>
    <w:unhideWhenUsed/>
    <w:rsid w:val="000B2C0E"/>
    <w:pPr>
      <w:ind w:left="480"/>
    </w:pPr>
    <w:rPr>
      <w:rFonts w:asciiTheme="minorHAnsi" w:hAnsiTheme="minorHAnsi"/>
      <w:sz w:val="20"/>
      <w:szCs w:val="20"/>
    </w:rPr>
  </w:style>
  <w:style w:type="paragraph" w:styleId="TOC2">
    <w:name w:val="toc 2"/>
    <w:basedOn w:val="Normal"/>
    <w:next w:val="Normal"/>
    <w:autoRedefine/>
    <w:uiPriority w:val="39"/>
    <w:unhideWhenUsed/>
    <w:rsid w:val="000B2C0E"/>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0B2C0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B2C0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B2C0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B2C0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B2C0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B2C0E"/>
    <w:pPr>
      <w:ind w:left="1920"/>
    </w:pPr>
    <w:rPr>
      <w:rFonts w:asciiTheme="minorHAnsi" w:hAnsiTheme="minorHAnsi"/>
      <w:sz w:val="20"/>
      <w:szCs w:val="20"/>
    </w:rPr>
  </w:style>
  <w:style w:type="paragraph" w:styleId="Footer">
    <w:name w:val="footer"/>
    <w:basedOn w:val="Normal"/>
    <w:link w:val="FooterChar"/>
    <w:uiPriority w:val="99"/>
    <w:unhideWhenUsed/>
    <w:rsid w:val="00B04475"/>
    <w:pPr>
      <w:tabs>
        <w:tab w:val="center" w:pos="4513"/>
        <w:tab w:val="right" w:pos="9026"/>
      </w:tabs>
    </w:pPr>
  </w:style>
  <w:style w:type="character" w:customStyle="1" w:styleId="FooterChar">
    <w:name w:val="Footer Char"/>
    <w:basedOn w:val="DefaultParagraphFont"/>
    <w:link w:val="Footer"/>
    <w:uiPriority w:val="99"/>
    <w:rsid w:val="00B04475"/>
  </w:style>
  <w:style w:type="character" w:styleId="PageNumber">
    <w:name w:val="page number"/>
    <w:basedOn w:val="DefaultParagraphFont"/>
    <w:uiPriority w:val="99"/>
    <w:semiHidden/>
    <w:unhideWhenUsed/>
    <w:rsid w:val="00B04475"/>
  </w:style>
  <w:style w:type="paragraph" w:styleId="Header">
    <w:name w:val="header"/>
    <w:basedOn w:val="Normal"/>
    <w:link w:val="HeaderChar"/>
    <w:uiPriority w:val="99"/>
    <w:unhideWhenUsed/>
    <w:rsid w:val="00E434BF"/>
    <w:pPr>
      <w:tabs>
        <w:tab w:val="center" w:pos="4513"/>
        <w:tab w:val="right" w:pos="9026"/>
      </w:tabs>
    </w:pPr>
  </w:style>
  <w:style w:type="character" w:customStyle="1" w:styleId="HeaderChar">
    <w:name w:val="Header Char"/>
    <w:basedOn w:val="DefaultParagraphFont"/>
    <w:link w:val="Header"/>
    <w:uiPriority w:val="99"/>
    <w:rsid w:val="00E434BF"/>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D3B30"/>
  </w:style>
  <w:style w:type="character" w:customStyle="1" w:styleId="s2">
    <w:name w:val="s2"/>
    <w:basedOn w:val="DefaultParagraphFont"/>
    <w:rsid w:val="005D3B30"/>
  </w:style>
  <w:style w:type="table" w:styleId="TableGrid">
    <w:name w:val="Table Grid"/>
    <w:basedOn w:val="TableNormal"/>
    <w:uiPriority w:val="39"/>
    <w:rsid w:val="005D3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0CBEC-590E-B847-85A5-E0073496E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8139</Words>
  <Characters>55918</Characters>
  <Application>Microsoft Office Word</Application>
  <DocSecurity>0</DocSecurity>
  <Lines>1433</Lines>
  <Paragraphs>379</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University of Wales Trinity St David, Swansea, Wales</Company>
  <LinksUpToDate>false</LinksUpToDate>
  <CharactersWithSpaces>63678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Kawam de Oliveira (2412430)</dc:creator>
  <cp:keywords/>
  <dc:description/>
  <cp:lastModifiedBy>Kawam De Oliveira (2412430)</cp:lastModifiedBy>
  <cp:revision>2</cp:revision>
  <dcterms:created xsi:type="dcterms:W3CDTF">2026-01-06T14:43:00Z</dcterms:created>
  <dcterms:modified xsi:type="dcterms:W3CDTF">2026-01-06T14:43:00Z</dcterms:modified>
</cp:coreProperties>
</file>