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10431" w14:textId="77777777" w:rsidR="0087294B" w:rsidRDefault="0087294B" w:rsidP="0087294B">
      <w:r>
        <w:rPr>
          <w:noProof/>
        </w:rPr>
        <w:drawing>
          <wp:inline distT="0" distB="0" distL="0" distR="0" wp14:anchorId="00726923" wp14:editId="4038040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73DA984D" w14:textId="77777777" w:rsidR="0087294B" w:rsidRDefault="0087294B" w:rsidP="0087294B">
      <w:pPr>
        <w:rPr>
          <w:rStyle w:val="Strong"/>
          <w:rFonts w:ascii="Segoe UI" w:hAnsi="Segoe UI" w:cs="Segoe UI"/>
          <w:color w:val="1D2125"/>
        </w:rPr>
      </w:pPr>
    </w:p>
    <w:p w14:paraId="2411AD46" w14:textId="77777777" w:rsidR="0087294B" w:rsidRPr="000264A1" w:rsidRDefault="0087294B" w:rsidP="0087294B">
      <w:pPr>
        <w:rPr>
          <w:rStyle w:val="Strong"/>
          <w:rFonts w:ascii="Arial" w:hAnsi="Arial" w:cs="Arial"/>
          <w:color w:val="1D2125"/>
          <w:sz w:val="36"/>
          <w:szCs w:val="36"/>
        </w:rPr>
      </w:pPr>
    </w:p>
    <w:p w14:paraId="55310E1A" w14:textId="77777777" w:rsidR="0087294B" w:rsidRPr="000264A1" w:rsidRDefault="0087294B" w:rsidP="0087294B">
      <w:pPr>
        <w:jc w:val="center"/>
        <w:rPr>
          <w:rStyle w:val="Strong"/>
          <w:rFonts w:ascii="Arial" w:hAnsi="Arial" w:cs="Arial"/>
          <w:color w:val="1D2125"/>
          <w:sz w:val="36"/>
          <w:szCs w:val="36"/>
        </w:rPr>
      </w:pPr>
    </w:p>
    <w:p w14:paraId="55F6D3B6" w14:textId="16D85494" w:rsidR="0087294B" w:rsidRPr="000264A1" w:rsidRDefault="00F27A62" w:rsidP="0087294B">
      <w:pPr>
        <w:jc w:val="center"/>
        <w:rPr>
          <w:rStyle w:val="Strong"/>
          <w:rFonts w:ascii="Arial" w:hAnsi="Arial" w:cs="Arial"/>
          <w:color w:val="1D2125"/>
          <w:sz w:val="36"/>
          <w:szCs w:val="36"/>
        </w:rPr>
      </w:pPr>
      <w:r>
        <w:rPr>
          <w:rStyle w:val="Strong"/>
          <w:rFonts w:ascii="Arial" w:hAnsi="Arial" w:cs="Arial"/>
          <w:color w:val="1D2125"/>
          <w:sz w:val="36"/>
          <w:szCs w:val="36"/>
        </w:rPr>
        <w:t xml:space="preserve">  </w:t>
      </w:r>
    </w:p>
    <w:p w14:paraId="7924C5E7" w14:textId="77777777" w:rsidR="0087294B" w:rsidRDefault="0087294B" w:rsidP="0087294B">
      <w:pPr>
        <w:jc w:val="center"/>
        <w:rPr>
          <w:rStyle w:val="Strong"/>
          <w:rFonts w:ascii="Arial" w:hAnsi="Arial" w:cs="Arial"/>
          <w:color w:val="1D2125"/>
          <w:sz w:val="36"/>
          <w:szCs w:val="36"/>
        </w:rPr>
      </w:pPr>
    </w:p>
    <w:p w14:paraId="12C9387D" w14:textId="77777777" w:rsidR="0087294B" w:rsidRDefault="0087294B" w:rsidP="0087294B">
      <w:pPr>
        <w:rPr>
          <w:rFonts w:ascii="Arial" w:hAnsi="Arial" w:cs="Arial"/>
          <w:b/>
          <w:bCs/>
          <w:color w:val="000000"/>
          <w:sz w:val="32"/>
          <w:szCs w:val="32"/>
        </w:rPr>
      </w:pPr>
    </w:p>
    <w:p w14:paraId="4C88D9C4" w14:textId="77777777" w:rsidR="0087294B" w:rsidRPr="00792487" w:rsidRDefault="0087294B" w:rsidP="0087294B">
      <w:pPr>
        <w:rPr>
          <w:rStyle w:val="Strong"/>
          <w:rFonts w:ascii="Arial" w:hAnsi="Arial" w:cs="Arial"/>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color w:val="1D2125"/>
          <w:sz w:val="32"/>
          <w:szCs w:val="32"/>
        </w:rPr>
        <w:t xml:space="preserve"> </w:t>
      </w:r>
    </w:p>
    <w:p w14:paraId="3917238C" w14:textId="77777777" w:rsidR="0087294B" w:rsidRPr="000264A1" w:rsidRDefault="0087294B" w:rsidP="0087294B">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Pr>
          <w:rStyle w:val="Strong"/>
          <w:rFonts w:ascii="Arial" w:hAnsi="Arial" w:cs="Arial"/>
          <w:color w:val="1D2125"/>
          <w:sz w:val="32"/>
          <w:szCs w:val="32"/>
        </w:rPr>
        <w:t>: Danesha Parkinson</w:t>
      </w:r>
    </w:p>
    <w:p w14:paraId="47BB888D" w14:textId="77777777" w:rsidR="0087294B" w:rsidRDefault="0087294B" w:rsidP="0087294B">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Pr="00792487">
        <w:rPr>
          <w:rFonts w:ascii="Arial" w:hAnsi="Arial" w:cs="Arial"/>
          <w:b/>
          <w:bCs/>
          <w:sz w:val="32"/>
          <w:szCs w:val="32"/>
        </w:rPr>
        <w:t>ID:2336190</w:t>
      </w:r>
      <w:r>
        <w:rPr>
          <w:rFonts w:ascii="Arial" w:hAnsi="Arial" w:cs="Arial"/>
          <w:sz w:val="40"/>
          <w:szCs w:val="40"/>
        </w:rPr>
        <w:t xml:space="preserve"> </w:t>
      </w:r>
      <w:r w:rsidRPr="000264A1">
        <w:rPr>
          <w:rStyle w:val="Strong"/>
          <w:rFonts w:ascii="Arial" w:hAnsi="Arial" w:cs="Arial"/>
          <w:color w:val="1D2125"/>
          <w:sz w:val="32"/>
          <w:szCs w:val="32"/>
        </w:rPr>
        <w:t xml:space="preserve"> </w:t>
      </w:r>
    </w:p>
    <w:p w14:paraId="7D1A5194"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4329EFC7"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52DE7CFC"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59DF2068"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593307E1"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542DDBA9"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79A5A33A"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1066BC6D"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4205A476" w14:textId="77777777" w:rsidR="0087294B" w:rsidRDefault="0087294B" w:rsidP="0087294B">
      <w:pPr>
        <w:shd w:val="clear" w:color="auto" w:fill="FFFFFF"/>
        <w:spacing w:after="0" w:line="360" w:lineRule="auto"/>
        <w:rPr>
          <w:rFonts w:ascii="Arial" w:eastAsia="Times New Roman" w:hAnsi="Arial" w:cs="Arial"/>
          <w:b/>
          <w:bCs/>
          <w:color w:val="0B0B0B"/>
          <w:sz w:val="32"/>
          <w:szCs w:val="32"/>
          <w:lang w:eastAsia="en-GB"/>
        </w:rPr>
      </w:pPr>
    </w:p>
    <w:p w14:paraId="08CBD3C6" w14:textId="77777777" w:rsidR="00A92631" w:rsidRDefault="00A92631" w:rsidP="00A92631">
      <w:pPr>
        <w:shd w:val="clear" w:color="auto" w:fill="FFFFFF"/>
        <w:spacing w:after="0" w:line="360" w:lineRule="auto"/>
        <w:rPr>
          <w:rFonts w:ascii="Arial" w:eastAsia="Times New Roman" w:hAnsi="Arial" w:cs="Arial"/>
          <w:b/>
          <w:bCs/>
          <w:color w:val="0B0B0B"/>
          <w:sz w:val="32"/>
          <w:szCs w:val="32"/>
          <w:lang w:eastAsia="en-GB"/>
        </w:rPr>
      </w:pPr>
    </w:p>
    <w:p w14:paraId="751D2819" w14:textId="77777777" w:rsidR="0027510F" w:rsidRPr="0027510F" w:rsidRDefault="0027510F" w:rsidP="0027510F">
      <w:pPr>
        <w:shd w:val="clear" w:color="auto" w:fill="FFFFFF"/>
        <w:spacing w:after="0" w:line="360" w:lineRule="auto"/>
        <w:rPr>
          <w:rFonts w:ascii="Arial" w:eastAsia="Times New Roman" w:hAnsi="Arial" w:cs="Arial"/>
          <w:b/>
          <w:bCs/>
          <w:color w:val="0B0B0B"/>
          <w:sz w:val="32"/>
          <w:szCs w:val="32"/>
          <w:lang w:eastAsia="en-GB"/>
        </w:rPr>
      </w:pPr>
      <w:r w:rsidRPr="0027510F">
        <w:rPr>
          <w:rFonts w:ascii="Arial" w:eastAsia="Times New Roman" w:hAnsi="Arial" w:cs="Arial"/>
          <w:b/>
          <w:bCs/>
          <w:color w:val="0B0B0B"/>
          <w:sz w:val="32"/>
          <w:szCs w:val="32"/>
          <w:lang w:eastAsia="en-GB"/>
        </w:rPr>
        <w:lastRenderedPageBreak/>
        <w:t>Generalised Anxiety Disorder: A Critical Examination of Classification, Diagnosis, Treatment, Rehabilitation and Contemporary Debates (ICD-11)</w:t>
      </w:r>
    </w:p>
    <w:p w14:paraId="7A984F26" w14:textId="77777777" w:rsidR="0027510F" w:rsidRPr="003D4707" w:rsidRDefault="0027510F" w:rsidP="003D4707">
      <w:pPr>
        <w:shd w:val="clear" w:color="auto" w:fill="FFFFFF"/>
        <w:spacing w:after="0" w:line="360" w:lineRule="auto"/>
        <w:rPr>
          <w:rFonts w:ascii="Arial" w:eastAsia="Times New Roman" w:hAnsi="Arial" w:cs="Arial"/>
          <w:color w:val="0B0B0B"/>
          <w:sz w:val="24"/>
          <w:szCs w:val="24"/>
          <w:lang w:eastAsia="en-GB"/>
        </w:rPr>
      </w:pPr>
    </w:p>
    <w:p w14:paraId="1258EB2D"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Introduction</w:t>
      </w:r>
    </w:p>
    <w:p w14:paraId="7842E5A6"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Generalised Anxiety Disorder (GAD) is one of the most prevalent anxiety disorders worldwide, marked by persistent, excessive worry that is difficult to control and accompanied by symptoms severe enough to impair daily functioning. This distinguishes it from transient anxiety, a normal response to perceived threat: GAD is chronic, lasting months rather than hours or days, and affects multiple areas of a person's life at once. Its contribution to the global burden of mental illness is substantial, driven by reduced quality of life, impaired occupational functioning, higher healthcare utilisation and frequent comorbidity, especially with depressive disorders (World Health Organization [WHO], 2022b).</w:t>
      </w:r>
    </w:p>
    <w:p w14:paraId="39711C5F"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Anxiety disorders are already among the leading causes of disability in working-age UK adults, and primary care data show GAD being recorded more often, particularly in young adults, pointing to growing demand for effective assessment (</w:t>
      </w:r>
      <w:proofErr w:type="spellStart"/>
      <w:r w:rsidRPr="00AB06A7">
        <w:rPr>
          <w:rFonts w:ascii="Arial" w:eastAsia="Calibri" w:hAnsi="Arial" w:cs="Arial"/>
          <w:sz w:val="24"/>
          <w:szCs w:val="24"/>
        </w:rPr>
        <w:t>Slee</w:t>
      </w:r>
      <w:proofErr w:type="spellEnd"/>
      <w:r w:rsidRPr="00AB06A7">
        <w:rPr>
          <w:rFonts w:ascii="Arial" w:eastAsia="Calibri" w:hAnsi="Arial" w:cs="Arial"/>
          <w:sz w:val="24"/>
          <w:szCs w:val="24"/>
        </w:rPr>
        <w:t xml:space="preserve"> et al., 2021). The COVID-19 pandemic pushed anxiety further into public awareness while exposing weaknesses in mental health services: diagnostic delays, uneven access to psychological therapies, and socioeconomic inequalities that continue to shape outcomes.</w:t>
      </w:r>
    </w:p>
    <w:p w14:paraId="435A4725"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The eleventh revision of the International Classification of Diseases (ICD-11) offers an updated framework for classifying mental, behavioural and neurodevelopmental disorders, moving away from ICD-10's approach by giving more weight to functional impairment and clinical judgement and less to rigid diagnostic complexity, while remaining applicable across countries. GAD sits within ICD-11 as an anxiety disorder that clinicians need to take seriously given its chronic course and frequent coexistence with other conditions.</w:t>
      </w:r>
    </w:p>
    <w:p w14:paraId="79684016"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This report examines GAD through the ICD-11 framework, covering classification and diagnostic criteria, current treatment and rehabilitation approaches, ongoing debates </w:t>
      </w:r>
      <w:r w:rsidRPr="00AB06A7">
        <w:rPr>
          <w:rFonts w:ascii="Arial" w:eastAsia="Calibri" w:hAnsi="Arial" w:cs="Arial"/>
          <w:sz w:val="24"/>
          <w:szCs w:val="24"/>
        </w:rPr>
        <w:lastRenderedPageBreak/>
        <w:t>around diagnosis and neurodivergence, and recommendations for practice, policy and future research.</w:t>
      </w:r>
    </w:p>
    <w:p w14:paraId="2F6F908B"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Classification and Diagnosis</w:t>
      </w:r>
    </w:p>
    <w:p w14:paraId="6608E468"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The WHO places GAD within Chapter 6 (Mental, Behavioural or Neurodevelopmental Disorders), under Anxiety or Fear-Related Disorders (WHO, 2022a). The term signals a diagnosable disorder rather than a passing emotional state, built around clinically significant distress and functional impairment rather than ordinary worry.</w:t>
      </w:r>
    </w:p>
    <w:p w14:paraId="7E2F67A8"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Under ICD-11, GAD involves persistent anxiety present on most days for several months, expressed either as excessive worry about everyday situations or as general apprehension with no specific focus, alongside muscular tension, autonomic overactivity, irritability, poor concentration, restlessness and disturbed sleep. Symptoms must cause real impairment to social, occupational, educational or family life, and cannot be explained more simply by another mental disorder, a medical condition or substance use (WHO, 2022a).</w:t>
      </w:r>
    </w:p>
    <w:p w14:paraId="7BA89E39"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Where ICD-10 relied more heavily on symptom counts, ICD-11 leans towards clinical judgement and functional impairment. This shift is part of a wider set of changes across the ICD-11 classification of mental, behavioural and neurodevelopmental disorders, reflecting recognition that anxiety and related conditions sit on a continuum rather than falling into neat categories (Stein et al., 2022). This is intended to improve consistency across countries while giving clinicians room to interpret presentations that vary across cultures. That flexibility is not without cost: some researchers worry that looser descriptions widen the gap between clinicians, since diagnosis now leans more on individual judgement; others counter that strict symptom counts rarely captured real presentations anyway, particularly with overlapping conditions.</w:t>
      </w:r>
    </w:p>
    <w:p w14:paraId="0ECAFD33"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Diagnostic Criteria and Process</w:t>
      </w:r>
    </w:p>
    <w:p w14:paraId="1C60572F"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ICD-11 requires that excessive worry persist for several months, occur more days than not, and span multiple everyday concerns rather than fixating on one situation; this is the point that separates GAD from phobic disorders. Psychologically, people commonly describe persistent worry, a sense that something bad is about to happen, difficulty concentrating and irritability; physically, the picture often includes muscle </w:t>
      </w:r>
      <w:r w:rsidRPr="00AB06A7">
        <w:rPr>
          <w:rFonts w:ascii="Arial" w:eastAsia="Calibri" w:hAnsi="Arial" w:cs="Arial"/>
          <w:sz w:val="24"/>
          <w:szCs w:val="24"/>
        </w:rPr>
        <w:lastRenderedPageBreak/>
        <w:t>tension, trembling, sweating, gastrointestinal discomfort, fatigue, palpitations and poor sleep. Unlike DSM-5, which requires at least three associated symptoms in adults, ICD-11 fixes no minimum count; clinicians instead weigh the overall clinical picture.</w:t>
      </w:r>
    </w:p>
    <w:p w14:paraId="36FD6EC1"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Diagnosis rests on a full clinical assessment rather than a single screening tool, starting with a detailed psychiatric history covering onset, duration, triggers, impairment, family history and previous treatment, alongside ruling out physical illness or substance use. In UK primary care, the GAD-7 questionnaire remains the standard for assessing severity and tracking response. More recently, the International Anxiety Questionnaire (IAQ) was developed and validated as the first self-report measure built specifically around ICD-11 criteria, with early evidence showing good psychometric properties (</w:t>
      </w:r>
      <w:proofErr w:type="spellStart"/>
      <w:r w:rsidRPr="00AB06A7">
        <w:rPr>
          <w:rFonts w:ascii="Arial" w:eastAsia="Calibri" w:hAnsi="Arial" w:cs="Arial"/>
          <w:sz w:val="24"/>
          <w:szCs w:val="24"/>
        </w:rPr>
        <w:t>Schröder</w:t>
      </w:r>
      <w:proofErr w:type="spellEnd"/>
      <w:r w:rsidRPr="00AB06A7">
        <w:rPr>
          <w:rFonts w:ascii="Arial" w:eastAsia="Calibri" w:hAnsi="Arial" w:cs="Arial"/>
          <w:sz w:val="24"/>
          <w:szCs w:val="24"/>
        </w:rPr>
        <w:t xml:space="preserve"> et al., 2026).</w:t>
      </w:r>
    </w:p>
    <w:p w14:paraId="338EC34C"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Differential diagnosis matters because GAD often coexists with major depressive disorder, panic disorder, obsessive-compulsive disorder, post-traumatic stress disorder and neurodevelopmental conditions such as autism spectrum disorder (ASD) and ADHD; missing this comorbidity produces incomplete treatment plans and worse outcomes. UK practice follows NICE's stepped-care model: identification in primary care, psychoeducation and active monitoring first, then psychological therapies or medication depending on severity, with shared decision-making running throughout (NICE, 2019, 2022).</w:t>
      </w:r>
    </w:p>
    <w:p w14:paraId="06E704A4"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Diagnosis of GAD remains contested even with the ICD-11 changes. Critics note that the line between pathological anxiety and an understandable reaction to modern stressors (financial insecurity, unemployment, global crises) is often blurry, and that leaning too heavily on diagnostic categories risks medicalising ordinary distress while losing sight of the social conditions driving it. Underdiagnosis is just as much a problem: UK evidence suggests many people live with symptoms for years before a formal diagnosis, delaying treatment and raising the risk of chronic disability (</w:t>
      </w:r>
      <w:proofErr w:type="spellStart"/>
      <w:r w:rsidRPr="00AB06A7">
        <w:rPr>
          <w:rFonts w:ascii="Arial" w:eastAsia="Calibri" w:hAnsi="Arial" w:cs="Arial"/>
          <w:sz w:val="24"/>
          <w:szCs w:val="24"/>
        </w:rPr>
        <w:t>Slee</w:t>
      </w:r>
      <w:proofErr w:type="spellEnd"/>
      <w:r w:rsidRPr="00AB06A7">
        <w:rPr>
          <w:rFonts w:ascii="Arial" w:eastAsia="Calibri" w:hAnsi="Arial" w:cs="Arial"/>
          <w:sz w:val="24"/>
          <w:szCs w:val="24"/>
        </w:rPr>
        <w:t xml:space="preserve"> et al., 2021), particularly for older adults, men and ethnically diverse populations whose symptoms may not fit the standard picture as cleanly. A related question, addressed later in this report, is whether the elevated anxiety seen in autism and ADHD should always be diagnosed as a separate disorder. Overall, ICD-11 gives clinicians a useful, internationally workable framework, but how well it works in practice depends on </w:t>
      </w:r>
      <w:r w:rsidRPr="00AB06A7">
        <w:rPr>
          <w:rFonts w:ascii="Arial" w:eastAsia="Calibri" w:hAnsi="Arial" w:cs="Arial"/>
          <w:sz w:val="24"/>
          <w:szCs w:val="24"/>
        </w:rPr>
        <w:lastRenderedPageBreak/>
        <w:t>thorough assessment, culturally aware judgement and a willingness to look beyond the criteria themselves.</w:t>
      </w:r>
    </w:p>
    <w:p w14:paraId="67A9CCBC"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Treatment and Rehabilitation</w:t>
      </w:r>
    </w:p>
    <w:p w14:paraId="78203B3C"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Managing GAD calls for a person-centred approach blending psychological intervention, medication and psychosocial rehabilitation, aimed at reducing excessive worry, restoring daily functioning, preventing relapse and supporting long-term recovery. ICD-11 offers diagnostic guidance rather than treatment protocols, so practice is shaped instead by national guidelines, chiefly NICE, alongside a growing evidence base.</w:t>
      </w:r>
    </w:p>
    <w:p w14:paraId="078D5F11"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Psychological therapy is generally first-line, particularly for mild-to-moderate symptoms, with NICE's stepped-care model matching intervention intensity to severity (NICE, 2019). Cognitive Behavioural Therapy (CBT) has the strongest evidence base of any psychological intervention for GAD: its logic is that maladaptive thoughts and behaviours sustain chronic anxiety, so changing these patterns eases the distress, through identifying catastrophic thinking, challenging unhelpful beliefs, reducing avoidance and building coping strategies. A network meta-analysis of psychological treatments for GAD found CBT and related cognitive-behavioural approaches consistently more effective than control interventions and well tolerated, with benefits holding up at long-term follow-up (</w:t>
      </w:r>
      <w:proofErr w:type="spellStart"/>
      <w:r w:rsidRPr="00AB06A7">
        <w:rPr>
          <w:rFonts w:ascii="Arial" w:eastAsia="Calibri" w:hAnsi="Arial" w:cs="Arial"/>
          <w:sz w:val="24"/>
          <w:szCs w:val="24"/>
        </w:rPr>
        <w:t>Cuijpers</w:t>
      </w:r>
      <w:proofErr w:type="spellEnd"/>
      <w:r w:rsidRPr="00AB06A7">
        <w:rPr>
          <w:rFonts w:ascii="Arial" w:eastAsia="Calibri" w:hAnsi="Arial" w:cs="Arial"/>
          <w:sz w:val="24"/>
          <w:szCs w:val="24"/>
        </w:rPr>
        <w:t xml:space="preserve"> et al., 2023). A separate network meta-analysis comparing psychotherapies for anxiety disorders more broadly reached similar conclusions on efficacy while also weighing acceptability, finding that patients were as likely to complete CBT as other active treatments, which matters given how often dropout is raised as a limitation of psychological therapy (Zhou et al., 2023). Network meta-analyses of this kind combine indirect comparisons across trials that differ in setting, delivery format and comparator condition, so the pooled effect size should be read as an average across a heterogeneous evidence base rather than a guarantee of benefit for any individual patient.</w:t>
      </w:r>
    </w:p>
    <w:p w14:paraId="5584C2CD"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The NHS Talking Therapies programme (formerly IAPT) has widened access to CBT in primary care and reduced reliance on medication alone, though waiting times and workforce shortages remain problems in many areas. Low-intensity CBT (guided self-help, digital platforms, brief therapist contact) has become more central to stepped </w:t>
      </w:r>
      <w:r w:rsidRPr="00AB06A7">
        <w:rPr>
          <w:rFonts w:ascii="Arial" w:eastAsia="Calibri" w:hAnsi="Arial" w:cs="Arial"/>
          <w:sz w:val="24"/>
          <w:szCs w:val="24"/>
        </w:rPr>
        <w:lastRenderedPageBreak/>
        <w:t>care for this reason; a systematic review of computer-assisted CBT found it significantly reduces anxiety compared with usual care, albeit with smaller effect sizes than full therapist-delivered CBT, concluding it is a genuinely useful, cost-efficient first-line option where resources are tight (Wright et al., 2022). Newer approaches are also gaining ground: metacognitive therapy targets beliefs about worry itself rather than its content, while interventions targeting intolerance of uncertainty try to reduce the excessive need for certainty underlying much of GAD. None of this removes real limitations: CBT demands active engagement and sustained motivation that are hard to maintain amid severe anxiety, depression or social disadvantage, and dropout remains high, particularly among patients with complex trauma histories; even meaningful improvement rarely means full remission.</w:t>
      </w:r>
    </w:p>
    <w:p w14:paraId="61321214"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Medication matters most for moderate-to-severe GAD, or where psychological therapy is unavailable, declined, or insufficient alone, and ideally complements rather than replaces it. SSRIs such as sertraline and escitalopram are first-line, given their efficacy and acceptable safety; SNRIs like venlafaxine and duloxetine offer an alternative when SSRIs are poorly tolerated. Both take several weeks to show benefit. Comparing CBT with pharmacotherapy, both reduce anxiety effectively, but psychological therapy tends to hold up better once treatment ends, since patients carry the coping skills forward, whereas stopping medication can bring relapse if underlying cognitive vulnerabilities were never addressed. Pregabalin is sometimes considered for treatment-resistant cases once first-line antidepressants have failed, though concerns about dependence mean UK prescribers are increasingly cautious with it; benzodiazepines bring rapid relief in acute crises but are restricted by NICE to short-term, closely monitored use given risks of tolerance and dependence. Medication brings its own problems: gastrointestinal symptoms, sexual dysfunction, emotional blunting and discontinuation syndrome all contribute to poor adherence and underline the importance of shared decision-making (NICE, 2022).</w:t>
      </w:r>
    </w:p>
    <w:p w14:paraId="58EC80C6"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Rehabilitation goes further than symptom reduction, aiming to restore social participation, occupational functioning and quality of life; current thinking treats recovery as a holistic process built on resilience, autonomy and self-management rather than simply the absence of symptoms. In UK practice this involves psychoeducation, relapse-prevention planning, vocational support, family involvement and community-based services. Digital rehabilitation expanded considerably after </w:t>
      </w:r>
      <w:r w:rsidRPr="00AB06A7">
        <w:rPr>
          <w:rFonts w:ascii="Arial" w:eastAsia="Calibri" w:hAnsi="Arial" w:cs="Arial"/>
          <w:sz w:val="24"/>
          <w:szCs w:val="24"/>
        </w:rPr>
        <w:lastRenderedPageBreak/>
        <w:t>COVID-19: smartphone-based CBT, therapist-guided online programmes and telepsychiatry have opened access for people facing geographical, occupational or physical barriers to in-person treatment. Community mental health services, employment support, peer-support groups and voluntary-sector organisations also address the wider social conditions shaping mental health. Access remains far from even across the UK, however, with workforce shortages, regional inequalities and limited funding restricting multidisciplinary support, and people from ethnic minority and disadvantaged backgrounds facing worse access.</w:t>
      </w:r>
    </w:p>
    <w:p w14:paraId="04152145"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The evidence points fairly clearly to combined psychological and pharmacological treatment producing the best outcomes for moderate-to-severe GAD, though outcomes vary considerably where depression, chronic physical illness or neurodevelopmental conditions are also present. Current practice also tends to prioritise symptom reduction over functional recovery: anxiety scores may fall while occupational difficulties and reduced quality of life persist, which is partly why recovery-oriented models now push for broader strategies bringing employment, education and social participation into the treatment plan. Looking ahead, service development is likely to move towards more personalised care, with advances in digital health, predictive analytics and precision psychiatry helping clinicians identify who is likely to benefit from which intervention.</w:t>
      </w:r>
    </w:p>
    <w:p w14:paraId="39AA18C7"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Current Debates and Emerging Issues</w:t>
      </w:r>
    </w:p>
    <w:p w14:paraId="4D85536C"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Several debates remain unresolved around GAD's classification, diagnosis and management, with real consequences for practice, policy and future revisions of systems like ICD-11.</w:t>
      </w:r>
    </w:p>
    <w:p w14:paraId="0EDE3ADE"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Perhaps the most fundamental debate concerns where normal emotional response ends and pathological anxiety begins. Anxiety is an adaptive emotion that prepares people to respond to threat, and critics argue that widening diagnostic criteria risks labelling understandable reactions to hardship (financial insecurity, bereavement, work stress) as psychiatric disorders (Frances, 2013). Defenders respond that diagnosis rests not on the presence of anxiety alone but on persistent symptoms causing genuine distress and functional impairment, though there is a legitimate worry that rising mental health awareness could tip into overdiagnosis where consultation </w:t>
      </w:r>
      <w:r w:rsidRPr="00AB06A7">
        <w:rPr>
          <w:rFonts w:ascii="Arial" w:eastAsia="Calibri" w:hAnsi="Arial" w:cs="Arial"/>
          <w:sz w:val="24"/>
          <w:szCs w:val="24"/>
        </w:rPr>
        <w:lastRenderedPageBreak/>
        <w:t>time is short. The opposite problem is just as real: many people with GAD put off seeking help because symptoms build up slowly and get mistaken for personality traits, with stigma compounding this, particularly for men and minority ethnic populations in the UK.</w:t>
      </w:r>
    </w:p>
    <w:p w14:paraId="7E8507F3"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Both ICD-11 and DSM-5 recognise GAD as a distinct disorder, but ICD-11 leans more on clinical judgement and functional impairment than rigid symptom counts. Supporters see this as giving clinicians flexibility across varied settings and cultures; critics worry that moving away from structured thresholds could reduce consistency between clinicians, with knock-on effects for research comparability and service planning. Having two major systems running in parallel keeps this tension alive, particularly for multinational research that needs some standardisation.</w:t>
      </w:r>
    </w:p>
    <w:p w14:paraId="508EE30C"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Growing recognition of neurodiversity has reshaped how researchers and clinicians understand anxiety disorders. People with ASD and ADHD experience anxiety at substantially higher rates than the general population (Kerns et al., 2022), but many researchers now argue this should not automatically be treated as a separate psychiatric disorder, since it may stem partly from environmental barriers, sensory overload, communication differences and social exclusion rather than an underlying psychopathology. Treatment focused solely on reducing symptoms without addressing these factors risks missing what patients actually need; future ICD revisions may need to say more about how neurodevelopmental conditions and anxiety disorders interact.</w:t>
      </w:r>
    </w:p>
    <w:p w14:paraId="14A9213F"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The rapid growth of digital mental health services is another area of active debate. Online CBT, smartphone apps and telepsychiatry have significantly widened access to evidence-based treatment, a trend accelerated by the pandemic, with clear advantages in accessibility, waiting times and cost, particularly for people unable to attend in-person appointments. But digital exclusion is a genuine concern for older adults and disadvantaged populations, and digital tools may struggle with complex presentations needing multidisciplinary assessment.</w:t>
      </w:r>
    </w:p>
    <w:p w14:paraId="376D3837"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 xml:space="preserve">The rising prevalence of anxiety disorders has clear implications for UK mental health policy. NHS Long Term Plan initiatives aim to expand community-based psychological therapies and strengthen early intervention, but demand still outstrips supply. Future policy needs to prioritise workforce investment, earlier identification in primary care </w:t>
      </w:r>
      <w:r w:rsidRPr="00AB06A7">
        <w:rPr>
          <w:rFonts w:ascii="Arial" w:eastAsia="Calibri" w:hAnsi="Arial" w:cs="Arial"/>
          <w:sz w:val="24"/>
          <w:szCs w:val="24"/>
        </w:rPr>
        <w:lastRenderedPageBreak/>
        <w:t>and schools, culturally competent services, and tackling wider social determinants such as poverty and housing insecurity.</w:t>
      </w:r>
    </w:p>
    <w:p w14:paraId="74127702"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Recommendations</w:t>
      </w:r>
    </w:p>
    <w:p w14:paraId="036C908D"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Diagnostic assessment should take a more holistic, person-centred approach, weighing psychological, biological and social factors alongside ICD-11 criteria, with more attention to identifying comorbid depression, autism and ADHD. Making earlier intervention a national priority, through routine screening in primary care, schools and community services, would help catch cases before they become entrenched. Access to evidence-based psychological therapies also needs to keep expanding, with investment in training more therapists and cutting waiting times central to policy. Beyond symptom reduction, rehabilitation should look towards education, employment, social participation and quality of life, building in vocational rehabilitation, peer support and community-based interventions alongside standard clinical treatment. Neurodiversity deserves more direct engagement in future ICD revisions, encouraging clinicians to distinguish anxiety rooted in psychopathology from anxiety driven by environmental barriers. Finally, research should move towards precision psychiatry, using artificial intelligence and personalised medicine to identify which interventions work for which patients.</w:t>
      </w:r>
    </w:p>
    <w:p w14:paraId="76F21868"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t>Conclusion</w:t>
      </w:r>
    </w:p>
    <w:p w14:paraId="409F4DE9" w14:textId="77777777" w:rsidR="00AB06A7" w:rsidRPr="00AB06A7" w:rsidRDefault="00AB06A7" w:rsidP="00AB06A7">
      <w:pPr>
        <w:spacing w:after="200" w:line="360" w:lineRule="auto"/>
        <w:jc w:val="both"/>
        <w:rPr>
          <w:rFonts w:ascii="Arial" w:hAnsi="Arial" w:cs="Arial"/>
          <w:sz w:val="24"/>
          <w:szCs w:val="24"/>
        </w:rPr>
      </w:pPr>
      <w:r w:rsidRPr="00AB06A7">
        <w:rPr>
          <w:rFonts w:ascii="Arial" w:eastAsia="Calibri" w:hAnsi="Arial" w:cs="Arial"/>
          <w:sz w:val="24"/>
          <w:szCs w:val="24"/>
        </w:rPr>
        <w:t>Generalised Anxiety Disorder is common and disabling, touching psychological wellbeing, physical health and social functioning all at once. ICD-11 gives clinicians an updated, clinically useful framework for classifying and diagnosing it, built around persistent anxiety, excessive worry and functional impairment, with room for clinical judgement to handle real-world variation. The evidence is fairly consistent: psychological therapy, particularly CBT, remains the cornerstone of treatment, with medication an effective alternative for moderate-to-severe cases, while rehabilitation is increasingly understood as multidimensional, built on social participation and long-term self-management rather than symptom reduction alone.</w:t>
      </w:r>
    </w:p>
    <w:p w14:paraId="3A7CAE80" w14:textId="1E03539D" w:rsidR="00AB06A7" w:rsidRDefault="00AB06A7" w:rsidP="00AB06A7">
      <w:pPr>
        <w:spacing w:after="200" w:line="360" w:lineRule="auto"/>
        <w:jc w:val="both"/>
        <w:rPr>
          <w:rFonts w:ascii="Arial" w:eastAsia="Calibri" w:hAnsi="Arial" w:cs="Arial"/>
          <w:sz w:val="24"/>
          <w:szCs w:val="24"/>
        </w:rPr>
      </w:pPr>
      <w:r w:rsidRPr="00AB06A7">
        <w:rPr>
          <w:rFonts w:ascii="Arial" w:eastAsia="Calibri" w:hAnsi="Arial" w:cs="Arial"/>
          <w:sz w:val="24"/>
          <w:szCs w:val="24"/>
        </w:rPr>
        <w:t xml:space="preserve">Real challenges remain. Debates over medicalisation, diagnostic validity, neurodivergence and digital mental healthcare show that understanding of GAD is still evolving, and delivering timely, person-centred care will take sustained investment and </w:t>
      </w:r>
      <w:r w:rsidRPr="00AB06A7">
        <w:rPr>
          <w:rFonts w:ascii="Arial" w:eastAsia="Calibri" w:hAnsi="Arial" w:cs="Arial"/>
          <w:sz w:val="24"/>
          <w:szCs w:val="24"/>
        </w:rPr>
        <w:lastRenderedPageBreak/>
        <w:t>genuine integration of biological, psychological and social perspectives. Ultimately, managing GAD well depends not just on accurate diagnosis but on treatment and rehabilitation strategies that take seriously how varied and complex people's experiences of this disorder actually are.</w:t>
      </w:r>
    </w:p>
    <w:p w14:paraId="00AB8212" w14:textId="4EA9A812" w:rsidR="00AB06A7" w:rsidRDefault="00AB06A7" w:rsidP="00AB06A7">
      <w:pPr>
        <w:spacing w:after="200" w:line="360" w:lineRule="auto"/>
        <w:jc w:val="both"/>
        <w:rPr>
          <w:rFonts w:ascii="Arial" w:eastAsia="Calibri" w:hAnsi="Arial" w:cs="Arial"/>
          <w:sz w:val="24"/>
          <w:szCs w:val="24"/>
        </w:rPr>
      </w:pPr>
    </w:p>
    <w:p w14:paraId="5DA18D39" w14:textId="19B3A6C4" w:rsidR="00AB06A7" w:rsidRDefault="00AB06A7" w:rsidP="00AB06A7">
      <w:pPr>
        <w:spacing w:after="200" w:line="360" w:lineRule="auto"/>
        <w:jc w:val="both"/>
        <w:rPr>
          <w:rFonts w:ascii="Arial" w:eastAsia="Calibri" w:hAnsi="Arial" w:cs="Arial"/>
          <w:sz w:val="24"/>
          <w:szCs w:val="24"/>
        </w:rPr>
      </w:pPr>
    </w:p>
    <w:p w14:paraId="1C1165A0" w14:textId="62747C58" w:rsidR="00AB06A7" w:rsidRDefault="00AB06A7" w:rsidP="00AB06A7">
      <w:pPr>
        <w:spacing w:after="200" w:line="360" w:lineRule="auto"/>
        <w:jc w:val="both"/>
        <w:rPr>
          <w:rFonts w:ascii="Arial" w:eastAsia="Calibri" w:hAnsi="Arial" w:cs="Arial"/>
          <w:sz w:val="24"/>
          <w:szCs w:val="24"/>
        </w:rPr>
      </w:pPr>
    </w:p>
    <w:p w14:paraId="29D33847" w14:textId="2722BC62" w:rsidR="00AB06A7" w:rsidRDefault="00AB06A7" w:rsidP="00AB06A7">
      <w:pPr>
        <w:spacing w:after="200" w:line="360" w:lineRule="auto"/>
        <w:jc w:val="both"/>
        <w:rPr>
          <w:rFonts w:ascii="Arial" w:eastAsia="Calibri" w:hAnsi="Arial" w:cs="Arial"/>
          <w:sz w:val="24"/>
          <w:szCs w:val="24"/>
        </w:rPr>
      </w:pPr>
    </w:p>
    <w:p w14:paraId="7AA1C51A" w14:textId="2B137DEB" w:rsidR="00AB06A7" w:rsidRDefault="00AB06A7" w:rsidP="00AB06A7">
      <w:pPr>
        <w:spacing w:after="200" w:line="360" w:lineRule="auto"/>
        <w:jc w:val="both"/>
        <w:rPr>
          <w:rFonts w:ascii="Arial" w:eastAsia="Calibri" w:hAnsi="Arial" w:cs="Arial"/>
          <w:sz w:val="24"/>
          <w:szCs w:val="24"/>
        </w:rPr>
      </w:pPr>
    </w:p>
    <w:p w14:paraId="25D2636F" w14:textId="133D629B" w:rsidR="00AB06A7" w:rsidRDefault="00AB06A7" w:rsidP="00AB06A7">
      <w:pPr>
        <w:spacing w:after="200" w:line="360" w:lineRule="auto"/>
        <w:jc w:val="both"/>
        <w:rPr>
          <w:rFonts w:ascii="Arial" w:eastAsia="Calibri" w:hAnsi="Arial" w:cs="Arial"/>
          <w:sz w:val="24"/>
          <w:szCs w:val="24"/>
        </w:rPr>
      </w:pPr>
    </w:p>
    <w:p w14:paraId="34FCA083" w14:textId="5AA69103" w:rsidR="00AB06A7" w:rsidRDefault="00AB06A7" w:rsidP="00AB06A7">
      <w:pPr>
        <w:spacing w:after="200" w:line="360" w:lineRule="auto"/>
        <w:jc w:val="both"/>
        <w:rPr>
          <w:rFonts w:ascii="Arial" w:eastAsia="Calibri" w:hAnsi="Arial" w:cs="Arial"/>
          <w:sz w:val="24"/>
          <w:szCs w:val="24"/>
        </w:rPr>
      </w:pPr>
    </w:p>
    <w:p w14:paraId="43160E9C" w14:textId="403B4D70" w:rsidR="00AB06A7" w:rsidRDefault="00AB06A7" w:rsidP="00AB06A7">
      <w:pPr>
        <w:spacing w:after="200" w:line="360" w:lineRule="auto"/>
        <w:jc w:val="both"/>
        <w:rPr>
          <w:rFonts w:ascii="Arial" w:eastAsia="Calibri" w:hAnsi="Arial" w:cs="Arial"/>
          <w:sz w:val="24"/>
          <w:szCs w:val="24"/>
        </w:rPr>
      </w:pPr>
    </w:p>
    <w:p w14:paraId="3E16A891" w14:textId="064D8537" w:rsidR="00AB06A7" w:rsidRDefault="00AB06A7" w:rsidP="00AB06A7">
      <w:pPr>
        <w:spacing w:after="200" w:line="360" w:lineRule="auto"/>
        <w:jc w:val="both"/>
        <w:rPr>
          <w:rFonts w:ascii="Arial" w:eastAsia="Calibri" w:hAnsi="Arial" w:cs="Arial"/>
          <w:sz w:val="24"/>
          <w:szCs w:val="24"/>
        </w:rPr>
      </w:pPr>
    </w:p>
    <w:p w14:paraId="66FC4DD8" w14:textId="78434084" w:rsidR="00AB06A7" w:rsidRDefault="00AB06A7" w:rsidP="00AB06A7">
      <w:pPr>
        <w:spacing w:after="200" w:line="360" w:lineRule="auto"/>
        <w:jc w:val="both"/>
        <w:rPr>
          <w:rFonts w:ascii="Arial" w:eastAsia="Calibri" w:hAnsi="Arial" w:cs="Arial"/>
          <w:sz w:val="24"/>
          <w:szCs w:val="24"/>
        </w:rPr>
      </w:pPr>
    </w:p>
    <w:p w14:paraId="470EFB1E" w14:textId="24C48EC8" w:rsidR="00AB06A7" w:rsidRDefault="00AB06A7" w:rsidP="00AB06A7">
      <w:pPr>
        <w:spacing w:after="200" w:line="360" w:lineRule="auto"/>
        <w:jc w:val="both"/>
        <w:rPr>
          <w:rFonts w:ascii="Arial" w:eastAsia="Calibri" w:hAnsi="Arial" w:cs="Arial"/>
          <w:sz w:val="24"/>
          <w:szCs w:val="24"/>
        </w:rPr>
      </w:pPr>
    </w:p>
    <w:p w14:paraId="23A6632D" w14:textId="41378AFE" w:rsidR="00AB06A7" w:rsidRDefault="00AB06A7" w:rsidP="00AB06A7">
      <w:pPr>
        <w:spacing w:after="200" w:line="360" w:lineRule="auto"/>
        <w:jc w:val="both"/>
        <w:rPr>
          <w:rFonts w:ascii="Arial" w:eastAsia="Calibri" w:hAnsi="Arial" w:cs="Arial"/>
          <w:sz w:val="24"/>
          <w:szCs w:val="24"/>
        </w:rPr>
      </w:pPr>
    </w:p>
    <w:p w14:paraId="0ADBFD5B" w14:textId="34933FAF" w:rsidR="00AB06A7" w:rsidRDefault="00AB06A7" w:rsidP="00AB06A7">
      <w:pPr>
        <w:spacing w:after="200" w:line="360" w:lineRule="auto"/>
        <w:jc w:val="both"/>
        <w:rPr>
          <w:rFonts w:ascii="Arial" w:eastAsia="Calibri" w:hAnsi="Arial" w:cs="Arial"/>
          <w:sz w:val="24"/>
          <w:szCs w:val="24"/>
        </w:rPr>
      </w:pPr>
    </w:p>
    <w:p w14:paraId="0FFEFC30" w14:textId="441D6839" w:rsidR="00AB06A7" w:rsidRDefault="00AB06A7" w:rsidP="00AB06A7">
      <w:pPr>
        <w:spacing w:after="200" w:line="360" w:lineRule="auto"/>
        <w:jc w:val="both"/>
        <w:rPr>
          <w:rFonts w:ascii="Arial" w:eastAsia="Calibri" w:hAnsi="Arial" w:cs="Arial"/>
          <w:sz w:val="24"/>
          <w:szCs w:val="24"/>
        </w:rPr>
      </w:pPr>
    </w:p>
    <w:p w14:paraId="373421AF" w14:textId="65FCFB48" w:rsidR="00AB06A7" w:rsidRDefault="00AB06A7" w:rsidP="00AB06A7">
      <w:pPr>
        <w:spacing w:after="200" w:line="360" w:lineRule="auto"/>
        <w:jc w:val="both"/>
        <w:rPr>
          <w:rFonts w:ascii="Arial" w:eastAsia="Calibri" w:hAnsi="Arial" w:cs="Arial"/>
          <w:sz w:val="24"/>
          <w:szCs w:val="24"/>
        </w:rPr>
      </w:pPr>
    </w:p>
    <w:p w14:paraId="3540E8A7" w14:textId="162A0CF0" w:rsidR="00AB06A7" w:rsidRDefault="00AB06A7" w:rsidP="00AB06A7">
      <w:pPr>
        <w:spacing w:after="200" w:line="360" w:lineRule="auto"/>
        <w:jc w:val="both"/>
        <w:rPr>
          <w:rFonts w:ascii="Arial" w:eastAsia="Calibri" w:hAnsi="Arial" w:cs="Arial"/>
          <w:sz w:val="24"/>
          <w:szCs w:val="24"/>
        </w:rPr>
      </w:pPr>
    </w:p>
    <w:p w14:paraId="663F047D" w14:textId="1A9C1D2F" w:rsidR="00AB06A7" w:rsidRDefault="00AB06A7" w:rsidP="00AB06A7">
      <w:pPr>
        <w:spacing w:after="200" w:line="360" w:lineRule="auto"/>
        <w:jc w:val="both"/>
        <w:rPr>
          <w:rFonts w:ascii="Arial" w:eastAsia="Calibri" w:hAnsi="Arial" w:cs="Arial"/>
          <w:sz w:val="24"/>
          <w:szCs w:val="24"/>
        </w:rPr>
      </w:pPr>
    </w:p>
    <w:p w14:paraId="72184B85" w14:textId="2916170B" w:rsidR="00AB06A7" w:rsidRDefault="00AB06A7" w:rsidP="00AB06A7">
      <w:pPr>
        <w:spacing w:after="200" w:line="360" w:lineRule="auto"/>
        <w:jc w:val="both"/>
        <w:rPr>
          <w:rFonts w:ascii="Arial" w:eastAsia="Calibri" w:hAnsi="Arial" w:cs="Arial"/>
          <w:sz w:val="24"/>
          <w:szCs w:val="24"/>
        </w:rPr>
      </w:pPr>
    </w:p>
    <w:p w14:paraId="4F7EBFDC" w14:textId="4C9343F9" w:rsidR="00AB06A7" w:rsidRDefault="00AB06A7" w:rsidP="00AB06A7">
      <w:pPr>
        <w:spacing w:after="200" w:line="360" w:lineRule="auto"/>
        <w:jc w:val="both"/>
        <w:rPr>
          <w:rFonts w:ascii="Arial" w:eastAsia="Calibri" w:hAnsi="Arial" w:cs="Arial"/>
          <w:sz w:val="24"/>
          <w:szCs w:val="24"/>
        </w:rPr>
      </w:pPr>
    </w:p>
    <w:p w14:paraId="48A37442" w14:textId="77777777" w:rsidR="00AB06A7" w:rsidRPr="00AB06A7" w:rsidRDefault="00AB06A7" w:rsidP="00AB06A7">
      <w:pPr>
        <w:spacing w:after="200" w:line="360" w:lineRule="auto"/>
        <w:jc w:val="both"/>
        <w:rPr>
          <w:rFonts w:ascii="Arial" w:hAnsi="Arial" w:cs="Arial"/>
          <w:sz w:val="24"/>
          <w:szCs w:val="24"/>
        </w:rPr>
      </w:pPr>
    </w:p>
    <w:p w14:paraId="5C3F2995" w14:textId="77777777" w:rsidR="00AB06A7" w:rsidRPr="00AB06A7" w:rsidRDefault="00AB06A7" w:rsidP="00AB06A7">
      <w:pPr>
        <w:pStyle w:val="Heading1"/>
        <w:spacing w:before="300" w:after="150" w:line="360" w:lineRule="auto"/>
        <w:rPr>
          <w:rFonts w:ascii="Arial" w:hAnsi="Arial" w:cs="Arial"/>
          <w:sz w:val="24"/>
          <w:szCs w:val="24"/>
        </w:rPr>
      </w:pPr>
      <w:r w:rsidRPr="00AB06A7">
        <w:rPr>
          <w:rFonts w:ascii="Arial" w:eastAsia="Calibri" w:hAnsi="Arial" w:cs="Arial"/>
          <w:b/>
          <w:bCs/>
          <w:sz w:val="24"/>
          <w:szCs w:val="24"/>
        </w:rPr>
        <w:lastRenderedPageBreak/>
        <w:t>References</w:t>
      </w:r>
    </w:p>
    <w:p w14:paraId="7E2B2519"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American Psychiatric Association (2022) </w:t>
      </w:r>
      <w:r w:rsidRPr="00AB06A7">
        <w:rPr>
          <w:rFonts w:ascii="Arial" w:eastAsia="Calibri" w:hAnsi="Arial" w:cs="Arial"/>
          <w:i/>
          <w:iCs/>
          <w:sz w:val="24"/>
          <w:szCs w:val="24"/>
        </w:rPr>
        <w:t>Diagnostic and Statistical Manual of Mental Disorders</w:t>
      </w:r>
      <w:r w:rsidRPr="00AB06A7">
        <w:rPr>
          <w:rFonts w:ascii="Arial" w:eastAsia="Calibri" w:hAnsi="Arial" w:cs="Arial"/>
          <w:sz w:val="24"/>
          <w:szCs w:val="24"/>
        </w:rPr>
        <w:t xml:space="preserve">. 5th </w:t>
      </w:r>
      <w:proofErr w:type="spellStart"/>
      <w:r w:rsidRPr="00AB06A7">
        <w:rPr>
          <w:rFonts w:ascii="Arial" w:eastAsia="Calibri" w:hAnsi="Arial" w:cs="Arial"/>
          <w:sz w:val="24"/>
          <w:szCs w:val="24"/>
        </w:rPr>
        <w:t>edn</w:t>
      </w:r>
      <w:proofErr w:type="spellEnd"/>
      <w:r w:rsidRPr="00AB06A7">
        <w:rPr>
          <w:rFonts w:ascii="Arial" w:eastAsia="Calibri" w:hAnsi="Arial" w:cs="Arial"/>
          <w:sz w:val="24"/>
          <w:szCs w:val="24"/>
        </w:rPr>
        <w:t>, text rev. Washington, DC: American Psychiatric Association.</w:t>
      </w:r>
    </w:p>
    <w:p w14:paraId="583B2678" w14:textId="77777777" w:rsidR="00AB06A7" w:rsidRPr="00AB06A7" w:rsidRDefault="00AB06A7" w:rsidP="00AB06A7">
      <w:pPr>
        <w:spacing w:line="360" w:lineRule="auto"/>
        <w:ind w:left="720" w:hanging="720"/>
        <w:rPr>
          <w:rFonts w:ascii="Arial" w:hAnsi="Arial" w:cs="Arial"/>
          <w:sz w:val="24"/>
          <w:szCs w:val="24"/>
        </w:rPr>
      </w:pPr>
      <w:proofErr w:type="spellStart"/>
      <w:r w:rsidRPr="00AB06A7">
        <w:rPr>
          <w:rFonts w:ascii="Arial" w:eastAsia="Calibri" w:hAnsi="Arial" w:cs="Arial"/>
          <w:sz w:val="24"/>
          <w:szCs w:val="24"/>
        </w:rPr>
        <w:t>Bandelow</w:t>
      </w:r>
      <w:proofErr w:type="spellEnd"/>
      <w:r w:rsidRPr="00AB06A7">
        <w:rPr>
          <w:rFonts w:ascii="Arial" w:eastAsia="Calibri" w:hAnsi="Arial" w:cs="Arial"/>
          <w:sz w:val="24"/>
          <w:szCs w:val="24"/>
        </w:rPr>
        <w:t xml:space="preserve">, B., Michaelis, S. and </w:t>
      </w:r>
      <w:proofErr w:type="spellStart"/>
      <w:r w:rsidRPr="00AB06A7">
        <w:rPr>
          <w:rFonts w:ascii="Arial" w:eastAsia="Calibri" w:hAnsi="Arial" w:cs="Arial"/>
          <w:sz w:val="24"/>
          <w:szCs w:val="24"/>
        </w:rPr>
        <w:t>Wedekind</w:t>
      </w:r>
      <w:proofErr w:type="spellEnd"/>
      <w:r w:rsidRPr="00AB06A7">
        <w:rPr>
          <w:rFonts w:ascii="Arial" w:eastAsia="Calibri" w:hAnsi="Arial" w:cs="Arial"/>
          <w:sz w:val="24"/>
          <w:szCs w:val="24"/>
        </w:rPr>
        <w:t xml:space="preserve">, D. (2022) 'Treatment of anxiety disorders', </w:t>
      </w:r>
      <w:r w:rsidRPr="00AB06A7">
        <w:rPr>
          <w:rFonts w:ascii="Arial" w:eastAsia="Calibri" w:hAnsi="Arial" w:cs="Arial"/>
          <w:i/>
          <w:iCs/>
          <w:sz w:val="24"/>
          <w:szCs w:val="24"/>
        </w:rPr>
        <w:t>Dialogues in Clinical Neuroscience</w:t>
      </w:r>
      <w:r w:rsidRPr="00AB06A7">
        <w:rPr>
          <w:rFonts w:ascii="Arial" w:eastAsia="Calibri" w:hAnsi="Arial" w:cs="Arial"/>
          <w:sz w:val="24"/>
          <w:szCs w:val="24"/>
        </w:rPr>
        <w:t>, 24(1), pp. 15–29.</w:t>
      </w:r>
    </w:p>
    <w:p w14:paraId="703FA321" w14:textId="77777777" w:rsidR="00AB06A7" w:rsidRPr="00AB06A7" w:rsidRDefault="00AB06A7" w:rsidP="00AB06A7">
      <w:pPr>
        <w:spacing w:line="360" w:lineRule="auto"/>
        <w:ind w:left="720" w:hanging="720"/>
        <w:rPr>
          <w:rFonts w:ascii="Arial" w:hAnsi="Arial" w:cs="Arial"/>
          <w:sz w:val="24"/>
          <w:szCs w:val="24"/>
        </w:rPr>
      </w:pPr>
      <w:proofErr w:type="spellStart"/>
      <w:r w:rsidRPr="00AB06A7">
        <w:rPr>
          <w:rFonts w:ascii="Arial" w:eastAsia="Calibri" w:hAnsi="Arial" w:cs="Arial"/>
          <w:sz w:val="24"/>
          <w:szCs w:val="24"/>
        </w:rPr>
        <w:t>Cuijpers</w:t>
      </w:r>
      <w:proofErr w:type="spellEnd"/>
      <w:r w:rsidRPr="00AB06A7">
        <w:rPr>
          <w:rFonts w:ascii="Arial" w:eastAsia="Calibri" w:hAnsi="Arial" w:cs="Arial"/>
          <w:sz w:val="24"/>
          <w:szCs w:val="24"/>
        </w:rPr>
        <w:t xml:space="preserve">, P. et al. (2023) 'Psychological treatment of generalized anxiety disorder: a systematic review and network meta-analysis', </w:t>
      </w:r>
      <w:r w:rsidRPr="00AB06A7">
        <w:rPr>
          <w:rFonts w:ascii="Arial" w:eastAsia="Calibri" w:hAnsi="Arial" w:cs="Arial"/>
          <w:i/>
          <w:iCs/>
          <w:sz w:val="24"/>
          <w:szCs w:val="24"/>
        </w:rPr>
        <w:t>JAMA Psychiatry</w:t>
      </w:r>
      <w:r w:rsidRPr="00AB06A7">
        <w:rPr>
          <w:rFonts w:ascii="Arial" w:eastAsia="Calibri" w:hAnsi="Arial" w:cs="Arial"/>
          <w:sz w:val="24"/>
          <w:szCs w:val="24"/>
        </w:rPr>
        <w:t>, 80(11), pp. 1118–1128.</w:t>
      </w:r>
    </w:p>
    <w:p w14:paraId="54622B83"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Frances, A. (2013) </w:t>
      </w:r>
      <w:r w:rsidRPr="00AB06A7">
        <w:rPr>
          <w:rFonts w:ascii="Arial" w:eastAsia="Calibri" w:hAnsi="Arial" w:cs="Arial"/>
          <w:i/>
          <w:iCs/>
          <w:sz w:val="24"/>
          <w:szCs w:val="24"/>
        </w:rPr>
        <w:t>Saving Normal</w:t>
      </w:r>
      <w:r w:rsidRPr="00AB06A7">
        <w:rPr>
          <w:rFonts w:ascii="Arial" w:eastAsia="Calibri" w:hAnsi="Arial" w:cs="Arial"/>
          <w:sz w:val="24"/>
          <w:szCs w:val="24"/>
        </w:rPr>
        <w:t>. [Place: Publisher — to be confirmed].</w:t>
      </w:r>
    </w:p>
    <w:p w14:paraId="552C2A9D"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Kerns, C. M. et al. (2022) '</w:t>
      </w:r>
      <w:proofErr w:type="gramStart"/>
      <w:r w:rsidRPr="00AB06A7">
        <w:rPr>
          <w:rFonts w:ascii="Arial" w:eastAsia="Calibri" w:hAnsi="Arial" w:cs="Arial"/>
          <w:sz w:val="24"/>
          <w:szCs w:val="24"/>
        </w:rPr>
        <w:t>Anxiety disorders</w:t>
      </w:r>
      <w:proofErr w:type="gramEnd"/>
      <w:r w:rsidRPr="00AB06A7">
        <w:rPr>
          <w:rFonts w:ascii="Arial" w:eastAsia="Calibri" w:hAnsi="Arial" w:cs="Arial"/>
          <w:sz w:val="24"/>
          <w:szCs w:val="24"/>
        </w:rPr>
        <w:t xml:space="preserve"> in autism spectrum disorder: current perspectives', </w:t>
      </w:r>
      <w:r w:rsidRPr="00AB06A7">
        <w:rPr>
          <w:rFonts w:ascii="Arial" w:eastAsia="Calibri" w:hAnsi="Arial" w:cs="Arial"/>
          <w:i/>
          <w:iCs/>
          <w:sz w:val="24"/>
          <w:szCs w:val="24"/>
        </w:rPr>
        <w:t>Current Psychiatry Reports</w:t>
      </w:r>
      <w:r w:rsidRPr="00AB06A7">
        <w:rPr>
          <w:rFonts w:ascii="Arial" w:eastAsia="Calibri" w:hAnsi="Arial" w:cs="Arial"/>
          <w:sz w:val="24"/>
          <w:szCs w:val="24"/>
        </w:rPr>
        <w:t>, 24(8), pp. 457–468.</w:t>
      </w:r>
    </w:p>
    <w:p w14:paraId="1A6BA3B3"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National Institute for Health and Care Excellence (2019) </w:t>
      </w:r>
      <w:r w:rsidRPr="00AB06A7">
        <w:rPr>
          <w:rFonts w:ascii="Arial" w:eastAsia="Calibri" w:hAnsi="Arial" w:cs="Arial"/>
          <w:i/>
          <w:iCs/>
          <w:sz w:val="24"/>
          <w:szCs w:val="24"/>
        </w:rPr>
        <w:t>Generalised Anxiety Disorder and Panic Disorder in Adults: Management</w:t>
      </w:r>
      <w:r w:rsidRPr="00AB06A7">
        <w:rPr>
          <w:rFonts w:ascii="Arial" w:eastAsia="Calibri" w:hAnsi="Arial" w:cs="Arial"/>
          <w:sz w:val="24"/>
          <w:szCs w:val="24"/>
        </w:rPr>
        <w:t>. Clinical guideline [CG113]. London: NICE.</w:t>
      </w:r>
    </w:p>
    <w:p w14:paraId="2E73DBA0"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National Institute for Health and Care Excellence (2022) </w:t>
      </w:r>
      <w:r w:rsidRPr="00AB06A7">
        <w:rPr>
          <w:rFonts w:ascii="Arial" w:eastAsia="Calibri" w:hAnsi="Arial" w:cs="Arial"/>
          <w:i/>
          <w:iCs/>
          <w:sz w:val="24"/>
          <w:szCs w:val="24"/>
        </w:rPr>
        <w:t>Shared Decision Making</w:t>
      </w:r>
      <w:r w:rsidRPr="00AB06A7">
        <w:rPr>
          <w:rFonts w:ascii="Arial" w:eastAsia="Calibri" w:hAnsi="Arial" w:cs="Arial"/>
          <w:sz w:val="24"/>
          <w:szCs w:val="24"/>
        </w:rPr>
        <w:t>. NICE guideline [NG197]. London: NICE.</w:t>
      </w:r>
    </w:p>
    <w:p w14:paraId="2DBD5B8C" w14:textId="77777777" w:rsidR="00AB06A7" w:rsidRPr="00AB06A7" w:rsidRDefault="00AB06A7" w:rsidP="00AB06A7">
      <w:pPr>
        <w:spacing w:line="360" w:lineRule="auto"/>
        <w:ind w:left="720" w:hanging="720"/>
        <w:rPr>
          <w:rFonts w:ascii="Arial" w:hAnsi="Arial" w:cs="Arial"/>
          <w:sz w:val="24"/>
          <w:szCs w:val="24"/>
        </w:rPr>
      </w:pPr>
      <w:proofErr w:type="spellStart"/>
      <w:r w:rsidRPr="00AB06A7">
        <w:rPr>
          <w:rFonts w:ascii="Arial" w:eastAsia="Calibri" w:hAnsi="Arial" w:cs="Arial"/>
          <w:sz w:val="24"/>
          <w:szCs w:val="24"/>
        </w:rPr>
        <w:t>Schröder</w:t>
      </w:r>
      <w:proofErr w:type="spellEnd"/>
      <w:r w:rsidRPr="00AB06A7">
        <w:rPr>
          <w:rFonts w:ascii="Arial" w:eastAsia="Calibri" w:hAnsi="Arial" w:cs="Arial"/>
          <w:sz w:val="24"/>
          <w:szCs w:val="24"/>
        </w:rPr>
        <w:t xml:space="preserve">, J. et al. (2026) 'International Depression Questionnaire and International Anxiety Questionnaire: validation of brief ICD-11 measures for depression and generalised anxiety disorder', </w:t>
      </w:r>
      <w:r w:rsidRPr="00AB06A7">
        <w:rPr>
          <w:rFonts w:ascii="Arial" w:eastAsia="Calibri" w:hAnsi="Arial" w:cs="Arial"/>
          <w:i/>
          <w:iCs/>
          <w:sz w:val="24"/>
          <w:szCs w:val="24"/>
        </w:rPr>
        <w:t>BMJ Mental Health</w:t>
      </w:r>
      <w:r w:rsidRPr="00AB06A7">
        <w:rPr>
          <w:rFonts w:ascii="Arial" w:eastAsia="Calibri" w:hAnsi="Arial" w:cs="Arial"/>
          <w:sz w:val="24"/>
          <w:szCs w:val="24"/>
        </w:rPr>
        <w:t>, 29(1), pp. 1–8.</w:t>
      </w:r>
    </w:p>
    <w:p w14:paraId="546DDC34" w14:textId="77777777" w:rsidR="00AB06A7" w:rsidRPr="00AB06A7" w:rsidRDefault="00AB06A7" w:rsidP="00AB06A7">
      <w:pPr>
        <w:spacing w:line="360" w:lineRule="auto"/>
        <w:ind w:left="720" w:hanging="720"/>
        <w:rPr>
          <w:rFonts w:ascii="Arial" w:hAnsi="Arial" w:cs="Arial"/>
          <w:sz w:val="24"/>
          <w:szCs w:val="24"/>
        </w:rPr>
      </w:pPr>
      <w:proofErr w:type="spellStart"/>
      <w:r w:rsidRPr="00AB06A7">
        <w:rPr>
          <w:rFonts w:ascii="Arial" w:eastAsia="Calibri" w:hAnsi="Arial" w:cs="Arial"/>
          <w:sz w:val="24"/>
          <w:szCs w:val="24"/>
        </w:rPr>
        <w:t>Slee</w:t>
      </w:r>
      <w:proofErr w:type="spellEnd"/>
      <w:r w:rsidRPr="00AB06A7">
        <w:rPr>
          <w:rFonts w:ascii="Arial" w:eastAsia="Calibri" w:hAnsi="Arial" w:cs="Arial"/>
          <w:sz w:val="24"/>
          <w:szCs w:val="24"/>
        </w:rPr>
        <w:t xml:space="preserve">, A. et al. (2021) 'Trends in generalised anxiety disorders and symptoms in primary care', </w:t>
      </w:r>
      <w:r w:rsidRPr="00AB06A7">
        <w:rPr>
          <w:rFonts w:ascii="Arial" w:eastAsia="Calibri" w:hAnsi="Arial" w:cs="Arial"/>
          <w:i/>
          <w:iCs/>
          <w:sz w:val="24"/>
          <w:szCs w:val="24"/>
        </w:rPr>
        <w:t>British Journal of General Practice</w:t>
      </w:r>
      <w:r w:rsidRPr="00AB06A7">
        <w:rPr>
          <w:rFonts w:ascii="Arial" w:eastAsia="Calibri" w:hAnsi="Arial" w:cs="Arial"/>
          <w:sz w:val="24"/>
          <w:szCs w:val="24"/>
        </w:rPr>
        <w:t>, 71(704), pp. e361–e368.</w:t>
      </w:r>
    </w:p>
    <w:p w14:paraId="15A5A8A2"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Stein, D. J. et al. (2022) 'Innovations and changes in the ICD-11 classification of mental, behavioural and neurodevelopmental disorders', </w:t>
      </w:r>
      <w:r w:rsidRPr="00AB06A7">
        <w:rPr>
          <w:rFonts w:ascii="Arial" w:eastAsia="Calibri" w:hAnsi="Arial" w:cs="Arial"/>
          <w:i/>
          <w:iCs/>
          <w:sz w:val="24"/>
          <w:szCs w:val="24"/>
        </w:rPr>
        <w:t>World Psychiatry</w:t>
      </w:r>
      <w:r w:rsidRPr="00AB06A7">
        <w:rPr>
          <w:rFonts w:ascii="Arial" w:eastAsia="Calibri" w:hAnsi="Arial" w:cs="Arial"/>
          <w:sz w:val="24"/>
          <w:szCs w:val="24"/>
        </w:rPr>
        <w:t>, 21(2), pp. 263–265.</w:t>
      </w:r>
    </w:p>
    <w:p w14:paraId="0F431E5B"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World Health Organization (2022a) </w:t>
      </w:r>
      <w:r w:rsidRPr="00AB06A7">
        <w:rPr>
          <w:rFonts w:ascii="Arial" w:eastAsia="Calibri" w:hAnsi="Arial" w:cs="Arial"/>
          <w:i/>
          <w:iCs/>
          <w:sz w:val="24"/>
          <w:szCs w:val="24"/>
        </w:rPr>
        <w:t>ICD-11 for Mortality and Morbidity Statistics</w:t>
      </w:r>
      <w:r w:rsidRPr="00AB06A7">
        <w:rPr>
          <w:rFonts w:ascii="Arial" w:eastAsia="Calibri" w:hAnsi="Arial" w:cs="Arial"/>
          <w:sz w:val="24"/>
          <w:szCs w:val="24"/>
        </w:rPr>
        <w:t>. Geneva: World Health Organization.</w:t>
      </w:r>
    </w:p>
    <w:p w14:paraId="1CF031D2"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World Health Organization (2022b) </w:t>
      </w:r>
      <w:r w:rsidRPr="00AB06A7">
        <w:rPr>
          <w:rFonts w:ascii="Arial" w:eastAsia="Calibri" w:hAnsi="Arial" w:cs="Arial"/>
          <w:i/>
          <w:iCs/>
          <w:sz w:val="24"/>
          <w:szCs w:val="24"/>
        </w:rPr>
        <w:t>World Mental Health Report: Transforming Mental Health for All</w:t>
      </w:r>
      <w:r w:rsidRPr="00AB06A7">
        <w:rPr>
          <w:rFonts w:ascii="Arial" w:eastAsia="Calibri" w:hAnsi="Arial" w:cs="Arial"/>
          <w:sz w:val="24"/>
          <w:szCs w:val="24"/>
        </w:rPr>
        <w:t>. Geneva: World Health Organization.</w:t>
      </w:r>
    </w:p>
    <w:p w14:paraId="45B417EF"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lastRenderedPageBreak/>
        <w:t xml:space="preserve">Wright, J. H. et al. (2022) 'Computer-assisted cognitive behavioural therapy for anxiety disorders: a systematic review', </w:t>
      </w:r>
      <w:r w:rsidRPr="00AB06A7">
        <w:rPr>
          <w:rFonts w:ascii="Arial" w:eastAsia="Calibri" w:hAnsi="Arial" w:cs="Arial"/>
          <w:i/>
          <w:iCs/>
          <w:sz w:val="24"/>
          <w:szCs w:val="24"/>
        </w:rPr>
        <w:t>Depression and Anxiety</w:t>
      </w:r>
      <w:r w:rsidRPr="00AB06A7">
        <w:rPr>
          <w:rFonts w:ascii="Arial" w:eastAsia="Calibri" w:hAnsi="Arial" w:cs="Arial"/>
          <w:sz w:val="24"/>
          <w:szCs w:val="24"/>
        </w:rPr>
        <w:t>, 39(9), pp. 681–695.</w:t>
      </w:r>
    </w:p>
    <w:p w14:paraId="29071314" w14:textId="77777777" w:rsidR="00AB06A7" w:rsidRPr="00AB06A7" w:rsidRDefault="00AB06A7" w:rsidP="00AB06A7">
      <w:pPr>
        <w:spacing w:line="360" w:lineRule="auto"/>
        <w:ind w:left="720" w:hanging="720"/>
        <w:rPr>
          <w:rFonts w:ascii="Arial" w:hAnsi="Arial" w:cs="Arial"/>
          <w:sz w:val="24"/>
          <w:szCs w:val="24"/>
        </w:rPr>
      </w:pPr>
      <w:r w:rsidRPr="00AB06A7">
        <w:rPr>
          <w:rFonts w:ascii="Arial" w:eastAsia="Calibri" w:hAnsi="Arial" w:cs="Arial"/>
          <w:sz w:val="24"/>
          <w:szCs w:val="24"/>
        </w:rPr>
        <w:t xml:space="preserve">Zhou, X. et al. (2023) 'Comparative efficacy and acceptability of psychotherapies for anxiety disorders: a systematic review and network meta-analysis', </w:t>
      </w:r>
      <w:r w:rsidRPr="00AB06A7">
        <w:rPr>
          <w:rFonts w:ascii="Arial" w:eastAsia="Calibri" w:hAnsi="Arial" w:cs="Arial"/>
          <w:i/>
          <w:iCs/>
          <w:sz w:val="24"/>
          <w:szCs w:val="24"/>
        </w:rPr>
        <w:t>The Lancet Psychiatry</w:t>
      </w:r>
      <w:r w:rsidRPr="00AB06A7">
        <w:rPr>
          <w:rFonts w:ascii="Arial" w:eastAsia="Calibri" w:hAnsi="Arial" w:cs="Arial"/>
          <w:sz w:val="24"/>
          <w:szCs w:val="24"/>
        </w:rPr>
        <w:t>, 10(8), pp. 610–622.</w:t>
      </w:r>
    </w:p>
    <w:p w14:paraId="4072016D" w14:textId="77777777" w:rsidR="00DD19D4" w:rsidRPr="00AB06A7" w:rsidRDefault="00DD19D4" w:rsidP="00AB06A7">
      <w:pPr>
        <w:shd w:val="clear" w:color="auto" w:fill="FFFFFF"/>
        <w:spacing w:after="0" w:line="360" w:lineRule="auto"/>
        <w:rPr>
          <w:rFonts w:ascii="Arial" w:eastAsia="Times New Roman" w:hAnsi="Arial" w:cs="Arial"/>
          <w:color w:val="0B0B0B"/>
          <w:sz w:val="24"/>
          <w:szCs w:val="24"/>
          <w:lang w:eastAsia="en-GB"/>
        </w:rPr>
      </w:pPr>
    </w:p>
    <w:sectPr w:rsidR="00DD19D4" w:rsidRPr="00AB06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94B"/>
    <w:rsid w:val="0027510F"/>
    <w:rsid w:val="003D4707"/>
    <w:rsid w:val="0087294B"/>
    <w:rsid w:val="00A92631"/>
    <w:rsid w:val="00AB06A7"/>
    <w:rsid w:val="00BF27CD"/>
    <w:rsid w:val="00DD19D4"/>
    <w:rsid w:val="00F27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4F3A4"/>
  <w15:chartTrackingRefBased/>
  <w15:docId w15:val="{ECFF99DC-7E9C-4554-9F80-B58098CB5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rsid w:val="00AB06A7"/>
    <w:pPr>
      <w:spacing w:after="0" w:line="240" w:lineRule="auto"/>
      <w:outlineLvl w:val="0"/>
    </w:pPr>
    <w:rPr>
      <w:rFonts w:ascii="Times New Roman" w:eastAsia="Times New Roman" w:hAnsi="Times New Roman" w:cs="Times New Roman"/>
      <w:color w:val="2E74B5"/>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ode">
    <w:name w:val="HTML Code"/>
    <w:basedOn w:val="DefaultParagraphFont"/>
    <w:uiPriority w:val="99"/>
    <w:semiHidden/>
    <w:unhideWhenUsed/>
    <w:rsid w:val="0087294B"/>
    <w:rPr>
      <w:rFonts w:ascii="Courier New" w:eastAsia="Times New Roman" w:hAnsi="Courier New" w:cs="Courier New"/>
      <w:sz w:val="20"/>
      <w:szCs w:val="20"/>
    </w:rPr>
  </w:style>
  <w:style w:type="character" w:styleId="Strong">
    <w:name w:val="Strong"/>
    <w:basedOn w:val="DefaultParagraphFont"/>
    <w:uiPriority w:val="22"/>
    <w:qFormat/>
    <w:rsid w:val="0087294B"/>
    <w:rPr>
      <w:b/>
      <w:bCs/>
    </w:rPr>
  </w:style>
  <w:style w:type="paragraph" w:customStyle="1" w:styleId="font-claude-response-body">
    <w:name w:val="font-claude-response-body"/>
    <w:basedOn w:val="Normal"/>
    <w:rsid w:val="008729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294B"/>
    <w:rPr>
      <w:i/>
      <w:iCs/>
    </w:rPr>
  </w:style>
  <w:style w:type="character" w:customStyle="1" w:styleId="Heading1Char">
    <w:name w:val="Heading 1 Char"/>
    <w:basedOn w:val="DefaultParagraphFont"/>
    <w:link w:val="Heading1"/>
    <w:uiPriority w:val="9"/>
    <w:rsid w:val="00AB06A7"/>
    <w:rPr>
      <w:rFonts w:ascii="Times New Roman" w:eastAsia="Times New Roman" w:hAnsi="Times New Roman" w:cs="Times New Roman"/>
      <w:color w:val="2E74B5"/>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3559">
      <w:bodyDiv w:val="1"/>
      <w:marLeft w:val="0"/>
      <w:marRight w:val="0"/>
      <w:marTop w:val="0"/>
      <w:marBottom w:val="0"/>
      <w:divBdr>
        <w:top w:val="none" w:sz="0" w:space="0" w:color="auto"/>
        <w:left w:val="none" w:sz="0" w:space="0" w:color="auto"/>
        <w:bottom w:val="none" w:sz="0" w:space="0" w:color="auto"/>
        <w:right w:val="none" w:sz="0" w:space="0" w:color="auto"/>
      </w:divBdr>
    </w:div>
    <w:div w:id="920456627">
      <w:bodyDiv w:val="1"/>
      <w:marLeft w:val="0"/>
      <w:marRight w:val="0"/>
      <w:marTop w:val="0"/>
      <w:marBottom w:val="0"/>
      <w:divBdr>
        <w:top w:val="none" w:sz="0" w:space="0" w:color="auto"/>
        <w:left w:val="none" w:sz="0" w:space="0" w:color="auto"/>
        <w:bottom w:val="none" w:sz="0" w:space="0" w:color="auto"/>
        <w:right w:val="none" w:sz="0" w:space="0" w:color="auto"/>
      </w:divBdr>
    </w:div>
    <w:div w:id="1227306046">
      <w:bodyDiv w:val="1"/>
      <w:marLeft w:val="0"/>
      <w:marRight w:val="0"/>
      <w:marTop w:val="0"/>
      <w:marBottom w:val="0"/>
      <w:divBdr>
        <w:top w:val="none" w:sz="0" w:space="0" w:color="auto"/>
        <w:left w:val="none" w:sz="0" w:space="0" w:color="auto"/>
        <w:bottom w:val="none" w:sz="0" w:space="0" w:color="auto"/>
        <w:right w:val="none" w:sz="0" w:space="0" w:color="auto"/>
      </w:divBdr>
    </w:div>
    <w:div w:id="1754665888">
      <w:bodyDiv w:val="1"/>
      <w:marLeft w:val="0"/>
      <w:marRight w:val="0"/>
      <w:marTop w:val="0"/>
      <w:marBottom w:val="0"/>
      <w:divBdr>
        <w:top w:val="none" w:sz="0" w:space="0" w:color="auto"/>
        <w:left w:val="none" w:sz="0" w:space="0" w:color="auto"/>
        <w:bottom w:val="none" w:sz="0" w:space="0" w:color="auto"/>
        <w:right w:val="none" w:sz="0" w:space="0" w:color="auto"/>
      </w:divBdr>
      <w:divsChild>
        <w:div w:id="1657147740">
          <w:marLeft w:val="0"/>
          <w:marRight w:val="0"/>
          <w:marTop w:val="0"/>
          <w:marBottom w:val="0"/>
          <w:divBdr>
            <w:top w:val="single" w:sz="2" w:space="0" w:color="auto"/>
            <w:left w:val="single" w:sz="18" w:space="0" w:color="auto"/>
            <w:bottom w:val="single" w:sz="2" w:space="0" w:color="auto"/>
            <w:right w:val="single" w:sz="2" w:space="0" w:color="auto"/>
          </w:divBdr>
          <w:divsChild>
            <w:div w:id="905141213">
              <w:marLeft w:val="0"/>
              <w:marRight w:val="0"/>
              <w:marTop w:val="0"/>
              <w:marBottom w:val="0"/>
              <w:divBdr>
                <w:top w:val="none" w:sz="0" w:space="0" w:color="auto"/>
                <w:left w:val="none" w:sz="0" w:space="0" w:color="auto"/>
                <w:bottom w:val="none" w:sz="0" w:space="0" w:color="auto"/>
                <w:right w:val="none" w:sz="0" w:space="0" w:color="auto"/>
              </w:divBdr>
            </w:div>
          </w:divsChild>
        </w:div>
        <w:div w:id="1377924475">
          <w:marLeft w:val="0"/>
          <w:marRight w:val="0"/>
          <w:marTop w:val="0"/>
          <w:marBottom w:val="0"/>
          <w:divBdr>
            <w:top w:val="single" w:sz="2" w:space="0" w:color="auto"/>
            <w:left w:val="single" w:sz="18" w:space="0" w:color="auto"/>
            <w:bottom w:val="single" w:sz="2" w:space="0" w:color="auto"/>
            <w:right w:val="single" w:sz="2" w:space="0" w:color="auto"/>
          </w:divBdr>
          <w:divsChild>
            <w:div w:id="148328506">
              <w:marLeft w:val="0"/>
              <w:marRight w:val="0"/>
              <w:marTop w:val="0"/>
              <w:marBottom w:val="0"/>
              <w:divBdr>
                <w:top w:val="none" w:sz="0" w:space="0" w:color="auto"/>
                <w:left w:val="none" w:sz="0" w:space="0" w:color="auto"/>
                <w:bottom w:val="none" w:sz="0" w:space="0" w:color="auto"/>
                <w:right w:val="none" w:sz="0" w:space="0" w:color="auto"/>
              </w:divBdr>
            </w:div>
          </w:divsChild>
        </w:div>
        <w:div w:id="1348404209">
          <w:marLeft w:val="0"/>
          <w:marRight w:val="0"/>
          <w:marTop w:val="0"/>
          <w:marBottom w:val="0"/>
          <w:divBdr>
            <w:top w:val="single" w:sz="2" w:space="0" w:color="auto"/>
            <w:left w:val="single" w:sz="18" w:space="0" w:color="auto"/>
            <w:bottom w:val="single" w:sz="2" w:space="0" w:color="auto"/>
            <w:right w:val="single" w:sz="2" w:space="0" w:color="auto"/>
          </w:divBdr>
          <w:divsChild>
            <w:div w:id="639699207">
              <w:marLeft w:val="0"/>
              <w:marRight w:val="0"/>
              <w:marTop w:val="0"/>
              <w:marBottom w:val="0"/>
              <w:divBdr>
                <w:top w:val="none" w:sz="0" w:space="0" w:color="auto"/>
                <w:left w:val="none" w:sz="0" w:space="0" w:color="auto"/>
                <w:bottom w:val="none" w:sz="0" w:space="0" w:color="auto"/>
                <w:right w:val="none" w:sz="0" w:space="0" w:color="auto"/>
              </w:divBdr>
            </w:div>
          </w:divsChild>
        </w:div>
        <w:div w:id="1036855319">
          <w:marLeft w:val="0"/>
          <w:marRight w:val="0"/>
          <w:marTop w:val="0"/>
          <w:marBottom w:val="0"/>
          <w:divBdr>
            <w:top w:val="single" w:sz="2" w:space="0" w:color="auto"/>
            <w:left w:val="single" w:sz="18" w:space="0" w:color="auto"/>
            <w:bottom w:val="single" w:sz="2" w:space="0" w:color="auto"/>
            <w:right w:val="single" w:sz="2" w:space="0" w:color="auto"/>
          </w:divBdr>
          <w:divsChild>
            <w:div w:id="870343562">
              <w:marLeft w:val="0"/>
              <w:marRight w:val="0"/>
              <w:marTop w:val="0"/>
              <w:marBottom w:val="0"/>
              <w:divBdr>
                <w:top w:val="none" w:sz="0" w:space="0" w:color="auto"/>
                <w:left w:val="none" w:sz="0" w:space="0" w:color="auto"/>
                <w:bottom w:val="none" w:sz="0" w:space="0" w:color="auto"/>
                <w:right w:val="none" w:sz="0" w:space="0" w:color="auto"/>
              </w:divBdr>
            </w:div>
          </w:divsChild>
        </w:div>
        <w:div w:id="711270248">
          <w:marLeft w:val="0"/>
          <w:marRight w:val="0"/>
          <w:marTop w:val="0"/>
          <w:marBottom w:val="0"/>
          <w:divBdr>
            <w:top w:val="single" w:sz="2" w:space="0" w:color="auto"/>
            <w:left w:val="single" w:sz="18" w:space="0" w:color="auto"/>
            <w:bottom w:val="single" w:sz="2" w:space="0" w:color="auto"/>
            <w:right w:val="single" w:sz="2" w:space="0" w:color="auto"/>
          </w:divBdr>
          <w:divsChild>
            <w:div w:id="124200804">
              <w:marLeft w:val="0"/>
              <w:marRight w:val="0"/>
              <w:marTop w:val="0"/>
              <w:marBottom w:val="0"/>
              <w:divBdr>
                <w:top w:val="none" w:sz="0" w:space="0" w:color="auto"/>
                <w:left w:val="none" w:sz="0" w:space="0" w:color="auto"/>
                <w:bottom w:val="none" w:sz="0" w:space="0" w:color="auto"/>
                <w:right w:val="none" w:sz="0" w:space="0" w:color="auto"/>
              </w:divBdr>
            </w:div>
          </w:divsChild>
        </w:div>
        <w:div w:id="907690224">
          <w:marLeft w:val="0"/>
          <w:marRight w:val="0"/>
          <w:marTop w:val="0"/>
          <w:marBottom w:val="0"/>
          <w:divBdr>
            <w:top w:val="single" w:sz="2" w:space="0" w:color="auto"/>
            <w:left w:val="single" w:sz="18" w:space="0" w:color="auto"/>
            <w:bottom w:val="single" w:sz="2" w:space="0" w:color="auto"/>
            <w:right w:val="single" w:sz="2" w:space="0" w:color="auto"/>
          </w:divBdr>
          <w:divsChild>
            <w:div w:id="1572931412">
              <w:marLeft w:val="0"/>
              <w:marRight w:val="0"/>
              <w:marTop w:val="0"/>
              <w:marBottom w:val="0"/>
              <w:divBdr>
                <w:top w:val="none" w:sz="0" w:space="0" w:color="auto"/>
                <w:left w:val="none" w:sz="0" w:space="0" w:color="auto"/>
                <w:bottom w:val="none" w:sz="0" w:space="0" w:color="auto"/>
                <w:right w:val="none" w:sz="0" w:space="0" w:color="auto"/>
              </w:divBdr>
            </w:div>
          </w:divsChild>
        </w:div>
        <w:div w:id="362486843">
          <w:marLeft w:val="0"/>
          <w:marRight w:val="0"/>
          <w:marTop w:val="0"/>
          <w:marBottom w:val="0"/>
          <w:divBdr>
            <w:top w:val="single" w:sz="2" w:space="0" w:color="auto"/>
            <w:left w:val="single" w:sz="18" w:space="0" w:color="auto"/>
            <w:bottom w:val="single" w:sz="2" w:space="0" w:color="auto"/>
            <w:right w:val="single" w:sz="2" w:space="0" w:color="auto"/>
          </w:divBdr>
          <w:divsChild>
            <w:div w:id="1193422541">
              <w:marLeft w:val="0"/>
              <w:marRight w:val="0"/>
              <w:marTop w:val="0"/>
              <w:marBottom w:val="0"/>
              <w:divBdr>
                <w:top w:val="none" w:sz="0" w:space="0" w:color="auto"/>
                <w:left w:val="none" w:sz="0" w:space="0" w:color="auto"/>
                <w:bottom w:val="none" w:sz="0" w:space="0" w:color="auto"/>
                <w:right w:val="none" w:sz="0" w:space="0" w:color="auto"/>
              </w:divBdr>
            </w:div>
          </w:divsChild>
        </w:div>
        <w:div w:id="1007711953">
          <w:marLeft w:val="0"/>
          <w:marRight w:val="0"/>
          <w:marTop w:val="0"/>
          <w:marBottom w:val="0"/>
          <w:divBdr>
            <w:top w:val="single" w:sz="2" w:space="0" w:color="auto"/>
            <w:left w:val="single" w:sz="18" w:space="0" w:color="auto"/>
            <w:bottom w:val="single" w:sz="2" w:space="0" w:color="auto"/>
            <w:right w:val="single" w:sz="2" w:space="0" w:color="auto"/>
          </w:divBdr>
          <w:divsChild>
            <w:div w:id="531038940">
              <w:marLeft w:val="0"/>
              <w:marRight w:val="0"/>
              <w:marTop w:val="0"/>
              <w:marBottom w:val="0"/>
              <w:divBdr>
                <w:top w:val="none" w:sz="0" w:space="0" w:color="auto"/>
                <w:left w:val="none" w:sz="0" w:space="0" w:color="auto"/>
                <w:bottom w:val="none" w:sz="0" w:space="0" w:color="auto"/>
                <w:right w:val="none" w:sz="0" w:space="0" w:color="auto"/>
              </w:divBdr>
            </w:div>
          </w:divsChild>
        </w:div>
        <w:div w:id="886452964">
          <w:marLeft w:val="0"/>
          <w:marRight w:val="0"/>
          <w:marTop w:val="0"/>
          <w:marBottom w:val="0"/>
          <w:divBdr>
            <w:top w:val="single" w:sz="2" w:space="0" w:color="auto"/>
            <w:left w:val="single" w:sz="18" w:space="0" w:color="auto"/>
            <w:bottom w:val="single" w:sz="2" w:space="0" w:color="auto"/>
            <w:right w:val="single" w:sz="2" w:space="0" w:color="auto"/>
          </w:divBdr>
          <w:divsChild>
            <w:div w:id="1698046049">
              <w:marLeft w:val="0"/>
              <w:marRight w:val="0"/>
              <w:marTop w:val="0"/>
              <w:marBottom w:val="0"/>
              <w:divBdr>
                <w:top w:val="none" w:sz="0" w:space="0" w:color="auto"/>
                <w:left w:val="none" w:sz="0" w:space="0" w:color="auto"/>
                <w:bottom w:val="none" w:sz="0" w:space="0" w:color="auto"/>
                <w:right w:val="none" w:sz="0" w:space="0" w:color="auto"/>
              </w:divBdr>
            </w:div>
          </w:divsChild>
        </w:div>
        <w:div w:id="297145618">
          <w:marLeft w:val="0"/>
          <w:marRight w:val="0"/>
          <w:marTop w:val="0"/>
          <w:marBottom w:val="0"/>
          <w:divBdr>
            <w:top w:val="single" w:sz="2" w:space="0" w:color="auto"/>
            <w:left w:val="single" w:sz="18" w:space="0" w:color="auto"/>
            <w:bottom w:val="single" w:sz="2" w:space="0" w:color="auto"/>
            <w:right w:val="single" w:sz="2" w:space="0" w:color="auto"/>
          </w:divBdr>
          <w:divsChild>
            <w:div w:id="1710453648">
              <w:marLeft w:val="0"/>
              <w:marRight w:val="0"/>
              <w:marTop w:val="0"/>
              <w:marBottom w:val="0"/>
              <w:divBdr>
                <w:top w:val="none" w:sz="0" w:space="0" w:color="auto"/>
                <w:left w:val="none" w:sz="0" w:space="0" w:color="auto"/>
                <w:bottom w:val="none" w:sz="0" w:space="0" w:color="auto"/>
                <w:right w:val="none" w:sz="0" w:space="0" w:color="auto"/>
              </w:divBdr>
            </w:div>
          </w:divsChild>
        </w:div>
        <w:div w:id="790977454">
          <w:marLeft w:val="0"/>
          <w:marRight w:val="0"/>
          <w:marTop w:val="0"/>
          <w:marBottom w:val="0"/>
          <w:divBdr>
            <w:top w:val="single" w:sz="2" w:space="0" w:color="auto"/>
            <w:left w:val="single" w:sz="18" w:space="0" w:color="auto"/>
            <w:bottom w:val="single" w:sz="2" w:space="0" w:color="auto"/>
            <w:right w:val="single" w:sz="2" w:space="0" w:color="auto"/>
          </w:divBdr>
          <w:divsChild>
            <w:div w:id="1684626086">
              <w:marLeft w:val="0"/>
              <w:marRight w:val="0"/>
              <w:marTop w:val="0"/>
              <w:marBottom w:val="0"/>
              <w:divBdr>
                <w:top w:val="none" w:sz="0" w:space="0" w:color="auto"/>
                <w:left w:val="none" w:sz="0" w:space="0" w:color="auto"/>
                <w:bottom w:val="none" w:sz="0" w:space="0" w:color="auto"/>
                <w:right w:val="none" w:sz="0" w:space="0" w:color="auto"/>
              </w:divBdr>
            </w:div>
          </w:divsChild>
        </w:div>
        <w:div w:id="45178617">
          <w:marLeft w:val="0"/>
          <w:marRight w:val="0"/>
          <w:marTop w:val="0"/>
          <w:marBottom w:val="0"/>
          <w:divBdr>
            <w:top w:val="single" w:sz="2" w:space="0" w:color="auto"/>
            <w:left w:val="single" w:sz="18" w:space="0" w:color="auto"/>
            <w:bottom w:val="single" w:sz="2" w:space="0" w:color="auto"/>
            <w:right w:val="single" w:sz="2" w:space="0" w:color="auto"/>
          </w:divBdr>
          <w:divsChild>
            <w:div w:id="991643566">
              <w:marLeft w:val="0"/>
              <w:marRight w:val="0"/>
              <w:marTop w:val="0"/>
              <w:marBottom w:val="0"/>
              <w:divBdr>
                <w:top w:val="none" w:sz="0" w:space="0" w:color="auto"/>
                <w:left w:val="none" w:sz="0" w:space="0" w:color="auto"/>
                <w:bottom w:val="none" w:sz="0" w:space="0" w:color="auto"/>
                <w:right w:val="none" w:sz="0" w:space="0" w:color="auto"/>
              </w:divBdr>
            </w:div>
          </w:divsChild>
        </w:div>
        <w:div w:id="63995008">
          <w:marLeft w:val="0"/>
          <w:marRight w:val="0"/>
          <w:marTop w:val="0"/>
          <w:marBottom w:val="0"/>
          <w:divBdr>
            <w:top w:val="single" w:sz="2" w:space="0" w:color="auto"/>
            <w:left w:val="single" w:sz="18" w:space="0" w:color="auto"/>
            <w:bottom w:val="single" w:sz="2" w:space="0" w:color="auto"/>
            <w:right w:val="single" w:sz="2" w:space="0" w:color="auto"/>
          </w:divBdr>
          <w:divsChild>
            <w:div w:id="147140428">
              <w:marLeft w:val="0"/>
              <w:marRight w:val="0"/>
              <w:marTop w:val="0"/>
              <w:marBottom w:val="0"/>
              <w:divBdr>
                <w:top w:val="none" w:sz="0" w:space="0" w:color="auto"/>
                <w:left w:val="none" w:sz="0" w:space="0" w:color="auto"/>
                <w:bottom w:val="none" w:sz="0" w:space="0" w:color="auto"/>
                <w:right w:val="none" w:sz="0" w:space="0" w:color="auto"/>
              </w:divBdr>
            </w:div>
          </w:divsChild>
        </w:div>
        <w:div w:id="1436442300">
          <w:marLeft w:val="0"/>
          <w:marRight w:val="0"/>
          <w:marTop w:val="0"/>
          <w:marBottom w:val="0"/>
          <w:divBdr>
            <w:top w:val="single" w:sz="2" w:space="0" w:color="auto"/>
            <w:left w:val="single" w:sz="18" w:space="0" w:color="auto"/>
            <w:bottom w:val="single" w:sz="2" w:space="0" w:color="auto"/>
            <w:right w:val="single" w:sz="2" w:space="0" w:color="auto"/>
          </w:divBdr>
          <w:divsChild>
            <w:div w:id="1677615450">
              <w:marLeft w:val="0"/>
              <w:marRight w:val="0"/>
              <w:marTop w:val="0"/>
              <w:marBottom w:val="0"/>
              <w:divBdr>
                <w:top w:val="none" w:sz="0" w:space="0" w:color="auto"/>
                <w:left w:val="none" w:sz="0" w:space="0" w:color="auto"/>
                <w:bottom w:val="none" w:sz="0" w:space="0" w:color="auto"/>
                <w:right w:val="none" w:sz="0" w:space="0" w:color="auto"/>
              </w:divBdr>
            </w:div>
          </w:divsChild>
        </w:div>
        <w:div w:id="1885214841">
          <w:marLeft w:val="0"/>
          <w:marRight w:val="0"/>
          <w:marTop w:val="0"/>
          <w:marBottom w:val="0"/>
          <w:divBdr>
            <w:top w:val="single" w:sz="2" w:space="0" w:color="auto"/>
            <w:left w:val="single" w:sz="18" w:space="0" w:color="auto"/>
            <w:bottom w:val="single" w:sz="2" w:space="0" w:color="auto"/>
            <w:right w:val="single" w:sz="2" w:space="0" w:color="auto"/>
          </w:divBdr>
          <w:divsChild>
            <w:div w:id="133375969">
              <w:marLeft w:val="0"/>
              <w:marRight w:val="0"/>
              <w:marTop w:val="0"/>
              <w:marBottom w:val="0"/>
              <w:divBdr>
                <w:top w:val="none" w:sz="0" w:space="0" w:color="auto"/>
                <w:left w:val="none" w:sz="0" w:space="0" w:color="auto"/>
                <w:bottom w:val="none" w:sz="0" w:space="0" w:color="auto"/>
                <w:right w:val="none" w:sz="0" w:space="0" w:color="auto"/>
              </w:divBdr>
            </w:div>
          </w:divsChild>
        </w:div>
        <w:div w:id="1609314264">
          <w:marLeft w:val="0"/>
          <w:marRight w:val="0"/>
          <w:marTop w:val="0"/>
          <w:marBottom w:val="0"/>
          <w:divBdr>
            <w:top w:val="single" w:sz="2" w:space="0" w:color="auto"/>
            <w:left w:val="single" w:sz="18" w:space="0" w:color="auto"/>
            <w:bottom w:val="single" w:sz="2" w:space="0" w:color="auto"/>
            <w:right w:val="single" w:sz="2" w:space="0" w:color="auto"/>
          </w:divBdr>
          <w:divsChild>
            <w:div w:id="1654723367">
              <w:marLeft w:val="0"/>
              <w:marRight w:val="0"/>
              <w:marTop w:val="0"/>
              <w:marBottom w:val="0"/>
              <w:divBdr>
                <w:top w:val="none" w:sz="0" w:space="0" w:color="auto"/>
                <w:left w:val="none" w:sz="0" w:space="0" w:color="auto"/>
                <w:bottom w:val="none" w:sz="0" w:space="0" w:color="auto"/>
                <w:right w:val="none" w:sz="0" w:space="0" w:color="auto"/>
              </w:divBdr>
            </w:div>
          </w:divsChild>
        </w:div>
        <w:div w:id="1816876707">
          <w:marLeft w:val="0"/>
          <w:marRight w:val="0"/>
          <w:marTop w:val="0"/>
          <w:marBottom w:val="0"/>
          <w:divBdr>
            <w:top w:val="single" w:sz="2" w:space="0" w:color="auto"/>
            <w:left w:val="single" w:sz="18" w:space="0" w:color="auto"/>
            <w:bottom w:val="single" w:sz="2" w:space="0" w:color="auto"/>
            <w:right w:val="single" w:sz="2" w:space="0" w:color="auto"/>
          </w:divBdr>
          <w:divsChild>
            <w:div w:id="2079135445">
              <w:marLeft w:val="0"/>
              <w:marRight w:val="0"/>
              <w:marTop w:val="0"/>
              <w:marBottom w:val="0"/>
              <w:divBdr>
                <w:top w:val="none" w:sz="0" w:space="0" w:color="auto"/>
                <w:left w:val="none" w:sz="0" w:space="0" w:color="auto"/>
                <w:bottom w:val="none" w:sz="0" w:space="0" w:color="auto"/>
                <w:right w:val="none" w:sz="0" w:space="0" w:color="auto"/>
              </w:divBdr>
            </w:div>
          </w:divsChild>
        </w:div>
        <w:div w:id="791095414">
          <w:marLeft w:val="0"/>
          <w:marRight w:val="0"/>
          <w:marTop w:val="0"/>
          <w:marBottom w:val="0"/>
          <w:divBdr>
            <w:top w:val="single" w:sz="2" w:space="0" w:color="auto"/>
            <w:left w:val="single" w:sz="18" w:space="0" w:color="auto"/>
            <w:bottom w:val="single" w:sz="2" w:space="0" w:color="auto"/>
            <w:right w:val="single" w:sz="2" w:space="0" w:color="auto"/>
          </w:divBdr>
          <w:divsChild>
            <w:div w:id="1213078621">
              <w:marLeft w:val="0"/>
              <w:marRight w:val="0"/>
              <w:marTop w:val="0"/>
              <w:marBottom w:val="0"/>
              <w:divBdr>
                <w:top w:val="none" w:sz="0" w:space="0" w:color="auto"/>
                <w:left w:val="none" w:sz="0" w:space="0" w:color="auto"/>
                <w:bottom w:val="none" w:sz="0" w:space="0" w:color="auto"/>
                <w:right w:val="none" w:sz="0" w:space="0" w:color="auto"/>
              </w:divBdr>
            </w:div>
          </w:divsChild>
        </w:div>
        <w:div w:id="631862436">
          <w:marLeft w:val="0"/>
          <w:marRight w:val="0"/>
          <w:marTop w:val="0"/>
          <w:marBottom w:val="0"/>
          <w:divBdr>
            <w:top w:val="single" w:sz="2" w:space="0" w:color="auto"/>
            <w:left w:val="single" w:sz="18" w:space="0" w:color="auto"/>
            <w:bottom w:val="single" w:sz="2" w:space="0" w:color="auto"/>
            <w:right w:val="single" w:sz="2" w:space="0" w:color="auto"/>
          </w:divBdr>
          <w:divsChild>
            <w:div w:id="1281033914">
              <w:marLeft w:val="0"/>
              <w:marRight w:val="0"/>
              <w:marTop w:val="0"/>
              <w:marBottom w:val="0"/>
              <w:divBdr>
                <w:top w:val="none" w:sz="0" w:space="0" w:color="auto"/>
                <w:left w:val="none" w:sz="0" w:space="0" w:color="auto"/>
                <w:bottom w:val="none" w:sz="0" w:space="0" w:color="auto"/>
                <w:right w:val="none" w:sz="0" w:space="0" w:color="auto"/>
              </w:divBdr>
            </w:div>
          </w:divsChild>
        </w:div>
        <w:div w:id="317854900">
          <w:marLeft w:val="0"/>
          <w:marRight w:val="0"/>
          <w:marTop w:val="0"/>
          <w:marBottom w:val="0"/>
          <w:divBdr>
            <w:top w:val="single" w:sz="2" w:space="0" w:color="auto"/>
            <w:left w:val="single" w:sz="18" w:space="0" w:color="auto"/>
            <w:bottom w:val="single" w:sz="2" w:space="0" w:color="auto"/>
            <w:right w:val="single" w:sz="2" w:space="0" w:color="auto"/>
          </w:divBdr>
          <w:divsChild>
            <w:div w:id="1523780869">
              <w:marLeft w:val="0"/>
              <w:marRight w:val="0"/>
              <w:marTop w:val="0"/>
              <w:marBottom w:val="0"/>
              <w:divBdr>
                <w:top w:val="none" w:sz="0" w:space="0" w:color="auto"/>
                <w:left w:val="none" w:sz="0" w:space="0" w:color="auto"/>
                <w:bottom w:val="none" w:sz="0" w:space="0" w:color="auto"/>
                <w:right w:val="none" w:sz="0" w:space="0" w:color="auto"/>
              </w:divBdr>
            </w:div>
          </w:divsChild>
        </w:div>
        <w:div w:id="2089419254">
          <w:marLeft w:val="0"/>
          <w:marRight w:val="0"/>
          <w:marTop w:val="0"/>
          <w:marBottom w:val="0"/>
          <w:divBdr>
            <w:top w:val="single" w:sz="2" w:space="0" w:color="auto"/>
            <w:left w:val="single" w:sz="18" w:space="0" w:color="auto"/>
            <w:bottom w:val="single" w:sz="2" w:space="0" w:color="auto"/>
            <w:right w:val="single" w:sz="2" w:space="0" w:color="auto"/>
          </w:divBdr>
          <w:divsChild>
            <w:div w:id="1551267738">
              <w:marLeft w:val="0"/>
              <w:marRight w:val="0"/>
              <w:marTop w:val="0"/>
              <w:marBottom w:val="0"/>
              <w:divBdr>
                <w:top w:val="none" w:sz="0" w:space="0" w:color="auto"/>
                <w:left w:val="none" w:sz="0" w:space="0" w:color="auto"/>
                <w:bottom w:val="none" w:sz="0" w:space="0" w:color="auto"/>
                <w:right w:val="none" w:sz="0" w:space="0" w:color="auto"/>
              </w:divBdr>
            </w:div>
          </w:divsChild>
        </w:div>
        <w:div w:id="1185169090">
          <w:marLeft w:val="0"/>
          <w:marRight w:val="0"/>
          <w:marTop w:val="0"/>
          <w:marBottom w:val="0"/>
          <w:divBdr>
            <w:top w:val="single" w:sz="2" w:space="0" w:color="auto"/>
            <w:left w:val="single" w:sz="18" w:space="0" w:color="auto"/>
            <w:bottom w:val="single" w:sz="2" w:space="0" w:color="auto"/>
            <w:right w:val="single" w:sz="2" w:space="0" w:color="auto"/>
          </w:divBdr>
          <w:divsChild>
            <w:div w:id="1384212072">
              <w:marLeft w:val="0"/>
              <w:marRight w:val="0"/>
              <w:marTop w:val="0"/>
              <w:marBottom w:val="0"/>
              <w:divBdr>
                <w:top w:val="none" w:sz="0" w:space="0" w:color="auto"/>
                <w:left w:val="none" w:sz="0" w:space="0" w:color="auto"/>
                <w:bottom w:val="none" w:sz="0" w:space="0" w:color="auto"/>
                <w:right w:val="none" w:sz="0" w:space="0" w:color="auto"/>
              </w:divBdr>
            </w:div>
          </w:divsChild>
        </w:div>
        <w:div w:id="1164707806">
          <w:marLeft w:val="0"/>
          <w:marRight w:val="0"/>
          <w:marTop w:val="0"/>
          <w:marBottom w:val="0"/>
          <w:divBdr>
            <w:top w:val="single" w:sz="2" w:space="0" w:color="auto"/>
            <w:left w:val="single" w:sz="18" w:space="0" w:color="auto"/>
            <w:bottom w:val="single" w:sz="2" w:space="0" w:color="auto"/>
            <w:right w:val="single" w:sz="2" w:space="0" w:color="auto"/>
          </w:divBdr>
          <w:divsChild>
            <w:div w:id="985278996">
              <w:marLeft w:val="0"/>
              <w:marRight w:val="0"/>
              <w:marTop w:val="0"/>
              <w:marBottom w:val="0"/>
              <w:divBdr>
                <w:top w:val="none" w:sz="0" w:space="0" w:color="auto"/>
                <w:left w:val="none" w:sz="0" w:space="0" w:color="auto"/>
                <w:bottom w:val="none" w:sz="0" w:space="0" w:color="auto"/>
                <w:right w:val="none" w:sz="0" w:space="0" w:color="auto"/>
              </w:divBdr>
            </w:div>
          </w:divsChild>
        </w:div>
        <w:div w:id="270936075">
          <w:marLeft w:val="0"/>
          <w:marRight w:val="0"/>
          <w:marTop w:val="0"/>
          <w:marBottom w:val="0"/>
          <w:divBdr>
            <w:top w:val="single" w:sz="2" w:space="0" w:color="auto"/>
            <w:left w:val="single" w:sz="18" w:space="0" w:color="auto"/>
            <w:bottom w:val="single" w:sz="2" w:space="0" w:color="auto"/>
            <w:right w:val="single" w:sz="2" w:space="0" w:color="auto"/>
          </w:divBdr>
          <w:divsChild>
            <w:div w:id="1494419237">
              <w:marLeft w:val="0"/>
              <w:marRight w:val="0"/>
              <w:marTop w:val="0"/>
              <w:marBottom w:val="0"/>
              <w:divBdr>
                <w:top w:val="none" w:sz="0" w:space="0" w:color="auto"/>
                <w:left w:val="none" w:sz="0" w:space="0" w:color="auto"/>
                <w:bottom w:val="none" w:sz="0" w:space="0" w:color="auto"/>
                <w:right w:val="none" w:sz="0" w:space="0" w:color="auto"/>
              </w:divBdr>
            </w:div>
          </w:divsChild>
        </w:div>
        <w:div w:id="219024925">
          <w:marLeft w:val="0"/>
          <w:marRight w:val="0"/>
          <w:marTop w:val="0"/>
          <w:marBottom w:val="0"/>
          <w:divBdr>
            <w:top w:val="single" w:sz="2" w:space="0" w:color="auto"/>
            <w:left w:val="single" w:sz="18" w:space="0" w:color="auto"/>
            <w:bottom w:val="single" w:sz="2" w:space="0" w:color="auto"/>
            <w:right w:val="single" w:sz="2" w:space="0" w:color="auto"/>
          </w:divBdr>
          <w:divsChild>
            <w:div w:id="955596938">
              <w:marLeft w:val="0"/>
              <w:marRight w:val="0"/>
              <w:marTop w:val="0"/>
              <w:marBottom w:val="0"/>
              <w:divBdr>
                <w:top w:val="none" w:sz="0" w:space="0" w:color="auto"/>
                <w:left w:val="none" w:sz="0" w:space="0" w:color="auto"/>
                <w:bottom w:val="none" w:sz="0" w:space="0" w:color="auto"/>
                <w:right w:val="none" w:sz="0" w:space="0" w:color="auto"/>
              </w:divBdr>
            </w:div>
          </w:divsChild>
        </w:div>
        <w:div w:id="375279628">
          <w:marLeft w:val="0"/>
          <w:marRight w:val="0"/>
          <w:marTop w:val="0"/>
          <w:marBottom w:val="0"/>
          <w:divBdr>
            <w:top w:val="single" w:sz="2" w:space="0" w:color="auto"/>
            <w:left w:val="single" w:sz="18" w:space="0" w:color="auto"/>
            <w:bottom w:val="single" w:sz="2" w:space="0" w:color="auto"/>
            <w:right w:val="single" w:sz="2" w:space="0" w:color="auto"/>
          </w:divBdr>
          <w:divsChild>
            <w:div w:id="2014067416">
              <w:marLeft w:val="0"/>
              <w:marRight w:val="0"/>
              <w:marTop w:val="0"/>
              <w:marBottom w:val="0"/>
              <w:divBdr>
                <w:top w:val="none" w:sz="0" w:space="0" w:color="auto"/>
                <w:left w:val="none" w:sz="0" w:space="0" w:color="auto"/>
                <w:bottom w:val="none" w:sz="0" w:space="0" w:color="auto"/>
                <w:right w:val="none" w:sz="0" w:space="0" w:color="auto"/>
              </w:divBdr>
            </w:div>
          </w:divsChild>
        </w:div>
        <w:div w:id="2024017833">
          <w:marLeft w:val="0"/>
          <w:marRight w:val="0"/>
          <w:marTop w:val="0"/>
          <w:marBottom w:val="0"/>
          <w:divBdr>
            <w:top w:val="single" w:sz="2" w:space="0" w:color="auto"/>
            <w:left w:val="single" w:sz="18" w:space="0" w:color="auto"/>
            <w:bottom w:val="single" w:sz="2" w:space="0" w:color="auto"/>
            <w:right w:val="single" w:sz="2" w:space="0" w:color="auto"/>
          </w:divBdr>
          <w:divsChild>
            <w:div w:id="46413674">
              <w:marLeft w:val="0"/>
              <w:marRight w:val="0"/>
              <w:marTop w:val="0"/>
              <w:marBottom w:val="0"/>
              <w:divBdr>
                <w:top w:val="none" w:sz="0" w:space="0" w:color="auto"/>
                <w:left w:val="none" w:sz="0" w:space="0" w:color="auto"/>
                <w:bottom w:val="none" w:sz="0" w:space="0" w:color="auto"/>
                <w:right w:val="none" w:sz="0" w:space="0" w:color="auto"/>
              </w:divBdr>
            </w:div>
          </w:divsChild>
        </w:div>
        <w:div w:id="14234891">
          <w:marLeft w:val="0"/>
          <w:marRight w:val="0"/>
          <w:marTop w:val="0"/>
          <w:marBottom w:val="0"/>
          <w:divBdr>
            <w:top w:val="single" w:sz="2" w:space="0" w:color="auto"/>
            <w:left w:val="single" w:sz="18" w:space="0" w:color="auto"/>
            <w:bottom w:val="single" w:sz="2" w:space="0" w:color="auto"/>
            <w:right w:val="single" w:sz="2" w:space="0" w:color="auto"/>
          </w:divBdr>
          <w:divsChild>
            <w:div w:id="1584029356">
              <w:marLeft w:val="0"/>
              <w:marRight w:val="0"/>
              <w:marTop w:val="0"/>
              <w:marBottom w:val="0"/>
              <w:divBdr>
                <w:top w:val="none" w:sz="0" w:space="0" w:color="auto"/>
                <w:left w:val="none" w:sz="0" w:space="0" w:color="auto"/>
                <w:bottom w:val="none" w:sz="0" w:space="0" w:color="auto"/>
                <w:right w:val="none" w:sz="0" w:space="0" w:color="auto"/>
              </w:divBdr>
            </w:div>
          </w:divsChild>
        </w:div>
        <w:div w:id="575406481">
          <w:marLeft w:val="0"/>
          <w:marRight w:val="0"/>
          <w:marTop w:val="0"/>
          <w:marBottom w:val="0"/>
          <w:divBdr>
            <w:top w:val="single" w:sz="2" w:space="0" w:color="auto"/>
            <w:left w:val="single" w:sz="18" w:space="0" w:color="auto"/>
            <w:bottom w:val="single" w:sz="2" w:space="0" w:color="auto"/>
            <w:right w:val="single" w:sz="2" w:space="0" w:color="auto"/>
          </w:divBdr>
          <w:divsChild>
            <w:div w:id="2062627954">
              <w:marLeft w:val="0"/>
              <w:marRight w:val="0"/>
              <w:marTop w:val="0"/>
              <w:marBottom w:val="0"/>
              <w:divBdr>
                <w:top w:val="none" w:sz="0" w:space="0" w:color="auto"/>
                <w:left w:val="none" w:sz="0" w:space="0" w:color="auto"/>
                <w:bottom w:val="none" w:sz="0" w:space="0" w:color="auto"/>
                <w:right w:val="none" w:sz="0" w:space="0" w:color="auto"/>
              </w:divBdr>
            </w:div>
          </w:divsChild>
        </w:div>
        <w:div w:id="2074770261">
          <w:marLeft w:val="0"/>
          <w:marRight w:val="0"/>
          <w:marTop w:val="0"/>
          <w:marBottom w:val="0"/>
          <w:divBdr>
            <w:top w:val="single" w:sz="2" w:space="0" w:color="auto"/>
            <w:left w:val="single" w:sz="18" w:space="0" w:color="auto"/>
            <w:bottom w:val="single" w:sz="2" w:space="0" w:color="auto"/>
            <w:right w:val="single" w:sz="2" w:space="0" w:color="auto"/>
          </w:divBdr>
          <w:divsChild>
            <w:div w:id="383220761">
              <w:marLeft w:val="0"/>
              <w:marRight w:val="0"/>
              <w:marTop w:val="0"/>
              <w:marBottom w:val="0"/>
              <w:divBdr>
                <w:top w:val="none" w:sz="0" w:space="0" w:color="auto"/>
                <w:left w:val="none" w:sz="0" w:space="0" w:color="auto"/>
                <w:bottom w:val="none" w:sz="0" w:space="0" w:color="auto"/>
                <w:right w:val="none" w:sz="0" w:space="0" w:color="auto"/>
              </w:divBdr>
            </w:div>
          </w:divsChild>
        </w:div>
        <w:div w:id="1985694005">
          <w:marLeft w:val="0"/>
          <w:marRight w:val="0"/>
          <w:marTop w:val="0"/>
          <w:marBottom w:val="0"/>
          <w:divBdr>
            <w:top w:val="single" w:sz="2" w:space="0" w:color="auto"/>
            <w:left w:val="single" w:sz="18" w:space="0" w:color="auto"/>
            <w:bottom w:val="single" w:sz="2" w:space="0" w:color="auto"/>
            <w:right w:val="single" w:sz="2" w:space="0" w:color="auto"/>
          </w:divBdr>
          <w:divsChild>
            <w:div w:id="432625513">
              <w:marLeft w:val="0"/>
              <w:marRight w:val="0"/>
              <w:marTop w:val="0"/>
              <w:marBottom w:val="0"/>
              <w:divBdr>
                <w:top w:val="none" w:sz="0" w:space="0" w:color="auto"/>
                <w:left w:val="none" w:sz="0" w:space="0" w:color="auto"/>
                <w:bottom w:val="none" w:sz="0" w:space="0" w:color="auto"/>
                <w:right w:val="none" w:sz="0" w:space="0" w:color="auto"/>
              </w:divBdr>
            </w:div>
          </w:divsChild>
        </w:div>
        <w:div w:id="335614157">
          <w:marLeft w:val="0"/>
          <w:marRight w:val="0"/>
          <w:marTop w:val="0"/>
          <w:marBottom w:val="0"/>
          <w:divBdr>
            <w:top w:val="single" w:sz="2" w:space="0" w:color="auto"/>
            <w:left w:val="single" w:sz="18" w:space="0" w:color="auto"/>
            <w:bottom w:val="single" w:sz="2" w:space="0" w:color="auto"/>
            <w:right w:val="single" w:sz="2" w:space="0" w:color="auto"/>
          </w:divBdr>
          <w:divsChild>
            <w:div w:id="144786837">
              <w:marLeft w:val="0"/>
              <w:marRight w:val="0"/>
              <w:marTop w:val="0"/>
              <w:marBottom w:val="0"/>
              <w:divBdr>
                <w:top w:val="none" w:sz="0" w:space="0" w:color="auto"/>
                <w:left w:val="none" w:sz="0" w:space="0" w:color="auto"/>
                <w:bottom w:val="none" w:sz="0" w:space="0" w:color="auto"/>
                <w:right w:val="none" w:sz="0" w:space="0" w:color="auto"/>
              </w:divBdr>
            </w:div>
          </w:divsChild>
        </w:div>
        <w:div w:id="1249652570">
          <w:marLeft w:val="0"/>
          <w:marRight w:val="0"/>
          <w:marTop w:val="0"/>
          <w:marBottom w:val="0"/>
          <w:divBdr>
            <w:top w:val="single" w:sz="2" w:space="0" w:color="auto"/>
            <w:left w:val="single" w:sz="18" w:space="0" w:color="auto"/>
            <w:bottom w:val="single" w:sz="2" w:space="0" w:color="auto"/>
            <w:right w:val="single" w:sz="2" w:space="0" w:color="auto"/>
          </w:divBdr>
          <w:divsChild>
            <w:div w:id="225533477">
              <w:marLeft w:val="0"/>
              <w:marRight w:val="0"/>
              <w:marTop w:val="0"/>
              <w:marBottom w:val="0"/>
              <w:divBdr>
                <w:top w:val="none" w:sz="0" w:space="0" w:color="auto"/>
                <w:left w:val="none" w:sz="0" w:space="0" w:color="auto"/>
                <w:bottom w:val="none" w:sz="0" w:space="0" w:color="auto"/>
                <w:right w:val="none" w:sz="0" w:space="0" w:color="auto"/>
              </w:divBdr>
            </w:div>
          </w:divsChild>
        </w:div>
        <w:div w:id="1391726386">
          <w:marLeft w:val="0"/>
          <w:marRight w:val="0"/>
          <w:marTop w:val="0"/>
          <w:marBottom w:val="0"/>
          <w:divBdr>
            <w:top w:val="single" w:sz="2" w:space="0" w:color="auto"/>
            <w:left w:val="single" w:sz="18" w:space="0" w:color="auto"/>
            <w:bottom w:val="single" w:sz="2" w:space="0" w:color="auto"/>
            <w:right w:val="single" w:sz="2" w:space="0" w:color="auto"/>
          </w:divBdr>
          <w:divsChild>
            <w:div w:id="529419385">
              <w:marLeft w:val="0"/>
              <w:marRight w:val="0"/>
              <w:marTop w:val="0"/>
              <w:marBottom w:val="0"/>
              <w:divBdr>
                <w:top w:val="none" w:sz="0" w:space="0" w:color="auto"/>
                <w:left w:val="none" w:sz="0" w:space="0" w:color="auto"/>
                <w:bottom w:val="none" w:sz="0" w:space="0" w:color="auto"/>
                <w:right w:val="none" w:sz="0" w:space="0" w:color="auto"/>
              </w:divBdr>
            </w:div>
          </w:divsChild>
        </w:div>
        <w:div w:id="604769743">
          <w:marLeft w:val="0"/>
          <w:marRight w:val="0"/>
          <w:marTop w:val="0"/>
          <w:marBottom w:val="0"/>
          <w:divBdr>
            <w:top w:val="single" w:sz="2" w:space="0" w:color="auto"/>
            <w:left w:val="single" w:sz="18" w:space="0" w:color="auto"/>
            <w:bottom w:val="single" w:sz="2" w:space="0" w:color="auto"/>
            <w:right w:val="single" w:sz="2" w:space="0" w:color="auto"/>
          </w:divBdr>
          <w:divsChild>
            <w:div w:id="2035811733">
              <w:marLeft w:val="0"/>
              <w:marRight w:val="0"/>
              <w:marTop w:val="0"/>
              <w:marBottom w:val="0"/>
              <w:divBdr>
                <w:top w:val="none" w:sz="0" w:space="0" w:color="auto"/>
                <w:left w:val="none" w:sz="0" w:space="0" w:color="auto"/>
                <w:bottom w:val="none" w:sz="0" w:space="0" w:color="auto"/>
                <w:right w:val="none" w:sz="0" w:space="0" w:color="auto"/>
              </w:divBdr>
            </w:div>
          </w:divsChild>
        </w:div>
        <w:div w:id="1890915604">
          <w:marLeft w:val="0"/>
          <w:marRight w:val="0"/>
          <w:marTop w:val="0"/>
          <w:marBottom w:val="0"/>
          <w:divBdr>
            <w:top w:val="single" w:sz="2" w:space="0" w:color="auto"/>
            <w:left w:val="single" w:sz="18" w:space="0" w:color="auto"/>
            <w:bottom w:val="single" w:sz="2" w:space="0" w:color="auto"/>
            <w:right w:val="single" w:sz="2" w:space="0" w:color="auto"/>
          </w:divBdr>
          <w:divsChild>
            <w:div w:id="1113400489">
              <w:marLeft w:val="0"/>
              <w:marRight w:val="0"/>
              <w:marTop w:val="0"/>
              <w:marBottom w:val="0"/>
              <w:divBdr>
                <w:top w:val="none" w:sz="0" w:space="0" w:color="auto"/>
                <w:left w:val="none" w:sz="0" w:space="0" w:color="auto"/>
                <w:bottom w:val="none" w:sz="0" w:space="0" w:color="auto"/>
                <w:right w:val="none" w:sz="0" w:space="0" w:color="auto"/>
              </w:divBdr>
            </w:div>
          </w:divsChild>
        </w:div>
        <w:div w:id="27340693">
          <w:marLeft w:val="0"/>
          <w:marRight w:val="0"/>
          <w:marTop w:val="0"/>
          <w:marBottom w:val="0"/>
          <w:divBdr>
            <w:top w:val="single" w:sz="2" w:space="0" w:color="auto"/>
            <w:left w:val="single" w:sz="18" w:space="0" w:color="auto"/>
            <w:bottom w:val="single" w:sz="2" w:space="0" w:color="auto"/>
            <w:right w:val="single" w:sz="2" w:space="0" w:color="auto"/>
          </w:divBdr>
          <w:divsChild>
            <w:div w:id="966590731">
              <w:marLeft w:val="0"/>
              <w:marRight w:val="0"/>
              <w:marTop w:val="0"/>
              <w:marBottom w:val="0"/>
              <w:divBdr>
                <w:top w:val="none" w:sz="0" w:space="0" w:color="auto"/>
                <w:left w:val="none" w:sz="0" w:space="0" w:color="auto"/>
                <w:bottom w:val="none" w:sz="0" w:space="0" w:color="auto"/>
                <w:right w:val="none" w:sz="0" w:space="0" w:color="auto"/>
              </w:divBdr>
            </w:div>
          </w:divsChild>
        </w:div>
        <w:div w:id="45303575">
          <w:marLeft w:val="0"/>
          <w:marRight w:val="0"/>
          <w:marTop w:val="0"/>
          <w:marBottom w:val="0"/>
          <w:divBdr>
            <w:top w:val="single" w:sz="2" w:space="0" w:color="auto"/>
            <w:left w:val="single" w:sz="18" w:space="0" w:color="auto"/>
            <w:bottom w:val="single" w:sz="2" w:space="0" w:color="auto"/>
            <w:right w:val="single" w:sz="2" w:space="0" w:color="auto"/>
          </w:divBdr>
          <w:divsChild>
            <w:div w:id="2146699191">
              <w:marLeft w:val="0"/>
              <w:marRight w:val="0"/>
              <w:marTop w:val="0"/>
              <w:marBottom w:val="0"/>
              <w:divBdr>
                <w:top w:val="none" w:sz="0" w:space="0" w:color="auto"/>
                <w:left w:val="none" w:sz="0" w:space="0" w:color="auto"/>
                <w:bottom w:val="none" w:sz="0" w:space="0" w:color="auto"/>
                <w:right w:val="none" w:sz="0" w:space="0" w:color="auto"/>
              </w:divBdr>
            </w:div>
          </w:divsChild>
        </w:div>
        <w:div w:id="10769548">
          <w:marLeft w:val="0"/>
          <w:marRight w:val="0"/>
          <w:marTop w:val="0"/>
          <w:marBottom w:val="0"/>
          <w:divBdr>
            <w:top w:val="single" w:sz="2" w:space="0" w:color="auto"/>
            <w:left w:val="single" w:sz="18" w:space="0" w:color="auto"/>
            <w:bottom w:val="single" w:sz="2" w:space="0" w:color="auto"/>
            <w:right w:val="single" w:sz="2" w:space="0" w:color="auto"/>
          </w:divBdr>
          <w:divsChild>
            <w:div w:id="1435975905">
              <w:marLeft w:val="0"/>
              <w:marRight w:val="0"/>
              <w:marTop w:val="0"/>
              <w:marBottom w:val="0"/>
              <w:divBdr>
                <w:top w:val="none" w:sz="0" w:space="0" w:color="auto"/>
                <w:left w:val="none" w:sz="0" w:space="0" w:color="auto"/>
                <w:bottom w:val="none" w:sz="0" w:space="0" w:color="auto"/>
                <w:right w:val="none" w:sz="0" w:space="0" w:color="auto"/>
              </w:divBdr>
            </w:div>
          </w:divsChild>
        </w:div>
        <w:div w:id="1603295395">
          <w:marLeft w:val="0"/>
          <w:marRight w:val="0"/>
          <w:marTop w:val="0"/>
          <w:marBottom w:val="0"/>
          <w:divBdr>
            <w:top w:val="single" w:sz="2" w:space="0" w:color="auto"/>
            <w:left w:val="single" w:sz="18" w:space="0" w:color="auto"/>
            <w:bottom w:val="single" w:sz="2" w:space="0" w:color="auto"/>
            <w:right w:val="single" w:sz="2" w:space="0" w:color="auto"/>
          </w:divBdr>
          <w:divsChild>
            <w:div w:id="277762360">
              <w:marLeft w:val="0"/>
              <w:marRight w:val="0"/>
              <w:marTop w:val="0"/>
              <w:marBottom w:val="0"/>
              <w:divBdr>
                <w:top w:val="none" w:sz="0" w:space="0" w:color="auto"/>
                <w:left w:val="none" w:sz="0" w:space="0" w:color="auto"/>
                <w:bottom w:val="none" w:sz="0" w:space="0" w:color="auto"/>
                <w:right w:val="none" w:sz="0" w:space="0" w:color="auto"/>
              </w:divBdr>
            </w:div>
          </w:divsChild>
        </w:div>
        <w:div w:id="591402151">
          <w:marLeft w:val="0"/>
          <w:marRight w:val="0"/>
          <w:marTop w:val="0"/>
          <w:marBottom w:val="0"/>
          <w:divBdr>
            <w:top w:val="single" w:sz="2" w:space="0" w:color="auto"/>
            <w:left w:val="single" w:sz="18" w:space="0" w:color="auto"/>
            <w:bottom w:val="single" w:sz="2" w:space="0" w:color="auto"/>
            <w:right w:val="single" w:sz="2" w:space="0" w:color="auto"/>
          </w:divBdr>
          <w:divsChild>
            <w:div w:id="349068058">
              <w:marLeft w:val="0"/>
              <w:marRight w:val="0"/>
              <w:marTop w:val="0"/>
              <w:marBottom w:val="0"/>
              <w:divBdr>
                <w:top w:val="none" w:sz="0" w:space="0" w:color="auto"/>
                <w:left w:val="none" w:sz="0" w:space="0" w:color="auto"/>
                <w:bottom w:val="none" w:sz="0" w:space="0" w:color="auto"/>
                <w:right w:val="none" w:sz="0" w:space="0" w:color="auto"/>
              </w:divBdr>
            </w:div>
          </w:divsChild>
        </w:div>
        <w:div w:id="1214149709">
          <w:marLeft w:val="0"/>
          <w:marRight w:val="0"/>
          <w:marTop w:val="0"/>
          <w:marBottom w:val="0"/>
          <w:divBdr>
            <w:top w:val="single" w:sz="2" w:space="0" w:color="auto"/>
            <w:left w:val="single" w:sz="18" w:space="0" w:color="auto"/>
            <w:bottom w:val="single" w:sz="2" w:space="0" w:color="auto"/>
            <w:right w:val="single" w:sz="2" w:space="0" w:color="auto"/>
          </w:divBdr>
          <w:divsChild>
            <w:div w:id="1419596451">
              <w:marLeft w:val="0"/>
              <w:marRight w:val="0"/>
              <w:marTop w:val="0"/>
              <w:marBottom w:val="0"/>
              <w:divBdr>
                <w:top w:val="none" w:sz="0" w:space="0" w:color="auto"/>
                <w:left w:val="none" w:sz="0" w:space="0" w:color="auto"/>
                <w:bottom w:val="none" w:sz="0" w:space="0" w:color="auto"/>
                <w:right w:val="none" w:sz="0" w:space="0" w:color="auto"/>
              </w:divBdr>
            </w:div>
          </w:divsChild>
        </w:div>
        <w:div w:id="154076690">
          <w:marLeft w:val="0"/>
          <w:marRight w:val="0"/>
          <w:marTop w:val="0"/>
          <w:marBottom w:val="0"/>
          <w:divBdr>
            <w:top w:val="single" w:sz="2" w:space="0" w:color="auto"/>
            <w:left w:val="single" w:sz="18" w:space="0" w:color="auto"/>
            <w:bottom w:val="single" w:sz="2" w:space="0" w:color="auto"/>
            <w:right w:val="single" w:sz="2" w:space="0" w:color="auto"/>
          </w:divBdr>
          <w:divsChild>
            <w:div w:id="1749963191">
              <w:marLeft w:val="0"/>
              <w:marRight w:val="0"/>
              <w:marTop w:val="0"/>
              <w:marBottom w:val="0"/>
              <w:divBdr>
                <w:top w:val="none" w:sz="0" w:space="0" w:color="auto"/>
                <w:left w:val="none" w:sz="0" w:space="0" w:color="auto"/>
                <w:bottom w:val="none" w:sz="0" w:space="0" w:color="auto"/>
                <w:right w:val="none" w:sz="0" w:space="0" w:color="auto"/>
              </w:divBdr>
            </w:div>
          </w:divsChild>
        </w:div>
        <w:div w:id="1114859430">
          <w:marLeft w:val="0"/>
          <w:marRight w:val="0"/>
          <w:marTop w:val="0"/>
          <w:marBottom w:val="0"/>
          <w:divBdr>
            <w:top w:val="single" w:sz="2" w:space="0" w:color="auto"/>
            <w:left w:val="single" w:sz="18" w:space="0" w:color="auto"/>
            <w:bottom w:val="single" w:sz="2" w:space="0" w:color="auto"/>
            <w:right w:val="single" w:sz="2" w:space="0" w:color="auto"/>
          </w:divBdr>
          <w:divsChild>
            <w:div w:id="1872911024">
              <w:marLeft w:val="0"/>
              <w:marRight w:val="0"/>
              <w:marTop w:val="0"/>
              <w:marBottom w:val="0"/>
              <w:divBdr>
                <w:top w:val="none" w:sz="0" w:space="0" w:color="auto"/>
                <w:left w:val="none" w:sz="0" w:space="0" w:color="auto"/>
                <w:bottom w:val="none" w:sz="0" w:space="0" w:color="auto"/>
                <w:right w:val="none" w:sz="0" w:space="0" w:color="auto"/>
              </w:divBdr>
            </w:div>
          </w:divsChild>
        </w:div>
        <w:div w:id="2131590328">
          <w:marLeft w:val="0"/>
          <w:marRight w:val="0"/>
          <w:marTop w:val="0"/>
          <w:marBottom w:val="0"/>
          <w:divBdr>
            <w:top w:val="single" w:sz="2" w:space="0" w:color="auto"/>
            <w:left w:val="single" w:sz="18" w:space="0" w:color="auto"/>
            <w:bottom w:val="single" w:sz="2" w:space="0" w:color="auto"/>
            <w:right w:val="single" w:sz="2" w:space="0" w:color="auto"/>
          </w:divBdr>
          <w:divsChild>
            <w:div w:id="1696536774">
              <w:marLeft w:val="0"/>
              <w:marRight w:val="0"/>
              <w:marTop w:val="0"/>
              <w:marBottom w:val="0"/>
              <w:divBdr>
                <w:top w:val="none" w:sz="0" w:space="0" w:color="auto"/>
                <w:left w:val="none" w:sz="0" w:space="0" w:color="auto"/>
                <w:bottom w:val="none" w:sz="0" w:space="0" w:color="auto"/>
                <w:right w:val="none" w:sz="0" w:space="0" w:color="auto"/>
              </w:divBdr>
            </w:div>
          </w:divsChild>
        </w:div>
        <w:div w:id="70659872">
          <w:marLeft w:val="0"/>
          <w:marRight w:val="0"/>
          <w:marTop w:val="0"/>
          <w:marBottom w:val="0"/>
          <w:divBdr>
            <w:top w:val="single" w:sz="2" w:space="0" w:color="auto"/>
            <w:left w:val="single" w:sz="18" w:space="0" w:color="auto"/>
            <w:bottom w:val="single" w:sz="2" w:space="0" w:color="auto"/>
            <w:right w:val="single" w:sz="2" w:space="0" w:color="auto"/>
          </w:divBdr>
          <w:divsChild>
            <w:div w:id="1375497304">
              <w:marLeft w:val="0"/>
              <w:marRight w:val="0"/>
              <w:marTop w:val="0"/>
              <w:marBottom w:val="0"/>
              <w:divBdr>
                <w:top w:val="none" w:sz="0" w:space="0" w:color="auto"/>
                <w:left w:val="none" w:sz="0" w:space="0" w:color="auto"/>
                <w:bottom w:val="none" w:sz="0" w:space="0" w:color="auto"/>
                <w:right w:val="none" w:sz="0" w:space="0" w:color="auto"/>
              </w:divBdr>
            </w:div>
          </w:divsChild>
        </w:div>
        <w:div w:id="1469476291">
          <w:marLeft w:val="0"/>
          <w:marRight w:val="0"/>
          <w:marTop w:val="0"/>
          <w:marBottom w:val="0"/>
          <w:divBdr>
            <w:top w:val="single" w:sz="2" w:space="0" w:color="auto"/>
            <w:left w:val="single" w:sz="18" w:space="0" w:color="auto"/>
            <w:bottom w:val="single" w:sz="2" w:space="0" w:color="auto"/>
            <w:right w:val="single" w:sz="2" w:space="0" w:color="auto"/>
          </w:divBdr>
          <w:divsChild>
            <w:div w:id="118258505">
              <w:marLeft w:val="0"/>
              <w:marRight w:val="0"/>
              <w:marTop w:val="0"/>
              <w:marBottom w:val="0"/>
              <w:divBdr>
                <w:top w:val="none" w:sz="0" w:space="0" w:color="auto"/>
                <w:left w:val="none" w:sz="0" w:space="0" w:color="auto"/>
                <w:bottom w:val="none" w:sz="0" w:space="0" w:color="auto"/>
                <w:right w:val="none" w:sz="0" w:space="0" w:color="auto"/>
              </w:divBdr>
            </w:div>
          </w:divsChild>
        </w:div>
        <w:div w:id="365569460">
          <w:marLeft w:val="0"/>
          <w:marRight w:val="0"/>
          <w:marTop w:val="0"/>
          <w:marBottom w:val="0"/>
          <w:divBdr>
            <w:top w:val="single" w:sz="2" w:space="0" w:color="auto"/>
            <w:left w:val="single" w:sz="18" w:space="0" w:color="auto"/>
            <w:bottom w:val="single" w:sz="2" w:space="0" w:color="auto"/>
            <w:right w:val="single" w:sz="2" w:space="0" w:color="auto"/>
          </w:divBdr>
          <w:divsChild>
            <w:div w:id="27145240">
              <w:marLeft w:val="0"/>
              <w:marRight w:val="0"/>
              <w:marTop w:val="0"/>
              <w:marBottom w:val="0"/>
              <w:divBdr>
                <w:top w:val="none" w:sz="0" w:space="0" w:color="auto"/>
                <w:left w:val="none" w:sz="0" w:space="0" w:color="auto"/>
                <w:bottom w:val="none" w:sz="0" w:space="0" w:color="auto"/>
                <w:right w:val="none" w:sz="0" w:space="0" w:color="auto"/>
              </w:divBdr>
            </w:div>
          </w:divsChild>
        </w:div>
        <w:div w:id="2079477886">
          <w:marLeft w:val="0"/>
          <w:marRight w:val="0"/>
          <w:marTop w:val="0"/>
          <w:marBottom w:val="0"/>
          <w:divBdr>
            <w:top w:val="single" w:sz="2" w:space="0" w:color="auto"/>
            <w:left w:val="single" w:sz="18" w:space="0" w:color="auto"/>
            <w:bottom w:val="single" w:sz="2" w:space="0" w:color="auto"/>
            <w:right w:val="single" w:sz="2" w:space="0" w:color="auto"/>
          </w:divBdr>
          <w:divsChild>
            <w:div w:id="2065368761">
              <w:marLeft w:val="0"/>
              <w:marRight w:val="0"/>
              <w:marTop w:val="0"/>
              <w:marBottom w:val="0"/>
              <w:divBdr>
                <w:top w:val="none" w:sz="0" w:space="0" w:color="auto"/>
                <w:left w:val="none" w:sz="0" w:space="0" w:color="auto"/>
                <w:bottom w:val="none" w:sz="0" w:space="0" w:color="auto"/>
                <w:right w:val="none" w:sz="0" w:space="0" w:color="auto"/>
              </w:divBdr>
            </w:div>
          </w:divsChild>
        </w:div>
        <w:div w:id="227544059">
          <w:marLeft w:val="0"/>
          <w:marRight w:val="0"/>
          <w:marTop w:val="0"/>
          <w:marBottom w:val="0"/>
          <w:divBdr>
            <w:top w:val="single" w:sz="2" w:space="0" w:color="auto"/>
            <w:left w:val="single" w:sz="18" w:space="0" w:color="auto"/>
            <w:bottom w:val="single" w:sz="2" w:space="0" w:color="auto"/>
            <w:right w:val="single" w:sz="2" w:space="0" w:color="auto"/>
          </w:divBdr>
          <w:divsChild>
            <w:div w:id="104614661">
              <w:marLeft w:val="0"/>
              <w:marRight w:val="0"/>
              <w:marTop w:val="0"/>
              <w:marBottom w:val="0"/>
              <w:divBdr>
                <w:top w:val="none" w:sz="0" w:space="0" w:color="auto"/>
                <w:left w:val="none" w:sz="0" w:space="0" w:color="auto"/>
                <w:bottom w:val="none" w:sz="0" w:space="0" w:color="auto"/>
                <w:right w:val="none" w:sz="0" w:space="0" w:color="auto"/>
              </w:divBdr>
            </w:div>
          </w:divsChild>
        </w:div>
        <w:div w:id="612712856">
          <w:marLeft w:val="0"/>
          <w:marRight w:val="0"/>
          <w:marTop w:val="0"/>
          <w:marBottom w:val="0"/>
          <w:divBdr>
            <w:top w:val="single" w:sz="2" w:space="0" w:color="auto"/>
            <w:left w:val="single" w:sz="18" w:space="0" w:color="auto"/>
            <w:bottom w:val="single" w:sz="2" w:space="0" w:color="auto"/>
            <w:right w:val="single" w:sz="2" w:space="0" w:color="auto"/>
          </w:divBdr>
          <w:divsChild>
            <w:div w:id="376929076">
              <w:marLeft w:val="0"/>
              <w:marRight w:val="0"/>
              <w:marTop w:val="0"/>
              <w:marBottom w:val="0"/>
              <w:divBdr>
                <w:top w:val="none" w:sz="0" w:space="0" w:color="auto"/>
                <w:left w:val="none" w:sz="0" w:space="0" w:color="auto"/>
                <w:bottom w:val="none" w:sz="0" w:space="0" w:color="auto"/>
                <w:right w:val="none" w:sz="0" w:space="0" w:color="auto"/>
              </w:divBdr>
            </w:div>
          </w:divsChild>
        </w:div>
        <w:div w:id="378474467">
          <w:marLeft w:val="0"/>
          <w:marRight w:val="0"/>
          <w:marTop w:val="0"/>
          <w:marBottom w:val="0"/>
          <w:divBdr>
            <w:top w:val="single" w:sz="2" w:space="0" w:color="auto"/>
            <w:left w:val="single" w:sz="18" w:space="0" w:color="auto"/>
            <w:bottom w:val="single" w:sz="2" w:space="0" w:color="auto"/>
            <w:right w:val="single" w:sz="2" w:space="0" w:color="auto"/>
          </w:divBdr>
          <w:divsChild>
            <w:div w:id="286350129">
              <w:marLeft w:val="0"/>
              <w:marRight w:val="0"/>
              <w:marTop w:val="0"/>
              <w:marBottom w:val="0"/>
              <w:divBdr>
                <w:top w:val="none" w:sz="0" w:space="0" w:color="auto"/>
                <w:left w:val="none" w:sz="0" w:space="0" w:color="auto"/>
                <w:bottom w:val="none" w:sz="0" w:space="0" w:color="auto"/>
                <w:right w:val="none" w:sz="0" w:space="0" w:color="auto"/>
              </w:divBdr>
            </w:div>
          </w:divsChild>
        </w:div>
        <w:div w:id="1917588769">
          <w:marLeft w:val="0"/>
          <w:marRight w:val="0"/>
          <w:marTop w:val="0"/>
          <w:marBottom w:val="0"/>
          <w:divBdr>
            <w:top w:val="single" w:sz="2" w:space="0" w:color="auto"/>
            <w:left w:val="single" w:sz="18" w:space="0" w:color="auto"/>
            <w:bottom w:val="single" w:sz="2" w:space="0" w:color="auto"/>
            <w:right w:val="single" w:sz="2" w:space="0" w:color="auto"/>
          </w:divBdr>
          <w:divsChild>
            <w:div w:id="2031300764">
              <w:marLeft w:val="0"/>
              <w:marRight w:val="0"/>
              <w:marTop w:val="0"/>
              <w:marBottom w:val="0"/>
              <w:divBdr>
                <w:top w:val="none" w:sz="0" w:space="0" w:color="auto"/>
                <w:left w:val="none" w:sz="0" w:space="0" w:color="auto"/>
                <w:bottom w:val="none" w:sz="0" w:space="0" w:color="auto"/>
                <w:right w:val="none" w:sz="0" w:space="0" w:color="auto"/>
              </w:divBdr>
            </w:div>
          </w:divsChild>
        </w:div>
        <w:div w:id="1912695748">
          <w:marLeft w:val="0"/>
          <w:marRight w:val="0"/>
          <w:marTop w:val="0"/>
          <w:marBottom w:val="0"/>
          <w:divBdr>
            <w:top w:val="single" w:sz="2" w:space="0" w:color="auto"/>
            <w:left w:val="single" w:sz="18" w:space="0" w:color="auto"/>
            <w:bottom w:val="single" w:sz="2" w:space="0" w:color="auto"/>
            <w:right w:val="single" w:sz="2" w:space="0" w:color="auto"/>
          </w:divBdr>
          <w:divsChild>
            <w:div w:id="619265261">
              <w:marLeft w:val="0"/>
              <w:marRight w:val="0"/>
              <w:marTop w:val="0"/>
              <w:marBottom w:val="0"/>
              <w:divBdr>
                <w:top w:val="none" w:sz="0" w:space="0" w:color="auto"/>
                <w:left w:val="none" w:sz="0" w:space="0" w:color="auto"/>
                <w:bottom w:val="none" w:sz="0" w:space="0" w:color="auto"/>
                <w:right w:val="none" w:sz="0" w:space="0" w:color="auto"/>
              </w:divBdr>
            </w:div>
          </w:divsChild>
        </w:div>
        <w:div w:id="275719057">
          <w:marLeft w:val="0"/>
          <w:marRight w:val="0"/>
          <w:marTop w:val="0"/>
          <w:marBottom w:val="0"/>
          <w:divBdr>
            <w:top w:val="single" w:sz="2" w:space="0" w:color="auto"/>
            <w:left w:val="single" w:sz="18" w:space="0" w:color="auto"/>
            <w:bottom w:val="single" w:sz="2" w:space="0" w:color="auto"/>
            <w:right w:val="single" w:sz="2" w:space="0" w:color="auto"/>
          </w:divBdr>
          <w:divsChild>
            <w:div w:id="1398236871">
              <w:marLeft w:val="0"/>
              <w:marRight w:val="0"/>
              <w:marTop w:val="0"/>
              <w:marBottom w:val="0"/>
              <w:divBdr>
                <w:top w:val="none" w:sz="0" w:space="0" w:color="auto"/>
                <w:left w:val="none" w:sz="0" w:space="0" w:color="auto"/>
                <w:bottom w:val="none" w:sz="0" w:space="0" w:color="auto"/>
                <w:right w:val="none" w:sz="0" w:space="0" w:color="auto"/>
              </w:divBdr>
            </w:div>
          </w:divsChild>
        </w:div>
        <w:div w:id="1139033494">
          <w:marLeft w:val="0"/>
          <w:marRight w:val="0"/>
          <w:marTop w:val="0"/>
          <w:marBottom w:val="0"/>
          <w:divBdr>
            <w:top w:val="single" w:sz="2" w:space="0" w:color="auto"/>
            <w:left w:val="single" w:sz="18" w:space="0" w:color="auto"/>
            <w:bottom w:val="single" w:sz="2" w:space="0" w:color="auto"/>
            <w:right w:val="single" w:sz="2" w:space="0" w:color="auto"/>
          </w:divBdr>
          <w:divsChild>
            <w:div w:id="271935704">
              <w:marLeft w:val="0"/>
              <w:marRight w:val="0"/>
              <w:marTop w:val="0"/>
              <w:marBottom w:val="0"/>
              <w:divBdr>
                <w:top w:val="none" w:sz="0" w:space="0" w:color="auto"/>
                <w:left w:val="none" w:sz="0" w:space="0" w:color="auto"/>
                <w:bottom w:val="none" w:sz="0" w:space="0" w:color="auto"/>
                <w:right w:val="none" w:sz="0" w:space="0" w:color="auto"/>
              </w:divBdr>
            </w:div>
          </w:divsChild>
        </w:div>
        <w:div w:id="865555310">
          <w:marLeft w:val="0"/>
          <w:marRight w:val="0"/>
          <w:marTop w:val="0"/>
          <w:marBottom w:val="0"/>
          <w:divBdr>
            <w:top w:val="single" w:sz="2" w:space="0" w:color="auto"/>
            <w:left w:val="single" w:sz="18" w:space="0" w:color="auto"/>
            <w:bottom w:val="single" w:sz="2" w:space="0" w:color="auto"/>
            <w:right w:val="single" w:sz="2" w:space="0" w:color="auto"/>
          </w:divBdr>
          <w:divsChild>
            <w:div w:id="471168446">
              <w:marLeft w:val="0"/>
              <w:marRight w:val="0"/>
              <w:marTop w:val="0"/>
              <w:marBottom w:val="0"/>
              <w:divBdr>
                <w:top w:val="none" w:sz="0" w:space="0" w:color="auto"/>
                <w:left w:val="none" w:sz="0" w:space="0" w:color="auto"/>
                <w:bottom w:val="none" w:sz="0" w:space="0" w:color="auto"/>
                <w:right w:val="none" w:sz="0" w:space="0" w:color="auto"/>
              </w:divBdr>
            </w:div>
          </w:divsChild>
        </w:div>
        <w:div w:id="626664714">
          <w:marLeft w:val="0"/>
          <w:marRight w:val="0"/>
          <w:marTop w:val="0"/>
          <w:marBottom w:val="0"/>
          <w:divBdr>
            <w:top w:val="single" w:sz="2" w:space="0" w:color="auto"/>
            <w:left w:val="single" w:sz="18" w:space="0" w:color="auto"/>
            <w:bottom w:val="single" w:sz="2" w:space="0" w:color="auto"/>
            <w:right w:val="single" w:sz="2" w:space="0" w:color="auto"/>
          </w:divBdr>
          <w:divsChild>
            <w:div w:id="1374765722">
              <w:marLeft w:val="0"/>
              <w:marRight w:val="0"/>
              <w:marTop w:val="0"/>
              <w:marBottom w:val="0"/>
              <w:divBdr>
                <w:top w:val="none" w:sz="0" w:space="0" w:color="auto"/>
                <w:left w:val="none" w:sz="0" w:space="0" w:color="auto"/>
                <w:bottom w:val="none" w:sz="0" w:space="0" w:color="auto"/>
                <w:right w:val="none" w:sz="0" w:space="0" w:color="auto"/>
              </w:divBdr>
            </w:div>
          </w:divsChild>
        </w:div>
        <w:div w:id="283344276">
          <w:marLeft w:val="0"/>
          <w:marRight w:val="0"/>
          <w:marTop w:val="0"/>
          <w:marBottom w:val="0"/>
          <w:divBdr>
            <w:top w:val="single" w:sz="2" w:space="0" w:color="auto"/>
            <w:left w:val="single" w:sz="18" w:space="0" w:color="auto"/>
            <w:bottom w:val="single" w:sz="2" w:space="0" w:color="auto"/>
            <w:right w:val="single" w:sz="2" w:space="0" w:color="auto"/>
          </w:divBdr>
          <w:divsChild>
            <w:div w:id="240141704">
              <w:marLeft w:val="0"/>
              <w:marRight w:val="0"/>
              <w:marTop w:val="0"/>
              <w:marBottom w:val="0"/>
              <w:divBdr>
                <w:top w:val="none" w:sz="0" w:space="0" w:color="auto"/>
                <w:left w:val="none" w:sz="0" w:space="0" w:color="auto"/>
                <w:bottom w:val="none" w:sz="0" w:space="0" w:color="auto"/>
                <w:right w:val="none" w:sz="0" w:space="0" w:color="auto"/>
              </w:divBdr>
            </w:div>
          </w:divsChild>
        </w:div>
        <w:div w:id="1967160165">
          <w:marLeft w:val="0"/>
          <w:marRight w:val="0"/>
          <w:marTop w:val="0"/>
          <w:marBottom w:val="0"/>
          <w:divBdr>
            <w:top w:val="single" w:sz="2" w:space="0" w:color="auto"/>
            <w:left w:val="single" w:sz="18" w:space="0" w:color="auto"/>
            <w:bottom w:val="single" w:sz="2" w:space="0" w:color="auto"/>
            <w:right w:val="single" w:sz="2" w:space="0" w:color="auto"/>
          </w:divBdr>
          <w:divsChild>
            <w:div w:id="1113287020">
              <w:marLeft w:val="0"/>
              <w:marRight w:val="0"/>
              <w:marTop w:val="0"/>
              <w:marBottom w:val="0"/>
              <w:divBdr>
                <w:top w:val="none" w:sz="0" w:space="0" w:color="auto"/>
                <w:left w:val="none" w:sz="0" w:space="0" w:color="auto"/>
                <w:bottom w:val="none" w:sz="0" w:space="0" w:color="auto"/>
                <w:right w:val="none" w:sz="0" w:space="0" w:color="auto"/>
              </w:divBdr>
            </w:div>
          </w:divsChild>
        </w:div>
        <w:div w:id="171460296">
          <w:marLeft w:val="0"/>
          <w:marRight w:val="0"/>
          <w:marTop w:val="0"/>
          <w:marBottom w:val="0"/>
          <w:divBdr>
            <w:top w:val="single" w:sz="2" w:space="0" w:color="auto"/>
            <w:left w:val="single" w:sz="18" w:space="0" w:color="auto"/>
            <w:bottom w:val="single" w:sz="2" w:space="0" w:color="auto"/>
            <w:right w:val="single" w:sz="2" w:space="0" w:color="auto"/>
          </w:divBdr>
          <w:divsChild>
            <w:div w:id="255747499">
              <w:marLeft w:val="0"/>
              <w:marRight w:val="0"/>
              <w:marTop w:val="0"/>
              <w:marBottom w:val="0"/>
              <w:divBdr>
                <w:top w:val="none" w:sz="0" w:space="0" w:color="auto"/>
                <w:left w:val="none" w:sz="0" w:space="0" w:color="auto"/>
                <w:bottom w:val="none" w:sz="0" w:space="0" w:color="auto"/>
                <w:right w:val="none" w:sz="0" w:space="0" w:color="auto"/>
              </w:divBdr>
            </w:div>
          </w:divsChild>
        </w:div>
        <w:div w:id="2083327327">
          <w:marLeft w:val="0"/>
          <w:marRight w:val="0"/>
          <w:marTop w:val="0"/>
          <w:marBottom w:val="0"/>
          <w:divBdr>
            <w:top w:val="single" w:sz="2" w:space="0" w:color="auto"/>
            <w:left w:val="single" w:sz="18" w:space="0" w:color="auto"/>
            <w:bottom w:val="single" w:sz="2" w:space="0" w:color="auto"/>
            <w:right w:val="single" w:sz="2" w:space="0" w:color="auto"/>
          </w:divBdr>
          <w:divsChild>
            <w:div w:id="318115657">
              <w:marLeft w:val="0"/>
              <w:marRight w:val="0"/>
              <w:marTop w:val="0"/>
              <w:marBottom w:val="0"/>
              <w:divBdr>
                <w:top w:val="none" w:sz="0" w:space="0" w:color="auto"/>
                <w:left w:val="none" w:sz="0" w:space="0" w:color="auto"/>
                <w:bottom w:val="none" w:sz="0" w:space="0" w:color="auto"/>
                <w:right w:val="none" w:sz="0" w:space="0" w:color="auto"/>
              </w:divBdr>
            </w:div>
          </w:divsChild>
        </w:div>
        <w:div w:id="797067802">
          <w:marLeft w:val="0"/>
          <w:marRight w:val="0"/>
          <w:marTop w:val="0"/>
          <w:marBottom w:val="0"/>
          <w:divBdr>
            <w:top w:val="single" w:sz="2" w:space="0" w:color="auto"/>
            <w:left w:val="single" w:sz="18" w:space="0" w:color="auto"/>
            <w:bottom w:val="single" w:sz="2" w:space="0" w:color="auto"/>
            <w:right w:val="single" w:sz="2" w:space="0" w:color="auto"/>
          </w:divBdr>
          <w:divsChild>
            <w:div w:id="1926302318">
              <w:marLeft w:val="0"/>
              <w:marRight w:val="0"/>
              <w:marTop w:val="0"/>
              <w:marBottom w:val="0"/>
              <w:divBdr>
                <w:top w:val="none" w:sz="0" w:space="0" w:color="auto"/>
                <w:left w:val="none" w:sz="0" w:space="0" w:color="auto"/>
                <w:bottom w:val="none" w:sz="0" w:space="0" w:color="auto"/>
                <w:right w:val="none" w:sz="0" w:space="0" w:color="auto"/>
              </w:divBdr>
            </w:div>
          </w:divsChild>
        </w:div>
        <w:div w:id="386681306">
          <w:marLeft w:val="0"/>
          <w:marRight w:val="0"/>
          <w:marTop w:val="0"/>
          <w:marBottom w:val="0"/>
          <w:divBdr>
            <w:top w:val="single" w:sz="2" w:space="0" w:color="auto"/>
            <w:left w:val="single" w:sz="18" w:space="0" w:color="auto"/>
            <w:bottom w:val="single" w:sz="2" w:space="0" w:color="auto"/>
            <w:right w:val="single" w:sz="2" w:space="0" w:color="auto"/>
          </w:divBdr>
          <w:divsChild>
            <w:div w:id="1641303096">
              <w:marLeft w:val="0"/>
              <w:marRight w:val="0"/>
              <w:marTop w:val="0"/>
              <w:marBottom w:val="0"/>
              <w:divBdr>
                <w:top w:val="none" w:sz="0" w:space="0" w:color="auto"/>
                <w:left w:val="none" w:sz="0" w:space="0" w:color="auto"/>
                <w:bottom w:val="none" w:sz="0" w:space="0" w:color="auto"/>
                <w:right w:val="none" w:sz="0" w:space="0" w:color="auto"/>
              </w:divBdr>
            </w:div>
          </w:divsChild>
        </w:div>
        <w:div w:id="1323966998">
          <w:marLeft w:val="0"/>
          <w:marRight w:val="0"/>
          <w:marTop w:val="0"/>
          <w:marBottom w:val="0"/>
          <w:divBdr>
            <w:top w:val="single" w:sz="2" w:space="0" w:color="auto"/>
            <w:left w:val="single" w:sz="18" w:space="0" w:color="auto"/>
            <w:bottom w:val="single" w:sz="2" w:space="0" w:color="auto"/>
            <w:right w:val="single" w:sz="2" w:space="0" w:color="auto"/>
          </w:divBdr>
          <w:divsChild>
            <w:div w:id="1462387141">
              <w:marLeft w:val="0"/>
              <w:marRight w:val="0"/>
              <w:marTop w:val="0"/>
              <w:marBottom w:val="0"/>
              <w:divBdr>
                <w:top w:val="none" w:sz="0" w:space="0" w:color="auto"/>
                <w:left w:val="none" w:sz="0" w:space="0" w:color="auto"/>
                <w:bottom w:val="none" w:sz="0" w:space="0" w:color="auto"/>
                <w:right w:val="none" w:sz="0" w:space="0" w:color="auto"/>
              </w:divBdr>
            </w:div>
          </w:divsChild>
        </w:div>
        <w:div w:id="1573352306">
          <w:marLeft w:val="0"/>
          <w:marRight w:val="0"/>
          <w:marTop w:val="0"/>
          <w:marBottom w:val="0"/>
          <w:divBdr>
            <w:top w:val="single" w:sz="2" w:space="0" w:color="auto"/>
            <w:left w:val="single" w:sz="18" w:space="0" w:color="auto"/>
            <w:bottom w:val="single" w:sz="2" w:space="0" w:color="auto"/>
            <w:right w:val="single" w:sz="2" w:space="0" w:color="auto"/>
          </w:divBdr>
          <w:divsChild>
            <w:div w:id="1068461036">
              <w:marLeft w:val="0"/>
              <w:marRight w:val="0"/>
              <w:marTop w:val="0"/>
              <w:marBottom w:val="0"/>
              <w:divBdr>
                <w:top w:val="none" w:sz="0" w:space="0" w:color="auto"/>
                <w:left w:val="none" w:sz="0" w:space="0" w:color="auto"/>
                <w:bottom w:val="none" w:sz="0" w:space="0" w:color="auto"/>
                <w:right w:val="none" w:sz="0" w:space="0" w:color="auto"/>
              </w:divBdr>
            </w:div>
          </w:divsChild>
        </w:div>
        <w:div w:id="1354844487">
          <w:marLeft w:val="0"/>
          <w:marRight w:val="0"/>
          <w:marTop w:val="0"/>
          <w:marBottom w:val="0"/>
          <w:divBdr>
            <w:top w:val="single" w:sz="2" w:space="0" w:color="auto"/>
            <w:left w:val="single" w:sz="18" w:space="0" w:color="auto"/>
            <w:bottom w:val="single" w:sz="2" w:space="0" w:color="auto"/>
            <w:right w:val="single" w:sz="2" w:space="0" w:color="auto"/>
          </w:divBdr>
          <w:divsChild>
            <w:div w:id="2124766957">
              <w:marLeft w:val="0"/>
              <w:marRight w:val="0"/>
              <w:marTop w:val="0"/>
              <w:marBottom w:val="0"/>
              <w:divBdr>
                <w:top w:val="none" w:sz="0" w:space="0" w:color="auto"/>
                <w:left w:val="none" w:sz="0" w:space="0" w:color="auto"/>
                <w:bottom w:val="none" w:sz="0" w:space="0" w:color="auto"/>
                <w:right w:val="none" w:sz="0" w:space="0" w:color="auto"/>
              </w:divBdr>
            </w:div>
          </w:divsChild>
        </w:div>
        <w:div w:id="790199577">
          <w:marLeft w:val="0"/>
          <w:marRight w:val="0"/>
          <w:marTop w:val="0"/>
          <w:marBottom w:val="0"/>
          <w:divBdr>
            <w:top w:val="single" w:sz="2" w:space="0" w:color="auto"/>
            <w:left w:val="single" w:sz="18" w:space="0" w:color="auto"/>
            <w:bottom w:val="single" w:sz="2" w:space="0" w:color="auto"/>
            <w:right w:val="single" w:sz="2" w:space="0" w:color="auto"/>
          </w:divBdr>
          <w:divsChild>
            <w:div w:id="109066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BD4A6-D533-4409-9167-B3D8490EC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3215</Words>
  <Characters>18328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Danesha Parkinson</dc:creator>
  <cp:keywords/>
  <dc:description/>
  <cp:lastModifiedBy>Danesha Parkinson</cp:lastModifiedBy>
  <cp:revision>2</cp:revision>
  <dcterms:created xsi:type="dcterms:W3CDTF">2026-08-11T20:52:00Z</dcterms:created>
  <dcterms:modified xsi:type="dcterms:W3CDTF">2026-08-11T20:52:00Z</dcterms:modified>
</cp:coreProperties>
</file>