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AA4C5" w14:textId="77777777" w:rsidR="004C5E91" w:rsidRPr="00D03858" w:rsidRDefault="00D2453B">
      <w:pPr>
        <w:spacing w:line="360" w:lineRule="auto"/>
        <w:jc w:val="right"/>
        <w:rPr>
          <w:rFonts w:eastAsia="Times New Roman"/>
          <w:b/>
          <w:bCs/>
          <w:sz w:val="24"/>
          <w:szCs w:val="24"/>
          <w:lang w:val="en-GB"/>
        </w:rPr>
      </w:pPr>
      <w:r w:rsidRPr="00D03858">
        <w:rPr>
          <w:rFonts w:eastAsia="Times New Roman"/>
          <w:b/>
          <w:bCs/>
          <w:sz w:val="24"/>
          <w:szCs w:val="24"/>
          <w:lang w:val="en-GB"/>
        </w:rPr>
        <w:t xml:space="preserve"> </w:t>
      </w:r>
      <w:r w:rsidRPr="00D03858">
        <w:rPr>
          <w:rFonts w:eastAsia="Times New Roman"/>
          <w:b/>
          <w:bCs/>
          <w:noProof/>
          <w:sz w:val="24"/>
          <w:szCs w:val="24"/>
          <w:lang w:val="en-GB"/>
        </w:rPr>
        <w:drawing>
          <wp:inline distT="114300" distB="114300" distL="114300" distR="114300" wp14:anchorId="0BD66289" wp14:editId="3A8EE4FB">
            <wp:extent cx="2081213" cy="734546"/>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4"/>
                    <a:stretch>
                      <a:fillRect/>
                    </a:stretch>
                  </pic:blipFill>
                  <pic:spPr>
                    <a:xfrm>
                      <a:off x="0" y="0"/>
                      <a:ext cx="2081213" cy="734546"/>
                    </a:xfrm>
                    <a:prstGeom prst="rect">
                      <a:avLst/>
                    </a:prstGeom>
                  </pic:spPr>
                </pic:pic>
              </a:graphicData>
            </a:graphic>
          </wp:inline>
        </w:drawing>
      </w:r>
    </w:p>
    <w:tbl>
      <w:tblPr>
        <w:tblStyle w:val="Table1"/>
        <w:tblW w:w="92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25"/>
        <w:gridCol w:w="2115"/>
        <w:gridCol w:w="2265"/>
        <w:gridCol w:w="2520"/>
      </w:tblGrid>
      <w:tr w:rsidR="004C5E91" w:rsidRPr="00D03858" w14:paraId="2832EF0E" w14:textId="77777777">
        <w:trPr>
          <w:trHeight w:val="570"/>
        </w:trPr>
        <w:tc>
          <w:tcPr>
            <w:tcW w:w="23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8FF728"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Student name</w:t>
            </w:r>
          </w:p>
        </w:tc>
        <w:tc>
          <w:tcPr>
            <w:tcW w:w="211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D0967FD" w14:textId="3822F4C8"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 xml:space="preserve"> </w:t>
            </w:r>
            <w:r w:rsidR="00F90B40" w:rsidRPr="00D03858">
              <w:rPr>
                <w:rFonts w:eastAsia="Times New Roman"/>
                <w:b/>
                <w:bCs/>
                <w:sz w:val="24"/>
                <w:szCs w:val="24"/>
                <w:lang w:val="en-GB"/>
              </w:rPr>
              <w:t xml:space="preserve">Anjali </w:t>
            </w:r>
            <w:proofErr w:type="spellStart"/>
            <w:r w:rsidR="00F90B40" w:rsidRPr="00D03858">
              <w:rPr>
                <w:rFonts w:eastAsia="Times New Roman"/>
                <w:b/>
                <w:bCs/>
                <w:sz w:val="24"/>
                <w:szCs w:val="24"/>
                <w:lang w:val="en-GB"/>
              </w:rPr>
              <w:t>Kara</w:t>
            </w:r>
            <w:r w:rsidR="0072297D" w:rsidRPr="00D03858">
              <w:rPr>
                <w:rFonts w:eastAsia="Times New Roman"/>
                <w:b/>
                <w:bCs/>
                <w:sz w:val="24"/>
                <w:szCs w:val="24"/>
                <w:lang w:val="en-GB"/>
              </w:rPr>
              <w:t>nbhai</w:t>
            </w:r>
            <w:proofErr w:type="spellEnd"/>
            <w:r w:rsidR="0072297D" w:rsidRPr="00D03858">
              <w:rPr>
                <w:rFonts w:eastAsia="Times New Roman"/>
                <w:b/>
                <w:bCs/>
                <w:sz w:val="24"/>
                <w:szCs w:val="24"/>
                <w:lang w:val="en-GB"/>
              </w:rPr>
              <w:t xml:space="preserve"> Karavadra</w:t>
            </w:r>
          </w:p>
        </w:tc>
        <w:tc>
          <w:tcPr>
            <w:tcW w:w="226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CE72010"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Student ID number</w:t>
            </w:r>
          </w:p>
        </w:tc>
        <w:tc>
          <w:tcPr>
            <w:tcW w:w="252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9C5E6C5" w14:textId="66C8CD26"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 xml:space="preserve"> </w:t>
            </w:r>
            <w:r w:rsidR="0072297D" w:rsidRPr="00D03858">
              <w:rPr>
                <w:rFonts w:eastAsia="Times New Roman"/>
                <w:b/>
                <w:bCs/>
                <w:sz w:val="24"/>
                <w:szCs w:val="24"/>
                <w:lang w:val="en-GB"/>
              </w:rPr>
              <w:t>2611144</w:t>
            </w:r>
          </w:p>
        </w:tc>
      </w:tr>
      <w:tr w:rsidR="004C5E91" w:rsidRPr="00D03858" w14:paraId="3DEC0318" w14:textId="77777777">
        <w:trPr>
          <w:trHeight w:val="570"/>
        </w:trPr>
        <w:tc>
          <w:tcPr>
            <w:tcW w:w="232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509BD9C"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Programme</w:t>
            </w:r>
          </w:p>
        </w:tc>
        <w:tc>
          <w:tcPr>
            <w:tcW w:w="6900" w:type="dxa"/>
            <w:gridSpan w:val="3"/>
            <w:tcBorders>
              <w:top w:val="nil"/>
              <w:left w:val="nil"/>
              <w:bottom w:val="single" w:sz="6" w:space="0" w:color="000000"/>
              <w:right w:val="single" w:sz="6" w:space="0" w:color="000000"/>
            </w:tcBorders>
            <w:tcMar>
              <w:top w:w="100" w:type="dxa"/>
              <w:left w:w="100" w:type="dxa"/>
              <w:bottom w:w="100" w:type="dxa"/>
              <w:right w:w="100" w:type="dxa"/>
            </w:tcMar>
          </w:tcPr>
          <w:p w14:paraId="21BBD520"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Master of Business Administration</w:t>
            </w:r>
          </w:p>
        </w:tc>
      </w:tr>
      <w:tr w:rsidR="004C5E91" w:rsidRPr="00D03858" w14:paraId="44813ACD" w14:textId="77777777">
        <w:trPr>
          <w:trHeight w:val="570"/>
        </w:trPr>
        <w:tc>
          <w:tcPr>
            <w:tcW w:w="232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23F7AB9"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Module</w:t>
            </w:r>
          </w:p>
        </w:tc>
        <w:tc>
          <w:tcPr>
            <w:tcW w:w="6900" w:type="dxa"/>
            <w:gridSpan w:val="3"/>
            <w:tcBorders>
              <w:top w:val="nil"/>
              <w:left w:val="nil"/>
              <w:bottom w:val="single" w:sz="6" w:space="0" w:color="000000"/>
              <w:right w:val="single" w:sz="6" w:space="0" w:color="000000"/>
            </w:tcBorders>
            <w:tcMar>
              <w:top w:w="100" w:type="dxa"/>
              <w:left w:w="100" w:type="dxa"/>
              <w:bottom w:w="100" w:type="dxa"/>
              <w:right w:w="100" w:type="dxa"/>
            </w:tcMar>
          </w:tcPr>
          <w:p w14:paraId="7853DE39"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Marketing Management</w:t>
            </w:r>
          </w:p>
        </w:tc>
      </w:tr>
      <w:tr w:rsidR="004C5E91" w:rsidRPr="00D03858" w14:paraId="7893FCCE" w14:textId="77777777">
        <w:trPr>
          <w:trHeight w:val="570"/>
        </w:trPr>
        <w:tc>
          <w:tcPr>
            <w:tcW w:w="232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CB99B52"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Module code</w:t>
            </w:r>
          </w:p>
        </w:tc>
        <w:tc>
          <w:tcPr>
            <w:tcW w:w="6900" w:type="dxa"/>
            <w:gridSpan w:val="3"/>
            <w:tcBorders>
              <w:top w:val="nil"/>
              <w:left w:val="nil"/>
              <w:bottom w:val="single" w:sz="6" w:space="0" w:color="000000"/>
              <w:right w:val="single" w:sz="6" w:space="0" w:color="000000"/>
            </w:tcBorders>
            <w:tcMar>
              <w:top w:w="100" w:type="dxa"/>
              <w:left w:w="100" w:type="dxa"/>
              <w:bottom w:w="100" w:type="dxa"/>
              <w:right w:w="100" w:type="dxa"/>
            </w:tcMar>
          </w:tcPr>
          <w:p w14:paraId="67887240"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LCMB7024</w:t>
            </w:r>
          </w:p>
        </w:tc>
      </w:tr>
      <w:tr w:rsidR="004C5E91" w:rsidRPr="00D03858" w14:paraId="4B4B01AC" w14:textId="77777777">
        <w:trPr>
          <w:trHeight w:val="930"/>
        </w:trPr>
        <w:tc>
          <w:tcPr>
            <w:tcW w:w="232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05658D4"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Lecturer</w:t>
            </w:r>
          </w:p>
        </w:tc>
        <w:tc>
          <w:tcPr>
            <w:tcW w:w="6900" w:type="dxa"/>
            <w:gridSpan w:val="3"/>
            <w:tcBorders>
              <w:top w:val="nil"/>
              <w:left w:val="nil"/>
              <w:bottom w:val="single" w:sz="6" w:space="0" w:color="000000"/>
              <w:right w:val="single" w:sz="6" w:space="0" w:color="000000"/>
            </w:tcBorders>
            <w:tcMar>
              <w:top w:w="100" w:type="dxa"/>
              <w:left w:w="100" w:type="dxa"/>
              <w:bottom w:w="100" w:type="dxa"/>
              <w:right w:w="100" w:type="dxa"/>
            </w:tcMar>
          </w:tcPr>
          <w:p w14:paraId="2854764C" w14:textId="44B5EDA2"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 xml:space="preserve">Taonga Kaonga </w:t>
            </w:r>
            <w:proofErr w:type="spellStart"/>
            <w:r w:rsidRPr="00D03858">
              <w:rPr>
                <w:rFonts w:eastAsia="Times New Roman"/>
                <w:b/>
                <w:bCs/>
                <w:sz w:val="24"/>
                <w:szCs w:val="24"/>
                <w:lang w:val="en-GB"/>
              </w:rPr>
              <w:t>Sobere-Snithers</w:t>
            </w:r>
            <w:proofErr w:type="spellEnd"/>
            <w:r w:rsidRPr="00D03858">
              <w:rPr>
                <w:rFonts w:eastAsia="Times New Roman"/>
                <w:b/>
                <w:bCs/>
                <w:sz w:val="24"/>
                <w:szCs w:val="24"/>
                <w:lang w:val="en-GB"/>
              </w:rPr>
              <w:t xml:space="preserve"> </w:t>
            </w:r>
          </w:p>
        </w:tc>
      </w:tr>
      <w:tr w:rsidR="004C5E91" w:rsidRPr="00D03858" w14:paraId="1153D719" w14:textId="77777777">
        <w:trPr>
          <w:trHeight w:val="570"/>
        </w:trPr>
        <w:tc>
          <w:tcPr>
            <w:tcW w:w="232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78C08F1"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Assignment Title</w:t>
            </w:r>
          </w:p>
        </w:tc>
        <w:tc>
          <w:tcPr>
            <w:tcW w:w="6900" w:type="dxa"/>
            <w:gridSpan w:val="3"/>
            <w:tcBorders>
              <w:top w:val="nil"/>
              <w:left w:val="nil"/>
              <w:bottom w:val="single" w:sz="6" w:space="0" w:color="000000"/>
              <w:right w:val="single" w:sz="6" w:space="0" w:color="000000"/>
            </w:tcBorders>
            <w:tcMar>
              <w:top w:w="100" w:type="dxa"/>
              <w:left w:w="100" w:type="dxa"/>
              <w:bottom w:w="100" w:type="dxa"/>
              <w:right w:w="100" w:type="dxa"/>
            </w:tcMar>
          </w:tcPr>
          <w:p w14:paraId="723FB6C7"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Assessment component 1: Marketing Environment Analysis</w:t>
            </w:r>
          </w:p>
        </w:tc>
      </w:tr>
      <w:tr w:rsidR="004C5E91" w:rsidRPr="00D03858" w14:paraId="0F52F159" w14:textId="77777777">
        <w:trPr>
          <w:trHeight w:val="570"/>
        </w:trPr>
        <w:tc>
          <w:tcPr>
            <w:tcW w:w="232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86F95A6"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Word count</w:t>
            </w:r>
          </w:p>
        </w:tc>
        <w:tc>
          <w:tcPr>
            <w:tcW w:w="6900" w:type="dxa"/>
            <w:gridSpan w:val="3"/>
            <w:tcBorders>
              <w:top w:val="nil"/>
              <w:left w:val="nil"/>
              <w:bottom w:val="single" w:sz="6" w:space="0" w:color="000000"/>
              <w:right w:val="single" w:sz="6" w:space="0" w:color="000000"/>
            </w:tcBorders>
            <w:tcMar>
              <w:top w:w="100" w:type="dxa"/>
              <w:left w:w="100" w:type="dxa"/>
              <w:bottom w:w="100" w:type="dxa"/>
              <w:right w:w="100" w:type="dxa"/>
            </w:tcMar>
          </w:tcPr>
          <w:p w14:paraId="4BCCEAA7" w14:textId="2C94CA66" w:rsidR="004C5E91" w:rsidRPr="00D03858" w:rsidRDefault="000B2709">
            <w:pPr>
              <w:spacing w:line="360" w:lineRule="auto"/>
              <w:jc w:val="both"/>
              <w:rPr>
                <w:rFonts w:eastAsia="Times New Roman"/>
                <w:b/>
                <w:bCs/>
                <w:sz w:val="24"/>
                <w:szCs w:val="24"/>
                <w:lang w:val="en-GB"/>
              </w:rPr>
            </w:pPr>
            <w:r w:rsidRPr="00D03858">
              <w:rPr>
                <w:rFonts w:eastAsia="Times New Roman"/>
                <w:b/>
                <w:bCs/>
                <w:sz w:val="24"/>
                <w:szCs w:val="24"/>
                <w:lang w:val="en-GB"/>
              </w:rPr>
              <w:t>257</w:t>
            </w:r>
            <w:r w:rsidR="00C0115F">
              <w:rPr>
                <w:rFonts w:eastAsia="Times New Roman"/>
                <w:b/>
                <w:bCs/>
                <w:sz w:val="24"/>
                <w:szCs w:val="24"/>
                <w:lang w:val="en-GB"/>
              </w:rPr>
              <w:t>7</w:t>
            </w:r>
          </w:p>
        </w:tc>
      </w:tr>
      <w:tr w:rsidR="004C5E91" w:rsidRPr="00D03858" w14:paraId="39ED405D" w14:textId="77777777">
        <w:trPr>
          <w:trHeight w:val="570"/>
        </w:trPr>
        <w:tc>
          <w:tcPr>
            <w:tcW w:w="232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C018D4A"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Date of Submission</w:t>
            </w:r>
          </w:p>
        </w:tc>
        <w:tc>
          <w:tcPr>
            <w:tcW w:w="6900" w:type="dxa"/>
            <w:gridSpan w:val="3"/>
            <w:tcBorders>
              <w:top w:val="nil"/>
              <w:left w:val="nil"/>
              <w:bottom w:val="single" w:sz="6" w:space="0" w:color="000000"/>
              <w:right w:val="single" w:sz="6" w:space="0" w:color="000000"/>
            </w:tcBorders>
            <w:tcMar>
              <w:top w:w="100" w:type="dxa"/>
              <w:left w:w="100" w:type="dxa"/>
              <w:bottom w:w="100" w:type="dxa"/>
              <w:right w:w="100" w:type="dxa"/>
            </w:tcMar>
          </w:tcPr>
          <w:p w14:paraId="6296454B" w14:textId="05DA724C"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 xml:space="preserve"> </w:t>
            </w:r>
            <w:r w:rsidR="00026B0E">
              <w:rPr>
                <w:rFonts w:eastAsia="Times New Roman"/>
                <w:b/>
                <w:bCs/>
                <w:sz w:val="24"/>
                <w:szCs w:val="24"/>
                <w:lang w:val="en-GB"/>
              </w:rPr>
              <w:t>22</w:t>
            </w:r>
            <w:r w:rsidR="00026B0E" w:rsidRPr="00026B0E">
              <w:rPr>
                <w:rFonts w:eastAsia="Times New Roman"/>
                <w:b/>
                <w:bCs/>
                <w:sz w:val="24"/>
                <w:szCs w:val="24"/>
                <w:vertAlign w:val="superscript"/>
                <w:lang w:val="en-GB"/>
              </w:rPr>
              <w:t>ND</w:t>
            </w:r>
            <w:r w:rsidR="00026B0E">
              <w:rPr>
                <w:rFonts w:eastAsia="Times New Roman"/>
                <w:b/>
                <w:bCs/>
                <w:sz w:val="24"/>
                <w:szCs w:val="24"/>
                <w:lang w:val="en-GB"/>
              </w:rPr>
              <w:t xml:space="preserve"> of October, 2026</w:t>
            </w:r>
          </w:p>
        </w:tc>
      </w:tr>
    </w:tbl>
    <w:p w14:paraId="5DCAFBC3"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 xml:space="preserve"> </w:t>
      </w:r>
    </w:p>
    <w:p w14:paraId="4F2948B9" w14:textId="77777777" w:rsidR="004C5E91" w:rsidRPr="00D03858" w:rsidRDefault="004C5E91">
      <w:pPr>
        <w:spacing w:line="360" w:lineRule="auto"/>
        <w:jc w:val="both"/>
        <w:rPr>
          <w:rFonts w:eastAsia="Times New Roman"/>
          <w:b/>
          <w:bCs/>
          <w:sz w:val="24"/>
          <w:szCs w:val="24"/>
          <w:lang w:val="en-GB"/>
        </w:rPr>
      </w:pPr>
    </w:p>
    <w:p w14:paraId="7DD7B5B9" w14:textId="77777777" w:rsidR="004C5E91" w:rsidRPr="00D03858" w:rsidRDefault="00D2453B">
      <w:pPr>
        <w:spacing w:after="160" w:line="360" w:lineRule="auto"/>
        <w:jc w:val="both"/>
        <w:rPr>
          <w:rFonts w:eastAsia="Times New Roman"/>
          <w:b/>
          <w:bCs/>
          <w:sz w:val="24"/>
          <w:szCs w:val="24"/>
          <w:lang w:val="en-GB"/>
        </w:rPr>
      </w:pPr>
      <w:r w:rsidRPr="00D03858">
        <w:rPr>
          <w:rFonts w:eastAsia="Times New Roman"/>
          <w:b/>
          <w:bCs/>
          <w:sz w:val="24"/>
          <w:szCs w:val="24"/>
          <w:lang w:val="en-GB"/>
        </w:rPr>
        <w:t xml:space="preserve"> </w:t>
      </w:r>
    </w:p>
    <w:p w14:paraId="60AA84F4" w14:textId="17815472" w:rsidR="004C5E91" w:rsidRPr="00D03858" w:rsidRDefault="004C5E91">
      <w:pPr>
        <w:spacing w:line="360" w:lineRule="auto"/>
        <w:jc w:val="both"/>
        <w:rPr>
          <w:rFonts w:eastAsia="Times New Roman"/>
          <w:b/>
          <w:bCs/>
          <w:sz w:val="24"/>
          <w:szCs w:val="24"/>
          <w:lang w:val="en-GB"/>
        </w:rPr>
      </w:pPr>
    </w:p>
    <w:p w14:paraId="08BB7244" w14:textId="77777777" w:rsidR="004C5E91" w:rsidRPr="00D03858" w:rsidRDefault="00D2453B">
      <w:pPr>
        <w:spacing w:line="360" w:lineRule="auto"/>
        <w:jc w:val="center"/>
        <w:rPr>
          <w:rFonts w:eastAsia="Times New Roman"/>
          <w:b/>
          <w:bCs/>
          <w:sz w:val="24"/>
          <w:szCs w:val="24"/>
          <w:lang w:val="en-GB"/>
        </w:rPr>
      </w:pPr>
      <w:r w:rsidRPr="00D03858">
        <w:rPr>
          <w:lang w:val="en-GB"/>
        </w:rPr>
        <w:br w:type="page"/>
      </w:r>
    </w:p>
    <w:sdt>
      <w:sdtPr>
        <w:rPr>
          <w:lang w:val="en-GB"/>
        </w:rPr>
        <w:id w:val="8340488"/>
        <w:docPartObj>
          <w:docPartGallery w:val="Table of Contents"/>
          <w:docPartUnique/>
        </w:docPartObj>
      </w:sdtPr>
      <w:sdtEndPr/>
      <w:sdtContent>
        <w:p w14:paraId="1A1B4437" w14:textId="77777777" w:rsidR="004C5E91" w:rsidRPr="00D03858" w:rsidRDefault="004C5E91">
          <w:pPr>
            <w:widowControl w:val="0"/>
            <w:tabs>
              <w:tab w:val="right" w:pos="9360"/>
            </w:tabs>
            <w:spacing w:before="60" w:line="360" w:lineRule="auto"/>
            <w:jc w:val="center"/>
            <w:rPr>
              <w:rFonts w:eastAsia="Times New Roman"/>
              <w:b/>
              <w:bCs/>
              <w:sz w:val="24"/>
              <w:szCs w:val="24"/>
              <w:lang w:val="en-GB"/>
            </w:rPr>
          </w:pPr>
          <w:r w:rsidRPr="00D03858">
            <w:rPr>
              <w:lang w:val="en-GB"/>
            </w:rPr>
            <w:fldChar w:fldCharType="begin"/>
          </w:r>
          <w:r w:rsidRPr="00D03858">
            <w:rPr>
              <w:lang w:val="en-GB"/>
            </w:rPr>
            <w:instrText xml:space="preserve"> TOC \h \u \z \t "Heading 1,1,Heading 2,2,Heading 3,3,Heading 4,4,Heading 5,5,Heading 6,6,"</w:instrText>
          </w:r>
          <w:r w:rsidRPr="00D03858">
            <w:rPr>
              <w:lang w:val="en-GB"/>
            </w:rPr>
            <w:fldChar w:fldCharType="separate"/>
          </w:r>
          <w:r w:rsidRPr="00D03858">
            <w:rPr>
              <w:rFonts w:eastAsia="Times New Roman"/>
              <w:b/>
              <w:bCs/>
              <w:sz w:val="24"/>
              <w:szCs w:val="24"/>
              <w:lang w:val="en-GB"/>
            </w:rPr>
            <w:t>Table of Contents</w:t>
          </w:r>
        </w:p>
        <w:p w14:paraId="2314BD96" w14:textId="77777777" w:rsidR="004C5E91" w:rsidRPr="00D03858" w:rsidRDefault="004C5E91">
          <w:pPr>
            <w:widowControl w:val="0"/>
            <w:tabs>
              <w:tab w:val="right" w:pos="9360"/>
            </w:tabs>
            <w:spacing w:before="60" w:line="360" w:lineRule="auto"/>
            <w:rPr>
              <w:rFonts w:eastAsia="Times New Roman"/>
              <w:color w:val="000000"/>
              <w:sz w:val="24"/>
              <w:szCs w:val="24"/>
              <w:lang w:val="en-GB"/>
            </w:rPr>
          </w:pPr>
          <w:hyperlink w:anchor="_s2gkqqa14xf">
            <w:r w:rsidRPr="00D03858">
              <w:rPr>
                <w:rFonts w:eastAsia="Times New Roman"/>
                <w:color w:val="000000"/>
                <w:sz w:val="24"/>
                <w:szCs w:val="24"/>
                <w:lang w:val="en-GB"/>
              </w:rPr>
              <w:t>Task 1: Marketing Environment Analysis</w:t>
            </w:r>
            <w:r w:rsidRPr="00D03858">
              <w:rPr>
                <w:rFonts w:eastAsia="Times New Roman"/>
                <w:color w:val="000000"/>
                <w:sz w:val="24"/>
                <w:szCs w:val="24"/>
                <w:lang w:val="en-GB"/>
              </w:rPr>
              <w:tab/>
            </w:r>
          </w:hyperlink>
          <w:r w:rsidRPr="00D03858">
            <w:rPr>
              <w:lang w:val="en-GB"/>
            </w:rPr>
            <w:fldChar w:fldCharType="begin"/>
          </w:r>
          <w:r w:rsidRPr="00D03858">
            <w:rPr>
              <w:lang w:val="en-GB"/>
            </w:rPr>
            <w:instrText xml:space="preserve"> PAGEREF _s2gkqqa14xf \h </w:instrText>
          </w:r>
          <w:r w:rsidRPr="00D03858">
            <w:rPr>
              <w:lang w:val="en-GB"/>
            </w:rPr>
          </w:r>
          <w:r w:rsidRPr="00D03858">
            <w:rPr>
              <w:lang w:val="en-GB"/>
            </w:rPr>
            <w:fldChar w:fldCharType="separate"/>
          </w:r>
          <w:r w:rsidRPr="00D03858">
            <w:rPr>
              <w:rFonts w:eastAsia="Times New Roman"/>
              <w:sz w:val="24"/>
              <w:szCs w:val="24"/>
              <w:lang w:val="en-GB"/>
            </w:rPr>
            <w:t>5</w:t>
          </w:r>
          <w:r w:rsidRPr="00D03858">
            <w:rPr>
              <w:lang w:val="en-GB"/>
            </w:rPr>
            <w:fldChar w:fldCharType="end"/>
          </w:r>
        </w:p>
        <w:p w14:paraId="6DB9E188" w14:textId="77777777" w:rsidR="004C5E91" w:rsidRPr="00D03858" w:rsidRDefault="004C5E91">
          <w:pPr>
            <w:widowControl w:val="0"/>
            <w:tabs>
              <w:tab w:val="right" w:pos="9360"/>
            </w:tabs>
            <w:spacing w:before="60" w:line="360" w:lineRule="auto"/>
            <w:rPr>
              <w:rFonts w:eastAsia="Times New Roman"/>
              <w:color w:val="000000"/>
              <w:sz w:val="24"/>
              <w:szCs w:val="24"/>
              <w:lang w:val="en-GB"/>
            </w:rPr>
          </w:pPr>
          <w:hyperlink w:anchor="_x9jendn669r1">
            <w:r w:rsidRPr="00D03858">
              <w:rPr>
                <w:rFonts w:eastAsia="Times New Roman"/>
                <w:color w:val="000000"/>
                <w:sz w:val="24"/>
                <w:szCs w:val="24"/>
                <w:lang w:val="en-GB"/>
              </w:rPr>
              <w:t>Task 2: Strategic Growth and Competitive Positioning</w:t>
            </w:r>
            <w:r w:rsidRPr="00D03858">
              <w:rPr>
                <w:rFonts w:eastAsia="Times New Roman"/>
                <w:color w:val="000000"/>
                <w:sz w:val="24"/>
                <w:szCs w:val="24"/>
                <w:lang w:val="en-GB"/>
              </w:rPr>
              <w:tab/>
            </w:r>
          </w:hyperlink>
          <w:r w:rsidRPr="00D03858">
            <w:rPr>
              <w:lang w:val="en-GB"/>
            </w:rPr>
            <w:fldChar w:fldCharType="begin"/>
          </w:r>
          <w:r w:rsidRPr="00D03858">
            <w:rPr>
              <w:lang w:val="en-GB"/>
            </w:rPr>
            <w:instrText xml:space="preserve"> PAGEREF _x9jendn669r1 \h </w:instrText>
          </w:r>
          <w:r w:rsidRPr="00D03858">
            <w:rPr>
              <w:lang w:val="en-GB"/>
            </w:rPr>
          </w:r>
          <w:r w:rsidRPr="00D03858">
            <w:rPr>
              <w:lang w:val="en-GB"/>
            </w:rPr>
            <w:fldChar w:fldCharType="separate"/>
          </w:r>
          <w:r w:rsidRPr="00D03858">
            <w:rPr>
              <w:rFonts w:eastAsia="Times New Roman"/>
              <w:sz w:val="24"/>
              <w:szCs w:val="24"/>
              <w:lang w:val="en-GB"/>
            </w:rPr>
            <w:t>8</w:t>
          </w:r>
          <w:r w:rsidRPr="00D03858">
            <w:rPr>
              <w:lang w:val="en-GB"/>
            </w:rPr>
            <w:fldChar w:fldCharType="end"/>
          </w:r>
        </w:p>
        <w:p w14:paraId="0F0E0789" w14:textId="77777777" w:rsidR="004C5E91" w:rsidRPr="00D03858" w:rsidRDefault="004C5E91">
          <w:pPr>
            <w:widowControl w:val="0"/>
            <w:tabs>
              <w:tab w:val="right" w:pos="9360"/>
            </w:tabs>
            <w:spacing w:before="60" w:line="360" w:lineRule="auto"/>
            <w:rPr>
              <w:rFonts w:eastAsia="Times New Roman"/>
              <w:color w:val="000000"/>
              <w:sz w:val="24"/>
              <w:szCs w:val="24"/>
              <w:lang w:val="en-GB"/>
            </w:rPr>
          </w:pPr>
          <w:hyperlink w:anchor="_n1moueaqzx4q">
            <w:r w:rsidRPr="00D03858">
              <w:rPr>
                <w:rFonts w:eastAsia="Times New Roman"/>
                <w:color w:val="000000"/>
                <w:sz w:val="24"/>
                <w:szCs w:val="24"/>
                <w:lang w:val="en-GB"/>
              </w:rPr>
              <w:t>Task 3: Managerial and Professional Reflection</w:t>
            </w:r>
            <w:r w:rsidRPr="00D03858">
              <w:rPr>
                <w:rFonts w:eastAsia="Times New Roman"/>
                <w:color w:val="000000"/>
                <w:sz w:val="24"/>
                <w:szCs w:val="24"/>
                <w:lang w:val="en-GB"/>
              </w:rPr>
              <w:tab/>
            </w:r>
          </w:hyperlink>
          <w:r w:rsidRPr="00D03858">
            <w:rPr>
              <w:lang w:val="en-GB"/>
            </w:rPr>
            <w:fldChar w:fldCharType="begin"/>
          </w:r>
          <w:r w:rsidRPr="00D03858">
            <w:rPr>
              <w:lang w:val="en-GB"/>
            </w:rPr>
            <w:instrText xml:space="preserve"> PAGEREF _n1moueaqzx4q \h </w:instrText>
          </w:r>
          <w:r w:rsidRPr="00D03858">
            <w:rPr>
              <w:lang w:val="en-GB"/>
            </w:rPr>
          </w:r>
          <w:r w:rsidRPr="00D03858">
            <w:rPr>
              <w:lang w:val="en-GB"/>
            </w:rPr>
            <w:fldChar w:fldCharType="separate"/>
          </w:r>
          <w:r w:rsidRPr="00D03858">
            <w:rPr>
              <w:rFonts w:eastAsia="Times New Roman"/>
              <w:sz w:val="24"/>
              <w:szCs w:val="24"/>
              <w:lang w:val="en-GB"/>
            </w:rPr>
            <w:t>12</w:t>
          </w:r>
          <w:r w:rsidRPr="00D03858">
            <w:rPr>
              <w:lang w:val="en-GB"/>
            </w:rPr>
            <w:fldChar w:fldCharType="end"/>
          </w:r>
        </w:p>
        <w:p w14:paraId="2843C041" w14:textId="77777777" w:rsidR="004C5E91" w:rsidRPr="00D03858" w:rsidRDefault="004C5E91">
          <w:pPr>
            <w:widowControl w:val="0"/>
            <w:tabs>
              <w:tab w:val="right" w:pos="9360"/>
            </w:tabs>
            <w:spacing w:before="60" w:line="360" w:lineRule="auto"/>
            <w:rPr>
              <w:rFonts w:eastAsia="Times New Roman"/>
              <w:color w:val="000000"/>
              <w:sz w:val="24"/>
              <w:szCs w:val="24"/>
              <w:lang w:val="en-GB"/>
            </w:rPr>
          </w:pPr>
          <w:hyperlink w:anchor="_a1rfgot0ert2">
            <w:r w:rsidRPr="00D03858">
              <w:rPr>
                <w:rFonts w:eastAsia="Times New Roman"/>
                <w:color w:val="000000"/>
                <w:sz w:val="24"/>
                <w:szCs w:val="24"/>
                <w:lang w:val="en-GB"/>
              </w:rPr>
              <w:t>References</w:t>
            </w:r>
            <w:r w:rsidRPr="00D03858">
              <w:rPr>
                <w:rFonts w:eastAsia="Times New Roman"/>
                <w:color w:val="000000"/>
                <w:sz w:val="24"/>
                <w:szCs w:val="24"/>
                <w:lang w:val="en-GB"/>
              </w:rPr>
              <w:tab/>
            </w:r>
          </w:hyperlink>
          <w:r w:rsidRPr="00D03858">
            <w:rPr>
              <w:lang w:val="en-GB"/>
            </w:rPr>
            <w:fldChar w:fldCharType="begin"/>
          </w:r>
          <w:r w:rsidRPr="00D03858">
            <w:rPr>
              <w:lang w:val="en-GB"/>
            </w:rPr>
            <w:instrText xml:space="preserve"> PAGEREF _a1rfgot0ert2 \h </w:instrText>
          </w:r>
          <w:r w:rsidRPr="00D03858">
            <w:rPr>
              <w:lang w:val="en-GB"/>
            </w:rPr>
          </w:r>
          <w:r w:rsidRPr="00D03858">
            <w:rPr>
              <w:lang w:val="en-GB"/>
            </w:rPr>
            <w:fldChar w:fldCharType="separate"/>
          </w:r>
          <w:r w:rsidRPr="00D03858">
            <w:rPr>
              <w:rFonts w:eastAsia="Times New Roman"/>
              <w:sz w:val="24"/>
              <w:szCs w:val="24"/>
              <w:lang w:val="en-GB"/>
            </w:rPr>
            <w:t>13</w:t>
          </w:r>
          <w:r w:rsidRPr="00D03858">
            <w:rPr>
              <w:lang w:val="en-GB"/>
            </w:rPr>
            <w:fldChar w:fldCharType="end"/>
          </w:r>
          <w:r w:rsidRPr="00D03858">
            <w:rPr>
              <w:lang w:val="en-GB"/>
            </w:rPr>
            <w:fldChar w:fldCharType="end"/>
          </w:r>
        </w:p>
      </w:sdtContent>
    </w:sdt>
    <w:p w14:paraId="4A333AE8" w14:textId="77777777" w:rsidR="004C5E91" w:rsidRPr="00D03858" w:rsidRDefault="004C5E91">
      <w:pPr>
        <w:spacing w:line="360" w:lineRule="auto"/>
        <w:rPr>
          <w:rFonts w:eastAsia="Times New Roman"/>
          <w:b/>
          <w:bCs/>
          <w:sz w:val="24"/>
          <w:szCs w:val="24"/>
          <w:lang w:val="en-GB"/>
        </w:rPr>
      </w:pPr>
    </w:p>
    <w:p w14:paraId="2A67A016" w14:textId="77777777" w:rsidR="004C5E91" w:rsidRPr="00D03858" w:rsidRDefault="00D2453B">
      <w:pPr>
        <w:spacing w:line="360" w:lineRule="auto"/>
        <w:rPr>
          <w:rFonts w:eastAsia="Times New Roman"/>
          <w:b/>
          <w:bCs/>
          <w:sz w:val="24"/>
          <w:szCs w:val="24"/>
          <w:lang w:val="en-GB"/>
        </w:rPr>
      </w:pPr>
      <w:r w:rsidRPr="00D03858">
        <w:rPr>
          <w:lang w:val="en-GB"/>
        </w:rPr>
        <w:br w:type="page"/>
      </w:r>
    </w:p>
    <w:p w14:paraId="6475429B" w14:textId="77777777" w:rsidR="004C5E91" w:rsidRPr="00D03858" w:rsidRDefault="00D2453B">
      <w:pPr>
        <w:pStyle w:val="Heading1"/>
        <w:rPr>
          <w:rFonts w:ascii="Arial" w:hAnsi="Arial" w:cs="Arial"/>
          <w:lang w:val="en-GB"/>
        </w:rPr>
      </w:pPr>
      <w:bookmarkStart w:id="0" w:name="_s2gkqqa14xf" w:colFirst="0" w:colLast="0"/>
      <w:bookmarkEnd w:id="0"/>
      <w:r w:rsidRPr="00D03858">
        <w:rPr>
          <w:rFonts w:ascii="Arial" w:hAnsi="Arial" w:cs="Arial"/>
          <w:lang w:val="en-GB"/>
        </w:rPr>
        <w:lastRenderedPageBreak/>
        <w:t xml:space="preserve">Task 1: Marketing Environment Analysis </w:t>
      </w:r>
    </w:p>
    <w:p w14:paraId="0189339E"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Introduction to Tata Steel India</w:t>
      </w:r>
    </w:p>
    <w:p w14:paraId="12D386D3" w14:textId="77777777" w:rsid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Tata Steel Limited is one of India's </w:t>
      </w:r>
      <w:r w:rsidR="000209FD" w:rsidRPr="00D03858">
        <w:rPr>
          <w:rFonts w:eastAsia="Times New Roman"/>
          <w:sz w:val="24"/>
          <w:szCs w:val="24"/>
          <w:lang w:val="en-GB"/>
        </w:rPr>
        <w:t>key</w:t>
      </w:r>
      <w:r w:rsidRPr="00D03858">
        <w:rPr>
          <w:rFonts w:eastAsia="Times New Roman"/>
          <w:sz w:val="24"/>
          <w:szCs w:val="24"/>
          <w:lang w:val="en-GB"/>
        </w:rPr>
        <w:t xml:space="preserve"> steel producers, </w:t>
      </w:r>
      <w:r w:rsidR="000209FD" w:rsidRPr="00D03858">
        <w:rPr>
          <w:rFonts w:eastAsia="Times New Roman"/>
          <w:sz w:val="24"/>
          <w:szCs w:val="24"/>
          <w:lang w:val="en-GB"/>
        </w:rPr>
        <w:t>functioning</w:t>
      </w:r>
      <w:r w:rsidRPr="00D03858">
        <w:rPr>
          <w:rFonts w:eastAsia="Times New Roman"/>
          <w:sz w:val="24"/>
          <w:szCs w:val="24"/>
          <w:lang w:val="en-GB"/>
        </w:rPr>
        <w:t xml:space="preserve"> in </w:t>
      </w:r>
      <w:r w:rsidR="000209FD" w:rsidRPr="00D03858">
        <w:rPr>
          <w:rFonts w:eastAsia="Times New Roman"/>
          <w:sz w:val="24"/>
          <w:szCs w:val="24"/>
          <w:lang w:val="en-GB"/>
        </w:rPr>
        <w:t>manufacturing</w:t>
      </w:r>
      <w:r w:rsidRPr="00D03858">
        <w:rPr>
          <w:rFonts w:eastAsia="Times New Roman"/>
          <w:sz w:val="24"/>
          <w:szCs w:val="24"/>
          <w:lang w:val="en-GB"/>
        </w:rPr>
        <w:t xml:space="preserve"> which has faced </w:t>
      </w:r>
      <w:r w:rsidR="000209FD" w:rsidRPr="00D03858">
        <w:rPr>
          <w:rFonts w:eastAsia="Times New Roman"/>
          <w:sz w:val="24"/>
          <w:szCs w:val="24"/>
          <w:lang w:val="en-GB"/>
        </w:rPr>
        <w:t>growing</w:t>
      </w:r>
      <w:r w:rsidRPr="00D03858">
        <w:rPr>
          <w:rFonts w:eastAsia="Times New Roman"/>
          <w:sz w:val="24"/>
          <w:szCs w:val="24"/>
          <w:lang w:val="en-GB"/>
        </w:rPr>
        <w:t xml:space="preserve"> pressure for </w:t>
      </w:r>
      <w:r w:rsidR="000209FD" w:rsidRPr="00D03858">
        <w:rPr>
          <w:rFonts w:eastAsia="Times New Roman"/>
          <w:sz w:val="24"/>
          <w:szCs w:val="24"/>
          <w:lang w:val="en-GB"/>
        </w:rPr>
        <w:t>harmonising</w:t>
      </w:r>
      <w:r w:rsidRPr="00D03858">
        <w:rPr>
          <w:rFonts w:eastAsia="Times New Roman"/>
          <w:sz w:val="24"/>
          <w:szCs w:val="24"/>
          <w:lang w:val="en-GB"/>
        </w:rPr>
        <w:t xml:space="preserve"> industrial </w:t>
      </w:r>
      <w:r w:rsidR="000209FD" w:rsidRPr="00D03858">
        <w:rPr>
          <w:rFonts w:eastAsia="Times New Roman"/>
          <w:sz w:val="24"/>
          <w:szCs w:val="24"/>
          <w:lang w:val="en-GB"/>
        </w:rPr>
        <w:t>development</w:t>
      </w:r>
      <w:r w:rsidRPr="00D03858">
        <w:rPr>
          <w:rFonts w:eastAsia="Times New Roman"/>
          <w:sz w:val="24"/>
          <w:szCs w:val="24"/>
          <w:lang w:val="en-GB"/>
        </w:rPr>
        <w:t xml:space="preserve"> with environmental sustainability. According to the reports, in 2024-25, Tata Steel India achieved its highest-ever crude steel production of 21.7 million tonnes and delivered approximately 20.9 million tonnes, reflecting strong production and market demand (Tata Steel, 2025). However, steelmaking has remained energy-intensive and carbon-intensive, which has made decarbonisation a significant strategic and marketing challenge for the organisation. In this context, India's Ministry of Steel has recognised the sector as responsible for the country’s total carbon emissions (IEEFA, 2026). </w:t>
      </w:r>
    </w:p>
    <w:p w14:paraId="078DD8D1" w14:textId="7E9E1D35"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Moreover, Tata Steel has developed a group-wide ambition for achieving net-zero emissions by 2045 and is currently exploring lower-emission technologies and improved product sustainability (Tata Steel, 2025a). Therefore, this report will critically evaluate three external actors which are influencing Tata Steel India's transition towards lower-carbon products, including the natural environment, the political and regulatory environment and consumers and wider stakeholders. It will then recommend a growth strategy by utilising the Ansoff Matrix and reflect on the managerial implications and limitations of the analysis. </w:t>
      </w:r>
    </w:p>
    <w:p w14:paraId="67C3880A" w14:textId="77777777"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The actors of the PESTLE analysis are significantly useful for assessing the external actors which are affecting Tata Steel India. Among the actors, environmental, political and social actors have been chosen, as the steel industry's carbon-intensive production has created pressure for reducing emissions and establishing lower-carbon products.</w:t>
      </w:r>
    </w:p>
    <w:p w14:paraId="5346E33A" w14:textId="57E7F6D6"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Natural environmental actor</w:t>
      </w:r>
    </w:p>
    <w:p w14:paraId="61880654" w14:textId="753CCE5B"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The natural environment is a major external actor which is </w:t>
      </w:r>
      <w:r w:rsidR="00D03858">
        <w:rPr>
          <w:rFonts w:eastAsia="Times New Roman"/>
          <w:sz w:val="24"/>
          <w:szCs w:val="24"/>
          <w:lang w:val="en-GB"/>
        </w:rPr>
        <w:t>extensively</w:t>
      </w:r>
      <w:r w:rsidRPr="00D03858">
        <w:rPr>
          <w:rFonts w:eastAsia="Times New Roman"/>
          <w:sz w:val="24"/>
          <w:szCs w:val="24"/>
          <w:lang w:val="en-GB"/>
        </w:rPr>
        <w:t xml:space="preserve"> influencing Tata Steel India's transition towards lower-carbon steel products, as conventional steelmaking heavily depends on energy and carbon-intensive production processes. India's Ministry of Steel has recognised the sector as responsible for around 10-12% of the country's total carbon emissions, with an emission intensity of 2.55 tonnes of CO2/tonne of crude steel, highlighting the environmental significance of decarbonising production (IEEFA, 2026). </w:t>
      </w:r>
      <w:r w:rsidRPr="00D03858">
        <w:rPr>
          <w:rFonts w:eastAsia="Times New Roman"/>
          <w:sz w:val="24"/>
          <w:szCs w:val="24"/>
          <w:lang w:val="en-GB"/>
        </w:rPr>
        <w:lastRenderedPageBreak/>
        <w:t xml:space="preserve">This has created pressure on Tata Steel for reducing emissions while continuing to meet the growing requirement for steel from construction, infrastructure and manufacturing. </w:t>
      </w:r>
    </w:p>
    <w:p w14:paraId="3A67B1B0" w14:textId="77777777"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Due to this, Tata Steel has made a commitment for achieving net-zero emissions across the group by 2025 and has recognised lower-emission technologies as part of its climate response (Tata Steel, 2025a). In this regard, the corporation’s initiatives have included testing biochar injection as a replacement for around 30,000 tonnes of fossil fuels and exploring technologies which could reduce emissions from blast furnace operations. These developments may improve environmental performance and strengthen the corporation’s positioning among the consumers, who are seeking more sustainable materials (Tata Steel, 2024). </w:t>
      </w:r>
    </w:p>
    <w:p w14:paraId="0682A270" w14:textId="77777777" w:rsid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Additionally, India’s increasing concentration on reducing industrial emissions can create both an opportunity and a threat for Tata Steel, as its ongoing efforts for reducing emissions can strengthen environmental performance and support the development of low-carbon steel products. However, the transition has involved significant challenges, as alternative technologies, renewable energy and cleaner raw materials require investment, while their availability and cost may impact the commercial viability of lower-carbon steel (Li et al., 2025). </w:t>
      </w:r>
    </w:p>
    <w:p w14:paraId="3718795D" w14:textId="38C55CB7"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In this context, the Indian government’s Green Steel Taxonomy has provided a framework for classifying steel according to the emissions intensity, with green-rated steel required for remaining below 2.2 tonnes of CO</w:t>
      </w:r>
      <w:r w:rsidRPr="00D03858">
        <w:rPr>
          <w:rFonts w:eastAsia="Times New Roman"/>
          <w:sz w:val="24"/>
          <w:szCs w:val="24"/>
          <w:vertAlign w:val="subscript"/>
          <w:lang w:val="en-GB"/>
        </w:rPr>
        <w:t>2</w:t>
      </w:r>
      <w:r w:rsidRPr="00D03858">
        <w:rPr>
          <w:rFonts w:eastAsia="Times New Roman"/>
          <w:sz w:val="24"/>
          <w:szCs w:val="24"/>
          <w:lang w:val="en-GB"/>
        </w:rPr>
        <w:t xml:space="preserve">-equivalent per tonne of finished steel (IEEFA, 2026). This has created an opportunity for Tata Steel to differentiate its products through measurable environmental performance. Environmental improvements alone </w:t>
      </w:r>
      <w:r w:rsidR="000209FD" w:rsidRPr="00D03858">
        <w:rPr>
          <w:rFonts w:eastAsia="Times New Roman"/>
          <w:sz w:val="24"/>
          <w:szCs w:val="24"/>
          <w:lang w:val="en-GB"/>
        </w:rPr>
        <w:t>cannot</w:t>
      </w:r>
      <w:r w:rsidRPr="00D03858">
        <w:rPr>
          <w:rFonts w:eastAsia="Times New Roman"/>
          <w:sz w:val="24"/>
          <w:szCs w:val="24"/>
          <w:lang w:val="en-GB"/>
        </w:rPr>
        <w:t xml:space="preserve"> provide a guarantee regarding commercial success, and the organisation must maintain its product quality, reliable supply and competitive prices. Thus, the natural environment is both a source of strategic pressure and an opportunity for the corporation for establishing credible lower-carbon products. </w:t>
      </w:r>
    </w:p>
    <w:p w14:paraId="40F4C91D" w14:textId="22F8DF5F"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 xml:space="preserve">Political and </w:t>
      </w:r>
      <w:r w:rsidR="00D03858">
        <w:rPr>
          <w:rFonts w:eastAsia="Times New Roman"/>
          <w:b/>
          <w:bCs/>
          <w:sz w:val="24"/>
          <w:szCs w:val="24"/>
          <w:lang w:val="en-GB"/>
        </w:rPr>
        <w:t>Legal</w:t>
      </w:r>
      <w:r w:rsidRPr="00D03858">
        <w:rPr>
          <w:rFonts w:eastAsia="Times New Roman"/>
          <w:b/>
          <w:bCs/>
          <w:sz w:val="24"/>
          <w:szCs w:val="24"/>
          <w:lang w:val="en-GB"/>
        </w:rPr>
        <w:t xml:space="preserve"> </w:t>
      </w:r>
      <w:r w:rsidR="00D03858">
        <w:rPr>
          <w:rFonts w:eastAsia="Times New Roman"/>
          <w:b/>
          <w:bCs/>
          <w:sz w:val="24"/>
          <w:szCs w:val="24"/>
          <w:lang w:val="en-GB"/>
        </w:rPr>
        <w:t>A</w:t>
      </w:r>
      <w:r w:rsidRPr="00D03858">
        <w:rPr>
          <w:rFonts w:eastAsia="Times New Roman"/>
          <w:b/>
          <w:bCs/>
          <w:sz w:val="24"/>
          <w:szCs w:val="24"/>
          <w:lang w:val="en-GB"/>
        </w:rPr>
        <w:t>ctor</w:t>
      </w:r>
    </w:p>
    <w:p w14:paraId="09D43FB2" w14:textId="77777777"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India's government has introduced multiple initiatives for accelerating the steel industry's transition towards lower-carbon production. In April 2025, the Ministry of Steel announced the Green Steel Taxonomy, a roadmap for greening the steel sector and pilot projects supporting hydrogen utilisation in steelmaking under the National Green Hydrogen </w:t>
      </w:r>
      <w:r w:rsidRPr="00D03858">
        <w:rPr>
          <w:rFonts w:eastAsia="Times New Roman"/>
          <w:sz w:val="24"/>
          <w:szCs w:val="24"/>
          <w:lang w:val="en-GB"/>
        </w:rPr>
        <w:lastRenderedPageBreak/>
        <w:t xml:space="preserve">Mission (Steel Ministry, 2025). These initiatives have encouraged producers, including Tata Steel India, for exploring cleaner technologies and improving the environmental performance of their products. </w:t>
      </w:r>
    </w:p>
    <w:p w14:paraId="516D858B" w14:textId="77777777" w:rsidR="00CE3813" w:rsidRDefault="00D2453B">
      <w:pPr>
        <w:spacing w:line="360" w:lineRule="auto"/>
        <w:jc w:val="both"/>
        <w:rPr>
          <w:rFonts w:eastAsia="Times New Roman"/>
          <w:sz w:val="24"/>
          <w:szCs w:val="24"/>
          <w:lang w:val="en-GB"/>
        </w:rPr>
      </w:pPr>
      <w:r w:rsidRPr="00D03858">
        <w:rPr>
          <w:rFonts w:eastAsia="Times New Roman"/>
          <w:sz w:val="24"/>
          <w:szCs w:val="24"/>
          <w:lang w:val="en-GB"/>
        </w:rPr>
        <w:t>Another important government initiative is India's Perform, Achieve and Trade (PAT), which has been introduced under the National Mission for Enhanced Energy Efficiency. Administered by the Bureau of Energy Efficiency, the scheme has set energy-consumption reduction targets for energy-intensive industries, including iron and steel, and allowed eligible industries for trading Energy Saving Certificates earned through excess energy savings (BEE, 2026).</w:t>
      </w:r>
    </w:p>
    <w:p w14:paraId="2E9C4131" w14:textId="54941EC6"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 For Tata Steel India, this policy has encouraged improvements in production efficiency and provided a financial incentive to reduce energy consumption. However, meeting energy-efficiency targets can require investment in equipment upgrades, optimisation of procedures and regular energy audits (Habib et al., 2026). Thus, it can be interpreted that these schemes of the Indian government have created an opportunity for Tata Steel for reducing operating costs and environmental impact, although the effectiveness significantly relies on the efficiency improvements achieved at individual production facilities. </w:t>
      </w:r>
    </w:p>
    <w:p w14:paraId="3B7DD11D" w14:textId="77777777" w:rsidR="004C5E91" w:rsidRPr="00D03858" w:rsidRDefault="00D2453B">
      <w:pPr>
        <w:spacing w:line="360" w:lineRule="auto"/>
        <w:jc w:val="both"/>
        <w:rPr>
          <w:rFonts w:eastAsia="Times New Roman"/>
          <w:b/>
          <w:bCs/>
          <w:sz w:val="24"/>
          <w:szCs w:val="24"/>
          <w:lang w:val="en-GB"/>
        </w:rPr>
      </w:pPr>
      <w:r w:rsidRPr="00D03858">
        <w:rPr>
          <w:rFonts w:eastAsia="Times New Roman"/>
          <w:b/>
          <w:bCs/>
          <w:sz w:val="24"/>
          <w:szCs w:val="24"/>
          <w:lang w:val="en-GB"/>
        </w:rPr>
        <w:t xml:space="preserve">Social actor </w:t>
      </w:r>
    </w:p>
    <w:p w14:paraId="64CC16FB" w14:textId="77777777"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Consumer expectations and stakeholder pressure have created both opportunities and threats for Tata Steel India's transition towards lower-carbon products. Industrial buyers, such as construction organisations, automotive manufacturers and infrastructure developers, have increasingly been required to consider the environmental impact of materials utilised in their supply chains (Shastri, 2026). According to the reports, around 50% of steel buyers are unwilling to pay a premium for lower-carbon steel, highlighting the challenge of converting sustainability demand into commercial sales (Steel Ministry, 2025). This may create demand for lower-carbon steel, enabling Tata Steel for strengthening business relationships and differentiate its products through credible environmental performance. </w:t>
      </w:r>
    </w:p>
    <w:p w14:paraId="049A8609" w14:textId="00A8142C"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However, a major threat is that consumers can be unwilling to pay a premium for lower-carbon steel if conventional steel offers similar quality and reliability at a lower price. This could make it </w:t>
      </w:r>
      <w:r w:rsidR="000209FD" w:rsidRPr="00D03858">
        <w:rPr>
          <w:rFonts w:eastAsia="Times New Roman"/>
          <w:sz w:val="24"/>
          <w:szCs w:val="24"/>
          <w:lang w:val="en-GB"/>
        </w:rPr>
        <w:t>problematic</w:t>
      </w:r>
      <w:r w:rsidRPr="00D03858">
        <w:rPr>
          <w:rFonts w:eastAsia="Times New Roman"/>
          <w:sz w:val="24"/>
          <w:szCs w:val="24"/>
          <w:lang w:val="en-GB"/>
        </w:rPr>
        <w:t xml:space="preserve"> for Tata Steel for </w:t>
      </w:r>
      <w:r w:rsidR="000209FD" w:rsidRPr="00D03858">
        <w:rPr>
          <w:rFonts w:eastAsia="Times New Roman"/>
          <w:sz w:val="24"/>
          <w:szCs w:val="24"/>
          <w:lang w:val="en-GB"/>
        </w:rPr>
        <w:t>improving</w:t>
      </w:r>
      <w:r w:rsidRPr="00D03858">
        <w:rPr>
          <w:rFonts w:eastAsia="Times New Roman"/>
          <w:sz w:val="24"/>
          <w:szCs w:val="24"/>
          <w:lang w:val="en-GB"/>
        </w:rPr>
        <w:t xml:space="preserve"> the </w:t>
      </w:r>
      <w:r w:rsidR="000209FD" w:rsidRPr="00D03858">
        <w:rPr>
          <w:rFonts w:eastAsia="Times New Roman"/>
          <w:sz w:val="24"/>
          <w:szCs w:val="24"/>
          <w:lang w:val="en-GB"/>
        </w:rPr>
        <w:t>substantial</w:t>
      </w:r>
      <w:r w:rsidRPr="00D03858">
        <w:rPr>
          <w:rFonts w:eastAsia="Times New Roman"/>
          <w:sz w:val="24"/>
          <w:szCs w:val="24"/>
          <w:lang w:val="en-GB"/>
        </w:rPr>
        <w:t xml:space="preserve"> </w:t>
      </w:r>
      <w:r w:rsidR="000209FD" w:rsidRPr="00D03858">
        <w:rPr>
          <w:rFonts w:eastAsia="Times New Roman"/>
          <w:sz w:val="24"/>
          <w:szCs w:val="24"/>
          <w:lang w:val="en-GB"/>
        </w:rPr>
        <w:t>conjecture</w:t>
      </w:r>
      <w:r w:rsidRPr="00D03858">
        <w:rPr>
          <w:rFonts w:eastAsia="Times New Roman"/>
          <w:sz w:val="24"/>
          <w:szCs w:val="24"/>
          <w:lang w:val="en-GB"/>
        </w:rPr>
        <w:t xml:space="preserve"> required </w:t>
      </w:r>
      <w:r w:rsidRPr="00D03858">
        <w:rPr>
          <w:rFonts w:eastAsia="Times New Roman"/>
          <w:sz w:val="24"/>
          <w:szCs w:val="24"/>
          <w:lang w:val="en-GB"/>
        </w:rPr>
        <w:lastRenderedPageBreak/>
        <w:t xml:space="preserve">for cleaner </w:t>
      </w:r>
      <w:r w:rsidR="000209FD" w:rsidRPr="00D03858">
        <w:rPr>
          <w:rFonts w:eastAsia="Times New Roman"/>
          <w:sz w:val="24"/>
          <w:szCs w:val="24"/>
          <w:lang w:val="en-GB"/>
        </w:rPr>
        <w:t>manufacture</w:t>
      </w:r>
      <w:r w:rsidRPr="00D03858">
        <w:rPr>
          <w:rFonts w:eastAsia="Times New Roman"/>
          <w:sz w:val="24"/>
          <w:szCs w:val="24"/>
          <w:lang w:val="en-GB"/>
        </w:rPr>
        <w:t xml:space="preserve"> technologies. Besides that, competitors in this industry, including JSW Steel Ltd. and Jindal Steel &amp; Power Ltd., are also </w:t>
      </w:r>
      <w:r w:rsidR="000209FD" w:rsidRPr="00D03858">
        <w:rPr>
          <w:rFonts w:eastAsia="Times New Roman"/>
          <w:sz w:val="24"/>
          <w:szCs w:val="24"/>
          <w:lang w:val="en-GB"/>
        </w:rPr>
        <w:t>founding</w:t>
      </w:r>
      <w:r w:rsidRPr="00D03858">
        <w:rPr>
          <w:rFonts w:eastAsia="Times New Roman"/>
          <w:sz w:val="24"/>
          <w:szCs w:val="24"/>
          <w:lang w:val="en-GB"/>
        </w:rPr>
        <w:t xml:space="preserve"> lower-carbon products, which can </w:t>
      </w:r>
      <w:r w:rsidR="000209FD" w:rsidRPr="00D03858">
        <w:rPr>
          <w:rFonts w:eastAsia="Times New Roman"/>
          <w:sz w:val="24"/>
          <w:szCs w:val="24"/>
          <w:lang w:val="en-GB"/>
        </w:rPr>
        <w:t>efficiently</w:t>
      </w:r>
      <w:r w:rsidRPr="00D03858">
        <w:rPr>
          <w:rFonts w:eastAsia="Times New Roman"/>
          <w:sz w:val="24"/>
          <w:szCs w:val="24"/>
          <w:lang w:val="en-GB"/>
        </w:rPr>
        <w:t xml:space="preserve"> attract </w:t>
      </w:r>
      <w:r w:rsidR="000209FD" w:rsidRPr="00D03858">
        <w:rPr>
          <w:rFonts w:eastAsia="Times New Roman"/>
          <w:sz w:val="24"/>
          <w:szCs w:val="24"/>
          <w:lang w:val="en-GB"/>
        </w:rPr>
        <w:t>ecologically</w:t>
      </w:r>
      <w:r w:rsidRPr="00D03858">
        <w:rPr>
          <w:rFonts w:eastAsia="Times New Roman"/>
          <w:sz w:val="24"/>
          <w:szCs w:val="24"/>
          <w:lang w:val="en-GB"/>
        </w:rPr>
        <w:t xml:space="preserve"> conscious buyers, </w:t>
      </w:r>
      <w:r w:rsidR="000209FD" w:rsidRPr="00D03858">
        <w:rPr>
          <w:rFonts w:eastAsia="Times New Roman"/>
          <w:sz w:val="24"/>
          <w:szCs w:val="24"/>
          <w:lang w:val="en-GB"/>
        </w:rPr>
        <w:t>generating</w:t>
      </w:r>
      <w:r w:rsidRPr="00D03858">
        <w:rPr>
          <w:rFonts w:eastAsia="Times New Roman"/>
          <w:sz w:val="24"/>
          <w:szCs w:val="24"/>
          <w:lang w:val="en-GB"/>
        </w:rPr>
        <w:t xml:space="preserve"> a </w:t>
      </w:r>
      <w:r w:rsidR="000209FD" w:rsidRPr="00D03858">
        <w:rPr>
          <w:rFonts w:eastAsia="Times New Roman"/>
          <w:sz w:val="24"/>
          <w:szCs w:val="24"/>
          <w:lang w:val="en-GB"/>
        </w:rPr>
        <w:t>danger</w:t>
      </w:r>
      <w:r w:rsidRPr="00D03858">
        <w:rPr>
          <w:rFonts w:eastAsia="Times New Roman"/>
          <w:sz w:val="24"/>
          <w:szCs w:val="24"/>
          <w:lang w:val="en-GB"/>
        </w:rPr>
        <w:t xml:space="preserve"> that Tata Steel can </w:t>
      </w:r>
      <w:r w:rsidR="000209FD" w:rsidRPr="00D03858">
        <w:rPr>
          <w:rFonts w:eastAsia="Times New Roman"/>
          <w:sz w:val="24"/>
          <w:szCs w:val="24"/>
          <w:lang w:val="en-GB"/>
        </w:rPr>
        <w:t>misplace</w:t>
      </w:r>
      <w:r w:rsidRPr="00D03858">
        <w:rPr>
          <w:rFonts w:eastAsia="Times New Roman"/>
          <w:sz w:val="24"/>
          <w:szCs w:val="24"/>
          <w:lang w:val="en-GB"/>
        </w:rPr>
        <w:t xml:space="preserve"> its </w:t>
      </w:r>
      <w:r w:rsidR="000209FD" w:rsidRPr="00D03858">
        <w:rPr>
          <w:rFonts w:eastAsia="Times New Roman"/>
          <w:sz w:val="24"/>
          <w:szCs w:val="24"/>
          <w:lang w:val="en-GB"/>
        </w:rPr>
        <w:t>marketplace</w:t>
      </w:r>
      <w:r w:rsidRPr="00D03858">
        <w:rPr>
          <w:rFonts w:eastAsia="Times New Roman"/>
          <w:sz w:val="24"/>
          <w:szCs w:val="24"/>
          <w:lang w:val="en-GB"/>
        </w:rPr>
        <w:t xml:space="preserve"> share if its transitions are too slow (Global Data, 2026). Additionally, </w:t>
      </w:r>
      <w:r w:rsidR="000209FD" w:rsidRPr="00D03858">
        <w:rPr>
          <w:rFonts w:eastAsia="Times New Roman"/>
          <w:sz w:val="24"/>
          <w:szCs w:val="24"/>
          <w:lang w:val="en-GB"/>
        </w:rPr>
        <w:t>uncorroborated</w:t>
      </w:r>
      <w:r w:rsidRPr="00D03858">
        <w:rPr>
          <w:rFonts w:eastAsia="Times New Roman"/>
          <w:sz w:val="24"/>
          <w:szCs w:val="24"/>
          <w:lang w:val="en-GB"/>
        </w:rPr>
        <w:t xml:space="preserve"> </w:t>
      </w:r>
      <w:r w:rsidR="000209FD" w:rsidRPr="00D03858">
        <w:rPr>
          <w:rFonts w:eastAsia="Times New Roman"/>
          <w:sz w:val="24"/>
          <w:szCs w:val="24"/>
          <w:lang w:val="en-GB"/>
        </w:rPr>
        <w:t>ecological</w:t>
      </w:r>
      <w:r w:rsidRPr="00D03858">
        <w:rPr>
          <w:rFonts w:eastAsia="Times New Roman"/>
          <w:sz w:val="24"/>
          <w:szCs w:val="24"/>
          <w:lang w:val="en-GB"/>
        </w:rPr>
        <w:t xml:space="preserve"> claims can also </w:t>
      </w:r>
      <w:r w:rsidR="000209FD" w:rsidRPr="00D03858">
        <w:rPr>
          <w:rFonts w:eastAsia="Times New Roman"/>
          <w:sz w:val="24"/>
          <w:szCs w:val="24"/>
          <w:lang w:val="en-GB"/>
        </w:rPr>
        <w:t>reduce</w:t>
      </w:r>
      <w:r w:rsidRPr="00D03858">
        <w:rPr>
          <w:rFonts w:eastAsia="Times New Roman"/>
          <w:sz w:val="24"/>
          <w:szCs w:val="24"/>
          <w:lang w:val="en-GB"/>
        </w:rPr>
        <w:t xml:space="preserve"> trust</w:t>
      </w:r>
      <w:r w:rsidR="000209FD" w:rsidRPr="00D03858">
        <w:rPr>
          <w:rFonts w:eastAsia="Times New Roman"/>
          <w:sz w:val="24"/>
          <w:szCs w:val="24"/>
          <w:lang w:val="en-GB"/>
        </w:rPr>
        <w:t xml:space="preserve"> of the consumers</w:t>
      </w:r>
      <w:r w:rsidRPr="00D03858">
        <w:rPr>
          <w:rFonts w:eastAsia="Times New Roman"/>
          <w:sz w:val="24"/>
          <w:szCs w:val="24"/>
          <w:lang w:val="en-GB"/>
        </w:rPr>
        <w:t xml:space="preserve"> and the organisation's </w:t>
      </w:r>
      <w:r w:rsidR="000209FD" w:rsidRPr="00D03858">
        <w:rPr>
          <w:rFonts w:eastAsia="Times New Roman"/>
          <w:sz w:val="24"/>
          <w:szCs w:val="24"/>
          <w:lang w:val="en-GB"/>
        </w:rPr>
        <w:t>business</w:t>
      </w:r>
      <w:r w:rsidRPr="00D03858">
        <w:rPr>
          <w:rFonts w:eastAsia="Times New Roman"/>
          <w:sz w:val="24"/>
          <w:szCs w:val="24"/>
          <w:lang w:val="en-GB"/>
        </w:rPr>
        <w:t xml:space="preserve"> </w:t>
      </w:r>
      <w:r w:rsidR="000209FD" w:rsidRPr="00D03858">
        <w:rPr>
          <w:rFonts w:eastAsia="Times New Roman"/>
          <w:sz w:val="24"/>
          <w:szCs w:val="24"/>
          <w:lang w:val="en-GB"/>
        </w:rPr>
        <w:t>standing</w:t>
      </w:r>
      <w:r w:rsidRPr="00D03858">
        <w:rPr>
          <w:rFonts w:eastAsia="Times New Roman"/>
          <w:sz w:val="24"/>
          <w:szCs w:val="24"/>
          <w:lang w:val="en-GB"/>
        </w:rPr>
        <w:t xml:space="preserve">. </w:t>
      </w:r>
    </w:p>
    <w:p w14:paraId="3714BB7F" w14:textId="73DD476A"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Other stakeholders, </w:t>
      </w:r>
      <w:r w:rsidR="000209FD" w:rsidRPr="00D03858">
        <w:rPr>
          <w:rFonts w:eastAsia="Times New Roman"/>
          <w:sz w:val="24"/>
          <w:szCs w:val="24"/>
          <w:lang w:val="en-GB"/>
        </w:rPr>
        <w:t>counting</w:t>
      </w:r>
      <w:r w:rsidRPr="00D03858">
        <w:rPr>
          <w:rFonts w:eastAsia="Times New Roman"/>
          <w:sz w:val="24"/>
          <w:szCs w:val="24"/>
          <w:lang w:val="en-GB"/>
        </w:rPr>
        <w:t xml:space="preserve"> investors, employees and </w:t>
      </w:r>
      <w:r w:rsidR="000209FD" w:rsidRPr="00D03858">
        <w:rPr>
          <w:rFonts w:eastAsia="Times New Roman"/>
          <w:sz w:val="24"/>
          <w:szCs w:val="24"/>
          <w:lang w:val="en-GB"/>
        </w:rPr>
        <w:t>resident</w:t>
      </w:r>
      <w:r w:rsidRPr="00D03858">
        <w:rPr>
          <w:rFonts w:eastAsia="Times New Roman"/>
          <w:sz w:val="24"/>
          <w:szCs w:val="24"/>
          <w:lang w:val="en-GB"/>
        </w:rPr>
        <w:t xml:space="preserve"> communities, can </w:t>
      </w:r>
      <w:r w:rsidR="000209FD" w:rsidRPr="00D03858">
        <w:rPr>
          <w:rFonts w:eastAsia="Times New Roman"/>
          <w:sz w:val="24"/>
          <w:szCs w:val="24"/>
          <w:lang w:val="en-GB"/>
        </w:rPr>
        <w:t>affect</w:t>
      </w:r>
      <w:r w:rsidRPr="00D03858">
        <w:rPr>
          <w:rFonts w:eastAsia="Times New Roman"/>
          <w:sz w:val="24"/>
          <w:szCs w:val="24"/>
          <w:lang w:val="en-GB"/>
        </w:rPr>
        <w:t xml:space="preserve"> the organisation's </w:t>
      </w:r>
      <w:r w:rsidR="000209FD" w:rsidRPr="00D03858">
        <w:rPr>
          <w:rFonts w:eastAsia="Times New Roman"/>
          <w:sz w:val="24"/>
          <w:szCs w:val="24"/>
          <w:lang w:val="en-GB"/>
        </w:rPr>
        <w:t>choices</w:t>
      </w:r>
      <w:r w:rsidRPr="00D03858">
        <w:rPr>
          <w:rFonts w:eastAsia="Times New Roman"/>
          <w:sz w:val="24"/>
          <w:szCs w:val="24"/>
          <w:lang w:val="en-GB"/>
        </w:rPr>
        <w:t xml:space="preserve">. Investors may </w:t>
      </w:r>
      <w:r w:rsidR="000209FD" w:rsidRPr="00D03858">
        <w:rPr>
          <w:rFonts w:eastAsia="Times New Roman"/>
          <w:sz w:val="24"/>
          <w:szCs w:val="24"/>
          <w:lang w:val="en-GB"/>
        </w:rPr>
        <w:t>imagine</w:t>
      </w:r>
      <w:r w:rsidRPr="00D03858">
        <w:rPr>
          <w:rFonts w:eastAsia="Times New Roman"/>
          <w:sz w:val="24"/>
          <w:szCs w:val="24"/>
          <w:lang w:val="en-GB"/>
        </w:rPr>
        <w:t xml:space="preserve"> credible </w:t>
      </w:r>
      <w:r w:rsidR="000209FD" w:rsidRPr="00D03858">
        <w:rPr>
          <w:rFonts w:eastAsia="Times New Roman"/>
          <w:sz w:val="24"/>
          <w:szCs w:val="24"/>
          <w:lang w:val="en-GB"/>
        </w:rPr>
        <w:t>development</w:t>
      </w:r>
      <w:r w:rsidRPr="00D03858">
        <w:rPr>
          <w:rFonts w:eastAsia="Times New Roman"/>
          <w:sz w:val="24"/>
          <w:szCs w:val="24"/>
          <w:lang w:val="en-GB"/>
        </w:rPr>
        <w:t xml:space="preserve"> on </w:t>
      </w:r>
      <w:r w:rsidR="000209FD" w:rsidRPr="00D03858">
        <w:rPr>
          <w:rFonts w:eastAsia="Times New Roman"/>
          <w:sz w:val="24"/>
          <w:szCs w:val="24"/>
          <w:lang w:val="en-GB"/>
        </w:rPr>
        <w:t>releases</w:t>
      </w:r>
      <w:r w:rsidRPr="00D03858">
        <w:rPr>
          <w:rFonts w:eastAsia="Times New Roman"/>
          <w:sz w:val="24"/>
          <w:szCs w:val="24"/>
          <w:lang w:val="en-GB"/>
        </w:rPr>
        <w:t xml:space="preserve"> reduction, while communities may be </w:t>
      </w:r>
      <w:r w:rsidR="000209FD" w:rsidRPr="00D03858">
        <w:rPr>
          <w:rFonts w:eastAsia="Times New Roman"/>
          <w:sz w:val="24"/>
          <w:szCs w:val="24"/>
          <w:lang w:val="en-GB"/>
        </w:rPr>
        <w:t>worried</w:t>
      </w:r>
      <w:r w:rsidRPr="00D03858">
        <w:rPr>
          <w:rFonts w:eastAsia="Times New Roman"/>
          <w:sz w:val="24"/>
          <w:szCs w:val="24"/>
          <w:lang w:val="en-GB"/>
        </w:rPr>
        <w:t xml:space="preserve"> about </w:t>
      </w:r>
      <w:r w:rsidR="000209FD" w:rsidRPr="00D03858">
        <w:rPr>
          <w:rFonts w:eastAsia="Times New Roman"/>
          <w:sz w:val="24"/>
          <w:szCs w:val="24"/>
          <w:lang w:val="en-GB"/>
        </w:rPr>
        <w:t>contamination</w:t>
      </w:r>
      <w:r w:rsidRPr="00D03858">
        <w:rPr>
          <w:rFonts w:eastAsia="Times New Roman"/>
          <w:sz w:val="24"/>
          <w:szCs w:val="24"/>
          <w:lang w:val="en-GB"/>
        </w:rPr>
        <w:t xml:space="preserve"> and resource </w:t>
      </w:r>
      <w:r w:rsidR="000209FD" w:rsidRPr="00D03858">
        <w:rPr>
          <w:rFonts w:eastAsia="Times New Roman"/>
          <w:sz w:val="24"/>
          <w:szCs w:val="24"/>
          <w:lang w:val="en-GB"/>
        </w:rPr>
        <w:t>ingesting</w:t>
      </w:r>
      <w:r w:rsidRPr="00D03858">
        <w:rPr>
          <w:rFonts w:eastAsia="Times New Roman"/>
          <w:sz w:val="24"/>
          <w:szCs w:val="24"/>
          <w:lang w:val="en-GB"/>
        </w:rPr>
        <w:t xml:space="preserve">. These expectations can conflict with financial </w:t>
      </w:r>
      <w:r w:rsidR="000209FD" w:rsidRPr="00D03858">
        <w:rPr>
          <w:rFonts w:eastAsia="Times New Roman"/>
          <w:sz w:val="24"/>
          <w:szCs w:val="24"/>
          <w:lang w:val="en-GB"/>
        </w:rPr>
        <w:t>weights</w:t>
      </w:r>
      <w:r w:rsidRPr="00D03858">
        <w:rPr>
          <w:rFonts w:eastAsia="Times New Roman"/>
          <w:sz w:val="24"/>
          <w:szCs w:val="24"/>
          <w:lang w:val="en-GB"/>
        </w:rPr>
        <w:t xml:space="preserve">, employment considerations and the requirement for maintaining production efficiency (Li et al., 2025). Thus, Tata Steel must </w:t>
      </w:r>
      <w:r w:rsidR="000209FD" w:rsidRPr="00D03858">
        <w:rPr>
          <w:rFonts w:eastAsia="Times New Roman"/>
          <w:sz w:val="24"/>
          <w:szCs w:val="24"/>
          <w:lang w:val="en-GB"/>
        </w:rPr>
        <w:t>equilibrium</w:t>
      </w:r>
      <w:r w:rsidRPr="00D03858">
        <w:rPr>
          <w:rFonts w:eastAsia="Times New Roman"/>
          <w:sz w:val="24"/>
          <w:szCs w:val="24"/>
          <w:lang w:val="en-GB"/>
        </w:rPr>
        <w:t xml:space="preserve"> </w:t>
      </w:r>
      <w:r w:rsidR="000209FD" w:rsidRPr="00D03858">
        <w:rPr>
          <w:rFonts w:eastAsia="Times New Roman"/>
          <w:sz w:val="24"/>
          <w:szCs w:val="24"/>
          <w:lang w:val="en-GB"/>
        </w:rPr>
        <w:t>ecological</w:t>
      </w:r>
      <w:r w:rsidRPr="00D03858">
        <w:rPr>
          <w:rFonts w:eastAsia="Times New Roman"/>
          <w:sz w:val="24"/>
          <w:szCs w:val="24"/>
          <w:lang w:val="en-GB"/>
        </w:rPr>
        <w:t xml:space="preserve"> responsibility with affordability, product quality and profitability. Its long-term competitive position will depend on demonstrating measurable environmental improvements while continuing for meeting consumer’s </w:t>
      </w:r>
      <w:r w:rsidR="000209FD" w:rsidRPr="00D03858">
        <w:rPr>
          <w:rFonts w:eastAsia="Times New Roman"/>
          <w:sz w:val="24"/>
          <w:szCs w:val="24"/>
          <w:lang w:val="en-GB"/>
        </w:rPr>
        <w:t>profitable</w:t>
      </w:r>
      <w:r w:rsidRPr="00D03858">
        <w:rPr>
          <w:rFonts w:eastAsia="Times New Roman"/>
          <w:sz w:val="24"/>
          <w:szCs w:val="24"/>
          <w:lang w:val="en-GB"/>
        </w:rPr>
        <w:t xml:space="preserve"> </w:t>
      </w:r>
      <w:r w:rsidR="000209FD" w:rsidRPr="00D03858">
        <w:rPr>
          <w:rFonts w:eastAsia="Times New Roman"/>
          <w:sz w:val="24"/>
          <w:szCs w:val="24"/>
          <w:lang w:val="en-GB"/>
        </w:rPr>
        <w:t>necessities</w:t>
      </w:r>
      <w:r w:rsidRPr="00D03858">
        <w:rPr>
          <w:rFonts w:eastAsia="Times New Roman"/>
          <w:sz w:val="24"/>
          <w:szCs w:val="24"/>
          <w:lang w:val="en-GB"/>
        </w:rPr>
        <w:t xml:space="preserve">. </w:t>
      </w:r>
    </w:p>
    <w:p w14:paraId="3169C1C4" w14:textId="77777777" w:rsidR="004C5E91" w:rsidRPr="00D03858" w:rsidRDefault="00D2453B">
      <w:pPr>
        <w:spacing w:line="360" w:lineRule="auto"/>
        <w:rPr>
          <w:rFonts w:eastAsia="Times New Roman"/>
          <w:b/>
          <w:bCs/>
          <w:sz w:val="24"/>
          <w:szCs w:val="24"/>
          <w:lang w:val="en-GB"/>
        </w:rPr>
      </w:pPr>
      <w:r w:rsidRPr="00D03858">
        <w:rPr>
          <w:rFonts w:eastAsia="Times New Roman"/>
          <w:b/>
          <w:bCs/>
          <w:sz w:val="24"/>
          <w:szCs w:val="24"/>
          <w:lang w:val="en-GB"/>
        </w:rPr>
        <w:t>Critical evaluation</w:t>
      </w:r>
    </w:p>
    <w:p w14:paraId="413B52BF" w14:textId="5DD57AFB"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The analysis has indicated that Tata Steel India's </w:t>
      </w:r>
      <w:r w:rsidR="009E102D" w:rsidRPr="00D03858">
        <w:rPr>
          <w:rFonts w:eastAsia="Times New Roman"/>
          <w:sz w:val="24"/>
          <w:szCs w:val="24"/>
          <w:lang w:val="en-GB"/>
        </w:rPr>
        <w:t>changeover</w:t>
      </w:r>
      <w:r w:rsidRPr="00D03858">
        <w:rPr>
          <w:rFonts w:eastAsia="Times New Roman"/>
          <w:sz w:val="24"/>
          <w:szCs w:val="24"/>
          <w:lang w:val="en-GB"/>
        </w:rPr>
        <w:t xml:space="preserve"> </w:t>
      </w:r>
      <w:r w:rsidR="009E102D" w:rsidRPr="00D03858">
        <w:rPr>
          <w:rFonts w:eastAsia="Times New Roman"/>
          <w:sz w:val="24"/>
          <w:szCs w:val="24"/>
          <w:lang w:val="en-GB"/>
        </w:rPr>
        <w:t>near</w:t>
      </w:r>
      <w:r w:rsidRPr="00D03858">
        <w:rPr>
          <w:rFonts w:eastAsia="Times New Roman"/>
          <w:sz w:val="24"/>
          <w:szCs w:val="24"/>
          <w:lang w:val="en-GB"/>
        </w:rPr>
        <w:t xml:space="preserve"> lower-carbon </w:t>
      </w:r>
      <w:r w:rsidR="009E102D" w:rsidRPr="00D03858">
        <w:rPr>
          <w:rFonts w:eastAsia="Times New Roman"/>
          <w:sz w:val="24"/>
          <w:szCs w:val="24"/>
          <w:lang w:val="en-GB"/>
        </w:rPr>
        <w:t>sword</w:t>
      </w:r>
      <w:r w:rsidRPr="00D03858">
        <w:rPr>
          <w:rFonts w:eastAsia="Times New Roman"/>
          <w:sz w:val="24"/>
          <w:szCs w:val="24"/>
          <w:lang w:val="en-GB"/>
        </w:rPr>
        <w:t xml:space="preserve"> is insufficient due to the </w:t>
      </w:r>
      <w:r w:rsidR="009E102D" w:rsidRPr="00D03858">
        <w:rPr>
          <w:rFonts w:eastAsia="Times New Roman"/>
          <w:sz w:val="24"/>
          <w:szCs w:val="24"/>
          <w:lang w:val="en-GB"/>
        </w:rPr>
        <w:t>mutual</w:t>
      </w:r>
      <w:r w:rsidRPr="00D03858">
        <w:rPr>
          <w:rFonts w:eastAsia="Times New Roman"/>
          <w:sz w:val="24"/>
          <w:szCs w:val="24"/>
          <w:lang w:val="en-GB"/>
        </w:rPr>
        <w:t xml:space="preserve"> impacts of </w:t>
      </w:r>
      <w:r w:rsidR="009E102D" w:rsidRPr="00D03858">
        <w:rPr>
          <w:rFonts w:eastAsia="Times New Roman"/>
          <w:sz w:val="24"/>
          <w:szCs w:val="24"/>
          <w:lang w:val="en-GB"/>
        </w:rPr>
        <w:t>conservational</w:t>
      </w:r>
      <w:r w:rsidRPr="00D03858">
        <w:rPr>
          <w:rFonts w:eastAsia="Times New Roman"/>
          <w:sz w:val="24"/>
          <w:szCs w:val="24"/>
          <w:lang w:val="en-GB"/>
        </w:rPr>
        <w:t xml:space="preserve"> </w:t>
      </w:r>
      <w:r w:rsidR="009E102D" w:rsidRPr="00D03858">
        <w:rPr>
          <w:rFonts w:eastAsia="Times New Roman"/>
          <w:sz w:val="24"/>
          <w:szCs w:val="24"/>
          <w:lang w:val="en-GB"/>
        </w:rPr>
        <w:t>compressions</w:t>
      </w:r>
      <w:r w:rsidRPr="00D03858">
        <w:rPr>
          <w:rFonts w:eastAsia="Times New Roman"/>
          <w:sz w:val="24"/>
          <w:szCs w:val="24"/>
          <w:lang w:val="en-GB"/>
        </w:rPr>
        <w:t xml:space="preserve">, government </w:t>
      </w:r>
      <w:r w:rsidR="009E102D" w:rsidRPr="00D03858">
        <w:rPr>
          <w:rFonts w:eastAsia="Times New Roman"/>
          <w:sz w:val="24"/>
          <w:szCs w:val="24"/>
          <w:lang w:val="en-GB"/>
        </w:rPr>
        <w:t>strategies</w:t>
      </w:r>
      <w:r w:rsidRPr="00D03858">
        <w:rPr>
          <w:rFonts w:eastAsia="Times New Roman"/>
          <w:sz w:val="24"/>
          <w:szCs w:val="24"/>
          <w:lang w:val="en-GB"/>
        </w:rPr>
        <w:t xml:space="preserve"> and consumer expectations. The natural </w:t>
      </w:r>
      <w:r w:rsidR="009E102D" w:rsidRPr="00D03858">
        <w:rPr>
          <w:rFonts w:eastAsia="Times New Roman"/>
          <w:sz w:val="24"/>
          <w:szCs w:val="24"/>
          <w:lang w:val="en-GB"/>
        </w:rPr>
        <w:t>setting</w:t>
      </w:r>
      <w:r w:rsidRPr="00D03858">
        <w:rPr>
          <w:rFonts w:eastAsia="Times New Roman"/>
          <w:sz w:val="24"/>
          <w:szCs w:val="24"/>
          <w:lang w:val="en-GB"/>
        </w:rPr>
        <w:t xml:space="preserve"> has </w:t>
      </w:r>
      <w:r w:rsidR="009E102D" w:rsidRPr="00D03858">
        <w:rPr>
          <w:rFonts w:eastAsia="Times New Roman"/>
          <w:sz w:val="24"/>
          <w:szCs w:val="24"/>
          <w:lang w:val="en-GB"/>
        </w:rPr>
        <w:t>shaped</w:t>
      </w:r>
      <w:r w:rsidRPr="00D03858">
        <w:rPr>
          <w:rFonts w:eastAsia="Times New Roman"/>
          <w:sz w:val="24"/>
          <w:szCs w:val="24"/>
          <w:lang w:val="en-GB"/>
        </w:rPr>
        <w:t xml:space="preserve"> a strong </w:t>
      </w:r>
      <w:r w:rsidR="009E102D" w:rsidRPr="00D03858">
        <w:rPr>
          <w:rFonts w:eastAsia="Times New Roman"/>
          <w:sz w:val="24"/>
          <w:szCs w:val="24"/>
          <w:lang w:val="en-GB"/>
        </w:rPr>
        <w:t>obligation</w:t>
      </w:r>
      <w:r w:rsidRPr="00D03858">
        <w:rPr>
          <w:rFonts w:eastAsia="Times New Roman"/>
          <w:sz w:val="24"/>
          <w:szCs w:val="24"/>
          <w:lang w:val="en-GB"/>
        </w:rPr>
        <w:t xml:space="preserve"> for reducing emissions, while </w:t>
      </w:r>
      <w:r w:rsidR="009E102D" w:rsidRPr="00D03858">
        <w:rPr>
          <w:rFonts w:eastAsia="Times New Roman"/>
          <w:sz w:val="24"/>
          <w:szCs w:val="24"/>
          <w:lang w:val="en-GB"/>
        </w:rPr>
        <w:t>administration</w:t>
      </w:r>
      <w:r w:rsidRPr="00D03858">
        <w:rPr>
          <w:rFonts w:eastAsia="Times New Roman"/>
          <w:sz w:val="24"/>
          <w:szCs w:val="24"/>
          <w:lang w:val="en-GB"/>
        </w:rPr>
        <w:t xml:space="preserve"> initiatives have provided incentives and </w:t>
      </w:r>
      <w:r w:rsidR="009E102D" w:rsidRPr="00D03858">
        <w:rPr>
          <w:rFonts w:eastAsia="Times New Roman"/>
          <w:sz w:val="24"/>
          <w:szCs w:val="24"/>
          <w:lang w:val="en-GB"/>
        </w:rPr>
        <w:t>agendas</w:t>
      </w:r>
      <w:r w:rsidRPr="00D03858">
        <w:rPr>
          <w:rFonts w:eastAsia="Times New Roman"/>
          <w:sz w:val="24"/>
          <w:szCs w:val="24"/>
          <w:lang w:val="en-GB"/>
        </w:rPr>
        <w:t xml:space="preserve"> which can support the transition of the </w:t>
      </w:r>
      <w:r w:rsidR="009E102D" w:rsidRPr="00D03858">
        <w:rPr>
          <w:rFonts w:eastAsia="Times New Roman"/>
          <w:sz w:val="24"/>
          <w:szCs w:val="24"/>
          <w:lang w:val="en-GB"/>
        </w:rPr>
        <w:t>company</w:t>
      </w:r>
      <w:r w:rsidRPr="00D03858">
        <w:rPr>
          <w:rFonts w:eastAsia="Times New Roman"/>
          <w:sz w:val="24"/>
          <w:szCs w:val="24"/>
          <w:lang w:val="en-GB"/>
        </w:rPr>
        <w:t xml:space="preserve">. However, </w:t>
      </w:r>
      <w:r w:rsidR="009E102D" w:rsidRPr="00D03858">
        <w:rPr>
          <w:rFonts w:eastAsia="Times New Roman"/>
          <w:sz w:val="24"/>
          <w:szCs w:val="24"/>
          <w:lang w:val="en-GB"/>
        </w:rPr>
        <w:t>speculation</w:t>
      </w:r>
      <w:r w:rsidRPr="00D03858">
        <w:rPr>
          <w:rFonts w:eastAsia="Times New Roman"/>
          <w:sz w:val="24"/>
          <w:szCs w:val="24"/>
          <w:lang w:val="en-GB"/>
        </w:rPr>
        <w:t xml:space="preserve"> requirements and technological </w:t>
      </w:r>
      <w:r w:rsidR="009E102D" w:rsidRPr="00D03858">
        <w:rPr>
          <w:rFonts w:eastAsia="Times New Roman"/>
          <w:sz w:val="24"/>
          <w:szCs w:val="24"/>
          <w:lang w:val="en-GB"/>
        </w:rPr>
        <w:t>boundaries</w:t>
      </w:r>
      <w:r w:rsidRPr="00D03858">
        <w:rPr>
          <w:rFonts w:eastAsia="Times New Roman"/>
          <w:sz w:val="24"/>
          <w:szCs w:val="24"/>
          <w:lang w:val="en-GB"/>
        </w:rPr>
        <w:t xml:space="preserve"> can increase production costs and create uncertainty regarding the pace of change. </w:t>
      </w:r>
    </w:p>
    <w:p w14:paraId="1BE23B5C" w14:textId="73277A73" w:rsidR="004C5E91" w:rsidRPr="00D03858" w:rsidRDefault="00D2453B">
      <w:pPr>
        <w:spacing w:line="360" w:lineRule="auto"/>
        <w:jc w:val="both"/>
        <w:rPr>
          <w:rFonts w:eastAsia="Times New Roman"/>
          <w:b/>
          <w:bCs/>
          <w:sz w:val="24"/>
          <w:szCs w:val="24"/>
          <w:lang w:val="en-GB"/>
        </w:rPr>
      </w:pPr>
      <w:r w:rsidRPr="00D03858">
        <w:rPr>
          <w:rFonts w:eastAsia="Times New Roman"/>
          <w:sz w:val="24"/>
          <w:szCs w:val="24"/>
          <w:lang w:val="en-GB"/>
        </w:rPr>
        <w:t xml:space="preserve">Additionally, among the three actors, </w:t>
      </w:r>
      <w:r w:rsidR="009E102D" w:rsidRPr="00D03858">
        <w:rPr>
          <w:rFonts w:eastAsia="Times New Roman"/>
          <w:sz w:val="24"/>
          <w:szCs w:val="24"/>
          <w:lang w:val="en-GB"/>
        </w:rPr>
        <w:t>customer</w:t>
      </w:r>
      <w:r w:rsidRPr="00D03858">
        <w:rPr>
          <w:rFonts w:eastAsia="Times New Roman"/>
          <w:sz w:val="24"/>
          <w:szCs w:val="24"/>
          <w:lang w:val="en-GB"/>
        </w:rPr>
        <w:t xml:space="preserve"> </w:t>
      </w:r>
      <w:r w:rsidR="00D03858">
        <w:rPr>
          <w:rFonts w:eastAsia="Times New Roman"/>
          <w:sz w:val="24"/>
          <w:szCs w:val="24"/>
          <w:lang w:val="en-GB"/>
        </w:rPr>
        <w:t>acknowledgement</w:t>
      </w:r>
      <w:r w:rsidRPr="00D03858">
        <w:rPr>
          <w:rFonts w:eastAsia="Times New Roman"/>
          <w:sz w:val="24"/>
          <w:szCs w:val="24"/>
          <w:lang w:val="en-GB"/>
        </w:rPr>
        <w:t xml:space="preserve"> is </w:t>
      </w:r>
      <w:r w:rsidR="009E102D" w:rsidRPr="00D03858">
        <w:rPr>
          <w:rFonts w:eastAsia="Times New Roman"/>
          <w:sz w:val="24"/>
          <w:szCs w:val="24"/>
          <w:lang w:val="en-GB"/>
        </w:rPr>
        <w:t>precisely</w:t>
      </w:r>
      <w:r w:rsidRPr="00D03858">
        <w:rPr>
          <w:rFonts w:eastAsia="Times New Roman"/>
          <w:sz w:val="24"/>
          <w:szCs w:val="24"/>
          <w:lang w:val="en-GB"/>
        </w:rPr>
        <w:t xml:space="preserve"> important in </w:t>
      </w:r>
      <w:r w:rsidR="009E102D" w:rsidRPr="00D03858">
        <w:rPr>
          <w:rFonts w:eastAsia="Times New Roman"/>
          <w:sz w:val="24"/>
          <w:szCs w:val="24"/>
          <w:lang w:val="en-GB"/>
        </w:rPr>
        <w:t>defining</w:t>
      </w:r>
      <w:r w:rsidRPr="00D03858">
        <w:rPr>
          <w:rFonts w:eastAsia="Times New Roman"/>
          <w:sz w:val="24"/>
          <w:szCs w:val="24"/>
          <w:lang w:val="en-GB"/>
        </w:rPr>
        <w:t xml:space="preserve"> commercial success. </w:t>
      </w:r>
      <w:r w:rsidR="009E102D" w:rsidRPr="00D03858">
        <w:rPr>
          <w:rFonts w:eastAsia="Times New Roman"/>
          <w:sz w:val="24"/>
          <w:szCs w:val="24"/>
          <w:lang w:val="en-GB"/>
        </w:rPr>
        <w:t>Ecological</w:t>
      </w:r>
      <w:r w:rsidRPr="00D03858">
        <w:rPr>
          <w:rFonts w:eastAsia="Times New Roman"/>
          <w:sz w:val="24"/>
          <w:szCs w:val="24"/>
          <w:lang w:val="en-GB"/>
        </w:rPr>
        <w:t xml:space="preserve"> regulations can </w:t>
      </w:r>
      <w:r w:rsidR="009E102D" w:rsidRPr="00D03858">
        <w:rPr>
          <w:rFonts w:eastAsia="Times New Roman"/>
          <w:sz w:val="24"/>
          <w:szCs w:val="24"/>
          <w:lang w:val="en-GB"/>
        </w:rPr>
        <w:t>inspire</w:t>
      </w:r>
      <w:r w:rsidRPr="00D03858">
        <w:rPr>
          <w:rFonts w:eastAsia="Times New Roman"/>
          <w:sz w:val="24"/>
          <w:szCs w:val="24"/>
          <w:lang w:val="en-GB"/>
        </w:rPr>
        <w:t xml:space="preserve"> investment in cleaner production. Tata Steel must </w:t>
      </w:r>
      <w:r w:rsidR="009E102D" w:rsidRPr="00D03858">
        <w:rPr>
          <w:rFonts w:eastAsia="Times New Roman"/>
          <w:sz w:val="24"/>
          <w:szCs w:val="24"/>
          <w:lang w:val="en-GB"/>
        </w:rPr>
        <w:t>safeguard</w:t>
      </w:r>
      <w:r w:rsidRPr="00D03858">
        <w:rPr>
          <w:rFonts w:eastAsia="Times New Roman"/>
          <w:sz w:val="24"/>
          <w:szCs w:val="24"/>
          <w:lang w:val="en-GB"/>
        </w:rPr>
        <w:t xml:space="preserve"> that the </w:t>
      </w:r>
      <w:r w:rsidR="009E102D" w:rsidRPr="00D03858">
        <w:rPr>
          <w:rFonts w:eastAsia="Times New Roman"/>
          <w:sz w:val="24"/>
          <w:szCs w:val="24"/>
          <w:lang w:val="en-GB"/>
        </w:rPr>
        <w:t>customer</w:t>
      </w:r>
      <w:r w:rsidRPr="00D03858">
        <w:rPr>
          <w:rFonts w:eastAsia="Times New Roman"/>
          <w:sz w:val="24"/>
          <w:szCs w:val="24"/>
          <w:lang w:val="en-GB"/>
        </w:rPr>
        <w:t xml:space="preserve"> identifies the </w:t>
      </w:r>
      <w:r w:rsidR="009E102D" w:rsidRPr="00D03858">
        <w:rPr>
          <w:rFonts w:eastAsia="Times New Roman"/>
          <w:sz w:val="24"/>
          <w:szCs w:val="24"/>
          <w:lang w:val="en-GB"/>
        </w:rPr>
        <w:t>worth</w:t>
      </w:r>
      <w:r w:rsidRPr="00D03858">
        <w:rPr>
          <w:rFonts w:eastAsia="Times New Roman"/>
          <w:sz w:val="24"/>
          <w:szCs w:val="24"/>
          <w:lang w:val="en-GB"/>
        </w:rPr>
        <w:t xml:space="preserve"> of lower-carbon and that demand can justify </w:t>
      </w:r>
      <w:r w:rsidR="009E102D" w:rsidRPr="00D03858">
        <w:rPr>
          <w:rFonts w:eastAsia="Times New Roman"/>
          <w:sz w:val="24"/>
          <w:szCs w:val="24"/>
          <w:lang w:val="en-GB"/>
        </w:rPr>
        <w:t>related</w:t>
      </w:r>
      <w:r w:rsidRPr="00D03858">
        <w:rPr>
          <w:rFonts w:eastAsia="Times New Roman"/>
          <w:sz w:val="24"/>
          <w:szCs w:val="24"/>
          <w:lang w:val="en-GB"/>
        </w:rPr>
        <w:t xml:space="preserve"> </w:t>
      </w:r>
      <w:r w:rsidR="009E102D" w:rsidRPr="00D03858">
        <w:rPr>
          <w:rFonts w:eastAsia="Times New Roman"/>
          <w:sz w:val="24"/>
          <w:szCs w:val="24"/>
          <w:lang w:val="en-GB"/>
        </w:rPr>
        <w:t>prices</w:t>
      </w:r>
      <w:r w:rsidRPr="00D03858">
        <w:rPr>
          <w:rFonts w:eastAsia="Times New Roman"/>
          <w:sz w:val="24"/>
          <w:szCs w:val="24"/>
          <w:lang w:val="en-GB"/>
        </w:rPr>
        <w:t xml:space="preserve">. Therefore, the corporation may face a strategic trade-off between </w:t>
      </w:r>
      <w:r w:rsidR="009E102D" w:rsidRPr="00D03858">
        <w:rPr>
          <w:rFonts w:eastAsia="Times New Roman"/>
          <w:sz w:val="24"/>
          <w:szCs w:val="24"/>
          <w:lang w:val="en-GB"/>
        </w:rPr>
        <w:t>ecological</w:t>
      </w:r>
      <w:r w:rsidRPr="00D03858">
        <w:rPr>
          <w:rFonts w:eastAsia="Times New Roman"/>
          <w:sz w:val="24"/>
          <w:szCs w:val="24"/>
          <w:lang w:val="en-GB"/>
        </w:rPr>
        <w:t xml:space="preserve"> improvement, </w:t>
      </w:r>
      <w:r w:rsidR="009E102D" w:rsidRPr="00D03858">
        <w:rPr>
          <w:rFonts w:eastAsia="Times New Roman"/>
          <w:sz w:val="24"/>
          <w:szCs w:val="24"/>
          <w:lang w:val="en-GB"/>
        </w:rPr>
        <w:t>diffident</w:t>
      </w:r>
      <w:r w:rsidRPr="00D03858">
        <w:rPr>
          <w:rFonts w:eastAsia="Times New Roman"/>
          <w:sz w:val="24"/>
          <w:szCs w:val="24"/>
          <w:lang w:val="en-GB"/>
        </w:rPr>
        <w:t xml:space="preserve"> pricing and </w:t>
      </w:r>
      <w:r w:rsidR="009E102D" w:rsidRPr="00D03858">
        <w:rPr>
          <w:rFonts w:eastAsia="Times New Roman"/>
          <w:sz w:val="24"/>
          <w:szCs w:val="24"/>
          <w:lang w:val="en-GB"/>
        </w:rPr>
        <w:t>effectiveness</w:t>
      </w:r>
      <w:r w:rsidRPr="00D03858">
        <w:rPr>
          <w:rFonts w:eastAsia="Times New Roman"/>
          <w:sz w:val="24"/>
          <w:szCs w:val="24"/>
          <w:lang w:val="en-GB"/>
        </w:rPr>
        <w:t xml:space="preserve">. Overall, a successful transition requires Tata Steel to combine </w:t>
      </w:r>
      <w:r w:rsidR="009E102D" w:rsidRPr="00D03858">
        <w:rPr>
          <w:rFonts w:eastAsia="Times New Roman"/>
          <w:sz w:val="24"/>
          <w:szCs w:val="24"/>
          <w:lang w:val="en-GB"/>
        </w:rPr>
        <w:t>trustworthy</w:t>
      </w:r>
      <w:r w:rsidRPr="00D03858">
        <w:rPr>
          <w:rFonts w:eastAsia="Times New Roman"/>
          <w:sz w:val="24"/>
          <w:szCs w:val="24"/>
          <w:lang w:val="en-GB"/>
        </w:rPr>
        <w:t xml:space="preserve"> emissions </w:t>
      </w:r>
      <w:r w:rsidR="009E102D" w:rsidRPr="00D03858">
        <w:rPr>
          <w:rFonts w:eastAsia="Times New Roman"/>
          <w:sz w:val="24"/>
          <w:szCs w:val="24"/>
          <w:lang w:val="en-GB"/>
        </w:rPr>
        <w:t>discounts</w:t>
      </w:r>
      <w:r w:rsidRPr="00D03858">
        <w:rPr>
          <w:rFonts w:eastAsia="Times New Roman"/>
          <w:sz w:val="24"/>
          <w:szCs w:val="24"/>
          <w:lang w:val="en-GB"/>
        </w:rPr>
        <w:t xml:space="preserve"> with </w:t>
      </w:r>
      <w:r w:rsidR="009E102D" w:rsidRPr="00D03858">
        <w:rPr>
          <w:rFonts w:eastAsia="Times New Roman"/>
          <w:sz w:val="24"/>
          <w:szCs w:val="24"/>
          <w:lang w:val="en-GB"/>
        </w:rPr>
        <w:t>working</w:t>
      </w:r>
      <w:r w:rsidRPr="00D03858">
        <w:rPr>
          <w:rFonts w:eastAsia="Times New Roman"/>
          <w:sz w:val="24"/>
          <w:szCs w:val="24"/>
          <w:lang w:val="en-GB"/>
        </w:rPr>
        <w:t xml:space="preserve"> efficiency and a clear </w:t>
      </w:r>
      <w:r w:rsidR="009E102D" w:rsidRPr="00D03858">
        <w:rPr>
          <w:rFonts w:eastAsia="Times New Roman"/>
          <w:sz w:val="24"/>
          <w:szCs w:val="24"/>
          <w:lang w:val="en-GB"/>
        </w:rPr>
        <w:t>sympathetic</w:t>
      </w:r>
      <w:r w:rsidRPr="00D03858">
        <w:rPr>
          <w:rFonts w:eastAsia="Times New Roman"/>
          <w:sz w:val="24"/>
          <w:szCs w:val="24"/>
          <w:lang w:val="en-GB"/>
        </w:rPr>
        <w:t xml:space="preserve"> of business consumers' </w:t>
      </w:r>
      <w:r w:rsidR="009E102D" w:rsidRPr="00D03858">
        <w:rPr>
          <w:rFonts w:eastAsia="Times New Roman"/>
          <w:sz w:val="24"/>
          <w:szCs w:val="24"/>
          <w:lang w:val="en-GB"/>
        </w:rPr>
        <w:t>buying</w:t>
      </w:r>
      <w:r w:rsidRPr="00D03858">
        <w:rPr>
          <w:rFonts w:eastAsia="Times New Roman"/>
          <w:sz w:val="24"/>
          <w:szCs w:val="24"/>
          <w:lang w:val="en-GB"/>
        </w:rPr>
        <w:t xml:space="preserve"> </w:t>
      </w:r>
      <w:r w:rsidR="009E102D" w:rsidRPr="00D03858">
        <w:rPr>
          <w:rFonts w:eastAsia="Times New Roman"/>
          <w:sz w:val="24"/>
          <w:szCs w:val="24"/>
          <w:lang w:val="en-GB"/>
        </w:rPr>
        <w:t>urgencies</w:t>
      </w:r>
      <w:r w:rsidRPr="00D03858">
        <w:rPr>
          <w:rFonts w:eastAsia="Times New Roman"/>
          <w:sz w:val="24"/>
          <w:szCs w:val="24"/>
          <w:lang w:val="en-GB"/>
        </w:rPr>
        <w:t xml:space="preserve">. </w:t>
      </w:r>
    </w:p>
    <w:p w14:paraId="510C0752" w14:textId="77777777" w:rsidR="004C5E91" w:rsidRPr="00D03858" w:rsidRDefault="00D2453B">
      <w:pPr>
        <w:pStyle w:val="Heading1"/>
        <w:jc w:val="both"/>
        <w:rPr>
          <w:rFonts w:ascii="Arial" w:hAnsi="Arial" w:cs="Arial"/>
          <w:lang w:val="en-GB"/>
        </w:rPr>
      </w:pPr>
      <w:bookmarkStart w:id="1" w:name="_x9jendn669r1" w:colFirst="0" w:colLast="0"/>
      <w:bookmarkEnd w:id="1"/>
      <w:r w:rsidRPr="00D03858">
        <w:rPr>
          <w:rFonts w:ascii="Arial" w:hAnsi="Arial" w:cs="Arial"/>
          <w:lang w:val="en-GB"/>
        </w:rPr>
        <w:lastRenderedPageBreak/>
        <w:t xml:space="preserve">Task 2: Strategic Growth and Competitive Positioning </w:t>
      </w:r>
    </w:p>
    <w:p w14:paraId="5581B8E4" w14:textId="5FCFD692" w:rsidR="004C5E91" w:rsidRPr="00D03858" w:rsidRDefault="00D03858">
      <w:pPr>
        <w:spacing w:line="360" w:lineRule="auto"/>
        <w:jc w:val="both"/>
        <w:rPr>
          <w:rFonts w:eastAsia="Times New Roman"/>
          <w:sz w:val="24"/>
          <w:szCs w:val="24"/>
          <w:lang w:val="en-GB"/>
        </w:rPr>
      </w:pPr>
      <w:r>
        <w:rPr>
          <w:rFonts w:eastAsia="Times New Roman"/>
          <w:sz w:val="24"/>
          <w:szCs w:val="24"/>
          <w:lang w:val="en-GB"/>
        </w:rPr>
        <w:t xml:space="preserve">The analysis undertaken in task 1 </w:t>
      </w:r>
      <w:r w:rsidR="00D2453B" w:rsidRPr="00D03858">
        <w:rPr>
          <w:rFonts w:eastAsia="Times New Roman"/>
          <w:sz w:val="24"/>
          <w:szCs w:val="24"/>
          <w:lang w:val="en-GB"/>
        </w:rPr>
        <w:t xml:space="preserve">has highlighted the strategic challenge which Tata Steel has faced in balancing environmental sustainability with commercial viability. Thus, in this section, the Ansoff Matrix </w:t>
      </w:r>
      <w:r>
        <w:rPr>
          <w:rFonts w:eastAsia="Times New Roman"/>
          <w:sz w:val="24"/>
          <w:szCs w:val="24"/>
          <w:lang w:val="en-GB"/>
        </w:rPr>
        <w:t xml:space="preserve">and porters generic strategy </w:t>
      </w:r>
      <w:r w:rsidR="00D2453B" w:rsidRPr="00D03858">
        <w:rPr>
          <w:rFonts w:eastAsia="Times New Roman"/>
          <w:sz w:val="24"/>
          <w:szCs w:val="24"/>
          <w:lang w:val="en-GB"/>
        </w:rPr>
        <w:t xml:space="preserve">will be applied to evaluate growth strategies and recognise a reliable approach for supporting the organisation's transition towards lower-carbon steel products. </w:t>
      </w:r>
    </w:p>
    <w:p w14:paraId="6C9EF671" w14:textId="77777777" w:rsidR="004C5E91" w:rsidRPr="00D03858" w:rsidRDefault="00D2453B">
      <w:pPr>
        <w:spacing w:line="360" w:lineRule="auto"/>
        <w:jc w:val="center"/>
        <w:rPr>
          <w:rFonts w:eastAsia="Times New Roman"/>
          <w:sz w:val="24"/>
          <w:szCs w:val="24"/>
          <w:lang w:val="en-GB"/>
        </w:rPr>
      </w:pPr>
      <w:r w:rsidRPr="00D03858">
        <w:rPr>
          <w:rFonts w:eastAsia="Times New Roman"/>
          <w:noProof/>
          <w:sz w:val="24"/>
          <w:szCs w:val="24"/>
          <w:lang w:val="en-GB"/>
        </w:rPr>
        <w:drawing>
          <wp:inline distT="114300" distB="114300" distL="114300" distR="114300" wp14:anchorId="16F34867" wp14:editId="0E2D5B62">
            <wp:extent cx="3580279" cy="304323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5"/>
                    <a:stretch>
                      <a:fillRect/>
                    </a:stretch>
                  </pic:blipFill>
                  <pic:spPr>
                    <a:xfrm>
                      <a:off x="0" y="0"/>
                      <a:ext cx="3580279" cy="3043238"/>
                    </a:xfrm>
                    <a:prstGeom prst="rect">
                      <a:avLst/>
                    </a:prstGeom>
                    <a:ln w="12700">
                      <a:solidFill>
                        <a:srgbClr val="000000"/>
                      </a:solidFill>
                      <a:prstDash val="solid"/>
                    </a:ln>
                  </pic:spPr>
                </pic:pic>
              </a:graphicData>
            </a:graphic>
          </wp:inline>
        </w:drawing>
      </w:r>
    </w:p>
    <w:p w14:paraId="2961314E" w14:textId="77777777" w:rsidR="004C5E91" w:rsidRPr="00D03858" w:rsidRDefault="00D2453B">
      <w:pPr>
        <w:spacing w:line="360" w:lineRule="auto"/>
        <w:jc w:val="center"/>
        <w:rPr>
          <w:rFonts w:eastAsia="Times New Roman"/>
          <w:b/>
          <w:bCs/>
          <w:sz w:val="24"/>
          <w:szCs w:val="24"/>
          <w:lang w:val="en-GB"/>
        </w:rPr>
      </w:pPr>
      <w:r w:rsidRPr="00D03858">
        <w:rPr>
          <w:rFonts w:eastAsia="Times New Roman"/>
          <w:b/>
          <w:bCs/>
          <w:sz w:val="24"/>
          <w:szCs w:val="24"/>
          <w:lang w:val="en-GB"/>
        </w:rPr>
        <w:t>Figure 1: Ansoff Matrix</w:t>
      </w:r>
    </w:p>
    <w:p w14:paraId="10AD58AD" w14:textId="77777777" w:rsidR="004C5E91" w:rsidRPr="00D03858" w:rsidRDefault="00D2453B">
      <w:pPr>
        <w:spacing w:line="360" w:lineRule="auto"/>
        <w:jc w:val="center"/>
        <w:rPr>
          <w:rFonts w:eastAsia="Times New Roman"/>
          <w:sz w:val="24"/>
          <w:szCs w:val="24"/>
          <w:lang w:val="en-GB"/>
        </w:rPr>
      </w:pPr>
      <w:r w:rsidRPr="00D03858">
        <w:rPr>
          <w:rFonts w:eastAsia="Times New Roman"/>
          <w:sz w:val="24"/>
          <w:szCs w:val="24"/>
          <w:lang w:val="en-GB"/>
        </w:rPr>
        <w:t>(Source: Volkov, 2014)</w:t>
      </w:r>
    </w:p>
    <w:p w14:paraId="652FA86E" w14:textId="77777777" w:rsidR="004C5E91" w:rsidRPr="00D03858" w:rsidRDefault="00D2453B">
      <w:pPr>
        <w:spacing w:line="360" w:lineRule="auto"/>
        <w:jc w:val="both"/>
        <w:rPr>
          <w:rFonts w:eastAsia="Times New Roman"/>
          <w:b/>
          <w:bCs/>
          <w:i/>
          <w:iCs/>
          <w:sz w:val="24"/>
          <w:szCs w:val="24"/>
          <w:lang w:val="en-GB"/>
        </w:rPr>
      </w:pPr>
      <w:r w:rsidRPr="00D03858">
        <w:rPr>
          <w:rFonts w:eastAsia="Times New Roman"/>
          <w:b/>
          <w:bCs/>
          <w:i/>
          <w:iCs/>
          <w:sz w:val="24"/>
          <w:szCs w:val="24"/>
          <w:lang w:val="en-GB"/>
        </w:rPr>
        <w:t>Market Penetration</w:t>
      </w:r>
    </w:p>
    <w:p w14:paraId="705D7E04" w14:textId="612B3F56"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By </w:t>
      </w:r>
      <w:proofErr w:type="spellStart"/>
      <w:r w:rsidR="00371F0B">
        <w:rPr>
          <w:rFonts w:eastAsia="Times New Roman"/>
          <w:sz w:val="24"/>
          <w:szCs w:val="24"/>
          <w:lang w:val="en-GB"/>
        </w:rPr>
        <w:t>applyiny</w:t>
      </w:r>
      <w:proofErr w:type="spellEnd"/>
      <w:r w:rsidRPr="00D03858">
        <w:rPr>
          <w:rFonts w:eastAsia="Times New Roman"/>
          <w:sz w:val="24"/>
          <w:szCs w:val="24"/>
          <w:lang w:val="en-GB"/>
        </w:rPr>
        <w:t xml:space="preserve"> market penetration strategy, Tata Steel India can increase sales of its existing products within the current markets through the straightening of consumer relationships, improving distribution efficiency and maintaining competitive prices. In this context, India's steel demand is mainly supported by infrastructure development and construction activity, as it creates opportunities for expanding sales to existing industrial consumers (Tata Steel, 2025). However, this strategy can provide a limited impact on the lower carbon transition if the growth continues to rely mainly on conventional steel production (Zhang et al., 2025). Thus, Tata Steel is required for improving operational efficiency and gradually reduce production emissions while retaining its existing consumer base. </w:t>
      </w:r>
    </w:p>
    <w:p w14:paraId="4DB85B89" w14:textId="77777777" w:rsidR="004C5E91" w:rsidRPr="00D03858" w:rsidRDefault="00D2453B">
      <w:pPr>
        <w:spacing w:line="360" w:lineRule="auto"/>
        <w:jc w:val="both"/>
        <w:rPr>
          <w:rFonts w:eastAsia="Times New Roman"/>
          <w:b/>
          <w:bCs/>
          <w:i/>
          <w:iCs/>
          <w:sz w:val="24"/>
          <w:szCs w:val="24"/>
          <w:lang w:val="en-GB"/>
        </w:rPr>
      </w:pPr>
      <w:r w:rsidRPr="00D03858">
        <w:rPr>
          <w:rFonts w:eastAsia="Times New Roman"/>
          <w:b/>
          <w:bCs/>
          <w:i/>
          <w:iCs/>
          <w:sz w:val="24"/>
          <w:szCs w:val="24"/>
          <w:lang w:val="en-GB"/>
        </w:rPr>
        <w:t>Product Development</w:t>
      </w:r>
    </w:p>
    <w:p w14:paraId="754A93E2" w14:textId="77777777" w:rsidR="00B05E37" w:rsidRDefault="00D2453B">
      <w:pPr>
        <w:spacing w:line="360" w:lineRule="auto"/>
        <w:jc w:val="both"/>
        <w:rPr>
          <w:rFonts w:eastAsia="Times New Roman"/>
          <w:sz w:val="24"/>
          <w:szCs w:val="24"/>
          <w:lang w:val="en-GB"/>
        </w:rPr>
      </w:pPr>
      <w:r w:rsidRPr="00D03858">
        <w:rPr>
          <w:rFonts w:eastAsia="Times New Roman"/>
          <w:sz w:val="24"/>
          <w:szCs w:val="24"/>
          <w:lang w:val="en-GB"/>
        </w:rPr>
        <w:lastRenderedPageBreak/>
        <w:t xml:space="preserve">Product development can allow Tata Steel India for introducing lower-carbon steel products to its existing consumer markets by responding to the growing environmental expectations. The organisation has established two pathways for the Indian market, including low-emission steel supported by an internal carbon bank mechanism and steel products containing increased recycled material, with both pathways independently verified (Tata Steel, 2026a). </w:t>
      </w:r>
    </w:p>
    <w:p w14:paraId="349C68D1" w14:textId="324DFF5E"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This approach can help the corporation in addressing consumers' sustainability requirements while strengthening its existing business relationships. However, India's low-emission steel market has remained at an early stage, as it is creating uncertainty about demand and consumers' willingness for paying higher prices (Arora, 2026). Thus, product development offers Tata Steel a promising route for sustainable growth, provided that environmental benefits are commercially viable. </w:t>
      </w:r>
    </w:p>
    <w:p w14:paraId="6F6DEFCB" w14:textId="77777777" w:rsidR="004C5E91" w:rsidRPr="00D03858" w:rsidRDefault="00D2453B">
      <w:pPr>
        <w:spacing w:line="360" w:lineRule="auto"/>
        <w:jc w:val="both"/>
        <w:rPr>
          <w:rFonts w:eastAsia="Times New Roman"/>
          <w:b/>
          <w:bCs/>
          <w:i/>
          <w:iCs/>
          <w:sz w:val="24"/>
          <w:szCs w:val="24"/>
          <w:lang w:val="en-GB"/>
        </w:rPr>
      </w:pPr>
      <w:r w:rsidRPr="00D03858">
        <w:rPr>
          <w:rFonts w:eastAsia="Times New Roman"/>
          <w:b/>
          <w:bCs/>
          <w:i/>
          <w:iCs/>
          <w:sz w:val="24"/>
          <w:szCs w:val="24"/>
          <w:lang w:val="en-GB"/>
        </w:rPr>
        <w:t>Market Development</w:t>
      </w:r>
    </w:p>
    <w:p w14:paraId="67951EBA" w14:textId="09FB7F61"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Market development strategy can significantly enable Tata Steel India to expand its existing steel products into new geographical markets and consumer segments, including Japan and South Korea. In this regard, the corporation can explore opportunities within the international markets where infrastructure development and demand for sustainable construction materials create potential for effective growth (Mahmood et al., 2025). However, entering a new market can bring different environmental regulations, transportation costs and competitive pressures for Tata Steel India. Also, existing products of the organisation may not meet the sustainability expectations of every targeted market (AI-</w:t>
      </w:r>
      <w:proofErr w:type="spellStart"/>
      <w:r w:rsidRPr="00D03858">
        <w:rPr>
          <w:rFonts w:eastAsia="Times New Roman"/>
          <w:sz w:val="24"/>
          <w:szCs w:val="24"/>
          <w:lang w:val="en-GB"/>
        </w:rPr>
        <w:t>Swidi</w:t>
      </w:r>
      <w:proofErr w:type="spellEnd"/>
      <w:r w:rsidRPr="00D03858">
        <w:rPr>
          <w:rFonts w:eastAsia="Times New Roman"/>
          <w:sz w:val="24"/>
          <w:szCs w:val="24"/>
          <w:lang w:val="en-GB"/>
        </w:rPr>
        <w:t xml:space="preserve"> et al., 2023). Thus, </w:t>
      </w:r>
      <w:r w:rsidR="009E102D" w:rsidRPr="00D03858">
        <w:rPr>
          <w:rFonts w:eastAsia="Times New Roman"/>
          <w:sz w:val="24"/>
          <w:szCs w:val="24"/>
          <w:lang w:val="en-GB"/>
        </w:rPr>
        <w:t>though</w:t>
      </w:r>
      <w:r w:rsidRPr="00D03858">
        <w:rPr>
          <w:rFonts w:eastAsia="Times New Roman"/>
          <w:sz w:val="24"/>
          <w:szCs w:val="24"/>
          <w:lang w:val="en-GB"/>
        </w:rPr>
        <w:t xml:space="preserve"> market </w:t>
      </w:r>
      <w:r w:rsidR="009E102D" w:rsidRPr="00D03858">
        <w:rPr>
          <w:rFonts w:eastAsia="Times New Roman"/>
          <w:sz w:val="24"/>
          <w:szCs w:val="24"/>
          <w:lang w:val="en-GB"/>
        </w:rPr>
        <w:t>expansion</w:t>
      </w:r>
      <w:r w:rsidRPr="00D03858">
        <w:rPr>
          <w:rFonts w:eastAsia="Times New Roman"/>
          <w:sz w:val="24"/>
          <w:szCs w:val="24"/>
          <w:lang w:val="en-GB"/>
        </w:rPr>
        <w:t xml:space="preserve"> offers opportunities for </w:t>
      </w:r>
      <w:r w:rsidR="009E102D" w:rsidRPr="00D03858">
        <w:rPr>
          <w:rFonts w:eastAsia="Times New Roman"/>
          <w:sz w:val="24"/>
          <w:szCs w:val="24"/>
          <w:lang w:val="en-GB"/>
        </w:rPr>
        <w:t>increasing</w:t>
      </w:r>
      <w:r w:rsidRPr="00D03858">
        <w:rPr>
          <w:rFonts w:eastAsia="Times New Roman"/>
          <w:sz w:val="24"/>
          <w:szCs w:val="24"/>
          <w:lang w:val="en-GB"/>
        </w:rPr>
        <w:t xml:space="preserve"> sales, its </w:t>
      </w:r>
      <w:r w:rsidR="009E102D" w:rsidRPr="00D03858">
        <w:rPr>
          <w:rFonts w:eastAsia="Times New Roman"/>
          <w:sz w:val="24"/>
          <w:szCs w:val="24"/>
          <w:lang w:val="en-GB"/>
        </w:rPr>
        <w:t>achievement</w:t>
      </w:r>
      <w:r w:rsidRPr="00D03858">
        <w:rPr>
          <w:rFonts w:eastAsia="Times New Roman"/>
          <w:sz w:val="24"/>
          <w:szCs w:val="24"/>
          <w:lang w:val="en-GB"/>
        </w:rPr>
        <w:t xml:space="preserve"> significantly </w:t>
      </w:r>
      <w:r w:rsidR="009E102D" w:rsidRPr="00D03858">
        <w:rPr>
          <w:rFonts w:eastAsia="Times New Roman"/>
          <w:sz w:val="24"/>
          <w:szCs w:val="24"/>
          <w:lang w:val="en-GB"/>
        </w:rPr>
        <w:t>trusts</w:t>
      </w:r>
      <w:r w:rsidRPr="00D03858">
        <w:rPr>
          <w:rFonts w:eastAsia="Times New Roman"/>
          <w:sz w:val="24"/>
          <w:szCs w:val="24"/>
          <w:lang w:val="en-GB"/>
        </w:rPr>
        <w:t xml:space="preserve"> on careful </w:t>
      </w:r>
      <w:r w:rsidR="009E102D" w:rsidRPr="00D03858">
        <w:rPr>
          <w:rFonts w:eastAsia="Times New Roman"/>
          <w:sz w:val="24"/>
          <w:szCs w:val="24"/>
          <w:lang w:val="en-GB"/>
        </w:rPr>
        <w:t>marketplace</w:t>
      </w:r>
      <w:r w:rsidRPr="00D03858">
        <w:rPr>
          <w:rFonts w:eastAsia="Times New Roman"/>
          <w:sz w:val="24"/>
          <w:szCs w:val="24"/>
          <w:lang w:val="en-GB"/>
        </w:rPr>
        <w:t xml:space="preserve"> selection, regulatory compliance and the </w:t>
      </w:r>
      <w:r w:rsidR="009E102D" w:rsidRPr="00D03858">
        <w:rPr>
          <w:rFonts w:eastAsia="Times New Roman"/>
          <w:sz w:val="24"/>
          <w:szCs w:val="24"/>
          <w:lang w:val="en-GB"/>
        </w:rPr>
        <w:t>competence</w:t>
      </w:r>
      <w:r w:rsidRPr="00D03858">
        <w:rPr>
          <w:rFonts w:eastAsia="Times New Roman"/>
          <w:sz w:val="24"/>
          <w:szCs w:val="24"/>
          <w:lang w:val="en-GB"/>
        </w:rPr>
        <w:t xml:space="preserve"> of </w:t>
      </w:r>
      <w:r w:rsidR="009E102D" w:rsidRPr="00D03858">
        <w:rPr>
          <w:rFonts w:eastAsia="Times New Roman"/>
          <w:sz w:val="24"/>
          <w:szCs w:val="24"/>
          <w:lang w:val="en-GB"/>
        </w:rPr>
        <w:t>conferencing</w:t>
      </w:r>
      <w:r w:rsidRPr="00D03858">
        <w:rPr>
          <w:rFonts w:eastAsia="Times New Roman"/>
          <w:sz w:val="24"/>
          <w:szCs w:val="24"/>
          <w:lang w:val="en-GB"/>
        </w:rPr>
        <w:t xml:space="preserve"> consumer requirements without compromising the </w:t>
      </w:r>
      <w:r w:rsidR="009E102D" w:rsidRPr="00D03858">
        <w:rPr>
          <w:rFonts w:eastAsia="Times New Roman"/>
          <w:sz w:val="24"/>
          <w:szCs w:val="24"/>
          <w:lang w:val="en-GB"/>
        </w:rPr>
        <w:t>effectiveness</w:t>
      </w:r>
      <w:r w:rsidRPr="00D03858">
        <w:rPr>
          <w:rFonts w:eastAsia="Times New Roman"/>
          <w:sz w:val="24"/>
          <w:szCs w:val="24"/>
          <w:lang w:val="en-GB"/>
        </w:rPr>
        <w:t xml:space="preserve"> of an </w:t>
      </w:r>
      <w:r w:rsidR="009E102D" w:rsidRPr="00D03858">
        <w:rPr>
          <w:rFonts w:eastAsia="Times New Roman"/>
          <w:sz w:val="24"/>
          <w:szCs w:val="24"/>
          <w:lang w:val="en-GB"/>
        </w:rPr>
        <w:t>administration</w:t>
      </w:r>
      <w:r w:rsidRPr="00D03858">
        <w:rPr>
          <w:rFonts w:eastAsia="Times New Roman"/>
          <w:sz w:val="24"/>
          <w:szCs w:val="24"/>
          <w:lang w:val="en-GB"/>
        </w:rPr>
        <w:t xml:space="preserve">. </w:t>
      </w:r>
    </w:p>
    <w:p w14:paraId="5EC8B9A2" w14:textId="77777777" w:rsidR="004C5E91" w:rsidRPr="00D03858" w:rsidRDefault="00D2453B">
      <w:pPr>
        <w:spacing w:line="360" w:lineRule="auto"/>
        <w:jc w:val="both"/>
        <w:rPr>
          <w:rFonts w:eastAsia="Times New Roman"/>
          <w:b/>
          <w:bCs/>
          <w:i/>
          <w:iCs/>
          <w:sz w:val="24"/>
          <w:szCs w:val="24"/>
          <w:lang w:val="en-GB"/>
        </w:rPr>
      </w:pPr>
      <w:r w:rsidRPr="00D03858">
        <w:rPr>
          <w:rFonts w:eastAsia="Times New Roman"/>
          <w:b/>
          <w:bCs/>
          <w:i/>
          <w:iCs/>
          <w:sz w:val="24"/>
          <w:szCs w:val="24"/>
          <w:lang w:val="en-GB"/>
        </w:rPr>
        <w:t>Diversification</w:t>
      </w:r>
    </w:p>
    <w:p w14:paraId="5586638D" w14:textId="670D1DD4" w:rsidR="004C5E91" w:rsidRPr="00D03858" w:rsidRDefault="009E102D">
      <w:pPr>
        <w:spacing w:line="360" w:lineRule="auto"/>
        <w:jc w:val="both"/>
        <w:rPr>
          <w:rFonts w:eastAsia="Times New Roman"/>
          <w:sz w:val="24"/>
          <w:szCs w:val="24"/>
          <w:lang w:val="en-GB"/>
        </w:rPr>
      </w:pPr>
      <w:r w:rsidRPr="00D03858">
        <w:rPr>
          <w:rFonts w:eastAsia="Times New Roman"/>
          <w:sz w:val="24"/>
          <w:szCs w:val="24"/>
          <w:lang w:val="en-GB"/>
        </w:rPr>
        <w:t xml:space="preserve">Another growth chance for Tata Steel India is to enlarge beyond its prevailing products and markets by establishing new commercial areas, including Japan and South Korea linked to the lower-carbon transition. The organisation can discover related occasions in steel recycling and circular-material explanations for improving resource efficiency and reducing reliance on conventional production methods (Ibe et al., 2025). However, </w:t>
      </w:r>
      <w:r w:rsidRPr="00D03858">
        <w:rPr>
          <w:rFonts w:eastAsia="Times New Roman"/>
          <w:sz w:val="24"/>
          <w:szCs w:val="24"/>
          <w:lang w:val="en-GB"/>
        </w:rPr>
        <w:lastRenderedPageBreak/>
        <w:t>divergence can require substantial capital investment, specialised capabilities and additional market knowledge, which may increase financial and operational risks for the organisation. Besides that, inflowing unfamiliar marketplaces can divert capitals from refining existing steel processes (AI-</w:t>
      </w:r>
      <w:proofErr w:type="spellStart"/>
      <w:r w:rsidRPr="00D03858">
        <w:rPr>
          <w:rFonts w:eastAsia="Times New Roman"/>
          <w:sz w:val="24"/>
          <w:szCs w:val="24"/>
          <w:lang w:val="en-GB"/>
        </w:rPr>
        <w:t>Swidi</w:t>
      </w:r>
      <w:proofErr w:type="spellEnd"/>
      <w:r w:rsidRPr="00D03858">
        <w:rPr>
          <w:rFonts w:eastAsia="Times New Roman"/>
          <w:sz w:val="24"/>
          <w:szCs w:val="24"/>
          <w:lang w:val="en-GB"/>
        </w:rPr>
        <w:t xml:space="preserve"> et al., 2023). Thus, although diversification offers potential for long-term growth, it may be less reliable than the product growth strategy to address Tata Steel's immediate decarbonisation tests. </w:t>
      </w:r>
    </w:p>
    <w:p w14:paraId="1FA6010D" w14:textId="77777777" w:rsidR="004C5E91" w:rsidRPr="00D03858" w:rsidRDefault="00D2453B">
      <w:pPr>
        <w:spacing w:line="360" w:lineRule="auto"/>
        <w:jc w:val="both"/>
        <w:rPr>
          <w:rFonts w:eastAsia="Times New Roman"/>
          <w:b/>
          <w:bCs/>
          <w:i/>
          <w:iCs/>
          <w:sz w:val="24"/>
          <w:szCs w:val="24"/>
          <w:lang w:val="en-GB"/>
        </w:rPr>
      </w:pPr>
      <w:r w:rsidRPr="00D03858">
        <w:rPr>
          <w:rFonts w:eastAsia="Times New Roman"/>
          <w:b/>
          <w:bCs/>
          <w:i/>
          <w:iCs/>
          <w:sz w:val="24"/>
          <w:szCs w:val="24"/>
          <w:lang w:val="en-GB"/>
        </w:rPr>
        <w:t>Recommended Growth Strategy</w:t>
      </w:r>
    </w:p>
    <w:p w14:paraId="7DE81E62" w14:textId="77777777" w:rsidR="00E23DE9"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By </w:t>
      </w:r>
      <w:r w:rsidR="009E102D" w:rsidRPr="00D03858">
        <w:rPr>
          <w:rFonts w:eastAsia="Times New Roman"/>
          <w:sz w:val="24"/>
          <w:szCs w:val="24"/>
          <w:lang w:val="en-GB"/>
        </w:rPr>
        <w:t>assessing</w:t>
      </w:r>
      <w:r w:rsidRPr="00D03858">
        <w:rPr>
          <w:rFonts w:eastAsia="Times New Roman"/>
          <w:sz w:val="24"/>
          <w:szCs w:val="24"/>
          <w:lang w:val="en-GB"/>
        </w:rPr>
        <w:t xml:space="preserve"> the four Ansoff Matrix strategies, it can be suggested that the product development strategy is the most appropriate growth approach for Tata Steel India. While market </w:t>
      </w:r>
      <w:r w:rsidR="009E102D" w:rsidRPr="00D03858">
        <w:rPr>
          <w:rFonts w:eastAsia="Times New Roman"/>
          <w:sz w:val="24"/>
          <w:szCs w:val="24"/>
          <w:lang w:val="en-GB"/>
        </w:rPr>
        <w:t>diffusion</w:t>
      </w:r>
      <w:r w:rsidRPr="00D03858">
        <w:rPr>
          <w:rFonts w:eastAsia="Times New Roman"/>
          <w:sz w:val="24"/>
          <w:szCs w:val="24"/>
          <w:lang w:val="en-GB"/>
        </w:rPr>
        <w:t xml:space="preserve"> can strengthen existing sales, it does not </w:t>
      </w:r>
      <w:r w:rsidR="009E102D" w:rsidRPr="00D03858">
        <w:rPr>
          <w:rFonts w:eastAsia="Times New Roman"/>
          <w:sz w:val="24"/>
          <w:szCs w:val="24"/>
          <w:lang w:val="en-GB"/>
        </w:rPr>
        <w:t>unavoidably</w:t>
      </w:r>
      <w:r w:rsidRPr="00D03858">
        <w:rPr>
          <w:rFonts w:eastAsia="Times New Roman"/>
          <w:sz w:val="24"/>
          <w:szCs w:val="24"/>
          <w:lang w:val="en-GB"/>
        </w:rPr>
        <w:t xml:space="preserve"> accelerate the </w:t>
      </w:r>
      <w:r w:rsidR="009E102D" w:rsidRPr="00D03858">
        <w:rPr>
          <w:rFonts w:eastAsia="Times New Roman"/>
          <w:sz w:val="24"/>
          <w:szCs w:val="24"/>
          <w:lang w:val="en-GB"/>
        </w:rPr>
        <w:t>changeover</w:t>
      </w:r>
      <w:r w:rsidRPr="00D03858">
        <w:rPr>
          <w:rFonts w:eastAsia="Times New Roman"/>
          <w:sz w:val="24"/>
          <w:szCs w:val="24"/>
          <w:lang w:val="en-GB"/>
        </w:rPr>
        <w:t xml:space="preserve"> towards lower-carbon production. On the other hand, market </w:t>
      </w:r>
      <w:r w:rsidR="009E102D" w:rsidRPr="00D03858">
        <w:rPr>
          <w:rFonts w:eastAsia="Times New Roman"/>
          <w:sz w:val="24"/>
          <w:szCs w:val="24"/>
          <w:lang w:val="en-GB"/>
        </w:rPr>
        <w:t>growth</w:t>
      </w:r>
      <w:r w:rsidRPr="00D03858">
        <w:rPr>
          <w:rFonts w:eastAsia="Times New Roman"/>
          <w:sz w:val="24"/>
          <w:szCs w:val="24"/>
          <w:lang w:val="en-GB"/>
        </w:rPr>
        <w:t xml:space="preserve"> and diversification also involve additional market uncertainties and investment risks.</w:t>
      </w:r>
    </w:p>
    <w:p w14:paraId="635A265C" w14:textId="77777777" w:rsidR="00542AA2" w:rsidRDefault="00E23DE9">
      <w:pPr>
        <w:spacing w:line="360" w:lineRule="auto"/>
        <w:jc w:val="both"/>
        <w:rPr>
          <w:rFonts w:eastAsia="Times New Roman"/>
          <w:sz w:val="24"/>
          <w:szCs w:val="24"/>
          <w:lang w:val="en-GB"/>
        </w:rPr>
      </w:pPr>
      <w:r>
        <w:rPr>
          <w:rFonts w:eastAsia="Times New Roman"/>
          <w:sz w:val="24"/>
          <w:szCs w:val="24"/>
          <w:lang w:val="en-GB"/>
        </w:rPr>
        <w:t xml:space="preserve">In </w:t>
      </w:r>
      <w:r w:rsidR="00D2453B" w:rsidRPr="00D03858">
        <w:rPr>
          <w:rFonts w:eastAsia="Times New Roman"/>
          <w:sz w:val="24"/>
          <w:szCs w:val="24"/>
          <w:lang w:val="en-GB"/>
        </w:rPr>
        <w:t xml:space="preserve">contrast, product development will allow Tata Steel for introducing lower-carbon steel products to its existing consumers while developing established production capabilities and business relationships (Tata Steel, 2026a). </w:t>
      </w:r>
    </w:p>
    <w:p w14:paraId="3E83079F" w14:textId="02431A72" w:rsidR="004C5E91" w:rsidRPr="00D03858"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This approach can help the corporation in responding to environmental pressures and evolving consumer expectations. However, commercial success mainly relies on controlling production costs, demonstrating measurable emissions reductions and ensuring sufficient consumer demand (Arora, 2026). Therefore, product development will offer the organisation a balanced approach for achieving sustainable growth and strengthening Tata Steel’s long-term market position. </w:t>
      </w:r>
    </w:p>
    <w:p w14:paraId="43C82592" w14:textId="77777777" w:rsidR="004C5E91" w:rsidRPr="00D03858" w:rsidRDefault="00D2453B">
      <w:pPr>
        <w:spacing w:line="360" w:lineRule="auto"/>
        <w:jc w:val="both"/>
        <w:rPr>
          <w:rFonts w:eastAsia="Times New Roman"/>
          <w:b/>
          <w:bCs/>
          <w:i/>
          <w:iCs/>
          <w:sz w:val="24"/>
          <w:szCs w:val="24"/>
          <w:lang w:val="en-GB"/>
        </w:rPr>
      </w:pPr>
      <w:r w:rsidRPr="00D03858">
        <w:rPr>
          <w:rFonts w:eastAsia="Times New Roman"/>
          <w:b/>
          <w:bCs/>
          <w:i/>
          <w:iCs/>
          <w:sz w:val="24"/>
          <w:szCs w:val="24"/>
          <w:lang w:val="en-GB"/>
        </w:rPr>
        <w:t>Building Competitive Advantage</w:t>
      </w:r>
    </w:p>
    <w:p w14:paraId="70561E77" w14:textId="77777777" w:rsidR="004C5E91" w:rsidRPr="00D03858" w:rsidRDefault="00D2453B">
      <w:pPr>
        <w:spacing w:line="360" w:lineRule="auto"/>
        <w:jc w:val="center"/>
        <w:rPr>
          <w:rFonts w:eastAsia="Times New Roman"/>
          <w:b/>
          <w:bCs/>
          <w:sz w:val="24"/>
          <w:szCs w:val="24"/>
          <w:lang w:val="en-GB"/>
        </w:rPr>
      </w:pPr>
      <w:r w:rsidRPr="00D03858">
        <w:rPr>
          <w:rFonts w:eastAsia="Times New Roman"/>
          <w:b/>
          <w:bCs/>
          <w:noProof/>
          <w:sz w:val="24"/>
          <w:szCs w:val="24"/>
          <w:lang w:val="en-GB"/>
        </w:rPr>
        <w:lastRenderedPageBreak/>
        <w:drawing>
          <wp:inline distT="114300" distB="114300" distL="114300" distR="114300" wp14:anchorId="7D176868" wp14:editId="060D6BA0">
            <wp:extent cx="3606170" cy="2681511"/>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6"/>
                    <a:stretch>
                      <a:fillRect/>
                    </a:stretch>
                  </pic:blipFill>
                  <pic:spPr>
                    <a:xfrm>
                      <a:off x="0" y="0"/>
                      <a:ext cx="3606170" cy="2681511"/>
                    </a:xfrm>
                    <a:prstGeom prst="rect">
                      <a:avLst/>
                    </a:prstGeom>
                    <a:ln w="12700">
                      <a:solidFill>
                        <a:srgbClr val="000000"/>
                      </a:solidFill>
                      <a:prstDash val="solid"/>
                    </a:ln>
                  </pic:spPr>
                </pic:pic>
              </a:graphicData>
            </a:graphic>
          </wp:inline>
        </w:drawing>
      </w:r>
    </w:p>
    <w:p w14:paraId="32DB9F90" w14:textId="77777777" w:rsidR="004C5E91" w:rsidRPr="00D03858" w:rsidRDefault="00D2453B">
      <w:pPr>
        <w:spacing w:line="360" w:lineRule="auto"/>
        <w:jc w:val="center"/>
        <w:rPr>
          <w:rFonts w:eastAsia="Times New Roman"/>
          <w:b/>
          <w:bCs/>
          <w:sz w:val="24"/>
          <w:szCs w:val="24"/>
          <w:lang w:val="en-GB"/>
        </w:rPr>
      </w:pPr>
      <w:r w:rsidRPr="00D03858">
        <w:rPr>
          <w:rFonts w:eastAsia="Times New Roman"/>
          <w:b/>
          <w:bCs/>
          <w:sz w:val="24"/>
          <w:szCs w:val="24"/>
          <w:lang w:val="en-GB"/>
        </w:rPr>
        <w:t>Figure 2: Porter’s Generic Strategy Framework</w:t>
      </w:r>
    </w:p>
    <w:p w14:paraId="2E85132E" w14:textId="77777777" w:rsidR="004C5E91" w:rsidRPr="00D03858" w:rsidRDefault="00D2453B">
      <w:pPr>
        <w:spacing w:line="360" w:lineRule="auto"/>
        <w:jc w:val="center"/>
        <w:rPr>
          <w:rFonts w:eastAsia="Times New Roman"/>
          <w:sz w:val="24"/>
          <w:szCs w:val="24"/>
          <w:lang w:val="en-GB"/>
        </w:rPr>
      </w:pPr>
      <w:r w:rsidRPr="00D03858">
        <w:rPr>
          <w:rFonts w:eastAsia="Times New Roman"/>
          <w:sz w:val="24"/>
          <w:szCs w:val="24"/>
          <w:lang w:val="en-GB"/>
        </w:rPr>
        <w:t>(Source: Arif, 2019)</w:t>
      </w:r>
    </w:p>
    <w:p w14:paraId="023FF94A" w14:textId="77777777" w:rsidR="00F80417"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Porter's Generic Strategies Framework </w:t>
      </w:r>
      <w:r w:rsidR="00916EB9">
        <w:rPr>
          <w:rFonts w:eastAsia="Times New Roman"/>
          <w:sz w:val="24"/>
          <w:szCs w:val="24"/>
          <w:lang w:val="en-GB"/>
        </w:rPr>
        <w:t xml:space="preserve">(fig 2) </w:t>
      </w:r>
      <w:r w:rsidRPr="00D03858">
        <w:rPr>
          <w:rFonts w:eastAsia="Times New Roman"/>
          <w:sz w:val="24"/>
          <w:szCs w:val="24"/>
          <w:lang w:val="en-GB"/>
        </w:rPr>
        <w:t>has suggested that differentiation</w:t>
      </w:r>
      <w:r w:rsidR="00D03858">
        <w:rPr>
          <w:rFonts w:eastAsia="Times New Roman"/>
          <w:sz w:val="24"/>
          <w:szCs w:val="24"/>
          <w:lang w:val="en-GB"/>
        </w:rPr>
        <w:t xml:space="preserve"> </w:t>
      </w:r>
      <w:r w:rsidRPr="00D03858">
        <w:rPr>
          <w:rFonts w:eastAsia="Times New Roman"/>
          <w:sz w:val="24"/>
          <w:szCs w:val="24"/>
          <w:lang w:val="en-GB"/>
        </w:rPr>
        <w:t xml:space="preserve">can help Tata Steel India in achieving competitive advantage by offering consumers distinctive value beyond price ranges (Arif, 2019). Through product development, the organisation will be able to differentiate its steel products by demonstrating credible emissions reductions while maintaining quality of the products and reliable supply. Besides that, transparent environmental information and developed consumer relationships can strengthen its reputation among industrial buyers, who seek lower-carbon materials (Arora, 2026). </w:t>
      </w:r>
    </w:p>
    <w:p w14:paraId="423DAA92" w14:textId="6071A125" w:rsidR="004C5E91" w:rsidRPr="00F80417" w:rsidRDefault="00D2453B">
      <w:pPr>
        <w:spacing w:line="360" w:lineRule="auto"/>
        <w:jc w:val="both"/>
        <w:rPr>
          <w:rFonts w:eastAsia="Times New Roman"/>
          <w:sz w:val="24"/>
          <w:szCs w:val="24"/>
          <w:lang w:val="en-GB"/>
        </w:rPr>
      </w:pPr>
      <w:r w:rsidRPr="00D03858">
        <w:rPr>
          <w:rFonts w:eastAsia="Times New Roman"/>
          <w:sz w:val="24"/>
          <w:szCs w:val="24"/>
          <w:lang w:val="en-GB"/>
        </w:rPr>
        <w:t xml:space="preserve">However, differentiation will only create lasting value if consumers significantly identify these benefits and are willing to purchase the products at commercially viable prices. Thus, combining product development with differentiation </w:t>
      </w:r>
      <w:r w:rsidR="00C0115F">
        <w:rPr>
          <w:rFonts w:eastAsia="Times New Roman"/>
          <w:sz w:val="24"/>
          <w:szCs w:val="24"/>
          <w:lang w:val="en-GB"/>
        </w:rPr>
        <w:t xml:space="preserve">strategy </w:t>
      </w:r>
      <w:r w:rsidRPr="00D03858">
        <w:rPr>
          <w:rFonts w:eastAsia="Times New Roman"/>
          <w:sz w:val="24"/>
          <w:szCs w:val="24"/>
          <w:lang w:val="en-GB"/>
        </w:rPr>
        <w:t>can help Tata Steel India in strengthening its market position while supporting its transition towards a lower-carbon business model.</w:t>
      </w:r>
    </w:p>
    <w:p w14:paraId="52C57B3B" w14:textId="77777777" w:rsidR="004C5E91" w:rsidRPr="00D03858" w:rsidRDefault="00D2453B" w:rsidP="000B2709">
      <w:pPr>
        <w:pStyle w:val="Heading1"/>
        <w:rPr>
          <w:rFonts w:ascii="Arial" w:hAnsi="Arial" w:cs="Arial"/>
          <w:color w:val="000000" w:themeColor="text1"/>
          <w:lang w:val="en-GB"/>
        </w:rPr>
      </w:pPr>
      <w:bookmarkStart w:id="2" w:name="_n1moueaqzx4q" w:colFirst="0" w:colLast="0"/>
      <w:bookmarkEnd w:id="2"/>
      <w:r w:rsidRPr="00D03858">
        <w:rPr>
          <w:rFonts w:ascii="Arial" w:hAnsi="Arial" w:cs="Arial"/>
          <w:color w:val="000000" w:themeColor="text1"/>
          <w:lang w:val="en-GB"/>
        </w:rPr>
        <w:t>Task 3: Managerial and Professional Reflection</w:t>
      </w:r>
    </w:p>
    <w:p w14:paraId="7D155840" w14:textId="77777777" w:rsidR="004C5E91" w:rsidRPr="00D03858" w:rsidRDefault="00D2453B">
      <w:pPr>
        <w:spacing w:line="360" w:lineRule="auto"/>
        <w:jc w:val="both"/>
        <w:rPr>
          <w:rFonts w:eastAsia="Times New Roman"/>
          <w:b/>
          <w:bCs/>
          <w:color w:val="000000" w:themeColor="text1"/>
          <w:sz w:val="24"/>
          <w:szCs w:val="24"/>
          <w:lang w:val="en-GB"/>
        </w:rPr>
      </w:pPr>
      <w:r w:rsidRPr="00D03858">
        <w:rPr>
          <w:rFonts w:eastAsia="Times New Roman"/>
          <w:b/>
          <w:bCs/>
          <w:color w:val="000000" w:themeColor="text1"/>
          <w:sz w:val="24"/>
          <w:szCs w:val="24"/>
          <w:lang w:val="en-GB"/>
        </w:rPr>
        <w:t>Justification of Company Selection</w:t>
      </w:r>
    </w:p>
    <w:p w14:paraId="36E79CF1" w14:textId="343A1F1A" w:rsidR="004C5E91" w:rsidRPr="00D03858" w:rsidRDefault="00D2453B">
      <w:pPr>
        <w:spacing w:line="360" w:lineRule="auto"/>
        <w:jc w:val="both"/>
        <w:rPr>
          <w:rFonts w:eastAsia="Times New Roman"/>
          <w:color w:val="000000" w:themeColor="text1"/>
          <w:sz w:val="24"/>
          <w:szCs w:val="24"/>
          <w:lang w:val="en-GB"/>
        </w:rPr>
      </w:pPr>
      <w:r w:rsidRPr="00D03858">
        <w:rPr>
          <w:rFonts w:eastAsia="Times New Roman"/>
          <w:color w:val="000000" w:themeColor="text1"/>
          <w:sz w:val="24"/>
          <w:szCs w:val="24"/>
          <w:lang w:val="en-GB"/>
        </w:rPr>
        <w:t>Focusing on the transition towards lower-carbon products, Tata Steel is selected, as it is a major Indian steel producer and seeks to emphasise significant growth in decarbonisation</w:t>
      </w:r>
      <w:r w:rsidR="00D03858">
        <w:rPr>
          <w:rFonts w:eastAsia="Times New Roman"/>
          <w:color w:val="000000" w:themeColor="text1"/>
          <w:sz w:val="24"/>
          <w:szCs w:val="24"/>
          <w:lang w:val="en-GB"/>
        </w:rPr>
        <w:t>. Research identified that Tata Steel</w:t>
      </w:r>
      <w:r w:rsidRPr="00D03858">
        <w:rPr>
          <w:rFonts w:eastAsia="Times New Roman"/>
          <w:color w:val="000000" w:themeColor="text1"/>
          <w:sz w:val="24"/>
          <w:szCs w:val="24"/>
          <w:lang w:val="en-GB"/>
        </w:rPr>
        <w:t xml:space="preserve"> has already set a strategic ambition to achieve net-zero within 2045 and improve product sustainability by deploying lower-</w:t>
      </w:r>
      <w:r w:rsidRPr="00D03858">
        <w:rPr>
          <w:rFonts w:eastAsia="Times New Roman"/>
          <w:color w:val="000000" w:themeColor="text1"/>
          <w:sz w:val="24"/>
          <w:szCs w:val="24"/>
          <w:lang w:val="en-GB"/>
        </w:rPr>
        <w:lastRenderedPageBreak/>
        <w:t xml:space="preserve">emission technologies. Therefore, by selecting Tata Steel India, I have improved my understanding of the relationship between marketing strategies, environmental sustainability practices and the managerial decision-making process. The analysis also helps me to identify the company's response to external pressures and evaluate ways to understand consumer expectations that ensure long-term competitiveness. </w:t>
      </w:r>
    </w:p>
    <w:p w14:paraId="6E7C8F9B" w14:textId="77777777" w:rsidR="004C5E91" w:rsidRPr="00D03858" w:rsidRDefault="00D2453B">
      <w:pPr>
        <w:spacing w:line="360" w:lineRule="auto"/>
        <w:jc w:val="both"/>
        <w:rPr>
          <w:rFonts w:eastAsia="Times New Roman"/>
          <w:b/>
          <w:bCs/>
          <w:color w:val="000000" w:themeColor="text1"/>
          <w:sz w:val="24"/>
          <w:szCs w:val="24"/>
          <w:lang w:val="en-GB"/>
        </w:rPr>
      </w:pPr>
      <w:r w:rsidRPr="00D03858">
        <w:rPr>
          <w:rFonts w:eastAsia="Times New Roman"/>
          <w:b/>
          <w:bCs/>
          <w:color w:val="000000" w:themeColor="text1"/>
          <w:sz w:val="24"/>
          <w:szCs w:val="24"/>
          <w:lang w:val="en-GB"/>
        </w:rPr>
        <w:t>Reason for Choosing Environmental Actors</w:t>
      </w:r>
    </w:p>
    <w:p w14:paraId="41A7D423" w14:textId="77777777" w:rsidR="00F80417" w:rsidRDefault="00D2453B">
      <w:pPr>
        <w:spacing w:line="360" w:lineRule="auto"/>
        <w:jc w:val="both"/>
        <w:rPr>
          <w:rFonts w:eastAsia="Times New Roman"/>
          <w:color w:val="000000" w:themeColor="text1"/>
          <w:sz w:val="24"/>
          <w:szCs w:val="24"/>
          <w:lang w:val="en-GB"/>
        </w:rPr>
      </w:pPr>
      <w:r w:rsidRPr="00D03858">
        <w:rPr>
          <w:rFonts w:eastAsia="Times New Roman"/>
          <w:color w:val="000000" w:themeColor="text1"/>
          <w:sz w:val="24"/>
          <w:szCs w:val="24"/>
          <w:lang w:val="en-GB"/>
        </w:rPr>
        <w:t>I have chosen some environmental factors that demonstrate that steel-making production has remained carbon-intensive. For instance, the Indian Green Steel Taxonomy creates an opportunity for Tata Steel to distinguish its product from competitors and evaluate measurable environmental performance. Secondly, I have considered the decarbonisation of production in the Indian steel industry, which is responsible for minimising emission intensity to around 2.55 tonnes (IEEFA, 2026).</w:t>
      </w:r>
    </w:p>
    <w:p w14:paraId="3B9E2725" w14:textId="61C925FF" w:rsidR="004C5E91" w:rsidRPr="00D03858" w:rsidRDefault="0054087C">
      <w:pP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It </w:t>
      </w:r>
      <w:r w:rsidR="00D2453B" w:rsidRPr="00D03858">
        <w:rPr>
          <w:rFonts w:eastAsia="Times New Roman"/>
          <w:color w:val="000000" w:themeColor="text1"/>
          <w:sz w:val="24"/>
          <w:szCs w:val="24"/>
          <w:lang w:val="en-GB"/>
        </w:rPr>
        <w:t xml:space="preserve">has already been found that large corporations are replacing their fossil fuel production by exploring carbon-intensive technologies and reducing emissions (Tata Steel, 2024). However, I recognised that regulatory support and political intervention do not guarantee to accomplish commercial </w:t>
      </w:r>
      <w:r w:rsidR="00953262" w:rsidRPr="00D03858">
        <w:rPr>
          <w:rFonts w:eastAsia="Times New Roman"/>
          <w:color w:val="000000" w:themeColor="text1"/>
          <w:sz w:val="24"/>
          <w:szCs w:val="24"/>
          <w:lang w:val="en-GB"/>
        </w:rPr>
        <w:t>success,</w:t>
      </w:r>
      <w:r w:rsidR="00D2453B" w:rsidRPr="00D03858">
        <w:rPr>
          <w:rFonts w:eastAsia="Times New Roman"/>
          <w:color w:val="000000" w:themeColor="text1"/>
          <w:sz w:val="24"/>
          <w:szCs w:val="24"/>
          <w:lang w:val="en-GB"/>
        </w:rPr>
        <w:t xml:space="preserve"> but the organisation also needs to assess customers' willingness in purchasing lower carbon steel and empower environmental stewardship. </w:t>
      </w:r>
    </w:p>
    <w:p w14:paraId="3D507768" w14:textId="77777777" w:rsidR="004C5E91" w:rsidRPr="00D03858" w:rsidRDefault="00D2453B">
      <w:pPr>
        <w:spacing w:line="360" w:lineRule="auto"/>
        <w:jc w:val="both"/>
        <w:rPr>
          <w:rFonts w:eastAsia="Times New Roman"/>
          <w:b/>
          <w:bCs/>
          <w:color w:val="000000" w:themeColor="text1"/>
          <w:sz w:val="24"/>
          <w:szCs w:val="24"/>
          <w:lang w:val="en-GB"/>
        </w:rPr>
      </w:pPr>
      <w:r w:rsidRPr="00D03858">
        <w:rPr>
          <w:rFonts w:eastAsia="Times New Roman"/>
          <w:b/>
          <w:bCs/>
          <w:color w:val="000000" w:themeColor="text1"/>
          <w:sz w:val="24"/>
          <w:szCs w:val="24"/>
          <w:lang w:val="en-GB"/>
        </w:rPr>
        <w:t>Strategic Growth Recommendation</w:t>
      </w:r>
    </w:p>
    <w:p w14:paraId="530196C3" w14:textId="77777777" w:rsidR="004C5E91" w:rsidRPr="00D03858" w:rsidRDefault="00D2453B">
      <w:pPr>
        <w:spacing w:line="360" w:lineRule="auto"/>
        <w:jc w:val="both"/>
        <w:rPr>
          <w:rFonts w:eastAsia="Times New Roman"/>
          <w:color w:val="000000" w:themeColor="text1"/>
          <w:sz w:val="24"/>
          <w:szCs w:val="24"/>
          <w:lang w:val="en-GB"/>
        </w:rPr>
      </w:pPr>
      <w:r w:rsidRPr="00D03858">
        <w:rPr>
          <w:rFonts w:eastAsia="Times New Roman"/>
          <w:color w:val="000000" w:themeColor="text1"/>
          <w:sz w:val="24"/>
          <w:szCs w:val="24"/>
          <w:lang w:val="en-GB"/>
        </w:rPr>
        <w:t xml:space="preserve">For strategic growth recommendations, I have used the Ansoff Matrix, which demonstrates that "Product Development" is the most suitable strategy for Tata Steel to introduce its lower-carbon steel production within the existing customer base. According to me, this strategic approach not only helps the company to respond to the sustainability requirements of the Indian marketplace but also maintain environmental stewardship. Nevertheless, the strategy consists of potential risks, such as market uncertainties or consumer demand to pay less for steel products. Therefore, the organisation's managerial body needs to prioritise cost-benefit analysis, which enables the corporation to manage commercial feasibility and reduce the risk of market uncertainties.  </w:t>
      </w:r>
    </w:p>
    <w:p w14:paraId="7F01A9B4" w14:textId="77777777" w:rsidR="004C5E91" w:rsidRPr="00D03858" w:rsidRDefault="00D2453B">
      <w:pPr>
        <w:spacing w:line="360" w:lineRule="auto"/>
        <w:jc w:val="both"/>
        <w:rPr>
          <w:rFonts w:eastAsia="Times New Roman"/>
          <w:b/>
          <w:bCs/>
          <w:color w:val="000000" w:themeColor="text1"/>
          <w:sz w:val="24"/>
          <w:szCs w:val="24"/>
          <w:lang w:val="en-GB"/>
        </w:rPr>
      </w:pPr>
      <w:r w:rsidRPr="00D03858">
        <w:rPr>
          <w:rFonts w:eastAsia="Times New Roman"/>
          <w:b/>
          <w:bCs/>
          <w:color w:val="000000" w:themeColor="text1"/>
          <w:sz w:val="24"/>
          <w:szCs w:val="24"/>
          <w:lang w:val="en-GB"/>
        </w:rPr>
        <w:t>Limitation of Reflective Analysis</w:t>
      </w:r>
    </w:p>
    <w:p w14:paraId="7DD849AF" w14:textId="77777777" w:rsidR="004C5E91" w:rsidRPr="00D03858" w:rsidRDefault="00D2453B">
      <w:pPr>
        <w:spacing w:line="360" w:lineRule="auto"/>
        <w:jc w:val="both"/>
        <w:rPr>
          <w:rFonts w:eastAsia="Times New Roman"/>
          <w:color w:val="000000" w:themeColor="text1"/>
          <w:sz w:val="24"/>
          <w:szCs w:val="24"/>
          <w:lang w:val="en-GB"/>
        </w:rPr>
      </w:pPr>
      <w:r w:rsidRPr="00D03858">
        <w:rPr>
          <w:rFonts w:eastAsia="Times New Roman"/>
          <w:color w:val="000000" w:themeColor="text1"/>
          <w:sz w:val="24"/>
          <w:szCs w:val="24"/>
          <w:lang w:val="en-GB"/>
        </w:rPr>
        <w:t xml:space="preserve">From a professional perspective, this study carries remarkable significance for my critical thinking development and for making evidence-based decisions. However, the primary limitation of the study is that it relies on secondary information and does not include any </w:t>
      </w:r>
      <w:r w:rsidRPr="00D03858">
        <w:rPr>
          <w:rFonts w:eastAsia="Times New Roman"/>
          <w:color w:val="000000" w:themeColor="text1"/>
          <w:sz w:val="24"/>
          <w:szCs w:val="24"/>
          <w:lang w:val="en-GB"/>
        </w:rPr>
        <w:lastRenderedPageBreak/>
        <w:t xml:space="preserve">primary research on consumers' responses to Tata Steel's industrial practices. The limited competitor benchmarking also creates a gap in assessing their performance in the production of carbon-intensive steels in the business landscape. </w:t>
      </w:r>
    </w:p>
    <w:p w14:paraId="6D8FC2F8" w14:textId="77777777" w:rsidR="004C5E91" w:rsidRPr="00D03858" w:rsidRDefault="00D2453B">
      <w:pPr>
        <w:spacing w:line="360" w:lineRule="auto"/>
        <w:jc w:val="both"/>
        <w:rPr>
          <w:rFonts w:eastAsia="Times New Roman"/>
          <w:b/>
          <w:bCs/>
          <w:color w:val="000000" w:themeColor="text1"/>
          <w:sz w:val="24"/>
          <w:szCs w:val="24"/>
          <w:lang w:val="en-GB"/>
        </w:rPr>
      </w:pPr>
      <w:r w:rsidRPr="00D03858">
        <w:rPr>
          <w:rFonts w:eastAsia="Times New Roman"/>
          <w:b/>
          <w:bCs/>
          <w:color w:val="000000" w:themeColor="text1"/>
          <w:sz w:val="24"/>
          <w:szCs w:val="24"/>
          <w:lang w:val="en-GB"/>
        </w:rPr>
        <w:t>Managerial Implications</w:t>
      </w:r>
    </w:p>
    <w:p w14:paraId="3F37A2CC" w14:textId="77777777" w:rsidR="004C5E91" w:rsidRPr="00D03858" w:rsidRDefault="00D2453B">
      <w:pPr>
        <w:spacing w:line="360" w:lineRule="auto"/>
        <w:jc w:val="both"/>
        <w:rPr>
          <w:rFonts w:eastAsia="Times New Roman"/>
          <w:color w:val="000000" w:themeColor="text1"/>
          <w:sz w:val="24"/>
          <w:szCs w:val="24"/>
          <w:lang w:val="en-GB"/>
        </w:rPr>
      </w:pPr>
      <w:r w:rsidRPr="00D03858">
        <w:rPr>
          <w:rFonts w:eastAsia="Times New Roman"/>
          <w:color w:val="000000" w:themeColor="text1"/>
          <w:sz w:val="24"/>
          <w:szCs w:val="24"/>
          <w:lang w:val="en-GB"/>
        </w:rPr>
        <w:t xml:space="preserve">For further progress and managerial implications, Tata Steel should maintain product transparency in its claims of environmental benefits as well as provide evidence of green claims. In addition, the managerial body needs to assess competitors' benchmarking and forecast consumer purchasing behaviour for green steel demand (Islam, 2025). </w:t>
      </w:r>
    </w:p>
    <w:p w14:paraId="546D4BF1" w14:textId="77777777" w:rsidR="000B2709" w:rsidRPr="00D03858" w:rsidRDefault="000B2709">
      <w:pPr>
        <w:rPr>
          <w:rFonts w:eastAsia="Times New Roman"/>
          <w:b/>
          <w:bCs/>
          <w:sz w:val="24"/>
          <w:szCs w:val="24"/>
          <w:lang w:val="en-GB"/>
        </w:rPr>
      </w:pPr>
      <w:bookmarkStart w:id="3" w:name="_a1rfgot0ert2" w:colFirst="0" w:colLast="0"/>
      <w:bookmarkEnd w:id="3"/>
      <w:r w:rsidRPr="00D03858">
        <w:rPr>
          <w:lang w:val="en-GB"/>
        </w:rPr>
        <w:br w:type="page"/>
      </w:r>
    </w:p>
    <w:p w14:paraId="0007429B" w14:textId="77777777" w:rsidR="004C5E91" w:rsidRPr="00D03858" w:rsidRDefault="00D2453B">
      <w:pPr>
        <w:pStyle w:val="Heading1"/>
        <w:rPr>
          <w:rFonts w:ascii="Arial" w:hAnsi="Arial" w:cs="Arial"/>
          <w:lang w:val="en-GB"/>
        </w:rPr>
      </w:pPr>
      <w:r w:rsidRPr="00D03858">
        <w:rPr>
          <w:rFonts w:ascii="Arial" w:hAnsi="Arial" w:cs="Arial"/>
          <w:lang w:val="en-GB"/>
        </w:rPr>
        <w:lastRenderedPageBreak/>
        <w:t>References</w:t>
      </w:r>
    </w:p>
    <w:p w14:paraId="3192F6EC"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Al</w:t>
      </w:r>
      <w:r w:rsidRPr="00D03858">
        <w:rPr>
          <w:rFonts w:ascii="Cambria Math" w:eastAsia="Times New Roman" w:hAnsi="Cambria Math" w:cs="Cambria Math"/>
          <w:sz w:val="24"/>
          <w:szCs w:val="24"/>
          <w:lang w:val="en-GB"/>
        </w:rPr>
        <w:t>‐</w:t>
      </w:r>
      <w:proofErr w:type="spellStart"/>
      <w:r w:rsidRPr="00D03858">
        <w:rPr>
          <w:rFonts w:eastAsia="Times New Roman"/>
          <w:sz w:val="24"/>
          <w:szCs w:val="24"/>
          <w:lang w:val="en-GB"/>
        </w:rPr>
        <w:t>Swidi</w:t>
      </w:r>
      <w:proofErr w:type="spellEnd"/>
      <w:r w:rsidRPr="00D03858">
        <w:rPr>
          <w:rFonts w:eastAsia="Times New Roman"/>
          <w:sz w:val="24"/>
          <w:szCs w:val="24"/>
          <w:lang w:val="en-GB"/>
        </w:rPr>
        <w:t>, A. K., Hair, J. F., and Al</w:t>
      </w:r>
      <w:r w:rsidRPr="00D03858">
        <w:rPr>
          <w:rFonts w:ascii="Cambria Math" w:eastAsia="Times New Roman" w:hAnsi="Cambria Math" w:cs="Cambria Math"/>
          <w:sz w:val="24"/>
          <w:szCs w:val="24"/>
          <w:lang w:val="en-GB"/>
        </w:rPr>
        <w:t>‐</w:t>
      </w:r>
      <w:r w:rsidRPr="00D03858">
        <w:rPr>
          <w:rFonts w:eastAsia="Times New Roman"/>
          <w:sz w:val="24"/>
          <w:szCs w:val="24"/>
          <w:lang w:val="en-GB"/>
        </w:rPr>
        <w:t>Hakimi, M. A. (2023). Sustainable development</w:t>
      </w:r>
      <w:r w:rsidRPr="00D03858">
        <w:rPr>
          <w:rFonts w:ascii="Cambria Math" w:eastAsia="Times New Roman" w:hAnsi="Cambria Math" w:cs="Cambria Math"/>
          <w:sz w:val="24"/>
          <w:szCs w:val="24"/>
          <w:lang w:val="en-GB"/>
        </w:rPr>
        <w:t>‐</w:t>
      </w:r>
      <w:r w:rsidRPr="00D03858">
        <w:rPr>
          <w:rFonts w:eastAsia="Times New Roman"/>
          <w:sz w:val="24"/>
          <w:szCs w:val="24"/>
          <w:lang w:val="en-GB"/>
        </w:rPr>
        <w:t xml:space="preserve">oriented regulatory and competitive pressures to shift toward a circular economy: The role of environmental orientation and Industry 4.0 technologies. </w:t>
      </w:r>
      <w:r w:rsidRPr="00D03858">
        <w:rPr>
          <w:rFonts w:eastAsia="Times New Roman"/>
          <w:i/>
          <w:iCs/>
          <w:sz w:val="24"/>
          <w:szCs w:val="24"/>
          <w:lang w:val="en-GB"/>
        </w:rPr>
        <w:t>Business Strategy and the Environment,</w:t>
      </w:r>
      <w:r w:rsidRPr="00D03858">
        <w:rPr>
          <w:rFonts w:eastAsia="Times New Roman"/>
          <w:sz w:val="24"/>
          <w:szCs w:val="24"/>
          <w:lang w:val="en-GB"/>
        </w:rPr>
        <w:t xml:space="preserve"> 32(7), 4782-4797. Available at: </w:t>
      </w:r>
      <w:hyperlink r:id="rId7">
        <w:r w:rsidRPr="00D03858">
          <w:rPr>
            <w:rFonts w:eastAsia="Times New Roman"/>
            <w:color w:val="1155CC"/>
            <w:sz w:val="24"/>
            <w:szCs w:val="24"/>
            <w:u w:val="single"/>
            <w:lang w:val="en-GB"/>
          </w:rPr>
          <w:t>https://www.academia.edu/download/110422824/13.pdf</w:t>
        </w:r>
      </w:hyperlink>
      <w:r w:rsidRPr="00D03858">
        <w:rPr>
          <w:rFonts w:eastAsia="Times New Roman"/>
          <w:sz w:val="24"/>
          <w:szCs w:val="24"/>
          <w:lang w:val="en-GB"/>
        </w:rPr>
        <w:t xml:space="preserve"> (Accessed: 4 October 2026). </w:t>
      </w:r>
    </w:p>
    <w:p w14:paraId="6E178191"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Arif, S. A. F. (2019). </w:t>
      </w:r>
      <w:r w:rsidRPr="00D03858">
        <w:rPr>
          <w:rFonts w:eastAsia="Times New Roman"/>
          <w:i/>
          <w:iCs/>
          <w:sz w:val="24"/>
          <w:szCs w:val="24"/>
          <w:lang w:val="en-GB"/>
        </w:rPr>
        <w:t>Porter's generic strategies</w:t>
      </w:r>
      <w:r w:rsidRPr="00D03858">
        <w:rPr>
          <w:rFonts w:eastAsia="Times New Roman"/>
          <w:sz w:val="24"/>
          <w:szCs w:val="24"/>
          <w:lang w:val="en-GB"/>
        </w:rPr>
        <w:t xml:space="preserve">. ResearchGate. Available at: </w:t>
      </w:r>
      <w:hyperlink r:id="rId8">
        <w:r w:rsidRPr="00D03858">
          <w:rPr>
            <w:rFonts w:eastAsia="Times New Roman"/>
            <w:color w:val="1155CC"/>
            <w:sz w:val="24"/>
            <w:szCs w:val="24"/>
            <w:u w:val="single"/>
            <w:lang w:val="en-GB"/>
          </w:rPr>
          <w:t>https://www.researchgate.net/figure/Porters-generic-strategies_fig1_333118406</w:t>
        </w:r>
      </w:hyperlink>
      <w:r w:rsidRPr="00D03858">
        <w:rPr>
          <w:rFonts w:eastAsia="Times New Roman"/>
          <w:sz w:val="24"/>
          <w:szCs w:val="24"/>
          <w:lang w:val="en-GB"/>
        </w:rPr>
        <w:t xml:space="preserve"> (Accessed: 4 October 2026). </w:t>
      </w:r>
    </w:p>
    <w:p w14:paraId="16D28A3E"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Arora, N. (2026). </w:t>
      </w:r>
      <w:r w:rsidRPr="00D03858">
        <w:rPr>
          <w:rFonts w:eastAsia="Times New Roman"/>
          <w:i/>
          <w:iCs/>
          <w:sz w:val="24"/>
          <w:szCs w:val="24"/>
          <w:lang w:val="en-GB"/>
        </w:rPr>
        <w:t>India steel ministry unlikely to seek new curbs on cheap imports, government source says</w:t>
      </w:r>
      <w:r w:rsidRPr="00D03858">
        <w:rPr>
          <w:rFonts w:eastAsia="Times New Roman"/>
          <w:sz w:val="24"/>
          <w:szCs w:val="24"/>
          <w:lang w:val="en-GB"/>
        </w:rPr>
        <w:t xml:space="preserve">. Reuters. Available at: </w:t>
      </w:r>
      <w:hyperlink r:id="rId9">
        <w:r w:rsidRPr="00D03858">
          <w:rPr>
            <w:rFonts w:eastAsia="Times New Roman"/>
            <w:color w:val="1155CC"/>
            <w:sz w:val="24"/>
            <w:szCs w:val="24"/>
            <w:u w:val="single"/>
            <w:lang w:val="en-GB"/>
          </w:rPr>
          <w:t>https://www.reuters.com/world/china/india-steel-ministry-unlikely-seek-new-curbs-cheap-imports-government-source-2026-10-07/</w:t>
        </w:r>
      </w:hyperlink>
      <w:r w:rsidRPr="00D03858">
        <w:rPr>
          <w:rFonts w:eastAsia="Times New Roman"/>
          <w:sz w:val="24"/>
          <w:szCs w:val="24"/>
          <w:lang w:val="en-GB"/>
        </w:rPr>
        <w:t xml:space="preserve"> (Accessed: 4 October 2026). </w:t>
      </w:r>
    </w:p>
    <w:p w14:paraId="260E3C06"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BEE, (2026). </w:t>
      </w:r>
      <w:r w:rsidRPr="00D03858">
        <w:rPr>
          <w:rFonts w:eastAsia="Times New Roman"/>
          <w:i/>
          <w:iCs/>
          <w:sz w:val="24"/>
          <w:szCs w:val="24"/>
          <w:lang w:val="en-GB"/>
        </w:rPr>
        <w:t>Perform Achieve Trade (PAT)</w:t>
      </w:r>
      <w:r w:rsidRPr="00D03858">
        <w:rPr>
          <w:rFonts w:eastAsia="Times New Roman"/>
          <w:sz w:val="24"/>
          <w:szCs w:val="24"/>
          <w:lang w:val="en-GB"/>
        </w:rPr>
        <w:t xml:space="preserve">. Available at: </w:t>
      </w:r>
      <w:hyperlink r:id="rId10">
        <w:r w:rsidRPr="00D03858">
          <w:rPr>
            <w:rFonts w:eastAsia="Times New Roman"/>
            <w:color w:val="1155CC"/>
            <w:sz w:val="24"/>
            <w:szCs w:val="24"/>
            <w:u w:val="single"/>
            <w:lang w:val="en-GB"/>
          </w:rPr>
          <w:t>https://beeindia.gov.in/show_content.php?lang=1&amp;level=1&amp;ls_id=185&amp;lid=72</w:t>
        </w:r>
      </w:hyperlink>
      <w:r w:rsidRPr="00D03858">
        <w:rPr>
          <w:rFonts w:eastAsia="Times New Roman"/>
          <w:sz w:val="24"/>
          <w:szCs w:val="24"/>
          <w:lang w:val="en-GB"/>
        </w:rPr>
        <w:t xml:space="preserve"> (Accessed: 4 October 2026). </w:t>
      </w:r>
    </w:p>
    <w:p w14:paraId="0B21814F"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Global Data, (2026). </w:t>
      </w:r>
      <w:r w:rsidRPr="00D03858">
        <w:rPr>
          <w:rFonts w:eastAsia="Times New Roman"/>
          <w:i/>
          <w:iCs/>
          <w:sz w:val="24"/>
          <w:szCs w:val="24"/>
          <w:lang w:val="en-GB"/>
        </w:rPr>
        <w:t>Tata Steel Ltd Peers &amp; Key Competitors</w:t>
      </w:r>
      <w:r w:rsidRPr="00D03858">
        <w:rPr>
          <w:rFonts w:eastAsia="Times New Roman"/>
          <w:sz w:val="24"/>
          <w:szCs w:val="24"/>
          <w:lang w:val="en-GB"/>
        </w:rPr>
        <w:t xml:space="preserve">. Available at: </w:t>
      </w:r>
      <w:hyperlink r:id="rId11">
        <w:r w:rsidRPr="00D03858">
          <w:rPr>
            <w:rFonts w:eastAsia="Times New Roman"/>
            <w:color w:val="1155CC"/>
            <w:sz w:val="24"/>
            <w:szCs w:val="24"/>
            <w:u w:val="single"/>
            <w:lang w:val="en-GB"/>
          </w:rPr>
          <w:t>https://www.globaldata.com/company-profile/tata-steel-ltd/competitors/</w:t>
        </w:r>
      </w:hyperlink>
      <w:r w:rsidRPr="00D03858">
        <w:rPr>
          <w:rFonts w:eastAsia="Times New Roman"/>
          <w:sz w:val="24"/>
          <w:szCs w:val="24"/>
          <w:lang w:val="en-GB"/>
        </w:rPr>
        <w:t xml:space="preserve"> (Accessed: 4 October 2026). </w:t>
      </w:r>
    </w:p>
    <w:p w14:paraId="1F6A5FFC"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Habib, S., Tamoor, M., Gulzar, M. M., Murtaza, A. F., Shafiullah, M., and </w:t>
      </w:r>
      <w:proofErr w:type="spellStart"/>
      <w:r w:rsidRPr="00D03858">
        <w:rPr>
          <w:rFonts w:eastAsia="Times New Roman"/>
          <w:sz w:val="24"/>
          <w:szCs w:val="24"/>
          <w:lang w:val="en-GB"/>
        </w:rPr>
        <w:t>Alsafrani</w:t>
      </w:r>
      <w:proofErr w:type="spellEnd"/>
      <w:r w:rsidRPr="00D03858">
        <w:rPr>
          <w:rFonts w:eastAsia="Times New Roman"/>
          <w:sz w:val="24"/>
          <w:szCs w:val="24"/>
          <w:lang w:val="en-GB"/>
        </w:rPr>
        <w:t xml:space="preserve">, A. (2026). Comprehensive energy audit and conservation strategy for public buildings: enhancing energy efficiency and grid sustainability. </w:t>
      </w:r>
      <w:r w:rsidRPr="00D03858">
        <w:rPr>
          <w:rFonts w:eastAsia="Times New Roman"/>
          <w:i/>
          <w:iCs/>
          <w:sz w:val="24"/>
          <w:szCs w:val="24"/>
          <w:lang w:val="en-GB"/>
        </w:rPr>
        <w:t>Scientific Reports,</w:t>
      </w:r>
      <w:r w:rsidRPr="00D03858">
        <w:rPr>
          <w:rFonts w:eastAsia="Times New Roman"/>
          <w:sz w:val="24"/>
          <w:szCs w:val="24"/>
          <w:lang w:val="en-GB"/>
        </w:rPr>
        <w:t xml:space="preserve"> 16(1), 3889. Available at: </w:t>
      </w:r>
      <w:hyperlink r:id="rId12">
        <w:r w:rsidRPr="00D03858">
          <w:rPr>
            <w:rFonts w:eastAsia="Times New Roman"/>
            <w:color w:val="1155CC"/>
            <w:sz w:val="24"/>
            <w:szCs w:val="24"/>
            <w:u w:val="single"/>
            <w:lang w:val="en-GB"/>
          </w:rPr>
          <w:t>https://www.nature.com/articles/s41598-026-36396-3_reference.pdf</w:t>
        </w:r>
      </w:hyperlink>
      <w:r w:rsidRPr="00D03858">
        <w:rPr>
          <w:rFonts w:eastAsia="Times New Roman"/>
          <w:sz w:val="24"/>
          <w:szCs w:val="24"/>
          <w:lang w:val="en-GB"/>
        </w:rPr>
        <w:t xml:space="preserve"> (Accessed: 4 October 2026). </w:t>
      </w:r>
    </w:p>
    <w:p w14:paraId="4EF1076F"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Ibe, C. N., </w:t>
      </w:r>
      <w:proofErr w:type="spellStart"/>
      <w:r w:rsidRPr="00D03858">
        <w:rPr>
          <w:rFonts w:eastAsia="Times New Roman"/>
          <w:sz w:val="24"/>
          <w:szCs w:val="24"/>
          <w:lang w:val="en-GB"/>
        </w:rPr>
        <w:t>Serbescu</w:t>
      </w:r>
      <w:proofErr w:type="spellEnd"/>
      <w:r w:rsidRPr="00D03858">
        <w:rPr>
          <w:rFonts w:eastAsia="Times New Roman"/>
          <w:sz w:val="24"/>
          <w:szCs w:val="24"/>
          <w:lang w:val="en-GB"/>
        </w:rPr>
        <w:t xml:space="preserve">, A., Hossain, M., and Ibe, I. I. (2025). Optimizing circular economy practices in construction: a systematic review of material management strategies. </w:t>
      </w:r>
      <w:r w:rsidRPr="00D03858">
        <w:rPr>
          <w:rFonts w:eastAsia="Times New Roman"/>
          <w:i/>
          <w:iCs/>
          <w:sz w:val="24"/>
          <w:szCs w:val="24"/>
          <w:lang w:val="en-GB"/>
        </w:rPr>
        <w:t>Built Environment Project and Asset Management,</w:t>
      </w:r>
      <w:r w:rsidRPr="00D03858">
        <w:rPr>
          <w:rFonts w:eastAsia="Times New Roman"/>
          <w:sz w:val="24"/>
          <w:szCs w:val="24"/>
          <w:lang w:val="en-GB"/>
        </w:rPr>
        <w:t xml:space="preserve"> 15(5), 1020-1035.  Available at: </w:t>
      </w:r>
      <w:hyperlink r:id="rId13">
        <w:r w:rsidRPr="00D03858">
          <w:rPr>
            <w:rFonts w:eastAsia="Times New Roman"/>
            <w:color w:val="1155CC"/>
            <w:sz w:val="24"/>
            <w:szCs w:val="24"/>
            <w:u w:val="single"/>
            <w:lang w:val="en-GB"/>
          </w:rPr>
          <w:t>https://shura.shu.ac.uk/34844/1/bepam-02-2024-0026.pdf</w:t>
        </w:r>
      </w:hyperlink>
      <w:r w:rsidRPr="00D03858">
        <w:rPr>
          <w:rFonts w:eastAsia="Times New Roman"/>
          <w:sz w:val="24"/>
          <w:szCs w:val="24"/>
          <w:lang w:val="en-GB"/>
        </w:rPr>
        <w:t xml:space="preserve"> (Accessed: 4 October 2026). </w:t>
      </w:r>
    </w:p>
    <w:p w14:paraId="0FB712B5"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IEEFA, (2026). </w:t>
      </w:r>
      <w:r w:rsidRPr="00D03858">
        <w:rPr>
          <w:rFonts w:eastAsia="Times New Roman"/>
          <w:i/>
          <w:iCs/>
          <w:sz w:val="24"/>
          <w:szCs w:val="24"/>
          <w:lang w:val="en-GB"/>
        </w:rPr>
        <w:t>Steel Decarbonisation in India</w:t>
      </w:r>
      <w:r w:rsidRPr="00D03858">
        <w:rPr>
          <w:rFonts w:eastAsia="Times New Roman"/>
          <w:sz w:val="24"/>
          <w:szCs w:val="24"/>
          <w:lang w:val="en-GB"/>
        </w:rPr>
        <w:t xml:space="preserve">. Available at: </w:t>
      </w:r>
      <w:hyperlink r:id="rId14">
        <w:r w:rsidRPr="00D03858">
          <w:rPr>
            <w:rFonts w:eastAsia="Times New Roman"/>
            <w:color w:val="1155CC"/>
            <w:sz w:val="24"/>
            <w:szCs w:val="24"/>
            <w:u w:val="single"/>
            <w:lang w:val="en-GB"/>
          </w:rPr>
          <w:t>https://ieefa.org/media/3958/download?attachment</w:t>
        </w:r>
      </w:hyperlink>
      <w:r w:rsidRPr="00D03858">
        <w:rPr>
          <w:rFonts w:eastAsia="Times New Roman"/>
          <w:sz w:val="24"/>
          <w:szCs w:val="24"/>
          <w:lang w:val="en-GB"/>
        </w:rPr>
        <w:t xml:space="preserve"> (Accessed: 4 October 2026). </w:t>
      </w:r>
    </w:p>
    <w:p w14:paraId="7D555403"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lastRenderedPageBreak/>
        <w:t xml:space="preserve">Islam, M.Z. (2025) 'Europe's policy transition toward green steel development: Prospects and challenges', </w:t>
      </w:r>
      <w:r w:rsidRPr="00D03858">
        <w:rPr>
          <w:rFonts w:eastAsia="Times New Roman"/>
          <w:i/>
          <w:iCs/>
          <w:sz w:val="24"/>
          <w:szCs w:val="24"/>
          <w:lang w:val="en-GB"/>
        </w:rPr>
        <w:t>International Journal of Green Energy</w:t>
      </w:r>
      <w:r w:rsidRPr="00D03858">
        <w:rPr>
          <w:rFonts w:eastAsia="Times New Roman"/>
          <w:sz w:val="24"/>
          <w:szCs w:val="24"/>
          <w:lang w:val="en-GB"/>
        </w:rPr>
        <w:t xml:space="preserve">, 22(2), pp.288-306. Available at: </w:t>
      </w:r>
      <w:hyperlink r:id="rId15">
        <w:r w:rsidRPr="00D03858">
          <w:rPr>
            <w:rFonts w:eastAsia="Times New Roman"/>
            <w:color w:val="1155CC"/>
            <w:sz w:val="24"/>
            <w:szCs w:val="24"/>
            <w:u w:val="single"/>
            <w:lang w:val="en-GB"/>
          </w:rPr>
          <w:t>https://doi.org/10.1080/15435075.2024.2413684</w:t>
        </w:r>
      </w:hyperlink>
      <w:r w:rsidRPr="00D03858">
        <w:rPr>
          <w:rFonts w:eastAsia="Times New Roman"/>
          <w:sz w:val="24"/>
          <w:szCs w:val="24"/>
          <w:lang w:val="en-GB"/>
        </w:rPr>
        <w:t xml:space="preserve"> </w:t>
      </w:r>
    </w:p>
    <w:p w14:paraId="4D84E203"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Li, Q., Wang, P., Wang, F., Zhang, Y., Wang, H., Xu, Q., ... and Bai, L. (2025). Low-carbon production in China’s iron and steel industry: technology choices, economic assessment, and policy.</w:t>
      </w:r>
      <w:r w:rsidRPr="00D03858">
        <w:rPr>
          <w:rFonts w:eastAsia="Times New Roman"/>
          <w:i/>
          <w:iCs/>
          <w:sz w:val="24"/>
          <w:szCs w:val="24"/>
          <w:lang w:val="en-GB"/>
        </w:rPr>
        <w:t xml:space="preserve"> Atmosphere, </w:t>
      </w:r>
      <w:r w:rsidRPr="00D03858">
        <w:rPr>
          <w:rFonts w:eastAsia="Times New Roman"/>
          <w:sz w:val="24"/>
          <w:szCs w:val="24"/>
          <w:lang w:val="en-GB"/>
        </w:rPr>
        <w:t xml:space="preserve">16(3), 252. Available at: </w:t>
      </w:r>
      <w:hyperlink r:id="rId16">
        <w:r w:rsidRPr="00D03858">
          <w:rPr>
            <w:rFonts w:eastAsia="Times New Roman"/>
            <w:color w:val="1155CC"/>
            <w:sz w:val="24"/>
            <w:szCs w:val="24"/>
            <w:u w:val="single"/>
            <w:lang w:val="en-GB"/>
          </w:rPr>
          <w:t>https://www.mdpi.com/2073-4433/16/3/252</w:t>
        </w:r>
      </w:hyperlink>
      <w:r w:rsidRPr="00D03858">
        <w:rPr>
          <w:rFonts w:eastAsia="Times New Roman"/>
          <w:sz w:val="24"/>
          <w:szCs w:val="24"/>
          <w:lang w:val="en-GB"/>
        </w:rPr>
        <w:t xml:space="preserve"> (Accessed: 4 October 2026). </w:t>
      </w:r>
    </w:p>
    <w:p w14:paraId="7DDF6EB8"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Mahmood, S., Misra, P., Sun, H., Luqman, A., and Papa, A. (2025). Sustainable infrastructure, energy projects, and economic growth: mediating role of sustainable supply chain management. </w:t>
      </w:r>
      <w:r w:rsidRPr="00D03858">
        <w:rPr>
          <w:rFonts w:eastAsia="Times New Roman"/>
          <w:i/>
          <w:iCs/>
          <w:sz w:val="24"/>
          <w:szCs w:val="24"/>
          <w:lang w:val="en-GB"/>
        </w:rPr>
        <w:t>Annals of operations research</w:t>
      </w:r>
      <w:r w:rsidRPr="00D03858">
        <w:rPr>
          <w:rFonts w:eastAsia="Times New Roman"/>
          <w:sz w:val="24"/>
          <w:szCs w:val="24"/>
          <w:lang w:val="en-GB"/>
        </w:rPr>
        <w:t xml:space="preserve">, 355(1), 1099-1130. Available at: </w:t>
      </w:r>
      <w:hyperlink r:id="rId17">
        <w:r w:rsidRPr="00D03858">
          <w:rPr>
            <w:rFonts w:eastAsia="Times New Roman"/>
            <w:color w:val="1155CC"/>
            <w:sz w:val="24"/>
            <w:szCs w:val="24"/>
            <w:u w:val="single"/>
            <w:lang w:val="en-GB"/>
          </w:rPr>
          <w:t>https://link.springer.com/article/10.1007/s10479-023-05777-6</w:t>
        </w:r>
      </w:hyperlink>
      <w:r w:rsidRPr="00D03858">
        <w:rPr>
          <w:rFonts w:eastAsia="Times New Roman"/>
          <w:sz w:val="24"/>
          <w:szCs w:val="24"/>
          <w:lang w:val="en-GB"/>
        </w:rPr>
        <w:t xml:space="preserve"> (Accessed: 4 October 2026). </w:t>
      </w:r>
    </w:p>
    <w:p w14:paraId="7FA77CAE"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Shastri, A. (2026). </w:t>
      </w:r>
      <w:r w:rsidRPr="00D03858">
        <w:rPr>
          <w:rFonts w:eastAsia="Times New Roman"/>
          <w:i/>
          <w:iCs/>
          <w:sz w:val="24"/>
          <w:szCs w:val="24"/>
          <w:lang w:val="en-GB"/>
        </w:rPr>
        <w:t xml:space="preserve">Tata Steel Marketing Strategy 2026: A B2B Digital &amp; Sustainability Case Study. </w:t>
      </w:r>
      <w:r w:rsidRPr="00D03858">
        <w:rPr>
          <w:rFonts w:eastAsia="Times New Roman"/>
          <w:sz w:val="24"/>
          <w:szCs w:val="24"/>
          <w:lang w:val="en-GB"/>
        </w:rPr>
        <w:t xml:space="preserve">Available at: </w:t>
      </w:r>
      <w:hyperlink r:id="rId18">
        <w:r w:rsidRPr="00D03858">
          <w:rPr>
            <w:rFonts w:eastAsia="Times New Roman"/>
            <w:color w:val="1155CC"/>
            <w:sz w:val="24"/>
            <w:szCs w:val="24"/>
            <w:u w:val="single"/>
            <w:lang w:val="en-GB"/>
          </w:rPr>
          <w:t>https://iide.co/case-studies/marketing-strategy-of-tata-steel/</w:t>
        </w:r>
      </w:hyperlink>
      <w:r w:rsidRPr="00D03858">
        <w:rPr>
          <w:rFonts w:eastAsia="Times New Roman"/>
          <w:sz w:val="24"/>
          <w:szCs w:val="24"/>
          <w:lang w:val="en-GB"/>
        </w:rPr>
        <w:t xml:space="preserve"> (Accessed: 4 October 2026). </w:t>
      </w:r>
    </w:p>
    <w:p w14:paraId="57671885"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Steel Ministry, (2025). </w:t>
      </w:r>
      <w:r w:rsidRPr="00D03858">
        <w:rPr>
          <w:rFonts w:eastAsia="Times New Roman"/>
          <w:i/>
          <w:iCs/>
          <w:sz w:val="24"/>
          <w:szCs w:val="24"/>
          <w:lang w:val="en-GB"/>
        </w:rPr>
        <w:t>DECARBONIZATION IN THE STEEL SECTOR</w:t>
      </w:r>
      <w:r w:rsidRPr="00D03858">
        <w:rPr>
          <w:rFonts w:eastAsia="Times New Roman"/>
          <w:sz w:val="24"/>
          <w:szCs w:val="24"/>
          <w:lang w:val="en-GB"/>
        </w:rPr>
        <w:t xml:space="preserve">. Available at: </w:t>
      </w:r>
      <w:hyperlink r:id="rId19">
        <w:r w:rsidRPr="00D03858">
          <w:rPr>
            <w:rFonts w:eastAsia="Times New Roman"/>
            <w:color w:val="1155CC"/>
            <w:sz w:val="24"/>
            <w:szCs w:val="24"/>
            <w:u w:val="single"/>
            <w:lang w:val="en-GB"/>
          </w:rPr>
          <w:t>http://steel.gov.in/sites/default/files/2025-04/lu%205025.pdf</w:t>
        </w:r>
      </w:hyperlink>
      <w:r w:rsidRPr="00D03858">
        <w:rPr>
          <w:rFonts w:eastAsia="Times New Roman"/>
          <w:sz w:val="24"/>
          <w:szCs w:val="24"/>
          <w:lang w:val="en-GB"/>
        </w:rPr>
        <w:t xml:space="preserve"> (Accessed: 4 October 2026). </w:t>
      </w:r>
    </w:p>
    <w:p w14:paraId="29248327"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Tata Steel, (2024). </w:t>
      </w:r>
      <w:r w:rsidRPr="00D03858">
        <w:rPr>
          <w:rFonts w:eastAsia="Times New Roman"/>
          <w:i/>
          <w:iCs/>
          <w:sz w:val="24"/>
          <w:szCs w:val="24"/>
          <w:lang w:val="en-GB"/>
        </w:rPr>
        <w:t>Tata Steel becomes the first Indian steel maker to introduce biochar to lower carbon emissions</w:t>
      </w:r>
      <w:r w:rsidRPr="00D03858">
        <w:rPr>
          <w:rFonts w:eastAsia="Times New Roman"/>
          <w:sz w:val="24"/>
          <w:szCs w:val="24"/>
          <w:lang w:val="en-GB"/>
        </w:rPr>
        <w:t xml:space="preserve">. Available at: </w:t>
      </w:r>
      <w:hyperlink r:id="rId20">
        <w:r w:rsidRPr="00D03858">
          <w:rPr>
            <w:rFonts w:eastAsia="Times New Roman"/>
            <w:color w:val="1155CC"/>
            <w:sz w:val="24"/>
            <w:szCs w:val="24"/>
            <w:u w:val="single"/>
            <w:lang w:val="en-GB"/>
          </w:rPr>
          <w:t>https://www.tatasteel.com/newsroom/press-releases/india/2024/tata-steel-becomes-the-first-indian-steel-maker-to-introduce-biochar-to-lower-carbon-emissions/</w:t>
        </w:r>
      </w:hyperlink>
      <w:r w:rsidRPr="00D03858">
        <w:rPr>
          <w:rFonts w:eastAsia="Times New Roman"/>
          <w:sz w:val="24"/>
          <w:szCs w:val="24"/>
          <w:lang w:val="en-GB"/>
        </w:rPr>
        <w:t xml:space="preserve"> (Accessed: 4 October 2026). </w:t>
      </w:r>
    </w:p>
    <w:p w14:paraId="78C84B07"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Tata Steel, (2025). </w:t>
      </w:r>
      <w:r w:rsidRPr="00D03858">
        <w:rPr>
          <w:rFonts w:eastAsia="Times New Roman"/>
          <w:i/>
          <w:iCs/>
          <w:sz w:val="24"/>
          <w:szCs w:val="24"/>
          <w:lang w:val="en-GB"/>
        </w:rPr>
        <w:t>Press Releases</w:t>
      </w:r>
      <w:r w:rsidRPr="00D03858">
        <w:rPr>
          <w:rFonts w:eastAsia="Times New Roman"/>
          <w:sz w:val="24"/>
          <w:szCs w:val="24"/>
          <w:lang w:val="en-GB"/>
        </w:rPr>
        <w:t xml:space="preserve">. Available at: </w:t>
      </w:r>
      <w:hyperlink r:id="rId21">
        <w:r w:rsidRPr="00D03858">
          <w:rPr>
            <w:rFonts w:eastAsia="Times New Roman"/>
            <w:color w:val="1155CC"/>
            <w:sz w:val="24"/>
            <w:szCs w:val="24"/>
            <w:u w:val="single"/>
            <w:lang w:val="en-GB"/>
          </w:rPr>
          <w:t>https://www.tatasteel.com/newsroom/press-releases/india/2025/tata-steel-reports-consolidated-ebitda-of-rs-25-802-crores-for-fy2025/</w:t>
        </w:r>
      </w:hyperlink>
      <w:r w:rsidRPr="00D03858">
        <w:rPr>
          <w:rFonts w:eastAsia="Times New Roman"/>
          <w:sz w:val="24"/>
          <w:szCs w:val="24"/>
          <w:lang w:val="en-GB"/>
        </w:rPr>
        <w:t xml:space="preserve"> (Accessed: 4 October 2026). </w:t>
      </w:r>
    </w:p>
    <w:p w14:paraId="36F33FE8"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Tata Steel, (2025a).</w:t>
      </w:r>
      <w:r w:rsidRPr="00D03858">
        <w:rPr>
          <w:rFonts w:eastAsia="Times New Roman"/>
          <w:i/>
          <w:iCs/>
          <w:sz w:val="24"/>
          <w:szCs w:val="24"/>
          <w:lang w:val="en-GB"/>
        </w:rPr>
        <w:t xml:space="preserve"> Climate Change Report</w:t>
      </w:r>
      <w:r w:rsidRPr="00D03858">
        <w:rPr>
          <w:rFonts w:eastAsia="Times New Roman"/>
          <w:sz w:val="24"/>
          <w:szCs w:val="24"/>
          <w:lang w:val="en-GB"/>
        </w:rPr>
        <w:t xml:space="preserve">. Available at: </w:t>
      </w:r>
      <w:hyperlink r:id="rId22">
        <w:r w:rsidRPr="00D03858">
          <w:rPr>
            <w:rFonts w:eastAsia="Times New Roman"/>
            <w:color w:val="1155CC"/>
            <w:sz w:val="24"/>
            <w:szCs w:val="24"/>
            <w:u w:val="single"/>
            <w:lang w:val="en-GB"/>
          </w:rPr>
          <w:t>https://www.tatasteel.com/investors/integrated-report-2023-24/climate-change-report.html</w:t>
        </w:r>
      </w:hyperlink>
      <w:r w:rsidRPr="00D03858">
        <w:rPr>
          <w:rFonts w:eastAsia="Times New Roman"/>
          <w:sz w:val="24"/>
          <w:szCs w:val="24"/>
          <w:lang w:val="en-GB"/>
        </w:rPr>
        <w:t xml:space="preserve"> (Accessed: 4 October 2026). </w:t>
      </w:r>
    </w:p>
    <w:p w14:paraId="2CE78492"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t xml:space="preserve">Volkov, A. (2014). </w:t>
      </w:r>
      <w:r w:rsidRPr="00D03858">
        <w:rPr>
          <w:rFonts w:eastAsia="Times New Roman"/>
          <w:i/>
          <w:iCs/>
          <w:sz w:val="24"/>
          <w:szCs w:val="24"/>
          <w:lang w:val="en-GB"/>
        </w:rPr>
        <w:t>Marketing strategies in connection with risk level Source: Ansoff Matrix modified by the authors 2014.</w:t>
      </w:r>
      <w:r w:rsidRPr="00D03858">
        <w:rPr>
          <w:rFonts w:eastAsia="Times New Roman"/>
          <w:sz w:val="24"/>
          <w:szCs w:val="24"/>
          <w:lang w:val="en-GB"/>
        </w:rPr>
        <w:t xml:space="preserve"> ResearchGate. Available at: </w:t>
      </w:r>
      <w:hyperlink r:id="rId23">
        <w:r w:rsidRPr="00D03858">
          <w:rPr>
            <w:rFonts w:eastAsia="Times New Roman"/>
            <w:color w:val="1155CC"/>
            <w:sz w:val="24"/>
            <w:szCs w:val="24"/>
            <w:u w:val="single"/>
            <w:lang w:val="en-GB"/>
          </w:rPr>
          <w:t>https://www.researchgate.net/figure/Marketing-strategies-in-connection-with-risk-level-Source-Ansoff-Matrix-modified-by-the_fig3_276457336</w:t>
        </w:r>
      </w:hyperlink>
      <w:r w:rsidRPr="00D03858">
        <w:rPr>
          <w:rFonts w:eastAsia="Times New Roman"/>
          <w:sz w:val="24"/>
          <w:szCs w:val="24"/>
          <w:lang w:val="en-GB"/>
        </w:rPr>
        <w:t xml:space="preserve"> (Accessed: 4 October 2026). </w:t>
      </w:r>
    </w:p>
    <w:p w14:paraId="48D58DFC" w14:textId="77777777" w:rsidR="000B2709" w:rsidRPr="00D03858" w:rsidRDefault="000B2709">
      <w:pPr>
        <w:spacing w:line="360" w:lineRule="auto"/>
        <w:jc w:val="both"/>
        <w:rPr>
          <w:rFonts w:eastAsia="Times New Roman"/>
          <w:sz w:val="24"/>
          <w:szCs w:val="24"/>
          <w:lang w:val="en-GB"/>
        </w:rPr>
      </w:pPr>
      <w:r w:rsidRPr="00D03858">
        <w:rPr>
          <w:rFonts w:eastAsia="Times New Roman"/>
          <w:sz w:val="24"/>
          <w:szCs w:val="24"/>
          <w:lang w:val="en-GB"/>
        </w:rPr>
        <w:lastRenderedPageBreak/>
        <w:t xml:space="preserve">Zhang, J., Guo, H., Yang, G., Wang, Y., and Chen, W. (2025). Sustainable transition pathways for steel manufacturing: Low-carbon steelmaking technologies in enterprises. </w:t>
      </w:r>
      <w:r w:rsidRPr="00D03858">
        <w:rPr>
          <w:rFonts w:eastAsia="Times New Roman"/>
          <w:i/>
          <w:iCs/>
          <w:sz w:val="24"/>
          <w:szCs w:val="24"/>
          <w:lang w:val="en-GB"/>
        </w:rPr>
        <w:t>Sustainability</w:t>
      </w:r>
      <w:r w:rsidRPr="00D03858">
        <w:rPr>
          <w:rFonts w:eastAsia="Times New Roman"/>
          <w:sz w:val="24"/>
          <w:szCs w:val="24"/>
          <w:lang w:val="en-GB"/>
        </w:rPr>
        <w:t xml:space="preserve">, 17(12), 5329. Available at: </w:t>
      </w:r>
      <w:hyperlink r:id="rId24">
        <w:r w:rsidRPr="00D03858">
          <w:rPr>
            <w:rFonts w:eastAsia="Times New Roman"/>
            <w:color w:val="1155CC"/>
            <w:sz w:val="24"/>
            <w:szCs w:val="24"/>
            <w:u w:val="single"/>
            <w:lang w:val="en-GB"/>
          </w:rPr>
          <w:t>https://www.mdpi.com/2071-1050/17/12/5329</w:t>
        </w:r>
      </w:hyperlink>
      <w:r w:rsidRPr="00D03858">
        <w:rPr>
          <w:rFonts w:eastAsia="Times New Roman"/>
          <w:sz w:val="24"/>
          <w:szCs w:val="24"/>
          <w:lang w:val="en-GB"/>
        </w:rPr>
        <w:t xml:space="preserve"> (Accessed: 4 October 2026). </w:t>
      </w:r>
    </w:p>
    <w:p w14:paraId="43B4D82F" w14:textId="77777777" w:rsidR="004C5E91" w:rsidRPr="00D03858" w:rsidRDefault="004C5E91">
      <w:pPr>
        <w:spacing w:line="360" w:lineRule="auto"/>
        <w:jc w:val="both"/>
        <w:rPr>
          <w:rFonts w:eastAsia="Times New Roman"/>
          <w:b/>
          <w:bCs/>
          <w:sz w:val="24"/>
          <w:szCs w:val="24"/>
          <w:lang w:val="en-GB"/>
        </w:rPr>
      </w:pPr>
    </w:p>
    <w:sectPr w:rsidR="004C5E91" w:rsidRPr="00D0385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E5F62CB7-89AB-4DDA-BF44-06EC0A01C664}"/>
  </w:font>
  <w:font w:name="Calibri">
    <w:panose1 w:val="020F0502020204030204"/>
    <w:charset w:val="00"/>
    <w:family w:val="swiss"/>
    <w:pitch w:val="variable"/>
    <w:sig w:usb0="E4002EFF" w:usb1="C200247B" w:usb2="00000009" w:usb3="00000000" w:csb0="000001FF" w:csb1="00000000"/>
    <w:embedRegular r:id="rId2" w:fontKey="{37A10DFD-DEA9-4379-A5AD-A6D7D32B36F2}"/>
  </w:font>
  <w:font w:name="Mangal">
    <w:panose1 w:val="00000400000000000000"/>
    <w:charset w:val="00"/>
    <w:family w:val="roman"/>
    <w:pitch w:val="variable"/>
    <w:sig w:usb0="00008003" w:usb1="00000000" w:usb2="00000000" w:usb3="00000000" w:csb0="00000001" w:csb1="00000000"/>
    <w:embedRegular r:id="rId3" w:fontKey="{8B1E7732-C0F0-41E7-9C7B-B1C66D8A399A}"/>
  </w:font>
  <w:font w:name="Cambria">
    <w:panose1 w:val="02040503050406030204"/>
    <w:charset w:val="00"/>
    <w:family w:val="roman"/>
    <w:pitch w:val="variable"/>
    <w:sig w:usb0="E00006FF" w:usb1="420024FF" w:usb2="02000000" w:usb3="00000000" w:csb0="0000019F" w:csb1="00000000"/>
    <w:embedRegular r:id="rId4" w:fontKey="{54CE0D44-FCE2-45C9-998E-E614674E634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E91"/>
    <w:rsid w:val="000209FD"/>
    <w:rsid w:val="00026B0E"/>
    <w:rsid w:val="00096D50"/>
    <w:rsid w:val="000B2709"/>
    <w:rsid w:val="000C1BF2"/>
    <w:rsid w:val="000D07D7"/>
    <w:rsid w:val="00110B71"/>
    <w:rsid w:val="0011247A"/>
    <w:rsid w:val="00197B31"/>
    <w:rsid w:val="001C44DB"/>
    <w:rsid w:val="00231FB0"/>
    <w:rsid w:val="00240810"/>
    <w:rsid w:val="002A4487"/>
    <w:rsid w:val="002E350B"/>
    <w:rsid w:val="00300E42"/>
    <w:rsid w:val="00371F0B"/>
    <w:rsid w:val="003751CC"/>
    <w:rsid w:val="00485560"/>
    <w:rsid w:val="004B19E8"/>
    <w:rsid w:val="004C5E91"/>
    <w:rsid w:val="004F4DC2"/>
    <w:rsid w:val="0054087C"/>
    <w:rsid w:val="00542AA2"/>
    <w:rsid w:val="00571DAF"/>
    <w:rsid w:val="00586617"/>
    <w:rsid w:val="005C08DF"/>
    <w:rsid w:val="005E58EE"/>
    <w:rsid w:val="00614CA9"/>
    <w:rsid w:val="00656DE2"/>
    <w:rsid w:val="006772CA"/>
    <w:rsid w:val="00691DE7"/>
    <w:rsid w:val="00712608"/>
    <w:rsid w:val="0072297D"/>
    <w:rsid w:val="007E0A30"/>
    <w:rsid w:val="007E17FE"/>
    <w:rsid w:val="00855C3C"/>
    <w:rsid w:val="00906CA5"/>
    <w:rsid w:val="00916EB9"/>
    <w:rsid w:val="009442BE"/>
    <w:rsid w:val="00953262"/>
    <w:rsid w:val="009E102D"/>
    <w:rsid w:val="00A753DD"/>
    <w:rsid w:val="00A80FE8"/>
    <w:rsid w:val="00AC6B59"/>
    <w:rsid w:val="00AD0982"/>
    <w:rsid w:val="00B05E37"/>
    <w:rsid w:val="00B50325"/>
    <w:rsid w:val="00C0115F"/>
    <w:rsid w:val="00C10610"/>
    <w:rsid w:val="00C13239"/>
    <w:rsid w:val="00CA2B21"/>
    <w:rsid w:val="00CA55EF"/>
    <w:rsid w:val="00CD36C9"/>
    <w:rsid w:val="00CE3813"/>
    <w:rsid w:val="00D03858"/>
    <w:rsid w:val="00D14D48"/>
    <w:rsid w:val="00D22D2E"/>
    <w:rsid w:val="00D2453B"/>
    <w:rsid w:val="00D51A60"/>
    <w:rsid w:val="00D73A5F"/>
    <w:rsid w:val="00DA25B3"/>
    <w:rsid w:val="00DC4B06"/>
    <w:rsid w:val="00E23DE9"/>
    <w:rsid w:val="00F80417"/>
    <w:rsid w:val="00F90B4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949E"/>
  <w15:docId w15:val="{D361DA58-69DE-4C33-8AC1-E0F0310B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97B31"/>
    <w:rPr>
      <w:b/>
      <w:bCs/>
    </w:rPr>
  </w:style>
  <w:style w:type="character" w:customStyle="1" w:styleId="CommentSubjectChar">
    <w:name w:val="Comment Subject Char"/>
    <w:basedOn w:val="CommentTextChar"/>
    <w:link w:val="CommentSubject"/>
    <w:uiPriority w:val="99"/>
    <w:semiHidden/>
    <w:rsid w:val="00197B31"/>
    <w:rPr>
      <w:b/>
      <w:bCs/>
      <w:sz w:val="20"/>
      <w:szCs w:val="20"/>
    </w:rPr>
  </w:style>
  <w:style w:type="paragraph" w:styleId="Revision">
    <w:name w:val="Revision"/>
    <w:hidden/>
    <w:uiPriority w:val="99"/>
    <w:semiHidden/>
    <w:rsid w:val="0071260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searchgate.net/figure/Porters-generic-strategies_fig1_333118406" TargetMode="External"/><Relationship Id="rId13" Type="http://schemas.openxmlformats.org/officeDocument/2006/relationships/hyperlink" Target="https://shura.shu.ac.uk/34844/1/bepam-02-2024-0026.pdf" TargetMode="External"/><Relationship Id="rId18" Type="http://schemas.openxmlformats.org/officeDocument/2006/relationships/hyperlink" Target="https://iide.co/case-studies/marketing-strategy-of-tata-stee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tatasteel.com/newsroom/press-releases/india/2025/tata-steel-reports-consolidated-ebitda-of-rs-25-802-crores-for-fy2025/" TargetMode="External"/><Relationship Id="rId7" Type="http://schemas.openxmlformats.org/officeDocument/2006/relationships/hyperlink" Target="https://www.academia.edu/download/110422824/13.pdf" TargetMode="External"/><Relationship Id="rId12" Type="http://schemas.openxmlformats.org/officeDocument/2006/relationships/hyperlink" Target="https://www.nature.com/articles/s41598-026-36396-3_reference.pdf" TargetMode="External"/><Relationship Id="rId17" Type="http://schemas.openxmlformats.org/officeDocument/2006/relationships/hyperlink" Target="https://link.springer.com/article/10.1007/s10479-023-05777-6"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dpi.com/2073-4433/16/3/252" TargetMode="External"/><Relationship Id="rId20" Type="http://schemas.openxmlformats.org/officeDocument/2006/relationships/hyperlink" Target="https://www.tatasteel.com/newsroom/press-releases/india/2024/tata-steel-becomes-the-first-indian-steel-maker-to-introduce-biochar-to-lower-carbon-emissions/"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globaldata.com/company-profile/tata-steel-ltd/competitors/" TargetMode="External"/><Relationship Id="rId24" Type="http://schemas.openxmlformats.org/officeDocument/2006/relationships/hyperlink" Target="https://www.mdpi.com/2071-1050/17/12/5329" TargetMode="External"/><Relationship Id="rId5" Type="http://schemas.openxmlformats.org/officeDocument/2006/relationships/image" Target="media/image2.png"/><Relationship Id="rId15" Type="http://schemas.openxmlformats.org/officeDocument/2006/relationships/hyperlink" Target="https://doi.org/10.1080/15435075.2024.2413684" TargetMode="External"/><Relationship Id="rId23" Type="http://schemas.openxmlformats.org/officeDocument/2006/relationships/hyperlink" Target="https://www.researchgate.net/figure/Marketing-strategies-in-connection-with-risk-level-Source-Ansoff-Matrix-modified-by-the_fig3_276457336" TargetMode="External"/><Relationship Id="rId10" Type="http://schemas.openxmlformats.org/officeDocument/2006/relationships/hyperlink" Target="https://beeindia.gov.in/show_content.php?lang=1&amp;level=1&amp;ls_id=185&amp;lid=72" TargetMode="External"/><Relationship Id="rId19" Type="http://schemas.openxmlformats.org/officeDocument/2006/relationships/hyperlink" Target="http://steel.gov.in/sites/default/files/2025-04/lu%205025.pdf" TargetMode="External"/><Relationship Id="rId4" Type="http://schemas.openxmlformats.org/officeDocument/2006/relationships/image" Target="media/image1.png"/><Relationship Id="rId9" Type="http://schemas.openxmlformats.org/officeDocument/2006/relationships/hyperlink" Target="https://www.reuters.com/world/china/india-steel-ministry-unlikely-seek-new-curbs-cheap-imports-government-source-2026-10-07/" TargetMode="External"/><Relationship Id="rId14" Type="http://schemas.openxmlformats.org/officeDocument/2006/relationships/hyperlink" Target="https://ieefa.org/media/3958/download?attachment" TargetMode="External"/><Relationship Id="rId22" Type="http://schemas.openxmlformats.org/officeDocument/2006/relationships/hyperlink" Target="https://www.tatasteel.com/investors/integrated-report-2023-24/climate-change-report.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3989</Words>
  <Characters>22742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anjali karavadara</cp:lastModifiedBy>
  <cp:revision>10</cp:revision>
  <dcterms:created xsi:type="dcterms:W3CDTF">2026-10-21T08:40:00Z</dcterms:created>
  <dcterms:modified xsi:type="dcterms:W3CDTF">2026-10-22T07:29:00Z</dcterms:modified>
</cp:coreProperties>
</file>